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Kalita Karen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CABOT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SEAPORT LANE, SUITE 1400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CABOT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CBT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and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44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1071"/>
        <w:gridCol w:w="831"/>
        <w:gridCol w:w="846"/>
      </w:tblGrid>
      <w:tr>
        <w:trPr>
          <w:tblHeader w:val="true"/>
        </w:trPr>
        <w:tc>
          <w:tcPr>
            <w:tcW w:w="1244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0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44.8795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44.8795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76.91</w:t>
            </w:r>
          </w:p>
        </w:tc>
        <w:tc>
          <w:tcPr>
            <w:tcW w:w="10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5,386.1563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reported phantom stock units were acquired under the Corporation's supplemental 401(k) plan and are to be settled upon the reporting person's retirement or other termination of service.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Mazda Cintron, pursuant to a power of attorney from Karen A. Kalita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78734" TargetMode="External"/><Relationship Id="rId5" Type="http://schemas.openxmlformats.org/officeDocument/2006/relationships/hyperlink" Target="http://www.sec.gov/cgi-bin/browse-edgar?action=getcompany&amp;CIK=000001604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615</Words>
  <Characters>3316</Characters>
  <CharactersWithSpaces>3858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