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Calibri" w:cs="Calibri" w:eastAsia="Calibri" w:hAnsi="Calibri"/>
          <w:sz w:val="32"/>
          <w:szCs w:val="32"/>
          <w:b w:val="1"/>
          <w:bCs w:val="1"/>
          <w:color w:val="auto"/>
        </w:rPr>
        <w:drawing>
          <wp:anchor simplePos="0" relativeHeight="251657728" behindDoc="1" locked="0" layoutInCell="0" allowOverlap="1">
            <wp:simplePos x="0" y="0"/>
            <wp:positionH relativeFrom="page">
              <wp:posOffset>850900</wp:posOffset>
            </wp:positionH>
            <wp:positionV relativeFrom="page">
              <wp:posOffset>654685</wp:posOffset>
            </wp:positionV>
            <wp:extent cx="64890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page">
              <wp:posOffset>850900</wp:posOffset>
            </wp:positionH>
            <wp:positionV relativeFrom="page">
              <wp:posOffset>671830</wp:posOffset>
            </wp:positionV>
            <wp:extent cx="64890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89065" cy="8255"/>
                    </a:xfrm>
                    <a:prstGeom prst="rect">
                      <a:avLst/>
                    </a:prstGeom>
                    <a:noFill/>
                  </pic:spPr>
                </pic:pic>
              </a:graphicData>
            </a:graphic>
          </wp:anchor>
        </w:drawing>
        <w:t>UNITED STATES</w:t>
      </w:r>
    </w:p>
    <w:p>
      <w:pPr>
        <w:spacing w:after="0" w:line="1" w:lineRule="exact"/>
        <w:rPr>
          <w:sz w:val="24"/>
          <w:szCs w:val="24"/>
          <w:color w:val="auto"/>
        </w:rPr>
      </w:pPr>
    </w:p>
    <w:p>
      <w:pPr>
        <w:jc w:val="center"/>
        <w:ind w:right="-99"/>
        <w:spacing w:after="0"/>
        <w:rPr>
          <w:sz w:val="20"/>
          <w:szCs w:val="20"/>
          <w:color w:val="auto"/>
        </w:rPr>
      </w:pPr>
      <w:r>
        <w:rPr>
          <w:rFonts w:ascii="Calibri" w:cs="Calibri" w:eastAsia="Calibri" w:hAnsi="Calibri"/>
          <w:sz w:val="32"/>
          <w:szCs w:val="32"/>
          <w:b w:val="1"/>
          <w:bCs w:val="1"/>
          <w:color w:val="auto"/>
        </w:rPr>
        <w:t>SECURITIES AND EXCHANGE COMMISSION</w:t>
      </w:r>
    </w:p>
    <w:p>
      <w:pPr>
        <w:spacing w:after="0" w:line="55" w:lineRule="exact"/>
        <w:rPr>
          <w:sz w:val="24"/>
          <w:szCs w:val="24"/>
          <w:color w:val="auto"/>
        </w:rPr>
      </w:pPr>
    </w:p>
    <w:p>
      <w:pPr>
        <w:jc w:val="center"/>
        <w:ind w:right="-99"/>
        <w:spacing w:after="0"/>
        <w:rPr>
          <w:sz w:val="20"/>
          <w:szCs w:val="20"/>
          <w:color w:val="auto"/>
        </w:rPr>
      </w:pPr>
      <w:r>
        <w:rPr>
          <w:rFonts w:ascii="Calibri" w:cs="Calibri" w:eastAsia="Calibri" w:hAnsi="Calibri"/>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5" w:lineRule="exact"/>
        <w:rPr>
          <w:sz w:val="24"/>
          <w:szCs w:val="24"/>
          <w:color w:val="auto"/>
        </w:rPr>
      </w:pPr>
    </w:p>
    <w:p>
      <w:pPr>
        <w:jc w:val="center"/>
        <w:ind w:right="-99"/>
        <w:spacing w:after="0"/>
        <w:rPr>
          <w:sz w:val="20"/>
          <w:szCs w:val="20"/>
          <w:color w:val="auto"/>
        </w:rPr>
      </w:pPr>
      <w:r>
        <w:rPr>
          <w:rFonts w:ascii="Calibri" w:cs="Calibri" w:eastAsia="Calibri" w:hAnsi="Calibri"/>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103505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9" w:lineRule="exact"/>
        <w:rPr>
          <w:sz w:val="24"/>
          <w:szCs w:val="24"/>
          <w:color w:val="auto"/>
        </w:rPr>
      </w:pPr>
    </w:p>
    <w:p>
      <w:pPr>
        <w:ind w:left="3780" w:right="2620" w:hanging="3108"/>
        <w:spacing w:after="0" w:line="331" w:lineRule="auto"/>
        <w:tabs>
          <w:tab w:leader="none" w:pos="1201"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b w:val="1"/>
          <w:bCs w:val="1"/>
          <w:color w:val="auto"/>
        </w:rPr>
        <w:t>QUARTERLY REPORT PURSUANT TO SECTION 13 OR 15(d) OF THE SECURITIES EXCHANGE ACT OF 1934 For the quarterly period ended December 31, 2023</w:t>
      </w:r>
    </w:p>
    <w:p>
      <w:pPr>
        <w:jc w:val="center"/>
        <w:ind w:right="-99"/>
        <w:spacing w:after="0" w:line="236" w:lineRule="auto"/>
        <w:rPr>
          <w:sz w:val="20"/>
          <w:szCs w:val="20"/>
          <w:color w:val="auto"/>
        </w:rPr>
      </w:pPr>
      <w:r>
        <w:rPr>
          <w:rFonts w:ascii="Calibri" w:cs="Calibri" w:eastAsia="Calibri" w:hAnsi="Calibri"/>
          <w:sz w:val="18"/>
          <w:szCs w:val="18"/>
          <w:b w:val="1"/>
          <w:bCs w:val="1"/>
          <w:color w:val="auto"/>
        </w:rPr>
        <w:t>or</w:t>
      </w:r>
    </w:p>
    <w:p>
      <w:pPr>
        <w:spacing w:after="0" w:line="91" w:lineRule="exact"/>
        <w:rPr>
          <w:sz w:val="24"/>
          <w:szCs w:val="24"/>
          <w:color w:val="auto"/>
        </w:rPr>
      </w:pPr>
    </w:p>
    <w:p>
      <w:pPr>
        <w:ind w:left="1200" w:hanging="528"/>
        <w:spacing w:after="0"/>
        <w:tabs>
          <w:tab w:leader="none" w:pos="1200" w:val="left"/>
        </w:tabs>
        <w:numPr>
          <w:ilvl w:val="0"/>
          <w:numId w:val="2"/>
        </w:numPr>
        <w:rPr>
          <w:rFonts w:ascii="MS PGothic" w:cs="MS PGothic" w:eastAsia="MS PGothic" w:hAnsi="MS PGothic"/>
          <w:sz w:val="18"/>
          <w:szCs w:val="18"/>
          <w:color w:val="auto"/>
        </w:rPr>
      </w:pPr>
      <w:r>
        <w:rPr>
          <w:rFonts w:ascii="Calibri" w:cs="Calibri" w:eastAsia="Calibri" w:hAnsi="Calibri"/>
          <w:sz w:val="18"/>
          <w:szCs w:val="18"/>
          <w:b w:val="1"/>
          <w:bCs w:val="1"/>
          <w:color w:val="auto"/>
        </w:rPr>
        <w:t>TRANSITION REPORT PURSUANT TO SECTION 13 OR 15(d) OF THE SECURITIES EXCHANGE ACT OF 1934</w:t>
      </w:r>
    </w:p>
    <w:p>
      <w:pPr>
        <w:spacing w:after="0" w:line="60" w:lineRule="exact"/>
        <w:rPr>
          <w:sz w:val="24"/>
          <w:szCs w:val="24"/>
          <w:color w:val="auto"/>
        </w:rPr>
      </w:pPr>
    </w:p>
    <w:tbl>
      <w:tblPr>
        <w:tblLayout w:type="fixed"/>
        <w:tblInd w:w="3600" w:type="dxa"/>
        <w:tblCellMar>
          <w:top w:w="0" w:type="dxa"/>
          <w:left w:w="0" w:type="dxa"/>
          <w:bottom w:w="0" w:type="dxa"/>
          <w:right w:w="0" w:type="dxa"/>
        </w:tblCellMar>
      </w:tblPr>
      <w:tr>
        <w:trPr>
          <w:trHeight w:val="220"/>
        </w:trPr>
        <w:tc>
          <w:tcPr>
            <w:tcW w:w="2220" w:type="dxa"/>
            <w:vAlign w:val="bottom"/>
          </w:tcPr>
          <w:p>
            <w:pPr>
              <w:spacing w:after="0"/>
              <w:rPr>
                <w:sz w:val="20"/>
                <w:szCs w:val="20"/>
                <w:color w:val="auto"/>
              </w:rPr>
            </w:pPr>
            <w:r>
              <w:rPr>
                <w:rFonts w:ascii="Calibri" w:cs="Calibri" w:eastAsia="Calibri" w:hAnsi="Calibri"/>
                <w:sz w:val="18"/>
                <w:szCs w:val="18"/>
                <w:b w:val="1"/>
                <w:bCs w:val="1"/>
                <w:color w:val="auto"/>
              </w:rPr>
              <w:t>For the transiton period from</w:t>
            </w:r>
          </w:p>
        </w:tc>
        <w:tc>
          <w:tcPr>
            <w:tcW w:w="800" w:type="dxa"/>
            <w:vAlign w:val="bottom"/>
            <w:tcBorders>
              <w:bottom w:val="single" w:sz="8" w:color="auto"/>
            </w:tcBorders>
          </w:tcPr>
          <w:p>
            <w:pPr>
              <w:spacing w:after="0"/>
              <w:rPr>
                <w:sz w:val="19"/>
                <w:szCs w:val="19"/>
                <w:color w:val="auto"/>
              </w:rPr>
            </w:pPr>
          </w:p>
        </w:tc>
        <w:tc>
          <w:tcPr>
            <w:tcW w:w="180" w:type="dxa"/>
            <w:vAlign w:val="bottom"/>
          </w:tcPr>
          <w:p>
            <w:pPr>
              <w:ind w:left="40"/>
              <w:spacing w:after="0"/>
              <w:rPr>
                <w:sz w:val="20"/>
                <w:szCs w:val="20"/>
                <w:color w:val="auto"/>
              </w:rPr>
            </w:pPr>
            <w:r>
              <w:rPr>
                <w:rFonts w:ascii="Calibri" w:cs="Calibri" w:eastAsia="Calibri" w:hAnsi="Calibri"/>
                <w:sz w:val="18"/>
                <w:szCs w:val="18"/>
                <w:b w:val="1"/>
                <w:bCs w:val="1"/>
                <w:color w:val="auto"/>
                <w:w w:val="75"/>
              </w:rPr>
              <w:t>to</w:t>
            </w:r>
          </w:p>
        </w:tc>
      </w:tr>
      <w:tr>
        <w:trPr>
          <w:trHeight w:val="308"/>
        </w:trPr>
        <w:tc>
          <w:tcPr>
            <w:tcW w:w="3200" w:type="dxa"/>
            <w:vAlign w:val="bottom"/>
            <w:gridSpan w:val="3"/>
          </w:tcPr>
          <w:p>
            <w:pPr>
              <w:ind w:left="860"/>
              <w:spacing w:after="0"/>
              <w:rPr>
                <w:sz w:val="20"/>
                <w:szCs w:val="20"/>
                <w:color w:val="auto"/>
              </w:rPr>
            </w:pPr>
            <w:r>
              <w:rPr>
                <w:rFonts w:ascii="Calibri" w:cs="Calibri" w:eastAsia="Calibri" w:hAnsi="Calibri"/>
                <w:sz w:val="18"/>
                <w:szCs w:val="18"/>
                <w:b w:val="1"/>
                <w:bCs w:val="1"/>
                <w:color w:val="auto"/>
                <w:w w:val="99"/>
              </w:rPr>
              <w:t>Commission fle number 1-5667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100330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9" w:lineRule="exact"/>
        <w:rPr>
          <w:sz w:val="24"/>
          <w:szCs w:val="24"/>
          <w:color w:val="auto"/>
        </w:rPr>
      </w:pPr>
    </w:p>
    <w:tbl>
      <w:tblPr>
        <w:tblLayout w:type="fixed"/>
        <w:tblInd w:w="1660" w:type="dxa"/>
        <w:tblCellMar>
          <w:top w:w="0" w:type="dxa"/>
          <w:left w:w="0" w:type="dxa"/>
          <w:bottom w:w="0" w:type="dxa"/>
          <w:right w:w="0" w:type="dxa"/>
        </w:tblCellMar>
      </w:tblPr>
      <w:tr>
        <w:trPr>
          <w:trHeight w:val="525"/>
        </w:trPr>
        <w:tc>
          <w:tcPr>
            <w:tcW w:w="6020" w:type="dxa"/>
            <w:vAlign w:val="bottom"/>
            <w:gridSpan w:val="3"/>
          </w:tcPr>
          <w:p>
            <w:pPr>
              <w:jc w:val="center"/>
              <w:ind w:left="1821"/>
              <w:spacing w:after="0"/>
              <w:rPr>
                <w:sz w:val="20"/>
                <w:szCs w:val="20"/>
                <w:color w:val="auto"/>
              </w:rPr>
            </w:pPr>
            <w:r>
              <w:rPr>
                <w:rFonts w:ascii="Calibri" w:cs="Calibri" w:eastAsia="Calibri" w:hAnsi="Calibri"/>
                <w:sz w:val="43"/>
                <w:szCs w:val="43"/>
                <w:b w:val="1"/>
                <w:bCs w:val="1"/>
                <w:color w:val="auto"/>
              </w:rPr>
              <w:t>Cabot Corporaton</w:t>
            </w:r>
          </w:p>
        </w:tc>
        <w:tc>
          <w:tcPr>
            <w:tcW w:w="1300" w:type="dxa"/>
            <w:vAlign w:val="bottom"/>
          </w:tcPr>
          <w:p>
            <w:pPr>
              <w:spacing w:after="0"/>
              <w:rPr>
                <w:sz w:val="24"/>
                <w:szCs w:val="24"/>
                <w:color w:val="auto"/>
              </w:rPr>
            </w:pPr>
          </w:p>
        </w:tc>
      </w:tr>
      <w:tr>
        <w:trPr>
          <w:trHeight w:val="248"/>
        </w:trPr>
        <w:tc>
          <w:tcPr>
            <w:tcW w:w="6020" w:type="dxa"/>
            <w:vAlign w:val="bottom"/>
            <w:gridSpan w:val="3"/>
          </w:tcPr>
          <w:p>
            <w:pPr>
              <w:jc w:val="center"/>
              <w:ind w:left="1801"/>
              <w:spacing w:after="0"/>
              <w:rPr>
                <w:sz w:val="20"/>
                <w:szCs w:val="20"/>
                <w:color w:val="auto"/>
              </w:rPr>
            </w:pPr>
            <w:r>
              <w:rPr>
                <w:rFonts w:ascii="Calibri" w:cs="Calibri" w:eastAsia="Calibri" w:hAnsi="Calibri"/>
                <w:sz w:val="18"/>
                <w:szCs w:val="18"/>
                <w:b w:val="1"/>
                <w:bCs w:val="1"/>
                <w:color w:val="auto"/>
                <w:w w:val="98"/>
              </w:rPr>
              <w:t>(Exact name of registrant as specifed in its charter)</w:t>
            </w:r>
          </w:p>
        </w:tc>
        <w:tc>
          <w:tcPr>
            <w:tcW w:w="1300" w:type="dxa"/>
            <w:vAlign w:val="bottom"/>
          </w:tcPr>
          <w:p>
            <w:pPr>
              <w:spacing w:after="0"/>
              <w:rPr>
                <w:sz w:val="21"/>
                <w:szCs w:val="21"/>
                <w:color w:val="auto"/>
              </w:rPr>
            </w:pPr>
          </w:p>
        </w:tc>
      </w:tr>
      <w:tr>
        <w:trPr>
          <w:trHeight w:val="145"/>
        </w:trPr>
        <w:tc>
          <w:tcPr>
            <w:tcW w:w="2840" w:type="dxa"/>
            <w:vAlign w:val="bottom"/>
          </w:tcPr>
          <w:p>
            <w:pPr>
              <w:spacing w:after="0"/>
              <w:rPr>
                <w:sz w:val="12"/>
                <w:szCs w:val="12"/>
                <w:color w:val="auto"/>
              </w:rPr>
            </w:pPr>
          </w:p>
        </w:tc>
        <w:tc>
          <w:tcPr>
            <w:tcW w:w="2240" w:type="dxa"/>
            <w:vAlign w:val="bottom"/>
            <w:tcBorders>
              <w:bottom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416"/>
        </w:trPr>
        <w:tc>
          <w:tcPr>
            <w:tcW w:w="6020" w:type="dxa"/>
            <w:vAlign w:val="bottom"/>
            <w:gridSpan w:val="3"/>
          </w:tcPr>
          <w:p>
            <w:pPr>
              <w:jc w:val="center"/>
              <w:ind w:right="3700"/>
              <w:spacing w:after="0"/>
              <w:rPr>
                <w:sz w:val="20"/>
                <w:szCs w:val="20"/>
                <w:color w:val="auto"/>
              </w:rPr>
            </w:pPr>
            <w:r>
              <w:rPr>
                <w:rFonts w:ascii="Calibri" w:cs="Calibri" w:eastAsia="Calibri" w:hAnsi="Calibri"/>
                <w:sz w:val="18"/>
                <w:szCs w:val="18"/>
                <w:b w:val="1"/>
                <w:bCs w:val="1"/>
                <w:color w:val="auto"/>
                <w:w w:val="95"/>
              </w:rPr>
              <w:t>Delaware</w:t>
            </w:r>
          </w:p>
        </w:tc>
        <w:tc>
          <w:tcPr>
            <w:tcW w:w="1300" w:type="dxa"/>
            <w:vAlign w:val="bottom"/>
          </w:tcPr>
          <w:p>
            <w:pPr>
              <w:jc w:val="center"/>
              <w:ind w:left="121"/>
              <w:spacing w:after="0"/>
              <w:rPr>
                <w:sz w:val="20"/>
                <w:szCs w:val="20"/>
                <w:color w:val="auto"/>
              </w:rPr>
            </w:pPr>
            <w:r>
              <w:rPr>
                <w:rFonts w:ascii="Calibri" w:cs="Calibri" w:eastAsia="Calibri" w:hAnsi="Calibri"/>
                <w:sz w:val="18"/>
                <w:szCs w:val="18"/>
                <w:b w:val="1"/>
                <w:bCs w:val="1"/>
                <w:color w:val="auto"/>
                <w:w w:val="98"/>
              </w:rPr>
              <w:t>04-2271897</w:t>
            </w:r>
          </w:p>
        </w:tc>
      </w:tr>
      <w:tr>
        <w:trPr>
          <w:trHeight w:val="206"/>
        </w:trPr>
        <w:tc>
          <w:tcPr>
            <w:tcW w:w="6020" w:type="dxa"/>
            <w:vAlign w:val="bottom"/>
            <w:gridSpan w:val="3"/>
          </w:tcPr>
          <w:p>
            <w:pPr>
              <w:jc w:val="center"/>
              <w:ind w:right="3700"/>
              <w:spacing w:after="0"/>
              <w:rPr>
                <w:sz w:val="20"/>
                <w:szCs w:val="20"/>
                <w:color w:val="auto"/>
              </w:rPr>
            </w:pPr>
            <w:r>
              <w:rPr>
                <w:rFonts w:ascii="Calibri" w:cs="Calibri" w:eastAsia="Calibri" w:hAnsi="Calibri"/>
                <w:sz w:val="14"/>
                <w:szCs w:val="14"/>
                <w:b w:val="1"/>
                <w:bCs w:val="1"/>
                <w:color w:val="auto"/>
              </w:rPr>
              <w:t>(State or other jurisdicton of</w:t>
            </w:r>
          </w:p>
        </w:tc>
        <w:tc>
          <w:tcPr>
            <w:tcW w:w="1300" w:type="dxa"/>
            <w:vAlign w:val="bottom"/>
          </w:tcPr>
          <w:p>
            <w:pPr>
              <w:jc w:val="center"/>
              <w:ind w:left="121"/>
              <w:spacing w:after="0"/>
              <w:rPr>
                <w:sz w:val="20"/>
                <w:szCs w:val="20"/>
                <w:color w:val="auto"/>
              </w:rPr>
            </w:pPr>
            <w:r>
              <w:rPr>
                <w:rFonts w:ascii="Calibri" w:cs="Calibri" w:eastAsia="Calibri" w:hAnsi="Calibri"/>
                <w:sz w:val="14"/>
                <w:szCs w:val="14"/>
                <w:b w:val="1"/>
                <w:bCs w:val="1"/>
                <w:color w:val="auto"/>
              </w:rPr>
              <w:t>(I.R.S. Employer</w:t>
            </w:r>
          </w:p>
        </w:tc>
      </w:tr>
      <w:tr>
        <w:trPr>
          <w:trHeight w:val="175"/>
        </w:trPr>
        <w:tc>
          <w:tcPr>
            <w:tcW w:w="6020" w:type="dxa"/>
            <w:vAlign w:val="bottom"/>
            <w:gridSpan w:val="3"/>
          </w:tcPr>
          <w:p>
            <w:pPr>
              <w:jc w:val="center"/>
              <w:ind w:right="3700"/>
              <w:spacing w:after="0"/>
              <w:rPr>
                <w:sz w:val="20"/>
                <w:szCs w:val="20"/>
                <w:color w:val="auto"/>
              </w:rPr>
            </w:pPr>
            <w:r>
              <w:rPr>
                <w:rFonts w:ascii="Calibri" w:cs="Calibri" w:eastAsia="Calibri" w:hAnsi="Calibri"/>
                <w:sz w:val="14"/>
                <w:szCs w:val="14"/>
                <w:b w:val="1"/>
                <w:bCs w:val="1"/>
                <w:color w:val="auto"/>
              </w:rPr>
              <w:t>incorporaton or organizaton)</w:t>
            </w:r>
          </w:p>
        </w:tc>
        <w:tc>
          <w:tcPr>
            <w:tcW w:w="1300" w:type="dxa"/>
            <w:vAlign w:val="bottom"/>
          </w:tcPr>
          <w:p>
            <w:pPr>
              <w:jc w:val="center"/>
              <w:ind w:left="141"/>
              <w:spacing w:after="0"/>
              <w:rPr>
                <w:sz w:val="20"/>
                <w:szCs w:val="20"/>
                <w:color w:val="auto"/>
              </w:rPr>
            </w:pPr>
            <w:r>
              <w:rPr>
                <w:rFonts w:ascii="Calibri" w:cs="Calibri" w:eastAsia="Calibri" w:hAnsi="Calibri"/>
                <w:sz w:val="14"/>
                <w:szCs w:val="14"/>
                <w:b w:val="1"/>
                <w:bCs w:val="1"/>
                <w:color w:val="auto"/>
              </w:rPr>
              <w:t>Identfcaton No.)</w:t>
            </w:r>
          </w:p>
        </w:tc>
      </w:tr>
      <w:tr>
        <w:trPr>
          <w:trHeight w:val="348"/>
        </w:trPr>
        <w:tc>
          <w:tcPr>
            <w:tcW w:w="6020" w:type="dxa"/>
            <w:vAlign w:val="bottom"/>
            <w:gridSpan w:val="3"/>
          </w:tcPr>
          <w:p>
            <w:pPr>
              <w:jc w:val="center"/>
              <w:ind w:right="3700"/>
              <w:spacing w:after="0"/>
              <w:rPr>
                <w:sz w:val="20"/>
                <w:szCs w:val="20"/>
                <w:color w:val="auto"/>
              </w:rPr>
            </w:pPr>
            <w:r>
              <w:rPr>
                <w:rFonts w:ascii="Calibri" w:cs="Calibri" w:eastAsia="Calibri" w:hAnsi="Calibri"/>
                <w:sz w:val="18"/>
                <w:szCs w:val="18"/>
                <w:b w:val="1"/>
                <w:bCs w:val="1"/>
                <w:color w:val="auto"/>
                <w:w w:val="97"/>
              </w:rPr>
              <w:t>Two Seaport Lane, Suite 1400</w:t>
            </w:r>
          </w:p>
        </w:tc>
        <w:tc>
          <w:tcPr>
            <w:tcW w:w="1300" w:type="dxa"/>
            <w:vAlign w:val="bottom"/>
          </w:tcPr>
          <w:p>
            <w:pPr>
              <w:spacing w:after="0"/>
              <w:rPr>
                <w:sz w:val="24"/>
                <w:szCs w:val="24"/>
                <w:color w:val="auto"/>
              </w:rPr>
            </w:pPr>
          </w:p>
        </w:tc>
      </w:tr>
      <w:tr>
        <w:trPr>
          <w:trHeight w:val="216"/>
        </w:trPr>
        <w:tc>
          <w:tcPr>
            <w:tcW w:w="6020" w:type="dxa"/>
            <w:vAlign w:val="bottom"/>
            <w:gridSpan w:val="3"/>
          </w:tcPr>
          <w:p>
            <w:pPr>
              <w:jc w:val="center"/>
              <w:ind w:right="3720"/>
              <w:spacing w:after="0" w:line="216" w:lineRule="exact"/>
              <w:rPr>
                <w:sz w:val="20"/>
                <w:szCs w:val="20"/>
                <w:color w:val="auto"/>
              </w:rPr>
            </w:pPr>
            <w:r>
              <w:rPr>
                <w:rFonts w:ascii="Calibri" w:cs="Calibri" w:eastAsia="Calibri" w:hAnsi="Calibri"/>
                <w:sz w:val="18"/>
                <w:szCs w:val="18"/>
                <w:b w:val="1"/>
                <w:bCs w:val="1"/>
                <w:color w:val="auto"/>
              </w:rPr>
              <w:t>Boston, Massachusets</w:t>
            </w:r>
          </w:p>
        </w:tc>
        <w:tc>
          <w:tcPr>
            <w:tcW w:w="1300" w:type="dxa"/>
            <w:vAlign w:val="bottom"/>
          </w:tcPr>
          <w:p>
            <w:pPr>
              <w:jc w:val="center"/>
              <w:ind w:left="121"/>
              <w:spacing w:after="0" w:line="216" w:lineRule="exact"/>
              <w:rPr>
                <w:sz w:val="20"/>
                <w:szCs w:val="20"/>
                <w:color w:val="auto"/>
              </w:rPr>
            </w:pPr>
            <w:r>
              <w:rPr>
                <w:rFonts w:ascii="Calibri" w:cs="Calibri" w:eastAsia="Calibri" w:hAnsi="Calibri"/>
                <w:sz w:val="18"/>
                <w:szCs w:val="18"/>
                <w:b w:val="1"/>
                <w:bCs w:val="1"/>
                <w:color w:val="auto"/>
                <w:w w:val="98"/>
              </w:rPr>
              <w:t>02210-2019</w:t>
            </w:r>
          </w:p>
        </w:tc>
      </w:tr>
      <w:tr>
        <w:trPr>
          <w:trHeight w:val="206"/>
        </w:trPr>
        <w:tc>
          <w:tcPr>
            <w:tcW w:w="6020" w:type="dxa"/>
            <w:vAlign w:val="bottom"/>
            <w:gridSpan w:val="3"/>
          </w:tcPr>
          <w:p>
            <w:pPr>
              <w:jc w:val="center"/>
              <w:ind w:right="3720"/>
              <w:spacing w:after="0"/>
              <w:rPr>
                <w:sz w:val="20"/>
                <w:szCs w:val="20"/>
                <w:color w:val="auto"/>
              </w:rPr>
            </w:pPr>
            <w:r>
              <w:rPr>
                <w:rFonts w:ascii="Calibri" w:cs="Calibri" w:eastAsia="Calibri" w:hAnsi="Calibri"/>
                <w:sz w:val="14"/>
                <w:szCs w:val="14"/>
                <w:b w:val="1"/>
                <w:bCs w:val="1"/>
                <w:color w:val="auto"/>
              </w:rPr>
              <w:t>(Address of principal executve ofces)</w:t>
            </w:r>
          </w:p>
        </w:tc>
        <w:tc>
          <w:tcPr>
            <w:tcW w:w="1300" w:type="dxa"/>
            <w:vAlign w:val="bottom"/>
          </w:tcPr>
          <w:p>
            <w:pPr>
              <w:jc w:val="center"/>
              <w:ind w:left="121"/>
              <w:spacing w:after="0"/>
              <w:rPr>
                <w:sz w:val="20"/>
                <w:szCs w:val="20"/>
                <w:color w:val="auto"/>
              </w:rPr>
            </w:pPr>
            <w:r>
              <w:rPr>
                <w:rFonts w:ascii="Calibri" w:cs="Calibri" w:eastAsia="Calibri" w:hAnsi="Calibri"/>
                <w:sz w:val="14"/>
                <w:szCs w:val="14"/>
                <w:b w:val="1"/>
                <w:bCs w:val="1"/>
                <w:color w:val="auto"/>
              </w:rPr>
              <w:t>(Zip Code)</w:t>
            </w:r>
          </w:p>
        </w:tc>
      </w:tr>
    </w:tbl>
    <w:p>
      <w:pPr>
        <w:spacing w:after="0" w:line="87" w:lineRule="exact"/>
        <w:rPr>
          <w:sz w:val="24"/>
          <w:szCs w:val="24"/>
          <w:color w:val="auto"/>
        </w:rPr>
      </w:pPr>
    </w:p>
    <w:p>
      <w:pPr>
        <w:jc w:val="center"/>
        <w:ind w:right="-99"/>
        <w:spacing w:after="0"/>
        <w:rPr>
          <w:sz w:val="20"/>
          <w:szCs w:val="20"/>
          <w:color w:val="auto"/>
        </w:rPr>
      </w:pPr>
      <w:r>
        <w:rPr>
          <w:rFonts w:ascii="Calibri" w:cs="Calibri" w:eastAsia="Calibri" w:hAnsi="Calibri"/>
          <w:sz w:val="18"/>
          <w:szCs w:val="18"/>
          <w:b w:val="1"/>
          <w:bCs w:val="1"/>
          <w:color w:val="auto"/>
        </w:rPr>
        <w:t>Registrant’s telephone number, including area code: (617) 345-0100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92075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9" w:lineRule="exact"/>
        <w:rPr>
          <w:sz w:val="24"/>
          <w:szCs w:val="24"/>
          <w:color w:val="auto"/>
        </w:rPr>
      </w:pPr>
    </w:p>
    <w:p>
      <w:pPr>
        <w:ind w:left="520"/>
        <w:spacing w:after="0"/>
        <w:rPr>
          <w:sz w:val="20"/>
          <w:szCs w:val="20"/>
          <w:color w:val="auto"/>
        </w:rPr>
      </w:pPr>
      <w:r>
        <w:rPr>
          <w:rFonts w:ascii="Calibri" w:cs="Calibri" w:eastAsia="Calibri" w:hAnsi="Calibri"/>
          <w:sz w:val="17"/>
          <w:szCs w:val="17"/>
          <w:color w:val="auto"/>
        </w:rPr>
        <w:t>Securites registered pursuant to Secton 12(b) of the Securites Exchange Act of 1934:</w:t>
      </w:r>
    </w:p>
    <w:p>
      <w:pPr>
        <w:spacing w:after="0" w:line="83" w:lineRule="exact"/>
        <w:rPr>
          <w:sz w:val="24"/>
          <w:szCs w:val="24"/>
          <w:color w:val="auto"/>
        </w:rPr>
      </w:pPr>
    </w:p>
    <w:tbl>
      <w:tblPr>
        <w:tblLayout w:type="fixed"/>
        <w:tblInd w:w="590" w:type="dxa"/>
        <w:tblCellMar>
          <w:top w:w="0" w:type="dxa"/>
          <w:left w:w="0" w:type="dxa"/>
          <w:bottom w:w="0" w:type="dxa"/>
          <w:right w:w="0" w:type="dxa"/>
        </w:tblCellMar>
      </w:tblPr>
      <w:tr>
        <w:trPr>
          <w:trHeight w:val="232"/>
        </w:trPr>
        <w:tc>
          <w:tcPr>
            <w:tcW w:w="3680" w:type="dxa"/>
            <w:vAlign w:val="bottom"/>
            <w:tcBorders>
              <w:top w:val="single" w:sz="8" w:color="auto"/>
              <w:left w:val="single" w:sz="8" w:color="auto"/>
              <w:right w:val="single" w:sz="8" w:color="auto"/>
            </w:tcBorders>
          </w:tcPr>
          <w:p>
            <w:pPr>
              <w:jc w:val="center"/>
              <w:spacing w:after="0"/>
              <w:rPr>
                <w:sz w:val="20"/>
                <w:szCs w:val="20"/>
                <w:color w:val="auto"/>
              </w:rPr>
            </w:pPr>
            <w:r>
              <w:rPr>
                <w:rFonts w:ascii="Calibri" w:cs="Calibri" w:eastAsia="Calibri" w:hAnsi="Calibri"/>
                <w:sz w:val="16"/>
                <w:szCs w:val="16"/>
                <w:color w:val="auto"/>
              </w:rPr>
              <w:t>Title of each class</w:t>
            </w:r>
          </w:p>
        </w:tc>
        <w:tc>
          <w:tcPr>
            <w:tcW w:w="216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6"/>
                <w:szCs w:val="16"/>
                <w:color w:val="auto"/>
                <w:w w:val="98"/>
              </w:rPr>
              <w:t>Trading symbol(s)</w:t>
            </w:r>
          </w:p>
        </w:tc>
        <w:tc>
          <w:tcPr>
            <w:tcW w:w="426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6"/>
                <w:szCs w:val="16"/>
                <w:color w:val="auto"/>
              </w:rPr>
              <w:t>Name of each exchange on which registered</w:t>
            </w:r>
          </w:p>
        </w:tc>
      </w:tr>
      <w:tr>
        <w:trPr>
          <w:trHeight w:val="71"/>
        </w:trPr>
        <w:tc>
          <w:tcPr>
            <w:tcW w:w="3680" w:type="dxa"/>
            <w:vAlign w:val="bottom"/>
            <w:tcBorders>
              <w:left w:val="single" w:sz="8" w:color="auto"/>
              <w:bottom w:val="single" w:sz="8" w:color="auto"/>
              <w:right w:val="single" w:sz="8" w:color="auto"/>
            </w:tcBorders>
          </w:tcPr>
          <w:p>
            <w:pPr>
              <w:spacing w:after="0"/>
              <w:rPr>
                <w:sz w:val="6"/>
                <w:szCs w:val="6"/>
                <w:color w:val="auto"/>
              </w:rPr>
            </w:pPr>
          </w:p>
        </w:tc>
        <w:tc>
          <w:tcPr>
            <w:tcW w:w="2160" w:type="dxa"/>
            <w:vAlign w:val="bottom"/>
            <w:tcBorders>
              <w:bottom w:val="single" w:sz="8" w:color="auto"/>
              <w:right w:val="single" w:sz="8" w:color="auto"/>
            </w:tcBorders>
          </w:tcPr>
          <w:p>
            <w:pPr>
              <w:spacing w:after="0"/>
              <w:rPr>
                <w:sz w:val="6"/>
                <w:szCs w:val="6"/>
                <w:color w:val="auto"/>
              </w:rPr>
            </w:pPr>
          </w:p>
        </w:tc>
        <w:tc>
          <w:tcPr>
            <w:tcW w:w="4260" w:type="dxa"/>
            <w:vAlign w:val="bottom"/>
            <w:tcBorders>
              <w:bottom w:val="single" w:sz="8" w:color="auto"/>
              <w:right w:val="single" w:sz="8" w:color="auto"/>
            </w:tcBorders>
          </w:tcPr>
          <w:p>
            <w:pPr>
              <w:spacing w:after="0"/>
              <w:rPr>
                <w:sz w:val="6"/>
                <w:szCs w:val="6"/>
                <w:color w:val="auto"/>
              </w:rPr>
            </w:pPr>
          </w:p>
        </w:tc>
      </w:tr>
      <w:tr>
        <w:trPr>
          <w:trHeight w:val="173"/>
        </w:trPr>
        <w:tc>
          <w:tcPr>
            <w:tcW w:w="3680" w:type="dxa"/>
            <w:vAlign w:val="bottom"/>
            <w:tcBorders>
              <w:left w:val="single" w:sz="8" w:color="auto"/>
              <w:right w:val="single" w:sz="8" w:color="auto"/>
            </w:tcBorders>
          </w:tcPr>
          <w:p>
            <w:pPr>
              <w:jc w:val="center"/>
              <w:spacing w:after="0" w:line="174" w:lineRule="exact"/>
              <w:rPr>
                <w:sz w:val="20"/>
                <w:szCs w:val="20"/>
                <w:color w:val="auto"/>
              </w:rPr>
            </w:pPr>
            <w:r>
              <w:rPr>
                <w:rFonts w:ascii="Calibri" w:cs="Calibri" w:eastAsia="Calibri" w:hAnsi="Calibri"/>
                <w:sz w:val="16"/>
                <w:szCs w:val="16"/>
                <w:color w:val="auto"/>
              </w:rPr>
              <w:t>Common Stock, $1 par value per share</w:t>
            </w:r>
          </w:p>
        </w:tc>
        <w:tc>
          <w:tcPr>
            <w:tcW w:w="2160" w:type="dxa"/>
            <w:vAlign w:val="bottom"/>
            <w:tcBorders>
              <w:right w:val="single" w:sz="8" w:color="auto"/>
            </w:tcBorders>
          </w:tcPr>
          <w:p>
            <w:pPr>
              <w:jc w:val="center"/>
              <w:spacing w:after="0" w:line="174" w:lineRule="exact"/>
              <w:rPr>
                <w:sz w:val="20"/>
                <w:szCs w:val="20"/>
                <w:color w:val="auto"/>
              </w:rPr>
            </w:pPr>
            <w:r>
              <w:rPr>
                <w:rFonts w:ascii="Calibri" w:cs="Calibri" w:eastAsia="Calibri" w:hAnsi="Calibri"/>
                <w:sz w:val="16"/>
                <w:szCs w:val="16"/>
                <w:color w:val="auto"/>
              </w:rPr>
              <w:t>CBT</w:t>
            </w:r>
          </w:p>
        </w:tc>
        <w:tc>
          <w:tcPr>
            <w:tcW w:w="4260" w:type="dxa"/>
            <w:vAlign w:val="bottom"/>
            <w:tcBorders>
              <w:right w:val="single" w:sz="8" w:color="auto"/>
            </w:tcBorders>
          </w:tcPr>
          <w:p>
            <w:pPr>
              <w:jc w:val="center"/>
              <w:spacing w:after="0" w:line="174" w:lineRule="exact"/>
              <w:rPr>
                <w:sz w:val="20"/>
                <w:szCs w:val="20"/>
                <w:color w:val="auto"/>
              </w:rPr>
            </w:pPr>
            <w:r>
              <w:rPr>
                <w:rFonts w:ascii="Calibri" w:cs="Calibri" w:eastAsia="Calibri" w:hAnsi="Calibri"/>
                <w:sz w:val="16"/>
                <w:szCs w:val="16"/>
                <w:color w:val="auto"/>
                <w:w w:val="99"/>
              </w:rPr>
              <w:t>The New York Stock Exchange</w:t>
            </w:r>
          </w:p>
        </w:tc>
      </w:tr>
      <w:tr>
        <w:trPr>
          <w:trHeight w:val="33"/>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r>
    </w:tbl>
    <w:p>
      <w:pPr>
        <w:spacing w:after="0" w:line="54" w:lineRule="exact"/>
        <w:rPr>
          <w:sz w:val="24"/>
          <w:szCs w:val="24"/>
          <w:color w:val="auto"/>
        </w:rPr>
      </w:pPr>
    </w:p>
    <w:p>
      <w:pPr>
        <w:ind w:right="60" w:firstLine="562"/>
        <w:spacing w:after="0" w:line="224" w:lineRule="exact"/>
        <w:rPr>
          <w:sz w:val="20"/>
          <w:szCs w:val="20"/>
          <w:color w:val="auto"/>
        </w:rPr>
      </w:pPr>
      <w:r>
        <w:rPr>
          <w:rFonts w:ascii="Calibri" w:cs="Calibri" w:eastAsia="Calibri" w:hAnsi="Calibri"/>
          <w:sz w:val="17"/>
          <w:szCs w:val="17"/>
          <w:color w:val="auto"/>
        </w:rPr>
        <w:t xml:space="preserve">Indicate by check mark whether the registrant (1) has fled all reports required to be fled by Secton 13 or 15(d) of the Securites Exchange Act of 1934 during the preceding 12 months (or for such shorter period that the registrant was required to fle such reports), and (2) has been subject to such fling requirements for the past 90 days. Yes </w:t>
      </w:r>
      <w:r>
        <w:rPr>
          <w:rFonts w:ascii="MS PGothic" w:cs="MS PGothic" w:eastAsia="MS PGothic" w:hAnsi="MS PGothic"/>
          <w:sz w:val="17"/>
          <w:szCs w:val="17"/>
          <w:color w:val="auto"/>
        </w:rPr>
        <w:t>☒</w:t>
      </w:r>
      <w:r>
        <w:rPr>
          <w:rFonts w:ascii="Calibri" w:cs="Calibri" w:eastAsia="Calibri" w:hAnsi="Calibri"/>
          <w:sz w:val="17"/>
          <w:szCs w:val="17"/>
          <w:color w:val="auto"/>
        </w:rPr>
        <w:t xml:space="preserve"> No </w:t>
      </w:r>
      <w:r>
        <w:rPr>
          <w:rFonts w:ascii="MS PGothic" w:cs="MS PGothic" w:eastAsia="MS PGothic" w:hAnsi="MS PGothic"/>
          <w:sz w:val="17"/>
          <w:szCs w:val="17"/>
          <w:color w:val="auto"/>
        </w:rPr>
        <w:t>☐</w:t>
      </w:r>
    </w:p>
    <w:p>
      <w:pPr>
        <w:spacing w:after="0" w:line="44" w:lineRule="exact"/>
        <w:rPr>
          <w:sz w:val="24"/>
          <w:szCs w:val="24"/>
          <w:color w:val="auto"/>
        </w:rPr>
      </w:pPr>
    </w:p>
    <w:p>
      <w:pPr>
        <w:jc w:val="both"/>
        <w:ind w:firstLine="562"/>
        <w:spacing w:after="0" w:line="224" w:lineRule="exact"/>
        <w:rPr>
          <w:sz w:val="20"/>
          <w:szCs w:val="20"/>
          <w:color w:val="auto"/>
        </w:rPr>
      </w:pPr>
      <w:r>
        <w:rPr>
          <w:rFonts w:ascii="Calibri" w:cs="Calibri" w:eastAsia="Calibri" w:hAnsi="Calibri"/>
          <w:sz w:val="17"/>
          <w:szCs w:val="17"/>
          <w:color w:val="auto"/>
        </w:rPr>
        <w:t xml:space="preserve">Indicate by check mark whether the registrant has submited electronically every Interactve Data File required to be submited pursuant to Rule 405 of Regulaton S-T (§232.405 of this chapter) during the preceding 12 months (or for such shorter period that the registrant was required to submit such fles). Yes </w:t>
      </w:r>
      <w:r>
        <w:rPr>
          <w:rFonts w:ascii="MS PGothic" w:cs="MS PGothic" w:eastAsia="MS PGothic" w:hAnsi="MS PGothic"/>
          <w:sz w:val="17"/>
          <w:szCs w:val="17"/>
          <w:color w:val="auto"/>
        </w:rPr>
        <w:t>☒</w:t>
      </w:r>
      <w:r>
        <w:rPr>
          <w:rFonts w:ascii="Calibri" w:cs="Calibri" w:eastAsia="Calibri" w:hAnsi="Calibri"/>
          <w:sz w:val="17"/>
          <w:szCs w:val="17"/>
          <w:color w:val="auto"/>
        </w:rPr>
        <w:t xml:space="preserve"> No </w:t>
      </w:r>
      <w:r>
        <w:rPr>
          <w:rFonts w:ascii="MS PGothic" w:cs="MS PGothic" w:eastAsia="MS PGothic" w:hAnsi="MS PGothic"/>
          <w:sz w:val="17"/>
          <w:szCs w:val="17"/>
          <w:color w:val="auto"/>
        </w:rPr>
        <w:t>☐</w:t>
      </w:r>
    </w:p>
    <w:p>
      <w:pPr>
        <w:spacing w:after="0" w:line="44" w:lineRule="exact"/>
        <w:rPr>
          <w:sz w:val="24"/>
          <w:szCs w:val="24"/>
          <w:color w:val="auto"/>
        </w:rPr>
      </w:pPr>
    </w:p>
    <w:p>
      <w:pPr>
        <w:jc w:val="both"/>
        <w:ind w:right="40" w:firstLine="469"/>
        <w:spacing w:after="0" w:line="234" w:lineRule="auto"/>
        <w:rPr>
          <w:sz w:val="20"/>
          <w:szCs w:val="20"/>
          <w:color w:val="auto"/>
        </w:rPr>
      </w:pPr>
      <w:r>
        <w:rPr>
          <w:rFonts w:ascii="Calibri" w:cs="Calibri" w:eastAsia="Calibri" w:hAnsi="Calibri"/>
          <w:sz w:val="17"/>
          <w:szCs w:val="17"/>
          <w:color w:val="auto"/>
        </w:rPr>
        <w:t>Indicate by check mark whether the registrant is a large accelerated fler, an accelerated fler, a non-accelerated fler, smaller reportng company, or an emerging growth company. See the defnitons of “large accelerated fler,” “accelerated fler,” “smaller reportng company,” and “emerging growth company” in Rule 12b-2 of the Exchange Act.</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287"/>
        </w:trPr>
        <w:tc>
          <w:tcPr>
            <w:tcW w:w="2220" w:type="dxa"/>
            <w:vAlign w:val="bottom"/>
          </w:tcPr>
          <w:p>
            <w:pPr>
              <w:spacing w:after="0"/>
              <w:rPr>
                <w:sz w:val="20"/>
                <w:szCs w:val="20"/>
                <w:color w:val="auto"/>
              </w:rPr>
            </w:pPr>
            <w:r>
              <w:rPr>
                <w:rFonts w:ascii="Calibri" w:cs="Calibri" w:eastAsia="Calibri" w:hAnsi="Calibri"/>
                <w:sz w:val="17"/>
                <w:szCs w:val="17"/>
                <w:color w:val="auto"/>
              </w:rPr>
              <w:t>Large accelerated fler</w:t>
            </w:r>
          </w:p>
        </w:tc>
        <w:tc>
          <w:tcPr>
            <w:tcW w:w="3300" w:type="dxa"/>
            <w:vAlign w:val="bottom"/>
          </w:tcPr>
          <w:p>
            <w:pPr>
              <w:ind w:left="320"/>
              <w:spacing w:after="0" w:line="171" w:lineRule="exact"/>
              <w:rPr>
                <w:sz w:val="20"/>
                <w:szCs w:val="20"/>
                <w:color w:val="auto"/>
              </w:rPr>
            </w:pPr>
            <w:r>
              <w:rPr>
                <w:rFonts w:ascii="MS PGothic" w:cs="MS PGothic" w:eastAsia="MS PGothic" w:hAnsi="MS PGothic"/>
                <w:sz w:val="17"/>
                <w:szCs w:val="17"/>
                <w:color w:val="auto"/>
              </w:rPr>
              <w:t>☒</w:t>
            </w:r>
          </w:p>
        </w:tc>
        <w:tc>
          <w:tcPr>
            <w:tcW w:w="5080" w:type="dxa"/>
            <w:vAlign w:val="bottom"/>
          </w:tcPr>
          <w:p>
            <w:pPr>
              <w:ind w:left="2820"/>
              <w:spacing w:after="0"/>
              <w:rPr>
                <w:sz w:val="20"/>
                <w:szCs w:val="20"/>
                <w:color w:val="auto"/>
              </w:rPr>
            </w:pPr>
            <w:r>
              <w:rPr>
                <w:rFonts w:ascii="Calibri" w:cs="Calibri" w:eastAsia="Calibri" w:hAnsi="Calibri"/>
                <w:sz w:val="17"/>
                <w:szCs w:val="17"/>
                <w:color w:val="auto"/>
              </w:rPr>
              <w:t>Accelerated fler</w:t>
            </w:r>
          </w:p>
        </w:tc>
        <w:tc>
          <w:tcPr>
            <w:tcW w:w="480" w:type="dxa"/>
            <w:vAlign w:val="bottom"/>
          </w:tcPr>
          <w:p>
            <w:pPr>
              <w:ind w:left="3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91"/>
        </w:trPr>
        <w:tc>
          <w:tcPr>
            <w:tcW w:w="2220" w:type="dxa"/>
            <w:vAlign w:val="bottom"/>
          </w:tcPr>
          <w:p>
            <w:pPr>
              <w:spacing w:after="0"/>
              <w:rPr>
                <w:sz w:val="20"/>
                <w:szCs w:val="20"/>
                <w:color w:val="auto"/>
              </w:rPr>
            </w:pPr>
            <w:r>
              <w:rPr>
                <w:rFonts w:ascii="Calibri" w:cs="Calibri" w:eastAsia="Calibri" w:hAnsi="Calibri"/>
                <w:sz w:val="17"/>
                <w:szCs w:val="17"/>
                <w:color w:val="auto"/>
              </w:rPr>
              <w:t>Non-accelerated fler</w:t>
            </w:r>
          </w:p>
        </w:tc>
        <w:tc>
          <w:tcPr>
            <w:tcW w:w="3300" w:type="dxa"/>
            <w:vAlign w:val="bottom"/>
          </w:tcPr>
          <w:p>
            <w:pPr>
              <w:ind w:left="320"/>
              <w:spacing w:after="0" w:line="171" w:lineRule="exact"/>
              <w:rPr>
                <w:sz w:val="20"/>
                <w:szCs w:val="20"/>
                <w:color w:val="auto"/>
              </w:rPr>
            </w:pPr>
            <w:r>
              <w:rPr>
                <w:rFonts w:ascii="MS PGothic" w:cs="MS PGothic" w:eastAsia="MS PGothic" w:hAnsi="MS PGothic"/>
                <w:sz w:val="17"/>
                <w:szCs w:val="17"/>
                <w:color w:val="auto"/>
              </w:rPr>
              <w:t>☐</w:t>
            </w:r>
          </w:p>
        </w:tc>
        <w:tc>
          <w:tcPr>
            <w:tcW w:w="5080" w:type="dxa"/>
            <w:vAlign w:val="bottom"/>
          </w:tcPr>
          <w:p>
            <w:pPr>
              <w:ind w:left="2820"/>
              <w:spacing w:after="0"/>
              <w:rPr>
                <w:sz w:val="20"/>
                <w:szCs w:val="20"/>
                <w:color w:val="auto"/>
              </w:rPr>
            </w:pPr>
            <w:r>
              <w:rPr>
                <w:rFonts w:ascii="Calibri" w:cs="Calibri" w:eastAsia="Calibri" w:hAnsi="Calibri"/>
                <w:sz w:val="17"/>
                <w:szCs w:val="17"/>
                <w:color w:val="auto"/>
              </w:rPr>
              <w:t>Smaller reportng company</w:t>
            </w:r>
          </w:p>
        </w:tc>
        <w:tc>
          <w:tcPr>
            <w:tcW w:w="480" w:type="dxa"/>
            <w:vAlign w:val="bottom"/>
          </w:tcPr>
          <w:p>
            <w:pPr>
              <w:ind w:left="3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65"/>
        </w:trPr>
        <w:tc>
          <w:tcPr>
            <w:tcW w:w="2220" w:type="dxa"/>
            <w:vAlign w:val="bottom"/>
          </w:tcPr>
          <w:p>
            <w:pPr>
              <w:spacing w:after="0"/>
              <w:rPr>
                <w:sz w:val="20"/>
                <w:szCs w:val="20"/>
                <w:color w:val="auto"/>
              </w:rPr>
            </w:pPr>
            <w:r>
              <w:rPr>
                <w:rFonts w:ascii="Calibri" w:cs="Calibri" w:eastAsia="Calibri" w:hAnsi="Calibri"/>
                <w:sz w:val="17"/>
                <w:szCs w:val="17"/>
                <w:color w:val="auto"/>
              </w:rPr>
              <w:t>Emerging growth company</w:t>
            </w:r>
          </w:p>
        </w:tc>
        <w:tc>
          <w:tcPr>
            <w:tcW w:w="3300" w:type="dxa"/>
            <w:vAlign w:val="bottom"/>
          </w:tcPr>
          <w:p>
            <w:pPr>
              <w:ind w:left="320"/>
              <w:spacing w:after="0" w:line="171" w:lineRule="exact"/>
              <w:rPr>
                <w:sz w:val="20"/>
                <w:szCs w:val="20"/>
                <w:color w:val="auto"/>
              </w:rPr>
            </w:pPr>
            <w:r>
              <w:rPr>
                <w:rFonts w:ascii="MS PGothic" w:cs="MS PGothic" w:eastAsia="MS PGothic" w:hAnsi="MS PGothic"/>
                <w:sz w:val="17"/>
                <w:szCs w:val="17"/>
                <w:color w:val="auto"/>
              </w:rPr>
              <w:t>☐</w:t>
            </w:r>
          </w:p>
        </w:tc>
        <w:tc>
          <w:tcPr>
            <w:tcW w:w="508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pacing w:after="0" w:line="30" w:lineRule="exact"/>
        <w:rPr>
          <w:sz w:val="24"/>
          <w:szCs w:val="24"/>
          <w:color w:val="auto"/>
        </w:rPr>
      </w:pPr>
    </w:p>
    <w:p>
      <w:pPr>
        <w:jc w:val="both"/>
        <w:ind w:right="60" w:firstLine="509"/>
        <w:spacing w:after="0" w:line="235" w:lineRule="exact"/>
        <w:rPr>
          <w:sz w:val="20"/>
          <w:szCs w:val="20"/>
          <w:color w:val="auto"/>
        </w:rPr>
      </w:pPr>
      <w:r>
        <w:rPr>
          <w:rFonts w:ascii="Calibri" w:cs="Calibri" w:eastAsia="Calibri" w:hAnsi="Calibri"/>
          <w:sz w:val="17"/>
          <w:szCs w:val="17"/>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7"/>
          <w:szCs w:val="17"/>
          <w:color w:val="auto"/>
        </w:rPr>
        <w:t>☐</w:t>
      </w:r>
    </w:p>
    <w:p>
      <w:pPr>
        <w:spacing w:after="0" w:line="25" w:lineRule="exact"/>
        <w:rPr>
          <w:sz w:val="24"/>
          <w:szCs w:val="24"/>
          <w:color w:val="auto"/>
        </w:rPr>
      </w:pPr>
    </w:p>
    <w:p>
      <w:pPr>
        <w:ind w:left="520" w:right="1460"/>
        <w:spacing w:after="0" w:line="267" w:lineRule="exact"/>
        <w:rPr>
          <w:sz w:val="20"/>
          <w:szCs w:val="20"/>
          <w:color w:val="auto"/>
        </w:rPr>
      </w:pPr>
      <w:r>
        <w:rPr>
          <w:rFonts w:ascii="Calibri" w:cs="Calibri" w:eastAsia="Calibri" w:hAnsi="Calibri"/>
          <w:sz w:val="17"/>
          <w:szCs w:val="17"/>
          <w:color w:val="auto"/>
        </w:rPr>
        <w:t xml:space="preserve">Indicate by check mark whether the registrant is a shell company (as defned in Rule 12b-2 of the Exchange Act). Yes </w:t>
      </w:r>
      <w:r>
        <w:rPr>
          <w:rFonts w:ascii="MS PGothic" w:cs="MS PGothic" w:eastAsia="MS PGothic" w:hAnsi="MS PGothic"/>
          <w:sz w:val="17"/>
          <w:szCs w:val="17"/>
          <w:color w:val="auto"/>
        </w:rPr>
        <w:t>☐</w:t>
      </w:r>
      <w:r>
        <w:rPr>
          <w:rFonts w:ascii="Calibri" w:cs="Calibri" w:eastAsia="Calibri" w:hAnsi="Calibri"/>
          <w:sz w:val="17"/>
          <w:szCs w:val="17"/>
          <w:color w:val="auto"/>
        </w:rPr>
        <w:t xml:space="preserve"> No </w:t>
      </w:r>
      <w:r>
        <w:rPr>
          <w:rFonts w:ascii="MS PGothic" w:cs="MS PGothic" w:eastAsia="MS PGothic" w:hAnsi="MS PGothic"/>
          <w:sz w:val="17"/>
          <w:szCs w:val="17"/>
          <w:color w:val="auto"/>
        </w:rPr>
        <w:t>☒</w:t>
      </w:r>
      <w:r>
        <w:rPr>
          <w:rFonts w:ascii="Calibri" w:cs="Calibri" w:eastAsia="Calibri" w:hAnsi="Calibri"/>
          <w:sz w:val="17"/>
          <w:szCs w:val="17"/>
          <w:color w:val="auto"/>
        </w:rPr>
        <w:t xml:space="preserve"> The Company had 55,430,710 shares of common stock, $1.00 par value per share, outstanding as of February 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732790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98" w:right="4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0"/>
        </w:trPr>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80" w:type="dxa"/>
            <w:vAlign w:val="bottom"/>
            <w:gridSpan w:val="5"/>
          </w:tcPr>
          <w:p>
            <w:pPr>
              <w:jc w:val="center"/>
              <w:ind w:right="3060"/>
              <w:spacing w:after="0"/>
              <w:rPr>
                <w:sz w:val="20"/>
                <w:szCs w:val="20"/>
                <w:color w:val="auto"/>
              </w:rPr>
            </w:pPr>
            <w:r>
              <w:rPr>
                <w:rFonts w:ascii="Calibri" w:cs="Calibri" w:eastAsia="Calibri" w:hAnsi="Calibri"/>
                <w:sz w:val="18"/>
                <w:szCs w:val="18"/>
                <w:b w:val="1"/>
                <w:bCs w:val="1"/>
                <w:color w:val="auto"/>
                <w:w w:val="98"/>
              </w:rPr>
              <w:t>INDEX</w:t>
            </w: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8"/>
        </w:trPr>
        <w:tc>
          <w:tcPr>
            <w:tcW w:w="660" w:type="dxa"/>
            <w:vAlign w:val="bottom"/>
          </w:tcPr>
          <w:p>
            <w:pPr>
              <w:ind w:left="20"/>
              <w:spacing w:after="0"/>
              <w:rPr>
                <w:sz w:val="20"/>
                <w:szCs w:val="20"/>
                <w:color w:val="auto"/>
              </w:rPr>
            </w:pPr>
            <w:r>
              <w:rPr>
                <w:rFonts w:ascii="Calibri" w:cs="Calibri" w:eastAsia="Calibri" w:hAnsi="Calibri"/>
                <w:sz w:val="18"/>
                <w:szCs w:val="18"/>
                <w:color w:val="auto"/>
              </w:rPr>
              <w:t>Part I.</w:t>
            </w:r>
          </w:p>
        </w:tc>
        <w:tc>
          <w:tcPr>
            <w:tcW w:w="87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66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Calibri" w:cs="Calibri" w:eastAsia="Calibri" w:hAnsi="Calibri"/>
                <w:sz w:val="18"/>
                <w:szCs w:val="18"/>
                <w:color w:val="auto"/>
              </w:rPr>
              <w:t>Item 1.</w:t>
            </w:r>
          </w:p>
        </w:tc>
        <w:tc>
          <w:tcPr>
            <w:tcW w:w="7840" w:type="dxa"/>
            <w:vAlign w:val="bottom"/>
            <w:gridSpan w:val="14"/>
          </w:tcPr>
          <w:p>
            <w:pPr>
              <w:spacing w:after="0"/>
              <w:rPr>
                <w:sz w:val="20"/>
                <w:szCs w:val="20"/>
                <w:color w:val="auto"/>
              </w:rPr>
            </w:pPr>
            <w:r>
              <w:rPr>
                <w:rFonts w:ascii="Calibri" w:cs="Calibri" w:eastAsia="Calibri" w:hAnsi="Calibri"/>
                <w:sz w:val="18"/>
                <w:szCs w:val="18"/>
                <w:color w:val="0000FF"/>
              </w:rPr>
              <w:t>Financial Statements (unaudited)</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40" w:type="dxa"/>
            <w:vAlign w:val="bottom"/>
            <w:gridSpan w:val="14"/>
          </w:tcPr>
          <w:p>
            <w:pPr>
              <w:spacing w:after="0"/>
              <w:rPr>
                <w:sz w:val="20"/>
                <w:szCs w:val="20"/>
                <w:color w:val="auto"/>
              </w:rPr>
            </w:pPr>
            <w:r>
              <w:rPr>
                <w:rFonts w:ascii="Calibri" w:cs="Calibri" w:eastAsia="Calibri" w:hAnsi="Calibri"/>
                <w:sz w:val="18"/>
                <w:szCs w:val="18"/>
                <w:color w:val="0000FF"/>
              </w:rPr>
              <w:t>Consolidated Statements of Operatons</w:t>
            </w:r>
          </w:p>
        </w:tc>
        <w:tc>
          <w:tcPr>
            <w:tcW w:w="1840" w:type="dxa"/>
            <w:vAlign w:val="bottom"/>
          </w:tcPr>
          <w:p>
            <w:pPr>
              <w:jc w:val="right"/>
              <w:spacing w:after="0"/>
              <w:rPr>
                <w:sz w:val="20"/>
                <w:szCs w:val="20"/>
                <w:color w:val="auto"/>
              </w:rPr>
            </w:pPr>
            <w:r>
              <w:rPr>
                <w:rFonts w:ascii="Calibri" w:cs="Calibri" w:eastAsia="Calibri" w:hAnsi="Calibri"/>
                <w:sz w:val="18"/>
                <w:szCs w:val="18"/>
                <w:color w:val="auto"/>
              </w:rPr>
              <w:t>3</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40" w:type="dxa"/>
            <w:vAlign w:val="bottom"/>
            <w:gridSpan w:val="14"/>
          </w:tcPr>
          <w:p>
            <w:pPr>
              <w:spacing w:after="0"/>
              <w:rPr>
                <w:sz w:val="20"/>
                <w:szCs w:val="20"/>
                <w:color w:val="auto"/>
              </w:rPr>
            </w:pPr>
            <w:r>
              <w:rPr>
                <w:rFonts w:ascii="Calibri" w:cs="Calibri" w:eastAsia="Calibri" w:hAnsi="Calibri"/>
                <w:sz w:val="18"/>
                <w:szCs w:val="18"/>
                <w:color w:val="0000FF"/>
              </w:rPr>
              <w:t>Consolidated Statements of Comprehensive Income (Loss)</w:t>
            </w:r>
          </w:p>
        </w:tc>
        <w:tc>
          <w:tcPr>
            <w:tcW w:w="1840" w:type="dxa"/>
            <w:vAlign w:val="bottom"/>
          </w:tcPr>
          <w:p>
            <w:pPr>
              <w:jc w:val="right"/>
              <w:spacing w:after="0"/>
              <w:rPr>
                <w:sz w:val="20"/>
                <w:szCs w:val="20"/>
                <w:color w:val="auto"/>
              </w:rPr>
            </w:pPr>
            <w:r>
              <w:rPr>
                <w:rFonts w:ascii="Calibri" w:cs="Calibri" w:eastAsia="Calibri" w:hAnsi="Calibri"/>
                <w:sz w:val="18"/>
                <w:szCs w:val="18"/>
                <w:color w:val="auto"/>
              </w:rPr>
              <w:t>4</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40" w:type="dxa"/>
            <w:vAlign w:val="bottom"/>
            <w:gridSpan w:val="14"/>
          </w:tcPr>
          <w:p>
            <w:pPr>
              <w:spacing w:after="0"/>
              <w:rPr>
                <w:sz w:val="20"/>
                <w:szCs w:val="20"/>
                <w:color w:val="auto"/>
              </w:rPr>
            </w:pPr>
            <w:r>
              <w:rPr>
                <w:rFonts w:ascii="Calibri" w:cs="Calibri" w:eastAsia="Calibri" w:hAnsi="Calibri"/>
                <w:sz w:val="18"/>
                <w:szCs w:val="18"/>
                <w:color w:val="0000FF"/>
              </w:rPr>
              <w:t>Consolidated Balance Sheets</w:t>
            </w:r>
          </w:p>
        </w:tc>
        <w:tc>
          <w:tcPr>
            <w:tcW w:w="1840" w:type="dxa"/>
            <w:vAlign w:val="bottom"/>
          </w:tcPr>
          <w:p>
            <w:pPr>
              <w:jc w:val="right"/>
              <w:spacing w:after="0"/>
              <w:rPr>
                <w:sz w:val="20"/>
                <w:szCs w:val="20"/>
                <w:color w:val="auto"/>
              </w:rPr>
            </w:pPr>
            <w:r>
              <w:rPr>
                <w:rFonts w:ascii="Calibri" w:cs="Calibri" w:eastAsia="Calibri" w:hAnsi="Calibri"/>
                <w:sz w:val="18"/>
                <w:szCs w:val="18"/>
                <w:color w:val="auto"/>
              </w:rPr>
              <w:t>5</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40" w:type="dxa"/>
            <w:vAlign w:val="bottom"/>
            <w:gridSpan w:val="14"/>
          </w:tcPr>
          <w:p>
            <w:pPr>
              <w:spacing w:after="0"/>
              <w:rPr>
                <w:sz w:val="20"/>
                <w:szCs w:val="20"/>
                <w:color w:val="auto"/>
              </w:rPr>
            </w:pPr>
            <w:r>
              <w:rPr>
                <w:rFonts w:ascii="Calibri" w:cs="Calibri" w:eastAsia="Calibri" w:hAnsi="Calibri"/>
                <w:sz w:val="18"/>
                <w:szCs w:val="18"/>
                <w:color w:val="0000FF"/>
              </w:rPr>
              <w:t>Consolidated Statements of Cash Flows</w:t>
            </w:r>
          </w:p>
        </w:tc>
        <w:tc>
          <w:tcPr>
            <w:tcW w:w="1840" w:type="dxa"/>
            <w:vAlign w:val="bottom"/>
          </w:tcPr>
          <w:p>
            <w:pPr>
              <w:jc w:val="right"/>
              <w:spacing w:after="0"/>
              <w:rPr>
                <w:sz w:val="20"/>
                <w:szCs w:val="20"/>
                <w:color w:val="auto"/>
              </w:rPr>
            </w:pPr>
            <w:r>
              <w:rPr>
                <w:rFonts w:ascii="Calibri" w:cs="Calibri" w:eastAsia="Calibri" w:hAnsi="Calibri"/>
                <w:sz w:val="18"/>
                <w:szCs w:val="18"/>
                <w:color w:val="auto"/>
              </w:rPr>
              <w:t>7</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40" w:type="dxa"/>
            <w:vAlign w:val="bottom"/>
            <w:gridSpan w:val="14"/>
          </w:tcPr>
          <w:p>
            <w:pPr>
              <w:spacing w:after="0"/>
              <w:rPr>
                <w:sz w:val="20"/>
                <w:szCs w:val="20"/>
                <w:color w:val="auto"/>
              </w:rPr>
            </w:pPr>
            <w:r>
              <w:rPr>
                <w:rFonts w:ascii="Calibri" w:cs="Calibri" w:eastAsia="Calibri" w:hAnsi="Calibri"/>
                <w:sz w:val="18"/>
                <w:szCs w:val="18"/>
                <w:color w:val="0000FF"/>
              </w:rPr>
              <w:t>Consolidated Statements of Changes in Stockholders’ Equity</w:t>
            </w:r>
          </w:p>
        </w:tc>
        <w:tc>
          <w:tcPr>
            <w:tcW w:w="1840" w:type="dxa"/>
            <w:vAlign w:val="bottom"/>
          </w:tcPr>
          <w:p>
            <w:pPr>
              <w:jc w:val="right"/>
              <w:spacing w:after="0"/>
              <w:rPr>
                <w:sz w:val="20"/>
                <w:szCs w:val="20"/>
                <w:color w:val="auto"/>
              </w:rPr>
            </w:pPr>
            <w:r>
              <w:rPr>
                <w:rFonts w:ascii="Calibri" w:cs="Calibri" w:eastAsia="Calibri" w:hAnsi="Calibri"/>
                <w:sz w:val="18"/>
                <w:szCs w:val="18"/>
                <w:color w:val="auto"/>
              </w:rPr>
              <w:t>8</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640" w:type="dxa"/>
            <w:vAlign w:val="bottom"/>
            <w:tcBorders>
              <w:right w:val="single" w:sz="8" w:color="0000FF"/>
            </w:tcBorders>
            <w:gridSpan w:val="4"/>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0" w:type="dxa"/>
            <w:vAlign w:val="bottom"/>
            <w:tcBorders>
              <w:left w:val="single" w:sz="8" w:color="0000FF"/>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40" w:type="dxa"/>
            <w:vAlign w:val="bottom"/>
            <w:gridSpan w:val="14"/>
          </w:tcPr>
          <w:p>
            <w:pPr>
              <w:spacing w:after="0"/>
              <w:rPr>
                <w:sz w:val="20"/>
                <w:szCs w:val="20"/>
                <w:color w:val="auto"/>
              </w:rPr>
            </w:pPr>
            <w:r>
              <w:rPr>
                <w:rFonts w:ascii="Calibri" w:cs="Calibri" w:eastAsia="Calibri" w:hAnsi="Calibri"/>
                <w:sz w:val="18"/>
                <w:szCs w:val="18"/>
                <w:color w:val="0000FF"/>
              </w:rPr>
              <w:t>Notes to the Consolidated Financial Statements</w:t>
            </w:r>
          </w:p>
        </w:tc>
        <w:tc>
          <w:tcPr>
            <w:tcW w:w="1840" w:type="dxa"/>
            <w:vAlign w:val="bottom"/>
          </w:tcPr>
          <w:p>
            <w:pPr>
              <w:jc w:val="right"/>
              <w:spacing w:after="0"/>
              <w:rPr>
                <w:sz w:val="20"/>
                <w:szCs w:val="20"/>
                <w:color w:val="auto"/>
              </w:rPr>
            </w:pPr>
            <w:r>
              <w:rPr>
                <w:rFonts w:ascii="Calibri" w:cs="Calibri" w:eastAsia="Calibri" w:hAnsi="Calibri"/>
                <w:sz w:val="18"/>
                <w:szCs w:val="18"/>
                <w:color w:val="auto"/>
              </w:rPr>
              <w:t>10</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640" w:type="dxa"/>
            <w:vAlign w:val="bottom"/>
            <w:tcBorders>
              <w:right w:val="single" w:sz="8" w:color="0000EE"/>
            </w:tcBorders>
            <w:gridSpan w:val="4"/>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6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Calibri" w:cs="Calibri" w:eastAsia="Calibri" w:hAnsi="Calibri"/>
                <w:sz w:val="18"/>
                <w:szCs w:val="18"/>
                <w:color w:val="auto"/>
              </w:rPr>
              <w:t>Item 2.</w:t>
            </w:r>
          </w:p>
        </w:tc>
        <w:tc>
          <w:tcPr>
            <w:tcW w:w="7840" w:type="dxa"/>
            <w:vAlign w:val="bottom"/>
            <w:gridSpan w:val="14"/>
          </w:tcPr>
          <w:p>
            <w:pPr>
              <w:spacing w:after="0"/>
              <w:rPr>
                <w:sz w:val="20"/>
                <w:szCs w:val="20"/>
                <w:color w:val="auto"/>
              </w:rPr>
            </w:pPr>
            <w:r>
              <w:rPr>
                <w:rFonts w:ascii="Calibri" w:cs="Calibri" w:eastAsia="Calibri" w:hAnsi="Calibri"/>
                <w:sz w:val="18"/>
                <w:szCs w:val="18"/>
                <w:color w:val="0000FF"/>
              </w:rPr>
              <w:t>Management’s Discussion and Analysis of Financial Conditon and Results of Operatons</w:t>
            </w:r>
          </w:p>
        </w:tc>
        <w:tc>
          <w:tcPr>
            <w:tcW w:w="1840" w:type="dxa"/>
            <w:vAlign w:val="bottom"/>
          </w:tcPr>
          <w:p>
            <w:pPr>
              <w:jc w:val="right"/>
              <w:spacing w:after="0"/>
              <w:rPr>
                <w:sz w:val="20"/>
                <w:szCs w:val="20"/>
                <w:color w:val="auto"/>
              </w:rPr>
            </w:pPr>
            <w:r>
              <w:rPr>
                <w:rFonts w:ascii="Calibri" w:cs="Calibri" w:eastAsia="Calibri" w:hAnsi="Calibri"/>
                <w:sz w:val="18"/>
                <w:szCs w:val="18"/>
                <w:color w:val="auto"/>
              </w:rPr>
              <w:t>19</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246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0" w:type="dxa"/>
            <w:vAlign w:val="bottom"/>
            <w:tcBorders>
              <w:left w:val="single" w:sz="8" w:color="0000FF"/>
            </w:tcBorders>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Calibri" w:cs="Calibri" w:eastAsia="Calibri" w:hAnsi="Calibri"/>
                <w:sz w:val="18"/>
                <w:szCs w:val="18"/>
                <w:color w:val="auto"/>
              </w:rPr>
              <w:t>Item 3.</w:t>
            </w:r>
          </w:p>
        </w:tc>
        <w:tc>
          <w:tcPr>
            <w:tcW w:w="7840" w:type="dxa"/>
            <w:vAlign w:val="bottom"/>
            <w:gridSpan w:val="14"/>
          </w:tcPr>
          <w:p>
            <w:pPr>
              <w:spacing w:after="0"/>
              <w:rPr>
                <w:sz w:val="20"/>
                <w:szCs w:val="20"/>
                <w:color w:val="auto"/>
              </w:rPr>
            </w:pPr>
            <w:r>
              <w:rPr>
                <w:rFonts w:ascii="Calibri" w:cs="Calibri" w:eastAsia="Calibri" w:hAnsi="Calibri"/>
                <w:sz w:val="18"/>
                <w:szCs w:val="18"/>
                <w:color w:val="0000FF"/>
              </w:rPr>
              <w:t>Quanttatve and Qualitatve Disclosures About Market Risk</w:t>
            </w:r>
          </w:p>
        </w:tc>
        <w:tc>
          <w:tcPr>
            <w:tcW w:w="1840" w:type="dxa"/>
            <w:vAlign w:val="bottom"/>
          </w:tcPr>
          <w:p>
            <w:pPr>
              <w:jc w:val="right"/>
              <w:spacing w:after="0"/>
              <w:rPr>
                <w:sz w:val="20"/>
                <w:szCs w:val="20"/>
                <w:color w:val="auto"/>
              </w:rPr>
            </w:pPr>
            <w:r>
              <w:rPr>
                <w:rFonts w:ascii="Calibri" w:cs="Calibri" w:eastAsia="Calibri" w:hAnsi="Calibri"/>
                <w:sz w:val="18"/>
                <w:szCs w:val="18"/>
                <w:color w:val="auto"/>
              </w:rPr>
              <w:t>26</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2460" w:type="dxa"/>
            <w:vAlign w:val="bottom"/>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Calibri" w:cs="Calibri" w:eastAsia="Calibri" w:hAnsi="Calibri"/>
                <w:sz w:val="18"/>
                <w:szCs w:val="18"/>
                <w:color w:val="auto"/>
              </w:rPr>
              <w:t>Item 4.</w:t>
            </w:r>
          </w:p>
        </w:tc>
        <w:tc>
          <w:tcPr>
            <w:tcW w:w="7840" w:type="dxa"/>
            <w:vAlign w:val="bottom"/>
            <w:gridSpan w:val="14"/>
          </w:tcPr>
          <w:p>
            <w:pPr>
              <w:spacing w:after="0"/>
              <w:rPr>
                <w:sz w:val="20"/>
                <w:szCs w:val="20"/>
                <w:color w:val="auto"/>
              </w:rPr>
            </w:pPr>
            <w:r>
              <w:rPr>
                <w:rFonts w:ascii="Calibri" w:cs="Calibri" w:eastAsia="Calibri" w:hAnsi="Calibri"/>
                <w:sz w:val="18"/>
                <w:szCs w:val="18"/>
                <w:color w:val="0000FF"/>
              </w:rPr>
              <w:t>Controls and Procedures</w:t>
            </w:r>
          </w:p>
        </w:tc>
        <w:tc>
          <w:tcPr>
            <w:tcW w:w="1840" w:type="dxa"/>
            <w:vAlign w:val="bottom"/>
          </w:tcPr>
          <w:p>
            <w:pPr>
              <w:jc w:val="right"/>
              <w:spacing w:after="0"/>
              <w:rPr>
                <w:sz w:val="20"/>
                <w:szCs w:val="20"/>
                <w:color w:val="auto"/>
              </w:rPr>
            </w:pPr>
            <w:r>
              <w:rPr>
                <w:rFonts w:ascii="Calibri" w:cs="Calibri" w:eastAsia="Calibri" w:hAnsi="Calibri"/>
                <w:sz w:val="18"/>
                <w:szCs w:val="18"/>
                <w:color w:val="auto"/>
              </w:rPr>
              <w:t>26</w:t>
            </w:r>
          </w:p>
        </w:tc>
        <w:tc>
          <w:tcPr>
            <w:tcW w:w="0" w:type="dxa"/>
            <w:vAlign w:val="bottom"/>
          </w:tcPr>
          <w:p>
            <w:pPr>
              <w:spacing w:after="0"/>
              <w:rPr>
                <w:sz w:val="1"/>
                <w:szCs w:val="1"/>
                <w:color w:val="auto"/>
              </w:rPr>
            </w:pPr>
          </w:p>
        </w:tc>
      </w:tr>
      <w:tr>
        <w:trPr>
          <w:trHeight w:val="20"/>
        </w:trPr>
        <w:tc>
          <w:tcPr>
            <w:tcW w:w="660" w:type="dxa"/>
            <w:vAlign w:val="bottom"/>
            <w:vMerge w:val="restart"/>
          </w:tcPr>
          <w:p>
            <w:pPr>
              <w:ind w:left="20"/>
              <w:spacing w:after="0"/>
              <w:rPr>
                <w:sz w:val="20"/>
                <w:szCs w:val="20"/>
                <w:color w:val="auto"/>
              </w:rPr>
            </w:pPr>
            <w:r>
              <w:rPr>
                <w:rFonts w:ascii="Calibri" w:cs="Calibri" w:eastAsia="Calibri" w:hAnsi="Calibri"/>
                <w:sz w:val="18"/>
                <w:szCs w:val="18"/>
                <w:color w:val="auto"/>
              </w:rPr>
              <w:t>Part II.</w:t>
            </w:r>
          </w:p>
        </w:tc>
        <w:tc>
          <w:tcPr>
            <w:tcW w:w="90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2480" w:type="dxa"/>
            <w:vAlign w:val="bottom"/>
            <w:gridSpan w:val="7"/>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660" w:type="dxa"/>
            <w:vAlign w:val="bottom"/>
            <w:vMerge w:val="continue"/>
          </w:tcPr>
          <w:p>
            <w:pPr>
              <w:spacing w:after="0"/>
              <w:rPr>
                <w:sz w:val="24"/>
                <w:szCs w:val="24"/>
                <w:color w:val="auto"/>
              </w:rPr>
            </w:pPr>
          </w:p>
        </w:tc>
        <w:tc>
          <w:tcPr>
            <w:tcW w:w="87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80" w:type="dxa"/>
            <w:vAlign w:val="bottom"/>
            <w:gridSpan w:val="9"/>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6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Calibri" w:cs="Calibri" w:eastAsia="Calibri" w:hAnsi="Calibri"/>
                <w:sz w:val="18"/>
                <w:szCs w:val="18"/>
                <w:color w:val="auto"/>
              </w:rPr>
              <w:t>Item 2.</w:t>
            </w:r>
          </w:p>
        </w:tc>
        <w:tc>
          <w:tcPr>
            <w:tcW w:w="7840" w:type="dxa"/>
            <w:vAlign w:val="bottom"/>
            <w:gridSpan w:val="14"/>
          </w:tcPr>
          <w:p>
            <w:pPr>
              <w:spacing w:after="0"/>
              <w:rPr>
                <w:sz w:val="20"/>
                <w:szCs w:val="20"/>
                <w:color w:val="auto"/>
              </w:rPr>
            </w:pPr>
            <w:r>
              <w:rPr>
                <w:rFonts w:ascii="Calibri" w:cs="Calibri" w:eastAsia="Calibri" w:hAnsi="Calibri"/>
                <w:sz w:val="18"/>
                <w:szCs w:val="18"/>
                <w:color w:val="0000FF"/>
              </w:rPr>
              <w:t>Unregistered Sales of Equity Securites and Use of Proceeds</w:t>
            </w:r>
          </w:p>
        </w:tc>
        <w:tc>
          <w:tcPr>
            <w:tcW w:w="1840" w:type="dxa"/>
            <w:vAlign w:val="bottom"/>
          </w:tcPr>
          <w:p>
            <w:pPr>
              <w:jc w:val="right"/>
              <w:spacing w:after="0"/>
              <w:rPr>
                <w:sz w:val="20"/>
                <w:szCs w:val="20"/>
                <w:color w:val="auto"/>
              </w:rPr>
            </w:pPr>
            <w:r>
              <w:rPr>
                <w:rFonts w:ascii="Calibri" w:cs="Calibri" w:eastAsia="Calibri" w:hAnsi="Calibri"/>
                <w:sz w:val="18"/>
                <w:szCs w:val="18"/>
                <w:color w:val="auto"/>
              </w:rPr>
              <w:t>27</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3680" w:type="dxa"/>
            <w:vAlign w:val="bottom"/>
            <w:gridSpan w:val="9"/>
            <w:shd w:val="clear" w:color="auto" w:fill="0000FF"/>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Calibri" w:cs="Calibri" w:eastAsia="Calibri" w:hAnsi="Calibri"/>
                <w:sz w:val="18"/>
                <w:szCs w:val="18"/>
                <w:color w:val="auto"/>
              </w:rPr>
              <w:t>Item 6.</w:t>
            </w:r>
          </w:p>
        </w:tc>
        <w:tc>
          <w:tcPr>
            <w:tcW w:w="7840" w:type="dxa"/>
            <w:vAlign w:val="bottom"/>
            <w:gridSpan w:val="14"/>
          </w:tcPr>
          <w:p>
            <w:pPr>
              <w:spacing w:after="0"/>
              <w:rPr>
                <w:sz w:val="20"/>
                <w:szCs w:val="20"/>
                <w:color w:val="auto"/>
              </w:rPr>
            </w:pPr>
            <w:r>
              <w:rPr>
                <w:rFonts w:ascii="Calibri" w:cs="Calibri" w:eastAsia="Calibri" w:hAnsi="Calibri"/>
                <w:sz w:val="18"/>
                <w:szCs w:val="18"/>
                <w:color w:val="0000FF"/>
              </w:rPr>
              <w:t>Exhibits</w:t>
            </w:r>
          </w:p>
        </w:tc>
        <w:tc>
          <w:tcPr>
            <w:tcW w:w="1840" w:type="dxa"/>
            <w:vAlign w:val="bottom"/>
          </w:tcPr>
          <w:p>
            <w:pPr>
              <w:jc w:val="right"/>
              <w:spacing w:after="0"/>
              <w:rPr>
                <w:sz w:val="20"/>
                <w:szCs w:val="20"/>
                <w:color w:val="auto"/>
              </w:rPr>
            </w:pPr>
            <w:r>
              <w:rPr>
                <w:rFonts w:ascii="Calibri" w:cs="Calibri" w:eastAsia="Calibri" w:hAnsi="Calibri"/>
                <w:sz w:val="18"/>
                <w:szCs w:val="18"/>
                <w:color w:val="auto"/>
              </w:rPr>
              <w:t>27</w:t>
            </w:r>
          </w:p>
        </w:tc>
        <w:tc>
          <w:tcPr>
            <w:tcW w:w="0" w:type="dxa"/>
            <w:vAlign w:val="bottom"/>
          </w:tcPr>
          <w:p>
            <w:pPr>
              <w:spacing w:after="0"/>
              <w:rPr>
                <w:sz w:val="1"/>
                <w:szCs w:val="1"/>
                <w:color w:val="auto"/>
              </w:rPr>
            </w:pPr>
          </w:p>
        </w:tc>
      </w:tr>
      <w:tr>
        <w:trPr>
          <w:trHeight w:val="655"/>
        </w:trPr>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Borders>
              <w:top w:val="single" w:sz="8" w:color="0000FF"/>
            </w:tcBorders>
            <w:gridSpan w:val="3"/>
          </w:tcPr>
          <w:p>
            <w:pPr>
              <w:spacing w:after="0"/>
              <w:rPr>
                <w:sz w:val="24"/>
                <w:szCs w:val="24"/>
                <w:color w:val="auto"/>
              </w:rPr>
            </w:pPr>
          </w:p>
        </w:tc>
        <w:tc>
          <w:tcPr>
            <w:tcW w:w="3660" w:type="dxa"/>
            <w:vAlign w:val="bottom"/>
            <w:gridSpan w:val="8"/>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6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 w:name="page3"/>
    <w:bookmarkEnd w:id="2"/>
    <w:p>
      <w:pPr>
        <w:spacing w:after="0"/>
        <w:rPr>
          <w:sz w:val="20"/>
          <w:szCs w:val="20"/>
          <w:color w:val="auto"/>
        </w:rPr>
      </w:pPr>
      <w:r>
        <w:rPr>
          <w:rFonts w:ascii="Calibri" w:cs="Calibri" w:eastAsia="Calibri" w:hAnsi="Calibri"/>
          <w:sz w:val="18"/>
          <w:szCs w:val="18"/>
          <w:b w:val="1"/>
          <w:bCs w:val="1"/>
          <w:i w:val="1"/>
          <w:iCs w:val="1"/>
          <w:color w:val="auto"/>
        </w:rPr>
        <w:t>Part I. Financial Informaton</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Item 1.  Financial Statements</w:t>
      </w:r>
    </w:p>
    <w:p>
      <w:pPr>
        <w:spacing w:after="0" w:line="15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CABOT CORPORATION</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CONSOLIDATED STATEMENTS OF OPERATIONS</w:t>
      </w:r>
    </w:p>
    <w:p>
      <w:pPr>
        <w:jc w:val="center"/>
        <w:ind w:right="-19"/>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60" w:type="dxa"/>
            <w:vAlign w:val="bottom"/>
          </w:tcPr>
          <w:p>
            <w:pPr>
              <w:spacing w:after="0"/>
              <w:rPr>
                <w:sz w:val="14"/>
                <w:szCs w:val="14"/>
                <w:color w:val="auto"/>
              </w:rPr>
            </w:pPr>
          </w:p>
        </w:tc>
        <w:tc>
          <w:tcPr>
            <w:tcW w:w="2720" w:type="dxa"/>
            <w:vAlign w:val="bottom"/>
            <w:gridSpan w:val="4"/>
          </w:tcPr>
          <w:p>
            <w:pPr>
              <w:jc w:val="right"/>
              <w:ind w:right="54"/>
              <w:spacing w:after="0"/>
              <w:rPr>
                <w:sz w:val="20"/>
                <w:szCs w:val="20"/>
                <w:color w:val="auto"/>
              </w:rPr>
            </w:pPr>
            <w:r>
              <w:rPr>
                <w:rFonts w:ascii="Calibri" w:cs="Calibri" w:eastAsia="Calibri" w:hAnsi="Calibri"/>
                <w:sz w:val="14"/>
                <w:szCs w:val="14"/>
                <w:b w:val="1"/>
                <w:bCs w:val="1"/>
                <w:color w:val="auto"/>
              </w:rPr>
              <w:t>Three Months Ended December 31</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80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8060" w:type="dxa"/>
            <w:vAlign w:val="bottom"/>
          </w:tcPr>
          <w:p>
            <w:pPr>
              <w:spacing w:after="0"/>
              <w:rPr>
                <w:sz w:val="14"/>
                <w:szCs w:val="14"/>
                <w:color w:val="auto"/>
              </w:rPr>
            </w:pPr>
          </w:p>
        </w:tc>
        <w:tc>
          <w:tcPr>
            <w:tcW w:w="960" w:type="dxa"/>
            <w:vAlign w:val="bottom"/>
          </w:tcPr>
          <w:p>
            <w:pPr>
              <w:jc w:val="right"/>
              <w:ind w:right="38"/>
              <w:spacing w:after="0" w:line="164" w:lineRule="exact"/>
              <w:rPr>
                <w:sz w:val="20"/>
                <w:szCs w:val="20"/>
                <w:color w:val="auto"/>
              </w:rPr>
            </w:pPr>
            <w:r>
              <w:rPr>
                <w:rFonts w:ascii="Calibri" w:cs="Calibri" w:eastAsia="Calibri" w:hAnsi="Calibri"/>
                <w:sz w:val="14"/>
                <w:szCs w:val="14"/>
                <w:b w:val="1"/>
                <w:bCs w:val="1"/>
                <w:color w:val="auto"/>
              </w:rPr>
              <w:t>2023</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94"/>
              <w:spacing w:after="0" w:line="164" w:lineRule="exact"/>
              <w:rPr>
                <w:sz w:val="20"/>
                <w:szCs w:val="20"/>
                <w:color w:val="auto"/>
              </w:rPr>
            </w:pPr>
            <w:r>
              <w:rPr>
                <w:rFonts w:ascii="Calibri" w:cs="Calibri" w:eastAsia="Calibri" w:hAnsi="Calibri"/>
                <w:sz w:val="14"/>
                <w:szCs w:val="14"/>
                <w:b w:val="1"/>
                <w:bCs w:val="1"/>
                <w:color w:val="auto"/>
              </w:rPr>
              <w:t>2022</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806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8060" w:type="dxa"/>
            <w:vAlign w:val="bottom"/>
          </w:tcPr>
          <w:p>
            <w:pPr>
              <w:spacing w:after="0"/>
              <w:rPr>
                <w:sz w:val="14"/>
                <w:szCs w:val="14"/>
                <w:color w:val="auto"/>
              </w:rPr>
            </w:pPr>
          </w:p>
        </w:tc>
        <w:tc>
          <w:tcPr>
            <w:tcW w:w="2720" w:type="dxa"/>
            <w:vAlign w:val="bottom"/>
            <w:gridSpan w:val="4"/>
          </w:tcPr>
          <w:p>
            <w:pPr>
              <w:jc w:val="right"/>
              <w:spacing w:after="0" w:line="164" w:lineRule="exact"/>
              <w:rPr>
                <w:sz w:val="20"/>
                <w:szCs w:val="20"/>
                <w:color w:val="auto"/>
              </w:rPr>
            </w:pPr>
            <w:r>
              <w:rPr>
                <w:rFonts w:ascii="Calibri" w:cs="Calibri" w:eastAsia="Calibri" w:hAnsi="Calibri"/>
                <w:sz w:val="14"/>
                <w:szCs w:val="14"/>
                <w:b w:val="1"/>
                <w:bCs w:val="1"/>
                <w:color w:val="auto"/>
              </w:rPr>
              <w:t>(In millions, except per share amounts)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8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06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Net sales and other operatng revenues</w:t>
            </w:r>
          </w:p>
        </w:tc>
        <w:tc>
          <w:tcPr>
            <w:tcW w:w="960" w:type="dxa"/>
            <w:vAlign w:val="bottom"/>
            <w:tcBorders>
              <w:bottom w:val="single" w:sz="8" w:color="CFF0FC"/>
            </w:tcBorders>
            <w:shd w:val="clear" w:color="auto" w:fill="CFF0FC"/>
          </w:tcPr>
          <w:p>
            <w:pPr>
              <w:jc w:val="right"/>
              <w:ind w:right="758"/>
              <w:spacing w:after="0" w:line="215" w:lineRule="exact"/>
              <w:rPr>
                <w:sz w:val="20"/>
                <w:szCs w:val="20"/>
                <w:color w:val="auto"/>
              </w:rPr>
            </w:pPr>
            <w:r>
              <w:rPr>
                <w:rFonts w:ascii="Calibri" w:cs="Calibri" w:eastAsia="Calibri" w:hAnsi="Calibri"/>
                <w:sz w:val="18"/>
                <w:szCs w:val="18"/>
                <w:color w:val="auto"/>
              </w:rPr>
              <w:t>$</w:t>
            </w:r>
          </w:p>
        </w:tc>
        <w:tc>
          <w:tcPr>
            <w:tcW w:w="4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958</w:t>
            </w:r>
          </w:p>
        </w:tc>
        <w:tc>
          <w:tcPr>
            <w:tcW w:w="30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jc w:val="right"/>
              <w:ind w:right="814"/>
              <w:spacing w:after="0" w:line="215" w:lineRule="exact"/>
              <w:rPr>
                <w:sz w:val="20"/>
                <w:szCs w:val="20"/>
                <w:color w:val="auto"/>
              </w:rPr>
            </w:pPr>
            <w:r>
              <w:rPr>
                <w:rFonts w:ascii="Calibri" w:cs="Calibri" w:eastAsia="Calibri" w:hAnsi="Calibri"/>
                <w:sz w:val="18"/>
                <w:szCs w:val="18"/>
                <w:color w:val="auto"/>
              </w:rPr>
              <w:t>$</w:t>
            </w:r>
          </w:p>
        </w:tc>
        <w:tc>
          <w:tcPr>
            <w:tcW w:w="3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965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line="215" w:lineRule="exact"/>
              <w:rPr>
                <w:sz w:val="20"/>
                <w:szCs w:val="20"/>
                <w:color w:val="auto"/>
              </w:rPr>
            </w:pPr>
            <w:r>
              <w:rPr>
                <w:rFonts w:ascii="Calibri" w:cs="Calibri" w:eastAsia="Calibri" w:hAnsi="Calibri"/>
                <w:sz w:val="18"/>
                <w:szCs w:val="18"/>
                <w:color w:val="auto"/>
              </w:rPr>
              <w:t>Cost of sales</w:t>
            </w:r>
          </w:p>
        </w:tc>
        <w:tc>
          <w:tcPr>
            <w:tcW w:w="960" w:type="dxa"/>
            <w:vAlign w:val="bottom"/>
          </w:tcPr>
          <w:p>
            <w:pPr>
              <w:spacing w:after="0"/>
              <w:rPr>
                <w:sz w:val="18"/>
                <w:szCs w:val="18"/>
                <w:color w:val="auto"/>
              </w:rPr>
            </w:pPr>
          </w:p>
        </w:tc>
        <w:tc>
          <w:tcPr>
            <w:tcW w:w="440" w:type="dxa"/>
            <w:vAlign w:val="bottom"/>
          </w:tcPr>
          <w:p>
            <w:pPr>
              <w:jc w:val="right"/>
              <w:spacing w:after="0" w:line="215" w:lineRule="exact"/>
              <w:rPr>
                <w:sz w:val="20"/>
                <w:szCs w:val="20"/>
                <w:color w:val="auto"/>
              </w:rPr>
            </w:pPr>
            <w:r>
              <w:rPr>
                <w:rFonts w:ascii="Calibri" w:cs="Calibri" w:eastAsia="Calibri" w:hAnsi="Calibri"/>
                <w:sz w:val="18"/>
                <w:szCs w:val="18"/>
                <w:color w:val="auto"/>
              </w:rPr>
              <w:t>740</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jc w:val="right"/>
              <w:spacing w:after="0" w:line="215" w:lineRule="exact"/>
              <w:rPr>
                <w:sz w:val="20"/>
                <w:szCs w:val="20"/>
                <w:color w:val="auto"/>
              </w:rPr>
            </w:pPr>
            <w:r>
              <w:rPr>
                <w:rFonts w:ascii="Calibri" w:cs="Calibri" w:eastAsia="Calibri" w:hAnsi="Calibri"/>
                <w:sz w:val="18"/>
                <w:szCs w:val="18"/>
                <w:color w:val="auto"/>
              </w:rPr>
              <w:t>784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80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060" w:type="dxa"/>
            <w:vAlign w:val="bottom"/>
            <w:tcBorders>
              <w:bottom w:val="single" w:sz="8" w:color="CFF0FC"/>
            </w:tcBorders>
            <w:shd w:val="clear" w:color="auto" w:fill="CFF0FC"/>
          </w:tcPr>
          <w:p>
            <w:pPr>
              <w:ind w:left="200"/>
              <w:spacing w:after="0" w:line="208" w:lineRule="exact"/>
              <w:rPr>
                <w:sz w:val="20"/>
                <w:szCs w:val="20"/>
                <w:color w:val="auto"/>
              </w:rPr>
            </w:pPr>
            <w:r>
              <w:rPr>
                <w:rFonts w:ascii="Calibri" w:cs="Calibri" w:eastAsia="Calibri" w:hAnsi="Calibri"/>
                <w:sz w:val="18"/>
                <w:szCs w:val="18"/>
                <w:color w:val="auto"/>
              </w:rPr>
              <w:t>Gross proft</w:t>
            </w:r>
          </w:p>
        </w:tc>
        <w:tc>
          <w:tcPr>
            <w:tcW w:w="96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218</w:t>
            </w:r>
          </w:p>
        </w:tc>
        <w:tc>
          <w:tcPr>
            <w:tcW w:w="3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181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line="215" w:lineRule="exact"/>
              <w:rPr>
                <w:sz w:val="20"/>
                <w:szCs w:val="20"/>
                <w:color w:val="auto"/>
              </w:rPr>
            </w:pPr>
            <w:r>
              <w:rPr>
                <w:rFonts w:ascii="Calibri" w:cs="Calibri" w:eastAsia="Calibri" w:hAnsi="Calibri"/>
                <w:sz w:val="18"/>
                <w:szCs w:val="18"/>
                <w:color w:val="auto"/>
              </w:rPr>
              <w:t>Selling and administratve expenses</w:t>
            </w:r>
          </w:p>
        </w:tc>
        <w:tc>
          <w:tcPr>
            <w:tcW w:w="960" w:type="dxa"/>
            <w:vAlign w:val="bottom"/>
          </w:tcPr>
          <w:p>
            <w:pPr>
              <w:spacing w:after="0"/>
              <w:rPr>
                <w:sz w:val="18"/>
                <w:szCs w:val="18"/>
                <w:color w:val="auto"/>
              </w:rPr>
            </w:pPr>
          </w:p>
        </w:tc>
        <w:tc>
          <w:tcPr>
            <w:tcW w:w="440" w:type="dxa"/>
            <w:vAlign w:val="bottom"/>
          </w:tcPr>
          <w:p>
            <w:pPr>
              <w:jc w:val="right"/>
              <w:spacing w:after="0" w:line="215" w:lineRule="exact"/>
              <w:rPr>
                <w:sz w:val="20"/>
                <w:szCs w:val="20"/>
                <w:color w:val="auto"/>
              </w:rPr>
            </w:pPr>
            <w:r>
              <w:rPr>
                <w:rFonts w:ascii="Calibri" w:cs="Calibri" w:eastAsia="Calibri" w:hAnsi="Calibri"/>
                <w:sz w:val="18"/>
                <w:szCs w:val="18"/>
                <w:color w:val="auto"/>
              </w:rPr>
              <w:t>67</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jc w:val="right"/>
              <w:spacing w:after="0" w:line="215" w:lineRule="exact"/>
              <w:rPr>
                <w:sz w:val="20"/>
                <w:szCs w:val="20"/>
                <w:color w:val="auto"/>
              </w:rPr>
            </w:pPr>
            <w:r>
              <w:rPr>
                <w:rFonts w:ascii="Calibri" w:cs="Calibri" w:eastAsia="Calibri" w:hAnsi="Calibri"/>
                <w:sz w:val="18"/>
                <w:szCs w:val="18"/>
                <w:color w:val="auto"/>
              </w:rPr>
              <w:t>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8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06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Research and technical expenses</w:t>
            </w:r>
          </w:p>
        </w:tc>
        <w:tc>
          <w:tcPr>
            <w:tcW w:w="96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15</w:t>
            </w:r>
          </w:p>
        </w:tc>
        <w:tc>
          <w:tcPr>
            <w:tcW w:w="30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line="215" w:lineRule="exact"/>
              <w:rPr>
                <w:sz w:val="20"/>
                <w:szCs w:val="20"/>
                <w:color w:val="auto"/>
              </w:rPr>
            </w:pPr>
            <w:r>
              <w:rPr>
                <w:rFonts w:ascii="Calibri" w:cs="Calibri" w:eastAsia="Calibri" w:hAnsi="Calibri"/>
                <w:sz w:val="18"/>
                <w:szCs w:val="18"/>
                <w:color w:val="auto"/>
              </w:rPr>
              <w:t>Loss on sale of business</w:t>
            </w:r>
          </w:p>
        </w:tc>
        <w:tc>
          <w:tcPr>
            <w:tcW w:w="960" w:type="dxa"/>
            <w:vAlign w:val="bottom"/>
          </w:tcPr>
          <w:p>
            <w:pPr>
              <w:spacing w:after="0"/>
              <w:rPr>
                <w:sz w:val="18"/>
                <w:szCs w:val="18"/>
                <w:color w:val="auto"/>
              </w:rPr>
            </w:pPr>
          </w:p>
        </w:tc>
        <w:tc>
          <w:tcPr>
            <w:tcW w:w="740" w:type="dxa"/>
            <w:vAlign w:val="bottom"/>
            <w:gridSpan w:val="2"/>
          </w:tcPr>
          <w:p>
            <w:pPr>
              <w:jc w:val="right"/>
              <w:ind w:right="320"/>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tcPr>
          <w:p>
            <w:pPr>
              <w:spacing w:after="0"/>
              <w:rPr>
                <w:sz w:val="18"/>
                <w:szCs w:val="18"/>
                <w:color w:val="auto"/>
              </w:rPr>
            </w:pPr>
          </w:p>
        </w:tc>
        <w:tc>
          <w:tcPr>
            <w:tcW w:w="360" w:type="dxa"/>
            <w:vAlign w:val="bottom"/>
          </w:tcPr>
          <w:p>
            <w:pPr>
              <w:jc w:val="right"/>
              <w:spacing w:after="0" w:line="215" w:lineRule="exact"/>
              <w:rPr>
                <w:sz w:val="20"/>
                <w:szCs w:val="20"/>
                <w:color w:val="auto"/>
              </w:rPr>
            </w:pPr>
            <w:r>
              <w:rPr>
                <w:rFonts w:ascii="Calibri" w:cs="Calibri" w:eastAsia="Calibri" w:hAnsi="Calibri"/>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80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8060" w:type="dxa"/>
            <w:vAlign w:val="bottom"/>
            <w:tcBorders>
              <w:bottom w:val="single" w:sz="8" w:color="CFF0FC"/>
            </w:tcBorders>
            <w:shd w:val="clear" w:color="auto" w:fill="CFF0FC"/>
          </w:tcPr>
          <w:p>
            <w:pPr>
              <w:ind w:left="200"/>
              <w:spacing w:after="0" w:line="208" w:lineRule="exact"/>
              <w:rPr>
                <w:sz w:val="20"/>
                <w:szCs w:val="20"/>
                <w:color w:val="auto"/>
              </w:rPr>
            </w:pPr>
            <w:r>
              <w:rPr>
                <w:rFonts w:ascii="Calibri" w:cs="Calibri" w:eastAsia="Calibri" w:hAnsi="Calibri"/>
                <w:sz w:val="18"/>
                <w:szCs w:val="18"/>
                <w:color w:val="auto"/>
              </w:rPr>
              <w:t>Income (loss) from operatons</w:t>
            </w:r>
          </w:p>
        </w:tc>
        <w:tc>
          <w:tcPr>
            <w:tcW w:w="96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136</w:t>
            </w:r>
          </w:p>
        </w:tc>
        <w:tc>
          <w:tcPr>
            <w:tcW w:w="3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105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line="215" w:lineRule="exact"/>
              <w:rPr>
                <w:sz w:val="20"/>
                <w:szCs w:val="20"/>
                <w:color w:val="auto"/>
              </w:rPr>
            </w:pPr>
            <w:r>
              <w:rPr>
                <w:rFonts w:ascii="Calibri" w:cs="Calibri" w:eastAsia="Calibri" w:hAnsi="Calibri"/>
                <w:sz w:val="18"/>
                <w:szCs w:val="18"/>
                <w:color w:val="auto"/>
              </w:rPr>
              <w:t>Interest and dividend income</w:t>
            </w:r>
          </w:p>
        </w:tc>
        <w:tc>
          <w:tcPr>
            <w:tcW w:w="960" w:type="dxa"/>
            <w:vAlign w:val="bottom"/>
          </w:tcPr>
          <w:p>
            <w:pPr>
              <w:spacing w:after="0"/>
              <w:rPr>
                <w:sz w:val="18"/>
                <w:szCs w:val="18"/>
                <w:color w:val="auto"/>
              </w:rPr>
            </w:pPr>
          </w:p>
        </w:tc>
        <w:tc>
          <w:tcPr>
            <w:tcW w:w="440" w:type="dxa"/>
            <w:vAlign w:val="bottom"/>
          </w:tcPr>
          <w:p>
            <w:pPr>
              <w:jc w:val="right"/>
              <w:spacing w:after="0" w:line="215" w:lineRule="exact"/>
              <w:rPr>
                <w:sz w:val="20"/>
                <w:szCs w:val="20"/>
                <w:color w:val="auto"/>
              </w:rPr>
            </w:pPr>
            <w:r>
              <w:rPr>
                <w:rFonts w:ascii="Calibri" w:cs="Calibri" w:eastAsia="Calibri" w:hAnsi="Calibri"/>
                <w:sz w:val="18"/>
                <w:szCs w:val="18"/>
                <w:color w:val="auto"/>
              </w:rPr>
              <w:t>9</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jc w:val="right"/>
              <w:spacing w:after="0" w:line="215" w:lineRule="exact"/>
              <w:rPr>
                <w:sz w:val="20"/>
                <w:szCs w:val="20"/>
                <w:color w:val="auto"/>
              </w:rPr>
            </w:pPr>
            <w:r>
              <w:rPr>
                <w:rFonts w:ascii="Calibri" w:cs="Calibri" w:eastAsia="Calibri" w:hAnsi="Calibri"/>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8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06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Interest expense</w:t>
            </w:r>
          </w:p>
        </w:tc>
        <w:tc>
          <w:tcPr>
            <w:tcW w:w="96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gridSpan w:val="2"/>
            <w:shd w:val="clear" w:color="auto" w:fill="CFF0FC"/>
          </w:tcPr>
          <w:p>
            <w:pPr>
              <w:jc w:val="right"/>
              <w:ind w:right="240"/>
              <w:spacing w:after="0" w:line="215" w:lineRule="exact"/>
              <w:rPr>
                <w:sz w:val="20"/>
                <w:szCs w:val="20"/>
                <w:color w:val="auto"/>
              </w:rPr>
            </w:pPr>
            <w:r>
              <w:rPr>
                <w:rFonts w:ascii="Calibri" w:cs="Calibri" w:eastAsia="Calibri" w:hAnsi="Calibri"/>
                <w:sz w:val="18"/>
                <w:szCs w:val="18"/>
                <w:color w:val="auto"/>
              </w:rPr>
              <w:t>(22 )</w:t>
            </w:r>
          </w:p>
        </w:tc>
        <w:tc>
          <w:tcPr>
            <w:tcW w:w="10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(22 )</w:t>
            </w: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line="215" w:lineRule="exact"/>
              <w:rPr>
                <w:sz w:val="20"/>
                <w:szCs w:val="20"/>
                <w:color w:val="auto"/>
              </w:rPr>
            </w:pPr>
            <w:r>
              <w:rPr>
                <w:rFonts w:ascii="Calibri" w:cs="Calibri" w:eastAsia="Calibri" w:hAnsi="Calibri"/>
                <w:sz w:val="18"/>
                <w:szCs w:val="18"/>
                <w:color w:val="auto"/>
              </w:rPr>
              <w:t>Other income (expense)</w:t>
            </w:r>
          </w:p>
        </w:tc>
        <w:tc>
          <w:tcPr>
            <w:tcW w:w="960" w:type="dxa"/>
            <w:vAlign w:val="bottom"/>
          </w:tcPr>
          <w:p>
            <w:pPr>
              <w:spacing w:after="0"/>
              <w:rPr>
                <w:sz w:val="18"/>
                <w:szCs w:val="18"/>
                <w:color w:val="auto"/>
              </w:rPr>
            </w:pPr>
          </w:p>
        </w:tc>
        <w:tc>
          <w:tcPr>
            <w:tcW w:w="74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(29 )</w:t>
            </w:r>
          </w:p>
        </w:tc>
        <w:tc>
          <w:tcPr>
            <w:tcW w:w="1020" w:type="dxa"/>
            <w:vAlign w:val="bottom"/>
          </w:tcPr>
          <w:p>
            <w:pPr>
              <w:spacing w:after="0"/>
              <w:rPr>
                <w:sz w:val="18"/>
                <w:szCs w:val="18"/>
                <w:color w:val="auto"/>
              </w:rPr>
            </w:pPr>
          </w:p>
        </w:tc>
        <w:tc>
          <w:tcPr>
            <w:tcW w:w="46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(5 )</w:t>
            </w:r>
          </w:p>
        </w:tc>
        <w:tc>
          <w:tcPr>
            <w:tcW w:w="0" w:type="dxa"/>
            <w:vAlign w:val="bottom"/>
          </w:tcPr>
          <w:p>
            <w:pPr>
              <w:spacing w:after="0"/>
              <w:rPr>
                <w:sz w:val="1"/>
                <w:szCs w:val="1"/>
                <w:color w:val="auto"/>
              </w:rPr>
            </w:pPr>
          </w:p>
        </w:tc>
      </w:tr>
      <w:tr>
        <w:trPr>
          <w:trHeight w:val="28"/>
        </w:trPr>
        <w:tc>
          <w:tcPr>
            <w:tcW w:w="80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8060" w:type="dxa"/>
            <w:vAlign w:val="bottom"/>
            <w:shd w:val="clear" w:color="auto" w:fill="CFF0FC"/>
          </w:tcPr>
          <w:p>
            <w:pPr>
              <w:ind w:left="200"/>
              <w:spacing w:after="0" w:line="201" w:lineRule="exact"/>
              <w:rPr>
                <w:sz w:val="20"/>
                <w:szCs w:val="20"/>
                <w:color w:val="auto"/>
              </w:rPr>
            </w:pPr>
            <w:r>
              <w:rPr>
                <w:rFonts w:ascii="Calibri" w:cs="Calibri" w:eastAsia="Calibri" w:hAnsi="Calibri"/>
                <w:sz w:val="18"/>
                <w:szCs w:val="18"/>
                <w:color w:val="auto"/>
              </w:rPr>
              <w:t>Income (loss) from operatons before income taxes</w:t>
            </w:r>
          </w:p>
        </w:tc>
        <w:tc>
          <w:tcPr>
            <w:tcW w:w="9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8060" w:type="dxa"/>
            <w:vAlign w:val="bottom"/>
            <w:tcBorders>
              <w:bottom w:val="single" w:sz="8" w:color="CFF0FC"/>
            </w:tcBorders>
            <w:shd w:val="clear" w:color="auto" w:fill="CFF0FC"/>
          </w:tcPr>
          <w:p>
            <w:pPr>
              <w:ind w:left="320"/>
              <w:spacing w:after="0" w:line="215" w:lineRule="exact"/>
              <w:rPr>
                <w:sz w:val="20"/>
                <w:szCs w:val="20"/>
                <w:color w:val="auto"/>
              </w:rPr>
            </w:pPr>
            <w:r>
              <w:rPr>
                <w:rFonts w:ascii="Calibri" w:cs="Calibri" w:eastAsia="Calibri" w:hAnsi="Calibri"/>
                <w:sz w:val="18"/>
                <w:szCs w:val="18"/>
                <w:color w:val="auto"/>
              </w:rPr>
              <w:t>and equity in earnings of afliated companies</w:t>
            </w:r>
          </w:p>
        </w:tc>
        <w:tc>
          <w:tcPr>
            <w:tcW w:w="96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94</w:t>
            </w:r>
          </w:p>
        </w:tc>
        <w:tc>
          <w:tcPr>
            <w:tcW w:w="30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line="215" w:lineRule="exact"/>
              <w:rPr>
                <w:sz w:val="20"/>
                <w:szCs w:val="20"/>
                <w:color w:val="auto"/>
              </w:rPr>
            </w:pPr>
            <w:r>
              <w:rPr>
                <w:rFonts w:ascii="Calibri" w:cs="Calibri" w:eastAsia="Calibri" w:hAnsi="Calibri"/>
                <w:sz w:val="18"/>
                <w:szCs w:val="18"/>
                <w:color w:val="auto"/>
              </w:rPr>
              <w:t>(Provision) beneft for income taxes</w:t>
            </w:r>
          </w:p>
        </w:tc>
        <w:tc>
          <w:tcPr>
            <w:tcW w:w="960" w:type="dxa"/>
            <w:vAlign w:val="bottom"/>
          </w:tcPr>
          <w:p>
            <w:pPr>
              <w:spacing w:after="0"/>
              <w:rPr>
                <w:sz w:val="18"/>
                <w:szCs w:val="18"/>
                <w:color w:val="auto"/>
              </w:rPr>
            </w:pPr>
          </w:p>
        </w:tc>
        <w:tc>
          <w:tcPr>
            <w:tcW w:w="74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(34 )</w:t>
            </w:r>
          </w:p>
        </w:tc>
        <w:tc>
          <w:tcPr>
            <w:tcW w:w="1020" w:type="dxa"/>
            <w:vAlign w:val="bottom"/>
          </w:tcPr>
          <w:p>
            <w:pPr>
              <w:spacing w:after="0"/>
              <w:rPr>
                <w:sz w:val="18"/>
                <w:szCs w:val="18"/>
                <w:color w:val="auto"/>
              </w:rPr>
            </w:pPr>
          </w:p>
        </w:tc>
        <w:tc>
          <w:tcPr>
            <w:tcW w:w="46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(20 )</w:t>
            </w:r>
          </w:p>
        </w:tc>
        <w:tc>
          <w:tcPr>
            <w:tcW w:w="0" w:type="dxa"/>
            <w:vAlign w:val="bottom"/>
          </w:tcPr>
          <w:p>
            <w:pPr>
              <w:spacing w:after="0"/>
              <w:rPr>
                <w:sz w:val="1"/>
                <w:szCs w:val="1"/>
                <w:color w:val="auto"/>
              </w:rPr>
            </w:pPr>
          </w:p>
        </w:tc>
      </w:tr>
      <w:tr>
        <w:trPr>
          <w:trHeight w:val="28"/>
        </w:trPr>
        <w:tc>
          <w:tcPr>
            <w:tcW w:w="8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06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Equity in earnings of afliated companies, net of tax</w:t>
            </w:r>
          </w:p>
        </w:tc>
        <w:tc>
          <w:tcPr>
            <w:tcW w:w="96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3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8060" w:type="dxa"/>
            <w:vAlign w:val="bottom"/>
          </w:tcPr>
          <w:p>
            <w:pPr>
              <w:ind w:left="200"/>
              <w:spacing w:after="0" w:line="195" w:lineRule="exact"/>
              <w:rPr>
                <w:sz w:val="20"/>
                <w:szCs w:val="20"/>
                <w:color w:val="auto"/>
              </w:rPr>
            </w:pPr>
            <w:r>
              <w:rPr>
                <w:rFonts w:ascii="Calibri" w:cs="Calibri" w:eastAsia="Calibri" w:hAnsi="Calibri"/>
                <w:sz w:val="18"/>
                <w:szCs w:val="18"/>
                <w:color w:val="auto"/>
              </w:rPr>
              <w:t>Net income (loss)</w:t>
            </w:r>
          </w:p>
        </w:tc>
        <w:tc>
          <w:tcPr>
            <w:tcW w:w="9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61</w:t>
            </w:r>
          </w:p>
        </w:tc>
        <w:tc>
          <w:tcPr>
            <w:tcW w:w="3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8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8060" w:type="dxa"/>
            <w:vAlign w:val="bottom"/>
            <w:shd w:val="clear" w:color="auto" w:fill="CFF0FC"/>
          </w:tcPr>
          <w:p>
            <w:pPr>
              <w:ind w:left="20"/>
              <w:spacing w:after="0" w:line="207" w:lineRule="exact"/>
              <w:rPr>
                <w:sz w:val="20"/>
                <w:szCs w:val="20"/>
                <w:color w:val="auto"/>
              </w:rPr>
            </w:pPr>
            <w:r>
              <w:rPr>
                <w:rFonts w:ascii="Calibri" w:cs="Calibri" w:eastAsia="Calibri" w:hAnsi="Calibri"/>
                <w:sz w:val="18"/>
                <w:szCs w:val="18"/>
                <w:color w:val="auto"/>
              </w:rPr>
              <w:t>Net income (loss) atributable to noncontrolling interests, net</w:t>
            </w:r>
          </w:p>
        </w:tc>
        <w:tc>
          <w:tcPr>
            <w:tcW w:w="960" w:type="dxa"/>
            <w:vAlign w:val="bottom"/>
            <w:shd w:val="clear" w:color="auto" w:fill="CFF0FC"/>
          </w:tcPr>
          <w:p>
            <w:pPr>
              <w:spacing w:after="0"/>
              <w:rPr>
                <w:sz w:val="18"/>
                <w:szCs w:val="18"/>
                <w:color w:val="auto"/>
              </w:rPr>
            </w:pPr>
          </w:p>
        </w:tc>
        <w:tc>
          <w:tcPr>
            <w:tcW w:w="44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11</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6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060" w:type="dxa"/>
            <w:vAlign w:val="bottom"/>
            <w:tcBorders>
              <w:bottom w:val="single" w:sz="8" w:color="CFF0FC"/>
            </w:tcBorders>
            <w:shd w:val="clear" w:color="auto" w:fill="CFF0FC"/>
          </w:tcPr>
          <w:p>
            <w:pPr>
              <w:ind w:left="140"/>
              <w:spacing w:after="0" w:line="215" w:lineRule="exact"/>
              <w:rPr>
                <w:sz w:val="20"/>
                <w:szCs w:val="20"/>
                <w:color w:val="auto"/>
              </w:rPr>
            </w:pPr>
            <w:r>
              <w:rPr>
                <w:rFonts w:ascii="Calibri" w:cs="Calibri" w:eastAsia="Calibri" w:hAnsi="Calibri"/>
                <w:sz w:val="18"/>
                <w:szCs w:val="18"/>
                <w:color w:val="auto"/>
              </w:rPr>
              <w:t>of tax</w:t>
            </w:r>
          </w:p>
        </w:tc>
        <w:tc>
          <w:tcPr>
            <w:tcW w:w="96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CFF0FC"/>
            </w:tcBorders>
            <w:vMerge w:val="continue"/>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8060" w:type="dxa"/>
            <w:vAlign w:val="bottom"/>
            <w:tcBorders>
              <w:top w:val="single" w:sz="8" w:color="CFF0FC"/>
            </w:tcBorders>
          </w:tcPr>
          <w:p>
            <w:pPr>
              <w:ind w:left="20"/>
              <w:spacing w:after="0" w:line="213" w:lineRule="exact"/>
              <w:rPr>
                <w:sz w:val="20"/>
                <w:szCs w:val="20"/>
                <w:color w:val="auto"/>
              </w:rPr>
            </w:pPr>
            <w:r>
              <w:rPr>
                <w:rFonts w:ascii="Calibri" w:cs="Calibri" w:eastAsia="Calibri" w:hAnsi="Calibri"/>
                <w:sz w:val="18"/>
                <w:szCs w:val="18"/>
                <w:color w:val="auto"/>
              </w:rPr>
              <w:t>Net income (loss) atributable to Cabot Corporaton</w:t>
            </w:r>
          </w:p>
        </w:tc>
        <w:tc>
          <w:tcPr>
            <w:tcW w:w="960" w:type="dxa"/>
            <w:vAlign w:val="bottom"/>
            <w:tcBorders>
              <w:top w:val="single" w:sz="8" w:color="auto"/>
            </w:tcBorders>
          </w:tcPr>
          <w:p>
            <w:pPr>
              <w:jc w:val="right"/>
              <w:ind w:right="758"/>
              <w:spacing w:after="0" w:line="213" w:lineRule="exact"/>
              <w:rPr>
                <w:sz w:val="20"/>
                <w:szCs w:val="20"/>
                <w:color w:val="auto"/>
              </w:rPr>
            </w:pPr>
            <w:r>
              <w:rPr>
                <w:rFonts w:ascii="Calibri" w:cs="Calibri" w:eastAsia="Calibri" w:hAnsi="Calibri"/>
                <w:sz w:val="18"/>
                <w:szCs w:val="18"/>
                <w:color w:val="auto"/>
              </w:rPr>
              <w:t>$</w:t>
            </w:r>
          </w:p>
        </w:tc>
        <w:tc>
          <w:tcPr>
            <w:tcW w:w="44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50</w:t>
            </w:r>
          </w:p>
        </w:tc>
        <w:tc>
          <w:tcPr>
            <w:tcW w:w="300" w:type="dxa"/>
            <w:vAlign w:val="bottom"/>
            <w:tcBorders>
              <w:top w:val="single" w:sz="8" w:color="CFF0FC"/>
            </w:tcBorders>
          </w:tcPr>
          <w:p>
            <w:pPr>
              <w:spacing w:after="0"/>
              <w:rPr>
                <w:sz w:val="18"/>
                <w:szCs w:val="18"/>
                <w:color w:val="auto"/>
              </w:rPr>
            </w:pPr>
          </w:p>
        </w:tc>
        <w:tc>
          <w:tcPr>
            <w:tcW w:w="1020" w:type="dxa"/>
            <w:vAlign w:val="bottom"/>
            <w:tcBorders>
              <w:top w:val="single" w:sz="8" w:color="auto"/>
            </w:tcBorders>
          </w:tcPr>
          <w:p>
            <w:pPr>
              <w:jc w:val="right"/>
              <w:ind w:right="814"/>
              <w:spacing w:after="0" w:line="213" w:lineRule="exact"/>
              <w:rPr>
                <w:sz w:val="20"/>
                <w:szCs w:val="20"/>
                <w:color w:val="auto"/>
              </w:rPr>
            </w:pPr>
            <w:r>
              <w:rPr>
                <w:rFonts w:ascii="Calibri" w:cs="Calibri" w:eastAsia="Calibri" w:hAnsi="Calibri"/>
                <w:sz w:val="18"/>
                <w:szCs w:val="18"/>
                <w:color w:val="auto"/>
              </w:rPr>
              <w:t>$</w:t>
            </w:r>
          </w:p>
        </w:tc>
        <w:tc>
          <w:tcPr>
            <w:tcW w:w="36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54</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80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line="215" w:lineRule="exact"/>
              <w:rPr>
                <w:sz w:val="20"/>
                <w:szCs w:val="20"/>
                <w:color w:val="auto"/>
              </w:rPr>
            </w:pPr>
            <w:r>
              <w:rPr>
                <w:rFonts w:ascii="Calibri" w:cs="Calibri" w:eastAsia="Calibri" w:hAnsi="Calibri"/>
                <w:sz w:val="18"/>
                <w:szCs w:val="18"/>
                <w:color w:val="auto"/>
              </w:rPr>
              <w:t>Weighted-average common shares outstanding:</w:t>
            </w: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8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06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Basic</w:t>
            </w:r>
          </w:p>
        </w:tc>
        <w:tc>
          <w:tcPr>
            <w:tcW w:w="96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55.3</w:t>
            </w:r>
          </w:p>
        </w:tc>
        <w:tc>
          <w:tcPr>
            <w:tcW w:w="30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56.3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200"/>
              <w:spacing w:after="0" w:line="215" w:lineRule="exact"/>
              <w:rPr>
                <w:sz w:val="20"/>
                <w:szCs w:val="20"/>
                <w:color w:val="auto"/>
              </w:rPr>
            </w:pPr>
            <w:r>
              <w:rPr>
                <w:rFonts w:ascii="Calibri" w:cs="Calibri" w:eastAsia="Calibri" w:hAnsi="Calibri"/>
                <w:sz w:val="18"/>
                <w:szCs w:val="18"/>
                <w:color w:val="auto"/>
              </w:rPr>
              <w:t>Diluted</w:t>
            </w:r>
          </w:p>
        </w:tc>
        <w:tc>
          <w:tcPr>
            <w:tcW w:w="960" w:type="dxa"/>
            <w:vAlign w:val="bottom"/>
          </w:tcPr>
          <w:p>
            <w:pPr>
              <w:spacing w:after="0"/>
              <w:rPr>
                <w:sz w:val="18"/>
                <w:szCs w:val="18"/>
                <w:color w:val="auto"/>
              </w:rPr>
            </w:pPr>
          </w:p>
        </w:tc>
        <w:tc>
          <w:tcPr>
            <w:tcW w:w="440" w:type="dxa"/>
            <w:vAlign w:val="bottom"/>
          </w:tcPr>
          <w:p>
            <w:pPr>
              <w:jc w:val="right"/>
              <w:spacing w:after="0" w:line="215" w:lineRule="exact"/>
              <w:rPr>
                <w:sz w:val="20"/>
                <w:szCs w:val="20"/>
                <w:color w:val="auto"/>
              </w:rPr>
            </w:pPr>
            <w:r>
              <w:rPr>
                <w:rFonts w:ascii="Calibri" w:cs="Calibri" w:eastAsia="Calibri" w:hAnsi="Calibri"/>
                <w:sz w:val="18"/>
                <w:szCs w:val="18"/>
                <w:color w:val="auto"/>
              </w:rPr>
              <w:t>55.8</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jc w:val="right"/>
              <w:spacing w:after="0" w:line="215" w:lineRule="exact"/>
              <w:rPr>
                <w:sz w:val="20"/>
                <w:szCs w:val="20"/>
                <w:color w:val="auto"/>
              </w:rPr>
            </w:pPr>
            <w:r>
              <w:rPr>
                <w:rFonts w:ascii="Calibri" w:cs="Calibri" w:eastAsia="Calibri" w:hAnsi="Calibri"/>
                <w:sz w:val="18"/>
                <w:szCs w:val="18"/>
                <w:color w:val="auto"/>
              </w:rPr>
              <w:t>56.7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8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0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line="215" w:lineRule="exact"/>
              <w:rPr>
                <w:sz w:val="20"/>
                <w:szCs w:val="20"/>
                <w:color w:val="auto"/>
              </w:rPr>
            </w:pPr>
            <w:r>
              <w:rPr>
                <w:rFonts w:ascii="Calibri" w:cs="Calibri" w:eastAsia="Calibri" w:hAnsi="Calibri"/>
                <w:sz w:val="18"/>
                <w:szCs w:val="18"/>
                <w:color w:val="auto"/>
              </w:rPr>
              <w:t>Earnings (loss) per common share:</w:t>
            </w: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8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06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Basic</w:t>
            </w:r>
          </w:p>
        </w:tc>
        <w:tc>
          <w:tcPr>
            <w:tcW w:w="960" w:type="dxa"/>
            <w:vAlign w:val="bottom"/>
            <w:tcBorders>
              <w:bottom w:val="single" w:sz="8" w:color="CFF0FC"/>
            </w:tcBorders>
            <w:shd w:val="clear" w:color="auto" w:fill="CFF0FC"/>
          </w:tcPr>
          <w:p>
            <w:pPr>
              <w:jc w:val="right"/>
              <w:ind w:right="758"/>
              <w:spacing w:after="0" w:line="215" w:lineRule="exact"/>
              <w:rPr>
                <w:sz w:val="20"/>
                <w:szCs w:val="20"/>
                <w:color w:val="auto"/>
              </w:rPr>
            </w:pPr>
            <w:r>
              <w:rPr>
                <w:rFonts w:ascii="Calibri" w:cs="Calibri" w:eastAsia="Calibri" w:hAnsi="Calibri"/>
                <w:sz w:val="18"/>
                <w:szCs w:val="18"/>
                <w:color w:val="auto"/>
              </w:rPr>
              <w:t>$</w:t>
            </w:r>
          </w:p>
        </w:tc>
        <w:tc>
          <w:tcPr>
            <w:tcW w:w="4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0.88</w:t>
            </w:r>
          </w:p>
        </w:tc>
        <w:tc>
          <w:tcPr>
            <w:tcW w:w="30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jc w:val="right"/>
              <w:ind w:right="814"/>
              <w:spacing w:after="0" w:line="215" w:lineRule="exact"/>
              <w:rPr>
                <w:sz w:val="20"/>
                <w:szCs w:val="20"/>
                <w:color w:val="auto"/>
              </w:rPr>
            </w:pPr>
            <w:r>
              <w:rPr>
                <w:rFonts w:ascii="Calibri" w:cs="Calibri" w:eastAsia="Calibri" w:hAnsi="Calibri"/>
                <w:sz w:val="18"/>
                <w:szCs w:val="18"/>
                <w:color w:val="auto"/>
              </w:rPr>
              <w:t>$</w:t>
            </w:r>
          </w:p>
        </w:tc>
        <w:tc>
          <w:tcPr>
            <w:tcW w:w="3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0.94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200"/>
              <w:spacing w:after="0" w:line="215" w:lineRule="exact"/>
              <w:rPr>
                <w:sz w:val="20"/>
                <w:szCs w:val="20"/>
                <w:color w:val="auto"/>
              </w:rPr>
            </w:pPr>
            <w:r>
              <w:rPr>
                <w:rFonts w:ascii="Calibri" w:cs="Calibri" w:eastAsia="Calibri" w:hAnsi="Calibri"/>
                <w:sz w:val="18"/>
                <w:szCs w:val="18"/>
                <w:color w:val="auto"/>
              </w:rPr>
              <w:t>Diluted</w:t>
            </w:r>
          </w:p>
        </w:tc>
        <w:tc>
          <w:tcPr>
            <w:tcW w:w="960" w:type="dxa"/>
            <w:vAlign w:val="bottom"/>
          </w:tcPr>
          <w:p>
            <w:pPr>
              <w:jc w:val="right"/>
              <w:ind w:right="758"/>
              <w:spacing w:after="0" w:line="215" w:lineRule="exact"/>
              <w:rPr>
                <w:sz w:val="20"/>
                <w:szCs w:val="20"/>
                <w:color w:val="auto"/>
              </w:rPr>
            </w:pPr>
            <w:r>
              <w:rPr>
                <w:rFonts w:ascii="Calibri" w:cs="Calibri" w:eastAsia="Calibri" w:hAnsi="Calibri"/>
                <w:sz w:val="18"/>
                <w:szCs w:val="18"/>
                <w:color w:val="auto"/>
              </w:rPr>
              <w:t>$</w:t>
            </w:r>
          </w:p>
        </w:tc>
        <w:tc>
          <w:tcPr>
            <w:tcW w:w="440" w:type="dxa"/>
            <w:vAlign w:val="bottom"/>
          </w:tcPr>
          <w:p>
            <w:pPr>
              <w:jc w:val="right"/>
              <w:spacing w:after="0" w:line="215" w:lineRule="exact"/>
              <w:rPr>
                <w:sz w:val="20"/>
                <w:szCs w:val="20"/>
                <w:color w:val="auto"/>
              </w:rPr>
            </w:pPr>
            <w:r>
              <w:rPr>
                <w:rFonts w:ascii="Calibri" w:cs="Calibri" w:eastAsia="Calibri" w:hAnsi="Calibri"/>
                <w:sz w:val="18"/>
                <w:szCs w:val="18"/>
                <w:color w:val="auto"/>
              </w:rPr>
              <w:t>0.88</w:t>
            </w:r>
          </w:p>
        </w:tc>
        <w:tc>
          <w:tcPr>
            <w:tcW w:w="300" w:type="dxa"/>
            <w:vAlign w:val="bottom"/>
          </w:tcPr>
          <w:p>
            <w:pPr>
              <w:spacing w:after="0"/>
              <w:rPr>
                <w:sz w:val="18"/>
                <w:szCs w:val="18"/>
                <w:color w:val="auto"/>
              </w:rPr>
            </w:pPr>
          </w:p>
        </w:tc>
        <w:tc>
          <w:tcPr>
            <w:tcW w:w="1020" w:type="dxa"/>
            <w:vAlign w:val="bottom"/>
          </w:tcPr>
          <w:p>
            <w:pPr>
              <w:jc w:val="right"/>
              <w:ind w:right="814"/>
              <w:spacing w:after="0" w:line="215" w:lineRule="exact"/>
              <w:rPr>
                <w:sz w:val="20"/>
                <w:szCs w:val="20"/>
                <w:color w:val="auto"/>
              </w:rPr>
            </w:pPr>
            <w:r>
              <w:rPr>
                <w:rFonts w:ascii="Calibri" w:cs="Calibri" w:eastAsia="Calibri" w:hAnsi="Calibri"/>
                <w:sz w:val="18"/>
                <w:szCs w:val="18"/>
                <w:color w:val="auto"/>
              </w:rPr>
              <w:t>$</w:t>
            </w:r>
          </w:p>
        </w:tc>
        <w:tc>
          <w:tcPr>
            <w:tcW w:w="360" w:type="dxa"/>
            <w:vAlign w:val="bottom"/>
          </w:tcPr>
          <w:p>
            <w:pPr>
              <w:jc w:val="right"/>
              <w:spacing w:after="0" w:line="215" w:lineRule="exact"/>
              <w:rPr>
                <w:sz w:val="20"/>
                <w:szCs w:val="20"/>
                <w:color w:val="auto"/>
              </w:rPr>
            </w:pPr>
            <w:r>
              <w:rPr>
                <w:rFonts w:ascii="Calibri" w:cs="Calibri" w:eastAsia="Calibri" w:hAnsi="Calibri"/>
                <w:sz w:val="18"/>
                <w:szCs w:val="18"/>
                <w:color w:val="auto"/>
              </w:rPr>
              <w:t>0.93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-1404620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-1404620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consolidated fnancial statements.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415925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 w:name="page4"/>
    <w:bookmarkEnd w:id="3"/>
    <w:p>
      <w:pPr>
        <w:jc w:val="center"/>
        <w:ind w:right="-19"/>
        <w:spacing w:after="0"/>
        <w:rPr>
          <w:sz w:val="20"/>
          <w:szCs w:val="20"/>
          <w:color w:val="auto"/>
        </w:rPr>
      </w:pPr>
      <w:r>
        <w:rPr>
          <w:rFonts w:ascii="Calibri" w:cs="Calibri" w:eastAsia="Calibri" w:hAnsi="Calibri"/>
          <w:sz w:val="18"/>
          <w:szCs w:val="18"/>
          <w:b w:val="1"/>
          <w:bCs w:val="1"/>
          <w:color w:val="auto"/>
        </w:rPr>
        <w:t>CABOT CORPORATION</w:t>
      </w:r>
    </w:p>
    <w:p>
      <w:pPr>
        <w:jc w:val="center"/>
        <w:spacing w:after="0" w:line="235" w:lineRule="auto"/>
        <w:rPr>
          <w:sz w:val="20"/>
          <w:szCs w:val="20"/>
          <w:color w:val="auto"/>
        </w:rPr>
      </w:pPr>
      <w:r>
        <w:rPr>
          <w:rFonts w:ascii="Calibri" w:cs="Calibri" w:eastAsia="Calibri" w:hAnsi="Calibri"/>
          <w:sz w:val="18"/>
          <w:szCs w:val="18"/>
          <w:b w:val="1"/>
          <w:bCs w:val="1"/>
          <w:color w:val="auto"/>
        </w:rPr>
        <w:t>CONSOLIDATED STATEMENTS OF COMPREHENSIVE INCOME (LOSS)</w:t>
      </w:r>
    </w:p>
    <w:p>
      <w:pPr>
        <w:jc w:val="center"/>
        <w:ind w:right="-19"/>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80" w:type="dxa"/>
            <w:vAlign w:val="bottom"/>
          </w:tcPr>
          <w:p>
            <w:pPr>
              <w:spacing w:after="0"/>
              <w:rPr>
                <w:sz w:val="14"/>
                <w:szCs w:val="14"/>
                <w:color w:val="auto"/>
              </w:rPr>
            </w:pPr>
          </w:p>
        </w:tc>
        <w:tc>
          <w:tcPr>
            <w:tcW w:w="2600" w:type="dxa"/>
            <w:vAlign w:val="bottom"/>
            <w:gridSpan w:val="4"/>
          </w:tcPr>
          <w:p>
            <w:pPr>
              <w:jc w:val="right"/>
              <w:ind w:right="16"/>
              <w:spacing w:after="0"/>
              <w:rPr>
                <w:sz w:val="20"/>
                <w:szCs w:val="20"/>
                <w:color w:val="auto"/>
              </w:rPr>
            </w:pPr>
            <w:r>
              <w:rPr>
                <w:rFonts w:ascii="Calibri" w:cs="Calibri" w:eastAsia="Calibri" w:hAnsi="Calibri"/>
                <w:sz w:val="14"/>
                <w:szCs w:val="14"/>
                <w:b w:val="1"/>
                <w:bCs w:val="1"/>
                <w:color w:val="auto"/>
              </w:rPr>
              <w:t>Three Months Ended December 31</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8180" w:type="dxa"/>
            <w:vAlign w:val="bottom"/>
          </w:tcPr>
          <w:p>
            <w:pPr>
              <w:spacing w:after="0"/>
              <w:rPr>
                <w:sz w:val="14"/>
                <w:szCs w:val="14"/>
                <w:color w:val="auto"/>
              </w:rPr>
            </w:pPr>
          </w:p>
        </w:tc>
        <w:tc>
          <w:tcPr>
            <w:tcW w:w="920" w:type="dxa"/>
            <w:vAlign w:val="bottom"/>
          </w:tcPr>
          <w:p>
            <w:pPr>
              <w:jc w:val="right"/>
              <w:ind w:right="39"/>
              <w:spacing w:after="0" w:line="164" w:lineRule="exact"/>
              <w:rPr>
                <w:sz w:val="20"/>
                <w:szCs w:val="20"/>
                <w:color w:val="auto"/>
              </w:rPr>
            </w:pPr>
            <w:r>
              <w:rPr>
                <w:rFonts w:ascii="Calibri" w:cs="Calibri" w:eastAsia="Calibri" w:hAnsi="Calibri"/>
                <w:sz w:val="14"/>
                <w:szCs w:val="14"/>
                <w:b w:val="1"/>
                <w:bCs w:val="1"/>
                <w:color w:val="auto"/>
              </w:rPr>
              <w:t>2023</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jc w:val="right"/>
              <w:ind w:right="76"/>
              <w:spacing w:after="0" w:line="164" w:lineRule="exact"/>
              <w:rPr>
                <w:sz w:val="20"/>
                <w:szCs w:val="20"/>
                <w:color w:val="auto"/>
              </w:rPr>
            </w:pPr>
            <w:r>
              <w:rPr>
                <w:rFonts w:ascii="Calibri" w:cs="Calibri" w:eastAsia="Calibri" w:hAnsi="Calibri"/>
                <w:sz w:val="14"/>
                <w:szCs w:val="14"/>
                <w:b w:val="1"/>
                <w:bCs w:val="1"/>
                <w:color w:val="auto"/>
              </w:rPr>
              <w:t>2022</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8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(In</w:t>
            </w:r>
          </w:p>
        </w:tc>
        <w:tc>
          <w:tcPr>
            <w:tcW w:w="1280" w:type="dxa"/>
            <w:vAlign w:val="bottom"/>
            <w:gridSpan w:val="2"/>
          </w:tcPr>
          <w:p>
            <w:pPr>
              <w:jc w:val="right"/>
              <w:ind w:right="696"/>
              <w:spacing w:after="0" w:line="164" w:lineRule="exact"/>
              <w:rPr>
                <w:sz w:val="20"/>
                <w:szCs w:val="20"/>
                <w:color w:val="auto"/>
              </w:rPr>
            </w:pPr>
            <w:r>
              <w:rPr>
                <w:rFonts w:ascii="Calibri" w:cs="Calibri" w:eastAsia="Calibri" w:hAnsi="Calibri"/>
                <w:sz w:val="14"/>
                <w:szCs w:val="14"/>
                <w:b w:val="1"/>
                <w:bCs w:val="1"/>
                <w:color w:val="auto"/>
                <w:w w:val="95"/>
              </w:rPr>
              <w:t>millions)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Net income (loss)</w:t>
            </w:r>
          </w:p>
        </w:tc>
        <w:tc>
          <w:tcPr>
            <w:tcW w:w="920" w:type="dxa"/>
            <w:vAlign w:val="bottom"/>
            <w:tcBorders>
              <w:bottom w:val="single" w:sz="8" w:color="CFF0FC"/>
            </w:tcBorders>
            <w:shd w:val="clear" w:color="auto" w:fill="CFF0FC"/>
          </w:tcPr>
          <w:p>
            <w:pPr>
              <w:jc w:val="right"/>
              <w:ind w:right="739"/>
              <w:spacing w:after="0" w:line="215" w:lineRule="exact"/>
              <w:rPr>
                <w:sz w:val="20"/>
                <w:szCs w:val="20"/>
                <w:color w:val="auto"/>
              </w:rPr>
            </w:pPr>
            <w:r>
              <w:rPr>
                <w:rFonts w:ascii="Calibri" w:cs="Calibri" w:eastAsia="Calibri" w:hAnsi="Calibri"/>
                <w:sz w:val="18"/>
                <w:szCs w:val="18"/>
                <w:color w:val="auto"/>
                <w:w w:val="87"/>
              </w:rPr>
              <w:t>$</w:t>
            </w:r>
          </w:p>
        </w:tc>
        <w:tc>
          <w:tcPr>
            <w:tcW w:w="4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61</w:t>
            </w:r>
          </w:p>
        </w:tc>
        <w:tc>
          <w:tcPr>
            <w:tcW w:w="32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jc w:val="right"/>
              <w:ind w:right="776"/>
              <w:spacing w:after="0" w:line="215" w:lineRule="exact"/>
              <w:rPr>
                <w:sz w:val="20"/>
                <w:szCs w:val="20"/>
                <w:color w:val="auto"/>
              </w:rPr>
            </w:pPr>
            <w:r>
              <w:rPr>
                <w:rFonts w:ascii="Calibri" w:cs="Calibri" w:eastAsia="Calibri" w:hAnsi="Calibri"/>
                <w:sz w:val="18"/>
                <w:szCs w:val="18"/>
                <w:color w:val="auto"/>
                <w:w w:val="87"/>
              </w:rPr>
              <w:t>$</w:t>
            </w:r>
          </w:p>
        </w:tc>
        <w:tc>
          <w:tcPr>
            <w:tcW w:w="3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180" w:type="dxa"/>
            <w:vAlign w:val="bottom"/>
          </w:tcPr>
          <w:p>
            <w:pPr>
              <w:ind w:left="20"/>
              <w:spacing w:after="0" w:line="215" w:lineRule="exact"/>
              <w:rPr>
                <w:sz w:val="20"/>
                <w:szCs w:val="20"/>
                <w:color w:val="auto"/>
              </w:rPr>
            </w:pPr>
            <w:r>
              <w:rPr>
                <w:rFonts w:ascii="Calibri" w:cs="Calibri" w:eastAsia="Calibri" w:hAnsi="Calibri"/>
                <w:sz w:val="18"/>
                <w:szCs w:val="18"/>
                <w:color w:val="auto"/>
              </w:rPr>
              <w:t>Other comprehensive income (loss), net of tax</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8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Foreign currency translaton adjustment, net of tax</w:t>
            </w:r>
          </w:p>
        </w:tc>
        <w:tc>
          <w:tcPr>
            <w:tcW w:w="9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62</w:t>
            </w:r>
          </w:p>
        </w:tc>
        <w:tc>
          <w:tcPr>
            <w:tcW w:w="32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180" w:type="dxa"/>
            <w:vAlign w:val="bottom"/>
          </w:tcPr>
          <w:p>
            <w:pPr>
              <w:ind w:left="200"/>
              <w:spacing w:after="0" w:line="215" w:lineRule="exact"/>
              <w:rPr>
                <w:sz w:val="20"/>
                <w:szCs w:val="20"/>
                <w:color w:val="auto"/>
              </w:rPr>
            </w:pPr>
            <w:r>
              <w:rPr>
                <w:rFonts w:ascii="Calibri" w:cs="Calibri" w:eastAsia="Calibri" w:hAnsi="Calibri"/>
                <w:sz w:val="18"/>
                <w:szCs w:val="18"/>
                <w:color w:val="auto"/>
              </w:rPr>
              <w:t>Derivatves: net investment hedges</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8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80" w:type="dxa"/>
            <w:vAlign w:val="bottom"/>
            <w:tcBorders>
              <w:bottom w:val="single" w:sz="8" w:color="CFF0FC"/>
            </w:tcBorders>
            <w:shd w:val="clear" w:color="auto" w:fill="CFF0FC"/>
          </w:tcPr>
          <w:p>
            <w:pPr>
              <w:ind w:left="380"/>
              <w:spacing w:after="0" w:line="215" w:lineRule="exact"/>
              <w:rPr>
                <w:sz w:val="20"/>
                <w:szCs w:val="20"/>
                <w:color w:val="auto"/>
              </w:rPr>
            </w:pPr>
            <w:r>
              <w:rPr>
                <w:rFonts w:ascii="Calibri" w:cs="Calibri" w:eastAsia="Calibri" w:hAnsi="Calibri"/>
                <w:sz w:val="18"/>
                <w:szCs w:val="18"/>
                <w:color w:val="auto"/>
              </w:rPr>
              <w:t>(Gains) losses reclassifed to interest expense, net of tax</w:t>
            </w:r>
          </w:p>
        </w:tc>
        <w:tc>
          <w:tcPr>
            <w:tcW w:w="92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gridSpan w:val="2"/>
            <w:shd w:val="clear" w:color="auto" w:fill="CFF0FC"/>
          </w:tcPr>
          <w:p>
            <w:pPr>
              <w:jc w:val="right"/>
              <w:ind w:right="188"/>
              <w:spacing w:after="0" w:line="215" w:lineRule="exact"/>
              <w:rPr>
                <w:sz w:val="20"/>
                <w:szCs w:val="20"/>
                <w:color w:val="auto"/>
              </w:rPr>
            </w:pPr>
            <w:r>
              <w:rPr>
                <w:rFonts w:ascii="Calibri" w:cs="Calibri" w:eastAsia="Calibri" w:hAnsi="Calibri"/>
                <w:sz w:val="18"/>
                <w:szCs w:val="18"/>
                <w:color w:val="auto"/>
              </w:rPr>
              <w:t>(1 )</w:t>
            </w:r>
          </w:p>
        </w:tc>
        <w:tc>
          <w:tcPr>
            <w:tcW w:w="96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(1 )</w:t>
            </w:r>
          </w:p>
        </w:tc>
        <w:tc>
          <w:tcPr>
            <w:tcW w:w="0" w:type="dxa"/>
            <w:vAlign w:val="bottom"/>
          </w:tcPr>
          <w:p>
            <w:pPr>
              <w:spacing w:after="0"/>
              <w:rPr>
                <w:sz w:val="1"/>
                <w:szCs w:val="1"/>
                <w:color w:val="auto"/>
              </w:rPr>
            </w:pPr>
          </w:p>
        </w:tc>
      </w:tr>
      <w:tr>
        <w:trPr>
          <w:trHeight w:val="208"/>
        </w:trPr>
        <w:tc>
          <w:tcPr>
            <w:tcW w:w="8180" w:type="dxa"/>
            <w:vAlign w:val="bottom"/>
          </w:tcPr>
          <w:p>
            <w:pPr>
              <w:ind w:left="200"/>
              <w:spacing w:after="0" w:line="199" w:lineRule="exact"/>
              <w:rPr>
                <w:sz w:val="20"/>
                <w:szCs w:val="20"/>
                <w:color w:val="auto"/>
              </w:rPr>
            </w:pPr>
            <w:r>
              <w:rPr>
                <w:rFonts w:ascii="Calibri" w:cs="Calibri" w:eastAsia="Calibri" w:hAnsi="Calibri"/>
                <w:sz w:val="18"/>
                <w:szCs w:val="18"/>
                <w:color w:val="auto"/>
              </w:rPr>
              <w:t>Other comprehensive income (loss), net of tax of $ 1 and $ —</w:t>
            </w:r>
          </w:p>
        </w:tc>
        <w:tc>
          <w:tcPr>
            <w:tcW w:w="9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61</w:t>
            </w:r>
          </w:p>
        </w:tc>
        <w:tc>
          <w:tcPr>
            <w:tcW w:w="3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81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818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Comprehensive income (loss)</w:t>
            </w:r>
          </w:p>
        </w:tc>
        <w:tc>
          <w:tcPr>
            <w:tcW w:w="92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122</w:t>
            </w:r>
          </w:p>
        </w:tc>
        <w:tc>
          <w:tcPr>
            <w:tcW w:w="32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153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8180" w:type="dxa"/>
            <w:vAlign w:val="bottom"/>
            <w:tcBorders>
              <w:top w:val="single" w:sz="8" w:color="CFF0FC"/>
            </w:tcBorders>
          </w:tcPr>
          <w:p>
            <w:pPr>
              <w:ind w:left="200"/>
              <w:spacing w:after="0" w:line="201" w:lineRule="exact"/>
              <w:rPr>
                <w:sz w:val="20"/>
                <w:szCs w:val="20"/>
                <w:color w:val="auto"/>
              </w:rPr>
            </w:pPr>
            <w:r>
              <w:rPr>
                <w:rFonts w:ascii="Calibri" w:cs="Calibri" w:eastAsia="Calibri" w:hAnsi="Calibri"/>
                <w:sz w:val="18"/>
                <w:szCs w:val="18"/>
                <w:color w:val="auto"/>
              </w:rPr>
              <w:t>Net income (loss) atributable to noncontrolling interests, net</w:t>
            </w:r>
          </w:p>
        </w:tc>
        <w:tc>
          <w:tcPr>
            <w:tcW w:w="9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180" w:type="dxa"/>
            <w:vAlign w:val="bottom"/>
          </w:tcPr>
          <w:p>
            <w:pPr>
              <w:ind w:left="320"/>
              <w:spacing w:after="0" w:line="215" w:lineRule="exact"/>
              <w:rPr>
                <w:sz w:val="20"/>
                <w:szCs w:val="20"/>
                <w:color w:val="auto"/>
              </w:rPr>
            </w:pPr>
            <w:r>
              <w:rPr>
                <w:rFonts w:ascii="Calibri" w:cs="Calibri" w:eastAsia="Calibri" w:hAnsi="Calibri"/>
                <w:sz w:val="18"/>
                <w:szCs w:val="18"/>
                <w:color w:val="auto"/>
              </w:rPr>
              <w:t>of tax</w:t>
            </w:r>
          </w:p>
        </w:tc>
        <w:tc>
          <w:tcPr>
            <w:tcW w:w="920" w:type="dxa"/>
            <w:vAlign w:val="bottom"/>
          </w:tcPr>
          <w:p>
            <w:pPr>
              <w:spacing w:after="0"/>
              <w:rPr>
                <w:sz w:val="18"/>
                <w:szCs w:val="18"/>
                <w:color w:val="auto"/>
              </w:rPr>
            </w:pPr>
          </w:p>
        </w:tc>
        <w:tc>
          <w:tcPr>
            <w:tcW w:w="400" w:type="dxa"/>
            <w:vAlign w:val="bottom"/>
          </w:tcPr>
          <w:p>
            <w:pPr>
              <w:jc w:val="right"/>
              <w:spacing w:after="0" w:line="215" w:lineRule="exact"/>
              <w:rPr>
                <w:sz w:val="20"/>
                <w:szCs w:val="20"/>
                <w:color w:val="auto"/>
              </w:rPr>
            </w:pPr>
            <w:r>
              <w:rPr>
                <w:rFonts w:ascii="Calibri" w:cs="Calibri" w:eastAsia="Calibri" w:hAnsi="Calibri"/>
                <w:sz w:val="18"/>
                <w:szCs w:val="18"/>
                <w:color w:val="auto"/>
              </w:rPr>
              <w:t>11</w:t>
            </w: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jc w:val="right"/>
              <w:spacing w:after="0" w:line="215" w:lineRule="exact"/>
              <w:rPr>
                <w:sz w:val="20"/>
                <w:szCs w:val="20"/>
                <w:color w:val="auto"/>
              </w:rPr>
            </w:pPr>
            <w:r>
              <w:rPr>
                <w:rFonts w:ascii="Calibri" w:cs="Calibri" w:eastAsia="Calibri" w:hAnsi="Calibri"/>
                <w:sz w:val="18"/>
                <w:szCs w:val="18"/>
                <w:color w:val="auto"/>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7"/>
        </w:trPr>
        <w:tc>
          <w:tcPr>
            <w:tcW w:w="8180" w:type="dxa"/>
            <w:vAlign w:val="bottom"/>
            <w:shd w:val="clear" w:color="auto" w:fill="CFF0FC"/>
          </w:tcPr>
          <w:p>
            <w:pPr>
              <w:ind w:left="200"/>
              <w:spacing w:after="0" w:line="207" w:lineRule="exact"/>
              <w:rPr>
                <w:sz w:val="20"/>
                <w:szCs w:val="20"/>
                <w:color w:val="auto"/>
              </w:rPr>
            </w:pPr>
            <w:r>
              <w:rPr>
                <w:rFonts w:ascii="Calibri" w:cs="Calibri" w:eastAsia="Calibri" w:hAnsi="Calibri"/>
                <w:sz w:val="18"/>
                <w:szCs w:val="18"/>
                <w:color w:val="auto"/>
              </w:rPr>
              <w:t>Foreign currency translaton adjustment atributable to</w:t>
            </w:r>
          </w:p>
        </w:tc>
        <w:tc>
          <w:tcPr>
            <w:tcW w:w="920" w:type="dxa"/>
            <w:vAlign w:val="bottom"/>
            <w:shd w:val="clear" w:color="auto" w:fill="CFF0FC"/>
          </w:tcPr>
          <w:p>
            <w:pPr>
              <w:spacing w:after="0"/>
              <w:rPr>
                <w:sz w:val="18"/>
                <w:szCs w:val="18"/>
                <w:color w:val="auto"/>
              </w:rPr>
            </w:pPr>
          </w:p>
        </w:tc>
        <w:tc>
          <w:tcPr>
            <w:tcW w:w="40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4</w:t>
            </w: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6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180" w:type="dxa"/>
            <w:vAlign w:val="bottom"/>
            <w:tcBorders>
              <w:bottom w:val="single" w:sz="8" w:color="CFF0FC"/>
            </w:tcBorders>
            <w:shd w:val="clear" w:color="auto" w:fill="CFF0FC"/>
          </w:tcPr>
          <w:p>
            <w:pPr>
              <w:ind w:left="320"/>
              <w:spacing w:after="0" w:line="215" w:lineRule="exact"/>
              <w:rPr>
                <w:sz w:val="20"/>
                <w:szCs w:val="20"/>
                <w:color w:val="auto"/>
              </w:rPr>
            </w:pPr>
            <w:r>
              <w:rPr>
                <w:rFonts w:ascii="Calibri" w:cs="Calibri" w:eastAsia="Calibri" w:hAnsi="Calibri"/>
                <w:sz w:val="18"/>
                <w:szCs w:val="18"/>
                <w:color w:val="auto"/>
              </w:rPr>
              <w:t>noncontrolling interests, net of tax</w:t>
            </w:r>
          </w:p>
        </w:tc>
        <w:tc>
          <w:tcPr>
            <w:tcW w:w="92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CFF0FC"/>
            </w:tcBorders>
            <w:vMerge w:val="continue"/>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8180" w:type="dxa"/>
            <w:vAlign w:val="bottom"/>
            <w:tcBorders>
              <w:top w:val="single" w:sz="8" w:color="CFF0FC"/>
            </w:tcBorders>
          </w:tcPr>
          <w:p>
            <w:pPr>
              <w:ind w:left="20"/>
              <w:spacing w:after="0" w:line="208" w:lineRule="exact"/>
              <w:rPr>
                <w:sz w:val="20"/>
                <w:szCs w:val="20"/>
                <w:color w:val="auto"/>
              </w:rPr>
            </w:pPr>
            <w:r>
              <w:rPr>
                <w:rFonts w:ascii="Calibri" w:cs="Calibri" w:eastAsia="Calibri" w:hAnsi="Calibri"/>
                <w:sz w:val="18"/>
                <w:szCs w:val="18"/>
                <w:color w:val="auto"/>
              </w:rPr>
              <w:t>Comprehensive income (loss) atributable to noncontrolling interests</w:t>
            </w:r>
          </w:p>
        </w:tc>
        <w:tc>
          <w:tcPr>
            <w:tcW w:w="9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15</w:t>
            </w:r>
          </w:p>
        </w:tc>
        <w:tc>
          <w:tcPr>
            <w:tcW w:w="320" w:type="dxa"/>
            <w:vAlign w:val="bottom"/>
            <w:tcBorders>
              <w:top w:val="single" w:sz="8" w:color="CFF0F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18</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81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8180" w:type="dxa"/>
            <w:vAlign w:val="bottom"/>
            <w:tcBorders>
              <w:bottom w:val="single" w:sz="8" w:color="CFF0FC"/>
            </w:tcBorders>
            <w:shd w:val="clear" w:color="auto" w:fill="CFF0FC"/>
          </w:tcPr>
          <w:p>
            <w:pPr>
              <w:ind w:left="20"/>
              <w:spacing w:after="0" w:line="213" w:lineRule="exact"/>
              <w:rPr>
                <w:sz w:val="20"/>
                <w:szCs w:val="20"/>
                <w:color w:val="auto"/>
              </w:rPr>
            </w:pPr>
            <w:r>
              <w:rPr>
                <w:rFonts w:ascii="Calibri" w:cs="Calibri" w:eastAsia="Calibri" w:hAnsi="Calibri"/>
                <w:sz w:val="18"/>
                <w:szCs w:val="18"/>
                <w:color w:val="auto"/>
              </w:rPr>
              <w:t>Comprehensive income (loss) atributable to Cabot Corporaton</w:t>
            </w:r>
          </w:p>
        </w:tc>
        <w:tc>
          <w:tcPr>
            <w:tcW w:w="920" w:type="dxa"/>
            <w:vAlign w:val="bottom"/>
            <w:tcBorders>
              <w:bottom w:val="single" w:sz="8" w:color="CFF0FC"/>
            </w:tcBorders>
            <w:shd w:val="clear" w:color="auto" w:fill="CFF0FC"/>
          </w:tcPr>
          <w:p>
            <w:pPr>
              <w:jc w:val="right"/>
              <w:ind w:right="739"/>
              <w:spacing w:after="0" w:line="213" w:lineRule="exact"/>
              <w:rPr>
                <w:sz w:val="20"/>
                <w:szCs w:val="20"/>
                <w:color w:val="auto"/>
              </w:rPr>
            </w:pPr>
            <w:r>
              <w:rPr>
                <w:rFonts w:ascii="Calibri" w:cs="Calibri" w:eastAsia="Calibri" w:hAnsi="Calibri"/>
                <w:sz w:val="18"/>
                <w:szCs w:val="18"/>
                <w:color w:val="auto"/>
                <w:w w:val="87"/>
              </w:rPr>
              <w:t>$</w:t>
            </w:r>
          </w:p>
        </w:tc>
        <w:tc>
          <w:tcPr>
            <w:tcW w:w="40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107</w:t>
            </w:r>
          </w:p>
        </w:tc>
        <w:tc>
          <w:tcPr>
            <w:tcW w:w="32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CFF0FC"/>
            </w:tcBorders>
            <w:shd w:val="clear" w:color="auto" w:fill="CFF0FC"/>
          </w:tcPr>
          <w:p>
            <w:pPr>
              <w:jc w:val="right"/>
              <w:ind w:right="776"/>
              <w:spacing w:after="0" w:line="213" w:lineRule="exact"/>
              <w:rPr>
                <w:sz w:val="20"/>
                <w:szCs w:val="20"/>
                <w:color w:val="auto"/>
              </w:rPr>
            </w:pPr>
            <w:r>
              <w:rPr>
                <w:rFonts w:ascii="Calibri" w:cs="Calibri" w:eastAsia="Calibri" w:hAnsi="Calibri"/>
                <w:sz w:val="18"/>
                <w:szCs w:val="18"/>
                <w:color w:val="auto"/>
                <w:w w:val="87"/>
              </w:rPr>
              <w:t>$</w:t>
            </w:r>
          </w:p>
        </w:tc>
        <w:tc>
          <w:tcPr>
            <w:tcW w:w="36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135</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18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6018530</wp:posOffset>
            </wp:positionH>
            <wp:positionV relativeFrom="paragraph">
              <wp:posOffset>-1271905</wp:posOffset>
            </wp:positionV>
            <wp:extent cx="93980" cy="196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-1271905</wp:posOffset>
            </wp:positionV>
            <wp:extent cx="93980" cy="196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-934085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-934085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-350520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consolidated fnancial statements.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415925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 w:name="page5"/>
    <w:bookmarkEnd w:id="4"/>
    <w:p>
      <w:pPr>
        <w:jc w:val="center"/>
        <w:ind w:right="-19"/>
        <w:spacing w:after="0"/>
        <w:rPr>
          <w:sz w:val="20"/>
          <w:szCs w:val="20"/>
          <w:color w:val="auto"/>
        </w:rPr>
      </w:pPr>
      <w:r>
        <w:rPr>
          <w:rFonts w:ascii="Calibri" w:cs="Calibri" w:eastAsia="Calibri" w:hAnsi="Calibri"/>
          <w:sz w:val="18"/>
          <w:szCs w:val="18"/>
          <w:b w:val="1"/>
          <w:bCs w:val="1"/>
          <w:color w:val="auto"/>
        </w:rPr>
        <w:t>CABOT CORPORATION</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CONSOLIDATED BALANCE SHEETS</w:t>
      </w:r>
    </w:p>
    <w:p>
      <w:pPr>
        <w:jc w:val="center"/>
        <w:ind w:right="-19"/>
        <w:spacing w:after="0" w:line="236" w:lineRule="auto"/>
        <w:rPr>
          <w:sz w:val="20"/>
          <w:szCs w:val="20"/>
          <w:color w:val="auto"/>
        </w:rPr>
      </w:pPr>
      <w:r>
        <w:rPr>
          <w:rFonts w:ascii="Calibri" w:cs="Calibri" w:eastAsia="Calibri" w:hAnsi="Calibri"/>
          <w:sz w:val="18"/>
          <w:szCs w:val="18"/>
          <w:b w:val="1"/>
          <w:bCs w:val="1"/>
          <w:color w:val="auto"/>
        </w:rPr>
        <w:t>ASSETS</w:t>
      </w:r>
    </w:p>
    <w:p>
      <w:pPr>
        <w:jc w:val="center"/>
        <w:ind w:right="-19"/>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jc w:val="right"/>
              <w:ind w:right="428"/>
              <w:spacing w:after="0"/>
              <w:rPr>
                <w:sz w:val="20"/>
                <w:szCs w:val="20"/>
                <w:color w:val="auto"/>
              </w:rPr>
            </w:pPr>
            <w:r>
              <w:rPr>
                <w:rFonts w:ascii="Calibri" w:cs="Calibri" w:eastAsia="Calibri" w:hAnsi="Calibri"/>
                <w:sz w:val="14"/>
                <w:szCs w:val="14"/>
                <w:b w:val="1"/>
                <w:bCs w:val="1"/>
                <w:color w:val="auto"/>
              </w:rPr>
              <w:t>December 31, 2023</w:t>
            </w:r>
          </w:p>
        </w:tc>
        <w:tc>
          <w:tcPr>
            <w:tcW w:w="140" w:type="dxa"/>
            <w:vAlign w:val="bottom"/>
          </w:tcPr>
          <w:p>
            <w:pPr>
              <w:spacing w:after="0"/>
              <w:rPr>
                <w:sz w:val="14"/>
                <w:szCs w:val="14"/>
                <w:color w:val="auto"/>
              </w:rPr>
            </w:pPr>
          </w:p>
        </w:tc>
        <w:tc>
          <w:tcPr>
            <w:tcW w:w="1520" w:type="dxa"/>
            <w:vAlign w:val="bottom"/>
            <w:gridSpan w:val="2"/>
          </w:tcPr>
          <w:p>
            <w:pPr>
              <w:jc w:val="right"/>
              <w:ind w:right="280"/>
              <w:spacing w:after="0"/>
              <w:rPr>
                <w:sz w:val="20"/>
                <w:szCs w:val="20"/>
                <w:color w:val="auto"/>
              </w:rPr>
            </w:pPr>
            <w:r>
              <w:rPr>
                <w:rFonts w:ascii="Calibri" w:cs="Calibri" w:eastAsia="Calibri" w:hAnsi="Calibri"/>
                <w:sz w:val="14"/>
                <w:szCs w:val="14"/>
                <w:b w:val="1"/>
                <w:bCs w:val="1"/>
                <w:color w:val="auto"/>
              </w:rPr>
              <w:t>September 30, 2023</w:t>
            </w:r>
          </w:p>
        </w:tc>
      </w:tr>
      <w:tr>
        <w:trPr>
          <w:trHeight w:val="33"/>
        </w:trPr>
        <w:tc>
          <w:tcPr>
            <w:tcW w:w="7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7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(In</w:t>
            </w:r>
          </w:p>
        </w:tc>
        <w:tc>
          <w:tcPr>
            <w:tcW w:w="1840" w:type="dxa"/>
            <w:vAlign w:val="bottom"/>
            <w:gridSpan w:val="3"/>
          </w:tcPr>
          <w:p>
            <w:pPr>
              <w:jc w:val="right"/>
              <w:ind w:right="1271"/>
              <w:spacing w:after="0" w:line="164" w:lineRule="exact"/>
              <w:rPr>
                <w:sz w:val="20"/>
                <w:szCs w:val="20"/>
                <w:color w:val="auto"/>
              </w:rPr>
            </w:pPr>
            <w:r>
              <w:rPr>
                <w:rFonts w:ascii="Calibri" w:cs="Calibri" w:eastAsia="Calibri" w:hAnsi="Calibri"/>
                <w:sz w:val="14"/>
                <w:szCs w:val="14"/>
                <w:b w:val="1"/>
                <w:bCs w:val="1"/>
                <w:color w:val="auto"/>
                <w:w w:val="91"/>
              </w:rPr>
              <w:t>millions)</w:t>
            </w:r>
          </w:p>
        </w:tc>
        <w:tc>
          <w:tcPr>
            <w:tcW w:w="100" w:type="dxa"/>
            <w:vAlign w:val="bottom"/>
          </w:tcPr>
          <w:p>
            <w:pPr>
              <w:spacing w:after="0"/>
              <w:rPr>
                <w:sz w:val="14"/>
                <w:szCs w:val="14"/>
                <w:color w:val="auto"/>
              </w:rPr>
            </w:pPr>
          </w:p>
        </w:tc>
      </w:tr>
      <w:tr>
        <w:trPr>
          <w:trHeight w:val="33"/>
        </w:trPr>
        <w:tc>
          <w:tcPr>
            <w:tcW w:w="7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72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Current assets:</w:t>
            </w:r>
          </w:p>
        </w:tc>
        <w:tc>
          <w:tcPr>
            <w:tcW w:w="16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720" w:type="dxa"/>
            <w:vAlign w:val="bottom"/>
          </w:tcPr>
          <w:p>
            <w:pPr>
              <w:ind w:left="200"/>
              <w:spacing w:after="0" w:line="215" w:lineRule="exact"/>
              <w:rPr>
                <w:sz w:val="20"/>
                <w:szCs w:val="20"/>
                <w:color w:val="auto"/>
              </w:rPr>
            </w:pPr>
            <w:r>
              <w:rPr>
                <w:rFonts w:ascii="Calibri" w:cs="Calibri" w:eastAsia="Calibri" w:hAnsi="Calibri"/>
                <w:sz w:val="18"/>
                <w:szCs w:val="18"/>
                <w:color w:val="auto"/>
              </w:rPr>
              <w:t>Cash and cash equivalents</w:t>
            </w:r>
          </w:p>
        </w:tc>
        <w:tc>
          <w:tcPr>
            <w:tcW w:w="1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244</w:t>
            </w:r>
          </w:p>
        </w:tc>
        <w:tc>
          <w:tcPr>
            <w:tcW w:w="280" w:type="dxa"/>
            <w:vAlign w:val="bottom"/>
          </w:tcPr>
          <w:p>
            <w:pPr>
              <w:spacing w:after="0"/>
              <w:rPr>
                <w:sz w:val="18"/>
                <w:szCs w:val="18"/>
                <w:color w:val="auto"/>
              </w:rPr>
            </w:pPr>
          </w:p>
        </w:tc>
        <w:tc>
          <w:tcPr>
            <w:tcW w:w="14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238</w:t>
            </w:r>
          </w:p>
        </w:tc>
        <w:tc>
          <w:tcPr>
            <w:tcW w:w="100" w:type="dxa"/>
            <w:vAlign w:val="bottom"/>
          </w:tcPr>
          <w:p>
            <w:pPr>
              <w:spacing w:after="0"/>
              <w:rPr>
                <w:sz w:val="18"/>
                <w:szCs w:val="18"/>
                <w:color w:val="auto"/>
              </w:rPr>
            </w:pPr>
          </w:p>
        </w:tc>
      </w:tr>
      <w:tr>
        <w:trPr>
          <w:trHeight w:val="28"/>
        </w:trPr>
        <w:tc>
          <w:tcPr>
            <w:tcW w:w="7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07"/>
        </w:trPr>
        <w:tc>
          <w:tcPr>
            <w:tcW w:w="7720" w:type="dxa"/>
            <w:vAlign w:val="bottom"/>
            <w:shd w:val="clear" w:color="auto" w:fill="CFF0FC"/>
          </w:tcPr>
          <w:p>
            <w:pPr>
              <w:ind w:left="200"/>
              <w:spacing w:after="0" w:line="207" w:lineRule="exact"/>
              <w:rPr>
                <w:sz w:val="20"/>
                <w:szCs w:val="20"/>
                <w:color w:val="auto"/>
              </w:rPr>
            </w:pPr>
            <w:r>
              <w:rPr>
                <w:rFonts w:ascii="Calibri" w:cs="Calibri" w:eastAsia="Calibri" w:hAnsi="Calibri"/>
                <w:sz w:val="18"/>
                <w:szCs w:val="18"/>
                <w:color w:val="auto"/>
              </w:rPr>
              <w:t>Accounts and notes receivable, net of reserve for doubtul</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2"/>
        </w:trPr>
        <w:tc>
          <w:tcPr>
            <w:tcW w:w="7720" w:type="dxa"/>
            <w:vAlign w:val="bottom"/>
            <w:tcBorders>
              <w:bottom w:val="single" w:sz="8" w:color="CFF0FC"/>
            </w:tcBorders>
            <w:shd w:val="clear" w:color="auto" w:fill="CFF0FC"/>
          </w:tcPr>
          <w:p>
            <w:pPr>
              <w:ind w:left="320"/>
              <w:spacing w:after="0" w:line="215" w:lineRule="exact"/>
              <w:rPr>
                <w:sz w:val="20"/>
                <w:szCs w:val="20"/>
                <w:color w:val="auto"/>
              </w:rPr>
            </w:pPr>
            <w:r>
              <w:rPr>
                <w:rFonts w:ascii="Calibri" w:cs="Calibri" w:eastAsia="Calibri" w:hAnsi="Calibri"/>
                <w:sz w:val="18"/>
                <w:szCs w:val="18"/>
                <w:color w:val="auto"/>
              </w:rPr>
              <w:t>accounts of $3 and $2</w:t>
            </w:r>
          </w:p>
        </w:tc>
        <w:tc>
          <w:tcPr>
            <w:tcW w:w="16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726</w:t>
            </w:r>
          </w:p>
        </w:tc>
        <w:tc>
          <w:tcPr>
            <w:tcW w:w="2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695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15"/>
        </w:trPr>
        <w:tc>
          <w:tcPr>
            <w:tcW w:w="7720" w:type="dxa"/>
            <w:vAlign w:val="bottom"/>
          </w:tcPr>
          <w:p>
            <w:pPr>
              <w:ind w:left="200"/>
              <w:spacing w:after="0" w:line="215" w:lineRule="exact"/>
              <w:rPr>
                <w:sz w:val="20"/>
                <w:szCs w:val="20"/>
                <w:color w:val="auto"/>
              </w:rPr>
            </w:pPr>
            <w:r>
              <w:rPr>
                <w:rFonts w:ascii="Calibri" w:cs="Calibri" w:eastAsia="Calibri" w:hAnsi="Calibri"/>
                <w:sz w:val="18"/>
                <w:szCs w:val="18"/>
                <w:color w:val="auto"/>
              </w:rPr>
              <w:t>Inventories: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
        </w:trPr>
        <w:tc>
          <w:tcPr>
            <w:tcW w:w="7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720" w:type="dxa"/>
            <w:vAlign w:val="bottom"/>
            <w:tcBorders>
              <w:bottom w:val="single" w:sz="8" w:color="CFF0FC"/>
            </w:tcBorders>
            <w:shd w:val="clear" w:color="auto" w:fill="CFF0FC"/>
          </w:tcPr>
          <w:p>
            <w:pPr>
              <w:ind w:left="400"/>
              <w:spacing w:after="0" w:line="215" w:lineRule="exact"/>
              <w:rPr>
                <w:sz w:val="20"/>
                <w:szCs w:val="20"/>
                <w:color w:val="auto"/>
              </w:rPr>
            </w:pPr>
            <w:r>
              <w:rPr>
                <w:rFonts w:ascii="Calibri" w:cs="Calibri" w:eastAsia="Calibri" w:hAnsi="Calibri"/>
                <w:sz w:val="18"/>
                <w:szCs w:val="18"/>
                <w:color w:val="auto"/>
              </w:rPr>
              <w:t>Raw materials</w:t>
            </w:r>
          </w:p>
        </w:tc>
        <w:tc>
          <w:tcPr>
            <w:tcW w:w="16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154</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148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720" w:type="dxa"/>
            <w:vAlign w:val="bottom"/>
          </w:tcPr>
          <w:p>
            <w:pPr>
              <w:ind w:left="400"/>
              <w:spacing w:after="0" w:line="215" w:lineRule="exact"/>
              <w:rPr>
                <w:sz w:val="20"/>
                <w:szCs w:val="20"/>
                <w:color w:val="auto"/>
              </w:rPr>
            </w:pPr>
            <w:r>
              <w:rPr>
                <w:rFonts w:ascii="Calibri" w:cs="Calibri" w:eastAsia="Calibri" w:hAnsi="Calibri"/>
                <w:sz w:val="18"/>
                <w:szCs w:val="18"/>
                <w:color w:val="auto"/>
              </w:rPr>
              <w:t>Finished goods</w:t>
            </w:r>
          </w:p>
        </w:tc>
        <w:tc>
          <w:tcPr>
            <w:tcW w:w="16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398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374</w:t>
            </w:r>
          </w:p>
        </w:tc>
        <w:tc>
          <w:tcPr>
            <w:tcW w:w="100" w:type="dxa"/>
            <w:vAlign w:val="bottom"/>
          </w:tcPr>
          <w:p>
            <w:pPr>
              <w:spacing w:after="0"/>
              <w:rPr>
                <w:sz w:val="18"/>
                <w:szCs w:val="18"/>
                <w:color w:val="auto"/>
              </w:rPr>
            </w:pPr>
          </w:p>
        </w:tc>
      </w:tr>
      <w:tr>
        <w:trPr>
          <w:trHeight w:val="28"/>
        </w:trPr>
        <w:tc>
          <w:tcPr>
            <w:tcW w:w="7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7720" w:type="dxa"/>
            <w:vAlign w:val="bottom"/>
            <w:tcBorders>
              <w:bottom w:val="single" w:sz="8" w:color="CFF0FC"/>
            </w:tcBorders>
            <w:shd w:val="clear" w:color="auto" w:fill="CFF0FC"/>
          </w:tcPr>
          <w:p>
            <w:pPr>
              <w:ind w:left="400"/>
              <w:spacing w:after="0" w:line="215" w:lineRule="exact"/>
              <w:rPr>
                <w:sz w:val="20"/>
                <w:szCs w:val="20"/>
                <w:color w:val="auto"/>
              </w:rPr>
            </w:pPr>
            <w:r>
              <w:rPr>
                <w:rFonts w:ascii="Calibri" w:cs="Calibri" w:eastAsia="Calibri" w:hAnsi="Calibri"/>
                <w:sz w:val="18"/>
                <w:szCs w:val="18"/>
                <w:color w:val="auto"/>
              </w:rPr>
              <w:t>Other</w:t>
            </w: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65</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08"/>
        </w:trPr>
        <w:tc>
          <w:tcPr>
            <w:tcW w:w="7720" w:type="dxa"/>
            <w:vAlign w:val="bottom"/>
            <w:tcBorders>
              <w:top w:val="single" w:sz="8" w:color="CFF0FC"/>
            </w:tcBorders>
          </w:tcPr>
          <w:p>
            <w:pPr>
              <w:ind w:left="560"/>
              <w:spacing w:after="0" w:line="208" w:lineRule="exact"/>
              <w:rPr>
                <w:sz w:val="20"/>
                <w:szCs w:val="20"/>
                <w:color w:val="auto"/>
              </w:rPr>
            </w:pPr>
            <w:r>
              <w:rPr>
                <w:rFonts w:ascii="Calibri" w:cs="Calibri" w:eastAsia="Calibri" w:hAnsi="Calibri"/>
                <w:sz w:val="18"/>
                <w:szCs w:val="18"/>
                <w:color w:val="auto"/>
              </w:rPr>
              <w:t>Total inventories</w:t>
            </w: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617</w:t>
            </w:r>
          </w:p>
        </w:tc>
        <w:tc>
          <w:tcPr>
            <w:tcW w:w="28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585</w:t>
            </w:r>
          </w:p>
        </w:tc>
        <w:tc>
          <w:tcPr>
            <w:tcW w:w="100" w:type="dxa"/>
            <w:vAlign w:val="bottom"/>
            <w:tcBorders>
              <w:top w:val="single" w:sz="8" w:color="CFF0FC"/>
            </w:tcBorders>
          </w:tcPr>
          <w:p>
            <w:pPr>
              <w:spacing w:after="0"/>
              <w:rPr>
                <w:sz w:val="18"/>
                <w:szCs w:val="18"/>
                <w:color w:val="auto"/>
              </w:rPr>
            </w:pPr>
          </w:p>
        </w:tc>
      </w:tr>
      <w:tr>
        <w:trPr>
          <w:trHeight w:val="28"/>
        </w:trPr>
        <w:tc>
          <w:tcPr>
            <w:tcW w:w="7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772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Prepaid expenses and other current assets</w:t>
            </w: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105</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08"/>
        </w:trPr>
        <w:tc>
          <w:tcPr>
            <w:tcW w:w="7720" w:type="dxa"/>
            <w:vAlign w:val="bottom"/>
            <w:tcBorders>
              <w:top w:val="single" w:sz="8" w:color="CFF0FC"/>
            </w:tcBorders>
          </w:tcPr>
          <w:p>
            <w:pPr>
              <w:ind w:left="560"/>
              <w:spacing w:after="0" w:line="208" w:lineRule="exact"/>
              <w:rPr>
                <w:sz w:val="20"/>
                <w:szCs w:val="20"/>
                <w:color w:val="auto"/>
              </w:rPr>
            </w:pPr>
            <w:r>
              <w:rPr>
                <w:rFonts w:ascii="Calibri" w:cs="Calibri" w:eastAsia="Calibri" w:hAnsi="Calibri"/>
                <w:sz w:val="18"/>
                <w:szCs w:val="18"/>
                <w:color w:val="auto"/>
              </w:rPr>
              <w:t>Total current assets</w:t>
            </w: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1,692</w:t>
            </w:r>
          </w:p>
        </w:tc>
        <w:tc>
          <w:tcPr>
            <w:tcW w:w="28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1,626</w:t>
            </w:r>
          </w:p>
        </w:tc>
        <w:tc>
          <w:tcPr>
            <w:tcW w:w="100" w:type="dxa"/>
            <w:vAlign w:val="bottom"/>
            <w:tcBorders>
              <w:top w:val="single" w:sz="8" w:color="CFF0FC"/>
            </w:tcBorders>
          </w:tcPr>
          <w:p>
            <w:pPr>
              <w:spacing w:after="0"/>
              <w:rPr>
                <w:sz w:val="18"/>
                <w:szCs w:val="18"/>
                <w:color w:val="auto"/>
              </w:rPr>
            </w:pPr>
          </w:p>
        </w:tc>
      </w:tr>
      <w:tr>
        <w:trPr>
          <w:trHeight w:val="28"/>
        </w:trPr>
        <w:tc>
          <w:tcPr>
            <w:tcW w:w="7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7"/>
        </w:trPr>
        <w:tc>
          <w:tcPr>
            <w:tcW w:w="772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Property, plant and equipment</w:t>
            </w:r>
          </w:p>
        </w:tc>
        <w:tc>
          <w:tcPr>
            <w:tcW w:w="16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3,936</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3,827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7720" w:type="dxa"/>
            <w:vAlign w:val="bottom"/>
          </w:tcPr>
          <w:p>
            <w:pPr>
              <w:ind w:left="20"/>
              <w:spacing w:after="0" w:line="215" w:lineRule="exact"/>
              <w:rPr>
                <w:sz w:val="20"/>
                <w:szCs w:val="20"/>
                <w:color w:val="auto"/>
              </w:rPr>
            </w:pPr>
            <w:r>
              <w:rPr>
                <w:rFonts w:ascii="Calibri" w:cs="Calibri" w:eastAsia="Calibri" w:hAnsi="Calibri"/>
                <w:sz w:val="18"/>
                <w:szCs w:val="18"/>
                <w:color w:val="auto"/>
              </w:rPr>
              <w:t>Accumulated depreciaton</w:t>
            </w:r>
          </w:p>
        </w:tc>
        <w:tc>
          <w:tcPr>
            <w:tcW w:w="160" w:type="dxa"/>
            <w:vAlign w:val="bottom"/>
          </w:tcPr>
          <w:p>
            <w:pPr>
              <w:spacing w:after="0"/>
              <w:rPr>
                <w:sz w:val="18"/>
                <w:szCs w:val="18"/>
                <w:color w:val="auto"/>
              </w:rPr>
            </w:pPr>
          </w:p>
        </w:tc>
        <w:tc>
          <w:tcPr>
            <w:tcW w:w="1700" w:type="dxa"/>
            <w:vAlign w:val="bottom"/>
            <w:gridSpan w:val="2"/>
          </w:tcPr>
          <w:p>
            <w:pPr>
              <w:jc w:val="right"/>
              <w:ind w:right="148"/>
              <w:spacing w:after="0" w:line="215" w:lineRule="exact"/>
              <w:rPr>
                <w:sz w:val="20"/>
                <w:szCs w:val="20"/>
                <w:color w:val="auto"/>
              </w:rPr>
            </w:pPr>
            <w:r>
              <w:rPr>
                <w:rFonts w:ascii="Calibri" w:cs="Calibri" w:eastAsia="Calibri" w:hAnsi="Calibri"/>
                <w:sz w:val="18"/>
                <w:szCs w:val="18"/>
                <w:color w:val="auto"/>
              </w:rPr>
              <w:t>(2,492 )</w:t>
            </w:r>
          </w:p>
        </w:tc>
        <w:tc>
          <w:tcPr>
            <w:tcW w:w="140" w:type="dxa"/>
            <w:vAlign w:val="bottom"/>
          </w:tcPr>
          <w:p>
            <w:pPr>
              <w:spacing w:after="0"/>
              <w:rPr>
                <w:sz w:val="18"/>
                <w:szCs w:val="18"/>
                <w:color w:val="auto"/>
              </w:rPr>
            </w:pPr>
          </w:p>
        </w:tc>
        <w:tc>
          <w:tcPr>
            <w:tcW w:w="152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(2,415 )</w:t>
            </w:r>
          </w:p>
        </w:tc>
      </w:tr>
      <w:tr>
        <w:trPr>
          <w:trHeight w:val="28"/>
        </w:trPr>
        <w:tc>
          <w:tcPr>
            <w:tcW w:w="7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2"/>
        </w:trPr>
        <w:tc>
          <w:tcPr>
            <w:tcW w:w="7720" w:type="dxa"/>
            <w:vAlign w:val="bottom"/>
            <w:tcBorders>
              <w:bottom w:val="single" w:sz="8" w:color="CFF0FC"/>
            </w:tcBorders>
            <w:shd w:val="clear" w:color="auto" w:fill="CFF0FC"/>
          </w:tcPr>
          <w:p>
            <w:pPr>
              <w:ind w:left="560"/>
              <w:spacing w:after="0" w:line="208" w:lineRule="exact"/>
              <w:rPr>
                <w:sz w:val="20"/>
                <w:szCs w:val="20"/>
                <w:color w:val="auto"/>
              </w:rPr>
            </w:pPr>
            <w:r>
              <w:rPr>
                <w:rFonts w:ascii="Calibri" w:cs="Calibri" w:eastAsia="Calibri" w:hAnsi="Calibri"/>
                <w:sz w:val="18"/>
                <w:szCs w:val="18"/>
                <w:color w:val="auto"/>
              </w:rPr>
              <w:t>Net property, plant and equipment</w:t>
            </w:r>
          </w:p>
        </w:tc>
        <w:tc>
          <w:tcPr>
            <w:tcW w:w="16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1,444</w:t>
            </w:r>
          </w:p>
        </w:tc>
        <w:tc>
          <w:tcPr>
            <w:tcW w:w="2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1,412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8"/>
        </w:trPr>
        <w:tc>
          <w:tcPr>
            <w:tcW w:w="7720" w:type="dxa"/>
            <w:vAlign w:val="bottom"/>
            <w:tcBorders>
              <w:top w:val="single" w:sz="8" w:color="CFF0FC"/>
            </w:tcBorders>
          </w:tcPr>
          <w:p>
            <w:pPr>
              <w:ind w:left="20"/>
              <w:spacing w:after="0" w:line="208" w:lineRule="exact"/>
              <w:rPr>
                <w:sz w:val="20"/>
                <w:szCs w:val="20"/>
                <w:color w:val="auto"/>
              </w:rPr>
            </w:pPr>
            <w:r>
              <w:rPr>
                <w:rFonts w:ascii="Calibri" w:cs="Calibri" w:eastAsia="Calibri" w:hAnsi="Calibri"/>
                <w:sz w:val="18"/>
                <w:szCs w:val="18"/>
                <w:color w:val="auto"/>
              </w:rPr>
              <w:t>Goodwill</w:t>
            </w: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138</w:t>
            </w:r>
          </w:p>
        </w:tc>
        <w:tc>
          <w:tcPr>
            <w:tcW w:w="28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134</w:t>
            </w:r>
          </w:p>
        </w:tc>
        <w:tc>
          <w:tcPr>
            <w:tcW w:w="100" w:type="dxa"/>
            <w:vAlign w:val="bottom"/>
            <w:tcBorders>
              <w:top w:val="single" w:sz="8" w:color="CFF0FC"/>
            </w:tcBorders>
          </w:tcPr>
          <w:p>
            <w:pPr>
              <w:spacing w:after="0"/>
              <w:rPr>
                <w:sz w:val="18"/>
                <w:szCs w:val="18"/>
                <w:color w:val="auto"/>
              </w:rPr>
            </w:pPr>
          </w:p>
        </w:tc>
      </w:tr>
      <w:tr>
        <w:trPr>
          <w:trHeight w:val="28"/>
        </w:trPr>
        <w:tc>
          <w:tcPr>
            <w:tcW w:w="7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72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Equity afliates</w:t>
            </w:r>
          </w:p>
        </w:tc>
        <w:tc>
          <w:tcPr>
            <w:tcW w:w="16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21</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720" w:type="dxa"/>
            <w:vAlign w:val="bottom"/>
          </w:tcPr>
          <w:p>
            <w:pPr>
              <w:ind w:left="20"/>
              <w:spacing w:after="0" w:line="215" w:lineRule="exact"/>
              <w:rPr>
                <w:sz w:val="20"/>
                <w:szCs w:val="20"/>
                <w:color w:val="auto"/>
              </w:rPr>
            </w:pPr>
            <w:r>
              <w:rPr>
                <w:rFonts w:ascii="Calibri" w:cs="Calibri" w:eastAsia="Calibri" w:hAnsi="Calibri"/>
                <w:sz w:val="18"/>
                <w:szCs w:val="18"/>
                <w:color w:val="auto"/>
              </w:rPr>
              <w:t>Intangible assets, net</w:t>
            </w:r>
          </w:p>
        </w:tc>
        <w:tc>
          <w:tcPr>
            <w:tcW w:w="16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61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60</w:t>
            </w:r>
          </w:p>
        </w:tc>
        <w:tc>
          <w:tcPr>
            <w:tcW w:w="100" w:type="dxa"/>
            <w:vAlign w:val="bottom"/>
          </w:tcPr>
          <w:p>
            <w:pPr>
              <w:spacing w:after="0"/>
              <w:rPr>
                <w:sz w:val="18"/>
                <w:szCs w:val="18"/>
                <w:color w:val="auto"/>
              </w:rPr>
            </w:pPr>
          </w:p>
        </w:tc>
      </w:tr>
      <w:tr>
        <w:trPr>
          <w:trHeight w:val="28"/>
        </w:trPr>
        <w:tc>
          <w:tcPr>
            <w:tcW w:w="7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72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Deferred income taxes</w:t>
            </w:r>
          </w:p>
        </w:tc>
        <w:tc>
          <w:tcPr>
            <w:tcW w:w="16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166</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180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720" w:type="dxa"/>
            <w:vAlign w:val="bottom"/>
          </w:tcPr>
          <w:p>
            <w:pPr>
              <w:ind w:left="20"/>
              <w:spacing w:after="0" w:line="215" w:lineRule="exact"/>
              <w:rPr>
                <w:sz w:val="20"/>
                <w:szCs w:val="20"/>
                <w:color w:val="auto"/>
              </w:rPr>
            </w:pPr>
            <w:r>
              <w:rPr>
                <w:rFonts w:ascii="Calibri" w:cs="Calibri" w:eastAsia="Calibri" w:hAnsi="Calibri"/>
                <w:sz w:val="18"/>
                <w:szCs w:val="18"/>
                <w:color w:val="auto"/>
              </w:rPr>
              <w:t>Other assets</w:t>
            </w:r>
          </w:p>
        </w:tc>
        <w:tc>
          <w:tcPr>
            <w:tcW w:w="16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173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172</w:t>
            </w:r>
          </w:p>
        </w:tc>
        <w:tc>
          <w:tcPr>
            <w:tcW w:w="100" w:type="dxa"/>
            <w:vAlign w:val="bottom"/>
          </w:tcPr>
          <w:p>
            <w:pPr>
              <w:spacing w:after="0"/>
              <w:rPr>
                <w:sz w:val="18"/>
                <w:szCs w:val="18"/>
                <w:color w:val="auto"/>
              </w:rPr>
            </w:pPr>
          </w:p>
        </w:tc>
      </w:tr>
      <w:tr>
        <w:trPr>
          <w:trHeight w:val="28"/>
        </w:trPr>
        <w:tc>
          <w:tcPr>
            <w:tcW w:w="7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61"/>
        </w:trPr>
        <w:tc>
          <w:tcPr>
            <w:tcW w:w="772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Total assets</w:t>
            </w:r>
          </w:p>
        </w:tc>
        <w:tc>
          <w:tcPr>
            <w:tcW w:w="1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w:t>
            </w:r>
          </w:p>
        </w:tc>
        <w:tc>
          <w:tcPr>
            <w:tcW w:w="14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3,695</w:t>
            </w:r>
          </w:p>
        </w:tc>
        <w:tc>
          <w:tcPr>
            <w:tcW w:w="2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14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3,604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-1928495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-1928495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-1610995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-1610995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-967740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-967740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consolidated fnancial statements.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415925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 w:name="page6"/>
    <w:bookmarkEnd w:id="5"/>
    <w:p>
      <w:pPr>
        <w:jc w:val="center"/>
        <w:ind w:right="-19"/>
        <w:spacing w:after="0"/>
        <w:rPr>
          <w:sz w:val="20"/>
          <w:szCs w:val="20"/>
          <w:color w:val="auto"/>
        </w:rPr>
      </w:pPr>
      <w:r>
        <w:rPr>
          <w:rFonts w:ascii="Calibri" w:cs="Calibri" w:eastAsia="Calibri" w:hAnsi="Calibri"/>
          <w:sz w:val="18"/>
          <w:szCs w:val="18"/>
          <w:b w:val="1"/>
          <w:bCs w:val="1"/>
          <w:color w:val="auto"/>
        </w:rPr>
        <w:t>CABOT CORPORATION</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CONSOLIDATED BALANCE SHEETS</w:t>
      </w:r>
    </w:p>
    <w:p>
      <w:pPr>
        <w:jc w:val="center"/>
        <w:ind w:right="-19"/>
        <w:spacing w:after="0" w:line="236" w:lineRule="auto"/>
        <w:rPr>
          <w:sz w:val="20"/>
          <w:szCs w:val="20"/>
          <w:color w:val="auto"/>
        </w:rPr>
      </w:pPr>
      <w:r>
        <w:rPr>
          <w:rFonts w:ascii="Calibri" w:cs="Calibri" w:eastAsia="Calibri" w:hAnsi="Calibri"/>
          <w:sz w:val="18"/>
          <w:szCs w:val="18"/>
          <w:b w:val="1"/>
          <w:bCs w:val="1"/>
          <w:color w:val="auto"/>
        </w:rPr>
        <w:t>LIABILITIES AND STOCKHOLDERS’ EQUITY</w:t>
      </w:r>
    </w:p>
    <w:p>
      <w:pPr>
        <w:jc w:val="center"/>
        <w:ind w:right="-19"/>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jc w:val="right"/>
              <w:ind w:right="428"/>
              <w:spacing w:after="0"/>
              <w:rPr>
                <w:sz w:val="20"/>
                <w:szCs w:val="20"/>
                <w:color w:val="auto"/>
              </w:rPr>
            </w:pPr>
            <w:r>
              <w:rPr>
                <w:rFonts w:ascii="Calibri" w:cs="Calibri" w:eastAsia="Calibri" w:hAnsi="Calibri"/>
                <w:sz w:val="14"/>
                <w:szCs w:val="14"/>
                <w:b w:val="1"/>
                <w:bCs w:val="1"/>
                <w:color w:val="auto"/>
              </w:rPr>
              <w:t>December 31, 2023</w:t>
            </w:r>
          </w:p>
        </w:tc>
        <w:tc>
          <w:tcPr>
            <w:tcW w:w="140" w:type="dxa"/>
            <w:vAlign w:val="bottom"/>
          </w:tcPr>
          <w:p>
            <w:pPr>
              <w:spacing w:after="0"/>
              <w:rPr>
                <w:sz w:val="14"/>
                <w:szCs w:val="14"/>
                <w:color w:val="auto"/>
              </w:rPr>
            </w:pPr>
          </w:p>
        </w:tc>
        <w:tc>
          <w:tcPr>
            <w:tcW w:w="1520" w:type="dxa"/>
            <w:vAlign w:val="bottom"/>
            <w:gridSpan w:val="2"/>
          </w:tcPr>
          <w:p>
            <w:pPr>
              <w:jc w:val="right"/>
              <w:ind w:right="280"/>
              <w:spacing w:after="0"/>
              <w:rPr>
                <w:sz w:val="20"/>
                <w:szCs w:val="20"/>
                <w:color w:val="auto"/>
              </w:rPr>
            </w:pPr>
            <w:r>
              <w:rPr>
                <w:rFonts w:ascii="Calibri" w:cs="Calibri" w:eastAsia="Calibri" w:hAnsi="Calibri"/>
                <w:sz w:val="14"/>
                <w:szCs w:val="14"/>
                <w:b w:val="1"/>
                <w:bCs w:val="1"/>
                <w:color w:val="auto"/>
              </w:rPr>
              <w:t>September 30, 2023</w:t>
            </w:r>
          </w:p>
        </w:tc>
      </w:tr>
      <w:tr>
        <w:trPr>
          <w:trHeight w:val="33"/>
        </w:trPr>
        <w:tc>
          <w:tcPr>
            <w:tcW w:w="7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7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(In millions,</w:t>
            </w:r>
          </w:p>
        </w:tc>
        <w:tc>
          <w:tcPr>
            <w:tcW w:w="1840" w:type="dxa"/>
            <w:vAlign w:val="bottom"/>
            <w:gridSpan w:val="3"/>
          </w:tcPr>
          <w:p>
            <w:pPr>
              <w:jc w:val="right"/>
              <w:ind w:right="871"/>
              <w:spacing w:after="0" w:line="164" w:lineRule="exact"/>
              <w:rPr>
                <w:sz w:val="20"/>
                <w:szCs w:val="20"/>
                <w:color w:val="auto"/>
              </w:rPr>
            </w:pPr>
            <w:r>
              <w:rPr>
                <w:rFonts w:ascii="Calibri" w:cs="Calibri" w:eastAsia="Calibri" w:hAnsi="Calibri"/>
                <w:sz w:val="14"/>
                <w:szCs w:val="14"/>
                <w:b w:val="1"/>
                <w:bCs w:val="1"/>
                <w:color w:val="auto"/>
              </w:rPr>
              <w:t>except share</w:t>
            </w:r>
          </w:p>
        </w:tc>
        <w:tc>
          <w:tcPr>
            <w:tcW w:w="100" w:type="dxa"/>
            <w:vAlign w:val="bottom"/>
          </w:tcPr>
          <w:p>
            <w:pPr>
              <w:spacing w:after="0"/>
              <w:rPr>
                <w:sz w:val="14"/>
                <w:szCs w:val="14"/>
                <w:color w:val="auto"/>
              </w:rPr>
            </w:pPr>
          </w:p>
        </w:tc>
      </w:tr>
      <w:tr>
        <w:trPr>
          <w:trHeight w:val="202"/>
        </w:trPr>
        <w:tc>
          <w:tcPr>
            <w:tcW w:w="7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60" w:type="dxa"/>
            <w:vAlign w:val="bottom"/>
            <w:gridSpan w:val="5"/>
          </w:tcPr>
          <w:p>
            <w:pPr>
              <w:jc w:val="right"/>
              <w:ind w:right="1100"/>
              <w:spacing w:after="0"/>
              <w:rPr>
                <w:sz w:val="20"/>
                <w:szCs w:val="20"/>
                <w:color w:val="auto"/>
              </w:rPr>
            </w:pPr>
            <w:r>
              <w:rPr>
                <w:rFonts w:ascii="Calibri" w:cs="Calibri" w:eastAsia="Calibri" w:hAnsi="Calibri"/>
                <w:sz w:val="14"/>
                <w:szCs w:val="14"/>
                <w:b w:val="1"/>
                <w:bCs w:val="1"/>
                <w:color w:val="auto"/>
              </w:rPr>
              <w:t>and per share amounts)</w:t>
            </w:r>
          </w:p>
        </w:tc>
      </w:tr>
      <w:tr>
        <w:trPr>
          <w:trHeight w:val="33"/>
        </w:trPr>
        <w:tc>
          <w:tcPr>
            <w:tcW w:w="7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72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Current liabilites:</w:t>
            </w:r>
          </w:p>
        </w:tc>
        <w:tc>
          <w:tcPr>
            <w:tcW w:w="16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720" w:type="dxa"/>
            <w:vAlign w:val="bottom"/>
          </w:tcPr>
          <w:p>
            <w:pPr>
              <w:ind w:left="200"/>
              <w:spacing w:after="0" w:line="215" w:lineRule="exact"/>
              <w:rPr>
                <w:sz w:val="20"/>
                <w:szCs w:val="20"/>
                <w:color w:val="auto"/>
              </w:rPr>
            </w:pPr>
            <w:r>
              <w:rPr>
                <w:rFonts w:ascii="Calibri" w:cs="Calibri" w:eastAsia="Calibri" w:hAnsi="Calibri"/>
                <w:sz w:val="18"/>
                <w:szCs w:val="18"/>
                <w:color w:val="auto"/>
              </w:rPr>
              <w:t>Short-term borrowings</w:t>
            </w:r>
          </w:p>
        </w:tc>
        <w:tc>
          <w:tcPr>
            <w:tcW w:w="1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206</w:t>
            </w:r>
          </w:p>
        </w:tc>
        <w:tc>
          <w:tcPr>
            <w:tcW w:w="280" w:type="dxa"/>
            <w:vAlign w:val="bottom"/>
          </w:tcPr>
          <w:p>
            <w:pPr>
              <w:spacing w:after="0"/>
              <w:rPr>
                <w:sz w:val="18"/>
                <w:szCs w:val="18"/>
                <w:color w:val="auto"/>
              </w:rPr>
            </w:pPr>
          </w:p>
        </w:tc>
        <w:tc>
          <w:tcPr>
            <w:tcW w:w="14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174</w:t>
            </w:r>
          </w:p>
        </w:tc>
        <w:tc>
          <w:tcPr>
            <w:tcW w:w="100" w:type="dxa"/>
            <w:vAlign w:val="bottom"/>
          </w:tcPr>
          <w:p>
            <w:pPr>
              <w:spacing w:after="0"/>
              <w:rPr>
                <w:sz w:val="18"/>
                <w:szCs w:val="18"/>
                <w:color w:val="auto"/>
              </w:rPr>
            </w:pPr>
          </w:p>
        </w:tc>
      </w:tr>
      <w:tr>
        <w:trPr>
          <w:trHeight w:val="28"/>
        </w:trPr>
        <w:tc>
          <w:tcPr>
            <w:tcW w:w="7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72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Accounts payable and accrued liabilites</w:t>
            </w:r>
          </w:p>
        </w:tc>
        <w:tc>
          <w:tcPr>
            <w:tcW w:w="16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585</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600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720" w:type="dxa"/>
            <w:vAlign w:val="bottom"/>
          </w:tcPr>
          <w:p>
            <w:pPr>
              <w:ind w:left="200"/>
              <w:spacing w:after="0" w:line="215" w:lineRule="exact"/>
              <w:rPr>
                <w:sz w:val="20"/>
                <w:szCs w:val="20"/>
                <w:color w:val="auto"/>
              </w:rPr>
            </w:pPr>
            <w:r>
              <w:rPr>
                <w:rFonts w:ascii="Calibri" w:cs="Calibri" w:eastAsia="Calibri" w:hAnsi="Calibri"/>
                <w:sz w:val="18"/>
                <w:szCs w:val="18"/>
                <w:color w:val="auto"/>
              </w:rPr>
              <w:t>Income taxes payable</w:t>
            </w:r>
          </w:p>
        </w:tc>
        <w:tc>
          <w:tcPr>
            <w:tcW w:w="16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31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40</w:t>
            </w:r>
          </w:p>
        </w:tc>
        <w:tc>
          <w:tcPr>
            <w:tcW w:w="100" w:type="dxa"/>
            <w:vAlign w:val="bottom"/>
          </w:tcPr>
          <w:p>
            <w:pPr>
              <w:spacing w:after="0"/>
              <w:rPr>
                <w:sz w:val="18"/>
                <w:szCs w:val="18"/>
                <w:color w:val="auto"/>
              </w:rPr>
            </w:pPr>
          </w:p>
        </w:tc>
      </w:tr>
      <w:tr>
        <w:trPr>
          <w:trHeight w:val="28"/>
        </w:trPr>
        <w:tc>
          <w:tcPr>
            <w:tcW w:w="7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772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Current porton of long-term debt</w:t>
            </w: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08"/>
        </w:trPr>
        <w:tc>
          <w:tcPr>
            <w:tcW w:w="7720" w:type="dxa"/>
            <w:vAlign w:val="bottom"/>
            <w:tcBorders>
              <w:top w:val="single" w:sz="8" w:color="CFF0FC"/>
            </w:tcBorders>
          </w:tcPr>
          <w:p>
            <w:pPr>
              <w:ind w:left="380"/>
              <w:spacing w:after="0" w:line="208" w:lineRule="exact"/>
              <w:rPr>
                <w:sz w:val="20"/>
                <w:szCs w:val="20"/>
                <w:color w:val="auto"/>
              </w:rPr>
            </w:pPr>
            <w:r>
              <w:rPr>
                <w:rFonts w:ascii="Calibri" w:cs="Calibri" w:eastAsia="Calibri" w:hAnsi="Calibri"/>
                <w:sz w:val="18"/>
                <w:szCs w:val="18"/>
                <w:color w:val="auto"/>
              </w:rPr>
              <w:t>Total current liabilites</w:t>
            </w: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830</w:t>
            </w:r>
          </w:p>
        </w:tc>
        <w:tc>
          <w:tcPr>
            <w:tcW w:w="28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822</w:t>
            </w:r>
          </w:p>
        </w:tc>
        <w:tc>
          <w:tcPr>
            <w:tcW w:w="100" w:type="dxa"/>
            <w:vAlign w:val="bottom"/>
            <w:tcBorders>
              <w:top w:val="single" w:sz="8" w:color="CFF0FC"/>
            </w:tcBorders>
          </w:tcPr>
          <w:p>
            <w:pPr>
              <w:spacing w:after="0"/>
              <w:rPr>
                <w:sz w:val="18"/>
                <w:szCs w:val="18"/>
                <w:color w:val="auto"/>
              </w:rPr>
            </w:pPr>
          </w:p>
        </w:tc>
      </w:tr>
      <w:tr>
        <w:trPr>
          <w:trHeight w:val="28"/>
        </w:trPr>
        <w:tc>
          <w:tcPr>
            <w:tcW w:w="7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7"/>
        </w:trPr>
        <w:tc>
          <w:tcPr>
            <w:tcW w:w="772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Long-term debt</w:t>
            </w:r>
          </w:p>
        </w:tc>
        <w:tc>
          <w:tcPr>
            <w:tcW w:w="16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1,098</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1,094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7720" w:type="dxa"/>
            <w:vAlign w:val="bottom"/>
          </w:tcPr>
          <w:p>
            <w:pPr>
              <w:ind w:left="20"/>
              <w:spacing w:after="0" w:line="215" w:lineRule="exact"/>
              <w:rPr>
                <w:sz w:val="20"/>
                <w:szCs w:val="20"/>
                <w:color w:val="auto"/>
              </w:rPr>
            </w:pPr>
            <w:r>
              <w:rPr>
                <w:rFonts w:ascii="Calibri" w:cs="Calibri" w:eastAsia="Calibri" w:hAnsi="Calibri"/>
                <w:sz w:val="18"/>
                <w:szCs w:val="18"/>
                <w:color w:val="auto"/>
              </w:rPr>
              <w:t>Deferred income taxes</w:t>
            </w:r>
          </w:p>
        </w:tc>
        <w:tc>
          <w:tcPr>
            <w:tcW w:w="16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51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50</w:t>
            </w:r>
          </w:p>
        </w:tc>
        <w:tc>
          <w:tcPr>
            <w:tcW w:w="100" w:type="dxa"/>
            <w:vAlign w:val="bottom"/>
          </w:tcPr>
          <w:p>
            <w:pPr>
              <w:spacing w:after="0"/>
              <w:rPr>
                <w:sz w:val="18"/>
                <w:szCs w:val="18"/>
                <w:color w:val="auto"/>
              </w:rPr>
            </w:pPr>
          </w:p>
        </w:tc>
      </w:tr>
      <w:tr>
        <w:trPr>
          <w:trHeight w:val="28"/>
        </w:trPr>
        <w:tc>
          <w:tcPr>
            <w:tcW w:w="7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72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Other liabilites</w:t>
            </w:r>
          </w:p>
        </w:tc>
        <w:tc>
          <w:tcPr>
            <w:tcW w:w="16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241</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231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720" w:type="dxa"/>
            <w:vAlign w:val="bottom"/>
          </w:tcPr>
          <w:p>
            <w:pPr>
              <w:ind w:left="20"/>
              <w:spacing w:after="0" w:line="215" w:lineRule="exact"/>
              <w:rPr>
                <w:sz w:val="20"/>
                <w:szCs w:val="20"/>
                <w:color w:val="auto"/>
              </w:rPr>
            </w:pPr>
            <w:r>
              <w:rPr>
                <w:rFonts w:ascii="Calibri" w:cs="Calibri" w:eastAsia="Calibri" w:hAnsi="Calibri"/>
                <w:sz w:val="18"/>
                <w:szCs w:val="18"/>
                <w:color w:val="auto"/>
              </w:rPr>
              <w:t>Contngencies (Note E)</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
        </w:trPr>
        <w:tc>
          <w:tcPr>
            <w:tcW w:w="7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72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Stockholders' equity:</w:t>
            </w:r>
          </w:p>
        </w:tc>
        <w:tc>
          <w:tcPr>
            <w:tcW w:w="16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720" w:type="dxa"/>
            <w:vAlign w:val="bottom"/>
          </w:tcPr>
          <w:p>
            <w:pPr>
              <w:ind w:left="200"/>
              <w:spacing w:after="0" w:line="215" w:lineRule="exact"/>
              <w:rPr>
                <w:sz w:val="20"/>
                <w:szCs w:val="20"/>
                <w:color w:val="auto"/>
              </w:rPr>
            </w:pPr>
            <w:r>
              <w:rPr>
                <w:rFonts w:ascii="Calibri" w:cs="Calibri" w:eastAsia="Calibri" w:hAnsi="Calibri"/>
                <w:sz w:val="18"/>
                <w:szCs w:val="18"/>
                <w:color w:val="auto"/>
              </w:rPr>
              <w:t>Preferred stock:</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
        </w:trPr>
        <w:tc>
          <w:tcPr>
            <w:tcW w:w="7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720" w:type="dxa"/>
            <w:vAlign w:val="bottom"/>
            <w:tcBorders>
              <w:bottom w:val="single" w:sz="8" w:color="CFF0FC"/>
            </w:tcBorders>
            <w:shd w:val="clear" w:color="auto" w:fill="CFF0FC"/>
          </w:tcPr>
          <w:p>
            <w:pPr>
              <w:ind w:left="380"/>
              <w:spacing w:after="0" w:line="215" w:lineRule="exact"/>
              <w:rPr>
                <w:sz w:val="20"/>
                <w:szCs w:val="20"/>
                <w:color w:val="auto"/>
              </w:rPr>
            </w:pPr>
            <w:r>
              <w:rPr>
                <w:rFonts w:ascii="Calibri" w:cs="Calibri" w:eastAsia="Calibri" w:hAnsi="Calibri"/>
                <w:sz w:val="18"/>
                <w:szCs w:val="18"/>
                <w:color w:val="auto"/>
              </w:rPr>
              <w:t>Authorized: 2,000,000 shares of $1 par value, Issued and Outstanding: None and none</w:t>
            </w:r>
          </w:p>
        </w:tc>
        <w:tc>
          <w:tcPr>
            <w:tcW w:w="160" w:type="dxa"/>
            <w:vAlign w:val="bottom"/>
            <w:tcBorders>
              <w:bottom w:val="single" w:sz="8" w:color="CFF0FC"/>
            </w:tcBorders>
            <w:shd w:val="clear" w:color="auto" w:fill="CFF0FC"/>
          </w:tcPr>
          <w:p>
            <w:pPr>
              <w:spacing w:after="0"/>
              <w:rPr>
                <w:sz w:val="19"/>
                <w:szCs w:val="19"/>
                <w:color w:val="auto"/>
              </w:rPr>
            </w:pPr>
          </w:p>
        </w:tc>
        <w:tc>
          <w:tcPr>
            <w:tcW w:w="1700" w:type="dxa"/>
            <w:vAlign w:val="bottom"/>
            <w:tcBorders>
              <w:bottom w:val="single" w:sz="8" w:color="CFF0FC"/>
            </w:tcBorders>
            <w:gridSpan w:val="2"/>
            <w:shd w:val="clear" w:color="auto" w:fill="CFF0FC"/>
          </w:tcPr>
          <w:p>
            <w:pPr>
              <w:jc w:val="right"/>
              <w:ind w:right="228"/>
              <w:spacing w:after="0" w:line="215" w:lineRule="exact"/>
              <w:rPr>
                <w:sz w:val="20"/>
                <w:szCs w:val="20"/>
                <w:color w:val="auto"/>
              </w:rPr>
            </w:pPr>
            <w:r>
              <w:rPr>
                <w:rFonts w:ascii="Calibri" w:cs="Calibri" w:eastAsia="Calibri" w:hAnsi="Calibri"/>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CFF0FC"/>
            </w:tcBorders>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15"/>
        </w:trPr>
        <w:tc>
          <w:tcPr>
            <w:tcW w:w="7720" w:type="dxa"/>
            <w:vAlign w:val="bottom"/>
          </w:tcPr>
          <w:p>
            <w:pPr>
              <w:ind w:left="200"/>
              <w:spacing w:after="0" w:line="215" w:lineRule="exact"/>
              <w:rPr>
                <w:sz w:val="20"/>
                <w:szCs w:val="20"/>
                <w:color w:val="auto"/>
              </w:rPr>
            </w:pPr>
            <w:r>
              <w:rPr>
                <w:rFonts w:ascii="Calibri" w:cs="Calibri" w:eastAsia="Calibri" w:hAnsi="Calibri"/>
                <w:sz w:val="18"/>
                <w:szCs w:val="18"/>
                <w:color w:val="auto"/>
              </w:rPr>
              <w:t>Common stock:</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
        </w:trPr>
        <w:tc>
          <w:tcPr>
            <w:tcW w:w="7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07"/>
        </w:trPr>
        <w:tc>
          <w:tcPr>
            <w:tcW w:w="7720" w:type="dxa"/>
            <w:vAlign w:val="bottom"/>
            <w:shd w:val="clear" w:color="auto" w:fill="CFF0FC"/>
          </w:tcPr>
          <w:p>
            <w:pPr>
              <w:ind w:left="380"/>
              <w:spacing w:after="0" w:line="207" w:lineRule="exact"/>
              <w:rPr>
                <w:sz w:val="20"/>
                <w:szCs w:val="20"/>
                <w:color w:val="auto"/>
              </w:rPr>
            </w:pPr>
            <w:r>
              <w:rPr>
                <w:rFonts w:ascii="Calibri" w:cs="Calibri" w:eastAsia="Calibri" w:hAnsi="Calibri"/>
                <w:sz w:val="18"/>
                <w:szCs w:val="18"/>
                <w:color w:val="auto"/>
              </w:rPr>
              <w:t>Authorized: 200,000,000 shares of $1 par value, Issued: 55,560,648 and 55,379,636 shares,</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2"/>
        </w:trPr>
        <w:tc>
          <w:tcPr>
            <w:tcW w:w="7720" w:type="dxa"/>
            <w:vAlign w:val="bottom"/>
            <w:tcBorders>
              <w:bottom w:val="single" w:sz="8" w:color="CFF0FC"/>
            </w:tcBorders>
            <w:shd w:val="clear" w:color="auto" w:fill="CFF0FC"/>
          </w:tcPr>
          <w:p>
            <w:pPr>
              <w:ind w:left="380"/>
              <w:spacing w:after="0" w:line="215" w:lineRule="exact"/>
              <w:rPr>
                <w:sz w:val="20"/>
                <w:szCs w:val="20"/>
                <w:color w:val="auto"/>
              </w:rPr>
            </w:pPr>
            <w:r>
              <w:rPr>
                <w:rFonts w:ascii="Calibri" w:cs="Calibri" w:eastAsia="Calibri" w:hAnsi="Calibri"/>
                <w:sz w:val="18"/>
                <w:szCs w:val="18"/>
                <w:color w:val="auto"/>
              </w:rPr>
              <w:t>Outstanding: 55,424,816 and 55,243,804 shares</w:t>
            </w:r>
          </w:p>
        </w:tc>
        <w:tc>
          <w:tcPr>
            <w:tcW w:w="16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55</w:t>
            </w:r>
          </w:p>
        </w:tc>
        <w:tc>
          <w:tcPr>
            <w:tcW w:w="2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15"/>
        </w:trPr>
        <w:tc>
          <w:tcPr>
            <w:tcW w:w="7720" w:type="dxa"/>
            <w:vAlign w:val="bottom"/>
          </w:tcPr>
          <w:p>
            <w:pPr>
              <w:ind w:left="380"/>
              <w:spacing w:after="0" w:line="215" w:lineRule="exact"/>
              <w:rPr>
                <w:sz w:val="20"/>
                <w:szCs w:val="20"/>
                <w:color w:val="auto"/>
              </w:rPr>
            </w:pPr>
            <w:r>
              <w:rPr>
                <w:rFonts w:ascii="Calibri" w:cs="Calibri" w:eastAsia="Calibri" w:hAnsi="Calibri"/>
                <w:sz w:val="18"/>
                <w:szCs w:val="18"/>
                <w:color w:val="auto"/>
              </w:rPr>
              <w:t>Less cost of 135,832 and 135,832 shares of common treasury stock</w:t>
            </w:r>
          </w:p>
        </w:tc>
        <w:tc>
          <w:tcPr>
            <w:tcW w:w="160" w:type="dxa"/>
            <w:vAlign w:val="bottom"/>
          </w:tcPr>
          <w:p>
            <w:pPr>
              <w:spacing w:after="0"/>
              <w:rPr>
                <w:sz w:val="18"/>
                <w:szCs w:val="18"/>
                <w:color w:val="auto"/>
              </w:rPr>
            </w:pPr>
          </w:p>
        </w:tc>
        <w:tc>
          <w:tcPr>
            <w:tcW w:w="1700" w:type="dxa"/>
            <w:vAlign w:val="bottom"/>
            <w:gridSpan w:val="2"/>
          </w:tcPr>
          <w:p>
            <w:pPr>
              <w:jc w:val="right"/>
              <w:ind w:right="148"/>
              <w:spacing w:after="0" w:line="215" w:lineRule="exact"/>
              <w:rPr>
                <w:sz w:val="20"/>
                <w:szCs w:val="20"/>
                <w:color w:val="auto"/>
              </w:rPr>
            </w:pPr>
            <w:r>
              <w:rPr>
                <w:rFonts w:ascii="Calibri" w:cs="Calibri" w:eastAsia="Calibri" w:hAnsi="Calibri"/>
                <w:sz w:val="18"/>
                <w:szCs w:val="18"/>
                <w:color w:val="auto"/>
              </w:rPr>
              <w:t>(3 )</w:t>
            </w:r>
          </w:p>
        </w:tc>
        <w:tc>
          <w:tcPr>
            <w:tcW w:w="140" w:type="dxa"/>
            <w:vAlign w:val="bottom"/>
          </w:tcPr>
          <w:p>
            <w:pPr>
              <w:spacing w:after="0"/>
              <w:rPr>
                <w:sz w:val="18"/>
                <w:szCs w:val="18"/>
                <w:color w:val="auto"/>
              </w:rPr>
            </w:pPr>
          </w:p>
        </w:tc>
        <w:tc>
          <w:tcPr>
            <w:tcW w:w="152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(3 )</w:t>
            </w:r>
          </w:p>
        </w:tc>
      </w:tr>
      <w:tr>
        <w:trPr>
          <w:trHeight w:val="28"/>
        </w:trPr>
        <w:tc>
          <w:tcPr>
            <w:tcW w:w="7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72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Additonal paid-in capital</w:t>
            </w:r>
          </w:p>
        </w:tc>
        <w:tc>
          <w:tcPr>
            <w:tcW w:w="160" w:type="dxa"/>
            <w:vAlign w:val="bottom"/>
            <w:tcBorders>
              <w:bottom w:val="single" w:sz="8" w:color="CFF0FC"/>
            </w:tcBorders>
            <w:shd w:val="clear" w:color="auto" w:fill="CFF0FC"/>
          </w:tcPr>
          <w:p>
            <w:pPr>
              <w:spacing w:after="0"/>
              <w:rPr>
                <w:sz w:val="19"/>
                <w:szCs w:val="19"/>
                <w:color w:val="auto"/>
              </w:rPr>
            </w:pPr>
          </w:p>
        </w:tc>
        <w:tc>
          <w:tcPr>
            <w:tcW w:w="1700" w:type="dxa"/>
            <w:vAlign w:val="bottom"/>
            <w:tcBorders>
              <w:bottom w:val="single" w:sz="8" w:color="CFF0FC"/>
            </w:tcBorders>
            <w:gridSpan w:val="2"/>
            <w:shd w:val="clear" w:color="auto" w:fill="CFF0FC"/>
          </w:tcPr>
          <w:p>
            <w:pPr>
              <w:jc w:val="right"/>
              <w:ind w:right="228"/>
              <w:spacing w:after="0" w:line="215" w:lineRule="exact"/>
              <w:rPr>
                <w:sz w:val="20"/>
                <w:szCs w:val="20"/>
                <w:color w:val="auto"/>
              </w:rPr>
            </w:pPr>
            <w:r>
              <w:rPr>
                <w:rFonts w:ascii="Calibri" w:cs="Calibri" w:eastAsia="Calibri" w:hAnsi="Calibri"/>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CFF0FC"/>
            </w:tcBorders>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15"/>
        </w:trPr>
        <w:tc>
          <w:tcPr>
            <w:tcW w:w="7720" w:type="dxa"/>
            <w:vAlign w:val="bottom"/>
          </w:tcPr>
          <w:p>
            <w:pPr>
              <w:ind w:left="20"/>
              <w:spacing w:after="0" w:line="215" w:lineRule="exact"/>
              <w:rPr>
                <w:sz w:val="20"/>
                <w:szCs w:val="20"/>
                <w:color w:val="auto"/>
              </w:rPr>
            </w:pPr>
            <w:r>
              <w:rPr>
                <w:rFonts w:ascii="Calibri" w:cs="Calibri" w:eastAsia="Calibri" w:hAnsi="Calibri"/>
                <w:sz w:val="18"/>
                <w:szCs w:val="18"/>
                <w:color w:val="auto"/>
              </w:rPr>
              <w:t>Retained earnings</w:t>
            </w:r>
          </w:p>
        </w:tc>
        <w:tc>
          <w:tcPr>
            <w:tcW w:w="16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1,582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1,574</w:t>
            </w:r>
          </w:p>
        </w:tc>
        <w:tc>
          <w:tcPr>
            <w:tcW w:w="100" w:type="dxa"/>
            <w:vAlign w:val="bottom"/>
          </w:tcPr>
          <w:p>
            <w:pPr>
              <w:spacing w:after="0"/>
              <w:rPr>
                <w:sz w:val="18"/>
                <w:szCs w:val="18"/>
                <w:color w:val="auto"/>
              </w:rPr>
            </w:pPr>
          </w:p>
        </w:tc>
      </w:tr>
      <w:tr>
        <w:trPr>
          <w:trHeight w:val="28"/>
        </w:trPr>
        <w:tc>
          <w:tcPr>
            <w:tcW w:w="7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772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Accumulated other comprehensive income (loss)</w:t>
            </w:r>
          </w:p>
        </w:tc>
        <w:tc>
          <w:tcPr>
            <w:tcW w:w="160" w:type="dxa"/>
            <w:vAlign w:val="bottom"/>
            <w:tcBorders>
              <w:bottom w:val="single" w:sz="8" w:color="CFF0FC"/>
            </w:tcBorders>
            <w:shd w:val="clear" w:color="auto" w:fill="CFF0FC"/>
          </w:tcPr>
          <w:p>
            <w:pPr>
              <w:spacing w:after="0"/>
              <w:rPr>
                <w:sz w:val="21"/>
                <w:szCs w:val="21"/>
                <w:color w:val="auto"/>
              </w:rPr>
            </w:pPr>
          </w:p>
        </w:tc>
        <w:tc>
          <w:tcPr>
            <w:tcW w:w="1700" w:type="dxa"/>
            <w:vAlign w:val="bottom"/>
            <w:tcBorders>
              <w:bottom w:val="single" w:sz="8" w:color="CFF0FC"/>
            </w:tcBorders>
            <w:gridSpan w:val="2"/>
            <w:shd w:val="clear" w:color="auto" w:fill="CFF0FC"/>
          </w:tcPr>
          <w:p>
            <w:pPr>
              <w:jc w:val="right"/>
              <w:ind w:right="148"/>
              <w:spacing w:after="0" w:line="215" w:lineRule="exact"/>
              <w:rPr>
                <w:sz w:val="20"/>
                <w:szCs w:val="20"/>
                <w:color w:val="auto"/>
              </w:rPr>
            </w:pPr>
            <w:r>
              <w:rPr>
                <w:rFonts w:ascii="Calibri" w:cs="Calibri" w:eastAsia="Calibri" w:hAnsi="Calibri"/>
                <w:sz w:val="18"/>
                <w:szCs w:val="18"/>
                <w:color w:val="auto"/>
              </w:rPr>
              <w:t>(305 )</w:t>
            </w:r>
          </w:p>
        </w:tc>
        <w:tc>
          <w:tcPr>
            <w:tcW w:w="14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(362 )</w:t>
            </w:r>
          </w:p>
        </w:tc>
      </w:tr>
      <w:tr>
        <w:trPr>
          <w:trHeight w:val="208"/>
        </w:trPr>
        <w:tc>
          <w:tcPr>
            <w:tcW w:w="7720" w:type="dxa"/>
            <w:vAlign w:val="bottom"/>
            <w:tcBorders>
              <w:top w:val="single" w:sz="8" w:color="CFF0FC"/>
            </w:tcBorders>
          </w:tcPr>
          <w:p>
            <w:pPr>
              <w:ind w:left="200"/>
              <w:spacing w:after="0" w:line="208" w:lineRule="exact"/>
              <w:rPr>
                <w:sz w:val="20"/>
                <w:szCs w:val="20"/>
                <w:color w:val="auto"/>
              </w:rPr>
            </w:pPr>
            <w:r>
              <w:rPr>
                <w:rFonts w:ascii="Calibri" w:cs="Calibri" w:eastAsia="Calibri" w:hAnsi="Calibri"/>
                <w:sz w:val="18"/>
                <w:szCs w:val="18"/>
                <w:color w:val="auto"/>
              </w:rPr>
              <w:t>Total Cabot Corporaton stockholders' equity</w:t>
            </w: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1,329</w:t>
            </w:r>
          </w:p>
        </w:tc>
        <w:tc>
          <w:tcPr>
            <w:tcW w:w="28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1,264</w:t>
            </w:r>
          </w:p>
        </w:tc>
        <w:tc>
          <w:tcPr>
            <w:tcW w:w="100" w:type="dxa"/>
            <w:vAlign w:val="bottom"/>
            <w:tcBorders>
              <w:top w:val="single" w:sz="8" w:color="CFF0FC"/>
            </w:tcBorders>
          </w:tcPr>
          <w:p>
            <w:pPr>
              <w:spacing w:after="0"/>
              <w:rPr>
                <w:sz w:val="18"/>
                <w:szCs w:val="18"/>
                <w:color w:val="auto"/>
              </w:rPr>
            </w:pPr>
          </w:p>
        </w:tc>
      </w:tr>
      <w:tr>
        <w:trPr>
          <w:trHeight w:val="28"/>
        </w:trPr>
        <w:tc>
          <w:tcPr>
            <w:tcW w:w="7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772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Noncontrolling interests</w:t>
            </w: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146</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143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13"/>
        </w:trPr>
        <w:tc>
          <w:tcPr>
            <w:tcW w:w="7720" w:type="dxa"/>
            <w:vAlign w:val="bottom"/>
            <w:tcBorders>
              <w:top w:val="single" w:sz="8" w:color="CFF0FC"/>
            </w:tcBorders>
          </w:tcPr>
          <w:p>
            <w:pPr>
              <w:ind w:left="200"/>
              <w:spacing w:after="0" w:line="213" w:lineRule="exact"/>
              <w:rPr>
                <w:sz w:val="20"/>
                <w:szCs w:val="20"/>
                <w:color w:val="auto"/>
              </w:rPr>
            </w:pPr>
            <w:r>
              <w:rPr>
                <w:rFonts w:ascii="Calibri" w:cs="Calibri" w:eastAsia="Calibri" w:hAnsi="Calibri"/>
                <w:sz w:val="18"/>
                <w:szCs w:val="18"/>
                <w:color w:val="auto"/>
              </w:rPr>
              <w:t>Total stockholders' equity</w:t>
            </w: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1,475</w:t>
            </w:r>
          </w:p>
        </w:tc>
        <w:tc>
          <w:tcPr>
            <w:tcW w:w="28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1,407</w:t>
            </w:r>
          </w:p>
        </w:tc>
        <w:tc>
          <w:tcPr>
            <w:tcW w:w="100" w:type="dxa"/>
            <w:vAlign w:val="bottom"/>
            <w:tcBorders>
              <w:top w:val="single" w:sz="8" w:color="CFF0FC"/>
            </w:tcBorders>
          </w:tcPr>
          <w:p>
            <w:pPr>
              <w:spacing w:after="0"/>
              <w:rPr>
                <w:sz w:val="18"/>
                <w:szCs w:val="18"/>
                <w:color w:val="auto"/>
              </w:rPr>
            </w:pPr>
          </w:p>
        </w:tc>
      </w:tr>
      <w:tr>
        <w:trPr>
          <w:trHeight w:val="23"/>
        </w:trPr>
        <w:tc>
          <w:tcPr>
            <w:tcW w:w="7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61"/>
        </w:trPr>
        <w:tc>
          <w:tcPr>
            <w:tcW w:w="772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Total liabilites and stockholders' equity</w:t>
            </w:r>
          </w:p>
        </w:tc>
        <w:tc>
          <w:tcPr>
            <w:tcW w:w="1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w:t>
            </w:r>
          </w:p>
        </w:tc>
        <w:tc>
          <w:tcPr>
            <w:tcW w:w="14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3,695</w:t>
            </w:r>
          </w:p>
        </w:tc>
        <w:tc>
          <w:tcPr>
            <w:tcW w:w="2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14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3,604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-2982595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-2982595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-668020</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-350520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consolidated fnancial statements.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415925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 w:name="page7"/>
    <w:bookmarkEnd w:id="6"/>
    <w:p>
      <w:pPr>
        <w:jc w:val="center"/>
        <w:spacing w:after="0"/>
        <w:rPr>
          <w:sz w:val="20"/>
          <w:szCs w:val="20"/>
          <w:color w:val="auto"/>
        </w:rPr>
      </w:pPr>
      <w:r>
        <w:rPr>
          <w:rFonts w:ascii="Calibri" w:cs="Calibri" w:eastAsia="Calibri" w:hAnsi="Calibri"/>
          <w:sz w:val="16"/>
          <w:szCs w:val="16"/>
          <w:b w:val="1"/>
          <w:bCs w:val="1"/>
          <w:color w:val="auto"/>
        </w:rPr>
        <w:t>CABOT CORPORATION</w:t>
      </w:r>
    </w:p>
    <w:p>
      <w:pPr>
        <w:spacing w:after="0" w:line="7"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CONSOLIDATED STATEMENTS OF CASH FLOWS</w:t>
      </w:r>
    </w:p>
    <w:p>
      <w:pPr>
        <w:spacing w:after="0" w:line="7"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UNAUDITED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720" w:type="dxa"/>
            <w:vAlign w:val="bottom"/>
          </w:tcPr>
          <w:p>
            <w:pPr>
              <w:spacing w:after="0"/>
              <w:rPr>
                <w:sz w:val="15"/>
                <w:szCs w:val="15"/>
                <w:color w:val="auto"/>
              </w:rPr>
            </w:pPr>
          </w:p>
        </w:tc>
        <w:tc>
          <w:tcPr>
            <w:tcW w:w="2960" w:type="dxa"/>
            <w:vAlign w:val="bottom"/>
            <w:gridSpan w:val="4"/>
          </w:tcPr>
          <w:p>
            <w:pPr>
              <w:jc w:val="right"/>
              <w:ind w:right="64"/>
              <w:spacing w:after="0"/>
              <w:rPr>
                <w:sz w:val="20"/>
                <w:szCs w:val="20"/>
                <w:color w:val="auto"/>
              </w:rPr>
            </w:pPr>
            <w:r>
              <w:rPr>
                <w:rFonts w:ascii="Calibri" w:cs="Calibri" w:eastAsia="Calibri" w:hAnsi="Calibri"/>
                <w:sz w:val="15"/>
                <w:szCs w:val="15"/>
                <w:b w:val="1"/>
                <w:bCs w:val="1"/>
                <w:color w:val="auto"/>
              </w:rPr>
              <w:t>Three Months Ended December 31</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43"/>
        </w:trPr>
        <w:tc>
          <w:tcPr>
            <w:tcW w:w="772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76"/>
        </w:trPr>
        <w:tc>
          <w:tcPr>
            <w:tcW w:w="7720" w:type="dxa"/>
            <w:vAlign w:val="bottom"/>
          </w:tcPr>
          <w:p>
            <w:pPr>
              <w:spacing w:after="0"/>
              <w:rPr>
                <w:sz w:val="15"/>
                <w:szCs w:val="15"/>
                <w:color w:val="auto"/>
              </w:rPr>
            </w:pPr>
          </w:p>
        </w:tc>
        <w:tc>
          <w:tcPr>
            <w:tcW w:w="1140" w:type="dxa"/>
            <w:vAlign w:val="bottom"/>
          </w:tcPr>
          <w:p>
            <w:pPr>
              <w:jc w:val="right"/>
              <w:ind w:right="124"/>
              <w:spacing w:after="0" w:line="176" w:lineRule="exact"/>
              <w:rPr>
                <w:sz w:val="20"/>
                <w:szCs w:val="20"/>
                <w:color w:val="auto"/>
              </w:rPr>
            </w:pPr>
            <w:r>
              <w:rPr>
                <w:rFonts w:ascii="Calibri" w:cs="Calibri" w:eastAsia="Calibri" w:hAnsi="Calibri"/>
                <w:sz w:val="15"/>
                <w:szCs w:val="15"/>
                <w:b w:val="1"/>
                <w:bCs w:val="1"/>
                <w:color w:val="auto"/>
              </w:rPr>
              <w:t>2023</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right"/>
              <w:ind w:right="84"/>
              <w:spacing w:after="0" w:line="176" w:lineRule="exact"/>
              <w:rPr>
                <w:sz w:val="20"/>
                <w:szCs w:val="20"/>
                <w:color w:val="auto"/>
              </w:rPr>
            </w:pPr>
            <w:r>
              <w:rPr>
                <w:rFonts w:ascii="Calibri" w:cs="Calibri" w:eastAsia="Calibri" w:hAnsi="Calibri"/>
                <w:sz w:val="15"/>
                <w:szCs w:val="15"/>
                <w:b w:val="1"/>
                <w:bCs w:val="1"/>
                <w:color w:val="auto"/>
              </w:rPr>
              <w:t>2022</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3"/>
        </w:trPr>
        <w:tc>
          <w:tcPr>
            <w:tcW w:w="77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76"/>
        </w:trPr>
        <w:tc>
          <w:tcPr>
            <w:tcW w:w="77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jc w:val="right"/>
              <w:ind w:right="4"/>
              <w:spacing w:after="0" w:line="176" w:lineRule="exact"/>
              <w:rPr>
                <w:sz w:val="20"/>
                <w:szCs w:val="20"/>
                <w:color w:val="auto"/>
              </w:rPr>
            </w:pPr>
            <w:r>
              <w:rPr>
                <w:rFonts w:ascii="Calibri" w:cs="Calibri" w:eastAsia="Calibri" w:hAnsi="Calibri"/>
                <w:sz w:val="15"/>
                <w:szCs w:val="15"/>
                <w:b w:val="1"/>
                <w:bCs w:val="1"/>
                <w:color w:val="auto"/>
              </w:rPr>
              <w:t>(In</w:t>
            </w:r>
          </w:p>
        </w:tc>
        <w:tc>
          <w:tcPr>
            <w:tcW w:w="1380" w:type="dxa"/>
            <w:vAlign w:val="bottom"/>
            <w:gridSpan w:val="2"/>
          </w:tcPr>
          <w:p>
            <w:pPr>
              <w:jc w:val="right"/>
              <w:ind w:right="804"/>
              <w:spacing w:after="0" w:line="176" w:lineRule="exact"/>
              <w:rPr>
                <w:sz w:val="20"/>
                <w:szCs w:val="20"/>
                <w:color w:val="auto"/>
              </w:rPr>
            </w:pPr>
            <w:r>
              <w:rPr>
                <w:rFonts w:ascii="Calibri" w:cs="Calibri" w:eastAsia="Calibri" w:hAnsi="Calibri"/>
                <w:sz w:val="15"/>
                <w:szCs w:val="15"/>
                <w:b w:val="1"/>
                <w:bCs w:val="1"/>
                <w:color w:val="auto"/>
                <w:w w:val="89"/>
              </w:rPr>
              <w:t>millions)</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3"/>
        </w:trPr>
        <w:tc>
          <w:tcPr>
            <w:tcW w:w="7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772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5"/>
                <w:szCs w:val="15"/>
                <w:b w:val="1"/>
                <w:bCs w:val="1"/>
                <w:color w:val="auto"/>
              </w:rPr>
              <w:t>Cash Flows from Operatng Actvites:</w:t>
            </w:r>
          </w:p>
        </w:tc>
        <w:tc>
          <w:tcPr>
            <w:tcW w:w="114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r>
      <w:tr>
        <w:trPr>
          <w:trHeight w:val="183"/>
        </w:trPr>
        <w:tc>
          <w:tcPr>
            <w:tcW w:w="7720" w:type="dxa"/>
            <w:vAlign w:val="bottom"/>
          </w:tcPr>
          <w:p>
            <w:pPr>
              <w:ind w:left="160"/>
              <w:spacing w:after="0"/>
              <w:rPr>
                <w:sz w:val="20"/>
                <w:szCs w:val="20"/>
                <w:color w:val="auto"/>
              </w:rPr>
            </w:pPr>
            <w:r>
              <w:rPr>
                <w:rFonts w:ascii="Calibri" w:cs="Calibri" w:eastAsia="Calibri" w:hAnsi="Calibri"/>
                <w:sz w:val="15"/>
                <w:szCs w:val="15"/>
                <w:color w:val="auto"/>
              </w:rPr>
              <w:t>Net income (loss)</w:t>
            </w:r>
          </w:p>
        </w:tc>
        <w:tc>
          <w:tcPr>
            <w:tcW w:w="1140" w:type="dxa"/>
            <w:vAlign w:val="bottom"/>
          </w:tcPr>
          <w:p>
            <w:pPr>
              <w:jc w:val="right"/>
              <w:ind w:right="964"/>
              <w:spacing w:after="0"/>
              <w:rPr>
                <w:sz w:val="20"/>
                <w:szCs w:val="20"/>
                <w:color w:val="auto"/>
              </w:rPr>
            </w:pPr>
            <w:r>
              <w:rPr>
                <w:rFonts w:ascii="Calibri" w:cs="Calibri" w:eastAsia="Calibri" w:hAnsi="Calibri"/>
                <w:sz w:val="15"/>
                <w:szCs w:val="15"/>
                <w:color w:val="auto"/>
              </w:rPr>
              <w:t>$</w:t>
            </w:r>
          </w:p>
        </w:tc>
        <w:tc>
          <w:tcPr>
            <w:tcW w:w="440" w:type="dxa"/>
            <w:vAlign w:val="bottom"/>
          </w:tcPr>
          <w:p>
            <w:pPr>
              <w:jc w:val="right"/>
              <w:spacing w:after="0"/>
              <w:rPr>
                <w:sz w:val="20"/>
                <w:szCs w:val="20"/>
                <w:color w:val="auto"/>
              </w:rPr>
            </w:pPr>
            <w:r>
              <w:rPr>
                <w:rFonts w:ascii="Calibri" w:cs="Calibri" w:eastAsia="Calibri" w:hAnsi="Calibri"/>
                <w:sz w:val="15"/>
                <w:szCs w:val="15"/>
                <w:color w:val="auto"/>
              </w:rPr>
              <w:t>61</w:t>
            </w:r>
          </w:p>
        </w:tc>
        <w:tc>
          <w:tcPr>
            <w:tcW w:w="280" w:type="dxa"/>
            <w:vAlign w:val="bottom"/>
          </w:tcPr>
          <w:p>
            <w:pPr>
              <w:spacing w:after="0"/>
              <w:rPr>
                <w:sz w:val="15"/>
                <w:szCs w:val="15"/>
                <w:color w:val="auto"/>
              </w:rPr>
            </w:pPr>
          </w:p>
        </w:tc>
        <w:tc>
          <w:tcPr>
            <w:tcW w:w="1100" w:type="dxa"/>
            <w:vAlign w:val="bottom"/>
          </w:tcPr>
          <w:p>
            <w:pPr>
              <w:jc w:val="right"/>
              <w:ind w:right="924"/>
              <w:spacing w:after="0"/>
              <w:rPr>
                <w:sz w:val="20"/>
                <w:szCs w:val="20"/>
                <w:color w:val="auto"/>
              </w:rPr>
            </w:pPr>
            <w:r>
              <w:rPr>
                <w:rFonts w:ascii="Calibri" w:cs="Calibri" w:eastAsia="Calibri" w:hAnsi="Calibri"/>
                <w:sz w:val="15"/>
                <w:szCs w:val="15"/>
                <w:color w:val="auto"/>
              </w:rPr>
              <w:t>$</w:t>
            </w:r>
          </w:p>
        </w:tc>
        <w:tc>
          <w:tcPr>
            <w:tcW w:w="460" w:type="dxa"/>
            <w:vAlign w:val="bottom"/>
          </w:tcPr>
          <w:p>
            <w:pPr>
              <w:jc w:val="right"/>
              <w:spacing w:after="0"/>
              <w:rPr>
                <w:sz w:val="20"/>
                <w:szCs w:val="20"/>
                <w:color w:val="auto"/>
              </w:rPr>
            </w:pPr>
            <w:r>
              <w:rPr>
                <w:rFonts w:ascii="Calibri" w:cs="Calibri" w:eastAsia="Calibri" w:hAnsi="Calibri"/>
                <w:sz w:val="15"/>
                <w:szCs w:val="15"/>
                <w:color w:val="auto"/>
              </w:rPr>
              <w:t>66</w:t>
            </w:r>
          </w:p>
        </w:tc>
        <w:tc>
          <w:tcPr>
            <w:tcW w:w="100" w:type="dxa"/>
            <w:vAlign w:val="bottom"/>
          </w:tcPr>
          <w:p>
            <w:pPr>
              <w:spacing w:after="0"/>
              <w:rPr>
                <w:sz w:val="15"/>
                <w:szCs w:val="15"/>
                <w:color w:val="auto"/>
              </w:rPr>
            </w:pPr>
          </w:p>
        </w:tc>
      </w:tr>
      <w:tr>
        <w:trPr>
          <w:trHeight w:val="33"/>
        </w:trPr>
        <w:tc>
          <w:tcPr>
            <w:tcW w:w="7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772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5"/>
                <w:szCs w:val="15"/>
                <w:color w:val="auto"/>
              </w:rPr>
              <w:t>Adjustments to reconcile net income (loss) to cash provided by operatng actvites:</w:t>
            </w:r>
          </w:p>
        </w:tc>
        <w:tc>
          <w:tcPr>
            <w:tcW w:w="114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r>
      <w:tr>
        <w:trPr>
          <w:trHeight w:val="183"/>
        </w:trPr>
        <w:tc>
          <w:tcPr>
            <w:tcW w:w="7720" w:type="dxa"/>
            <w:vAlign w:val="bottom"/>
          </w:tcPr>
          <w:p>
            <w:pPr>
              <w:ind w:left="300"/>
              <w:spacing w:after="0"/>
              <w:rPr>
                <w:sz w:val="20"/>
                <w:szCs w:val="20"/>
                <w:color w:val="auto"/>
              </w:rPr>
            </w:pPr>
            <w:r>
              <w:rPr>
                <w:rFonts w:ascii="Calibri" w:cs="Calibri" w:eastAsia="Calibri" w:hAnsi="Calibri"/>
                <w:sz w:val="15"/>
                <w:szCs w:val="15"/>
                <w:color w:val="auto"/>
              </w:rPr>
              <w:t>Depreciaton and amortzaton</w:t>
            </w:r>
          </w:p>
        </w:tc>
        <w:tc>
          <w:tcPr>
            <w:tcW w:w="1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Calibri" w:cs="Calibri" w:eastAsia="Calibri" w:hAnsi="Calibri"/>
                <w:sz w:val="15"/>
                <w:szCs w:val="15"/>
                <w:color w:val="auto"/>
              </w:rPr>
              <w:t>41</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alibri" w:cs="Calibri" w:eastAsia="Calibri" w:hAnsi="Calibri"/>
                <w:sz w:val="15"/>
                <w:szCs w:val="15"/>
                <w:color w:val="auto"/>
              </w:rPr>
              <w:t>35</w:t>
            </w:r>
          </w:p>
        </w:tc>
        <w:tc>
          <w:tcPr>
            <w:tcW w:w="100" w:type="dxa"/>
            <w:vAlign w:val="bottom"/>
          </w:tcPr>
          <w:p>
            <w:pPr>
              <w:spacing w:after="0"/>
              <w:rPr>
                <w:sz w:val="15"/>
                <w:szCs w:val="15"/>
                <w:color w:val="auto"/>
              </w:rPr>
            </w:pPr>
          </w:p>
        </w:tc>
      </w:tr>
      <w:tr>
        <w:trPr>
          <w:trHeight w:val="33"/>
        </w:trPr>
        <w:tc>
          <w:tcPr>
            <w:tcW w:w="7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7720" w:type="dxa"/>
            <w:vAlign w:val="bottom"/>
            <w:tcBorders>
              <w:bottom w:val="single" w:sz="8" w:color="CFF0FC"/>
            </w:tcBorders>
            <w:shd w:val="clear" w:color="auto" w:fill="CFF0FC"/>
          </w:tcPr>
          <w:p>
            <w:pPr>
              <w:ind w:left="300"/>
              <w:spacing w:after="0"/>
              <w:rPr>
                <w:sz w:val="20"/>
                <w:szCs w:val="20"/>
                <w:color w:val="auto"/>
              </w:rPr>
            </w:pPr>
            <w:r>
              <w:rPr>
                <w:rFonts w:ascii="Calibri" w:cs="Calibri" w:eastAsia="Calibri" w:hAnsi="Calibri"/>
                <w:sz w:val="15"/>
                <w:szCs w:val="15"/>
                <w:color w:val="auto"/>
              </w:rPr>
              <w:t>Loss on sale of business</w:t>
            </w:r>
          </w:p>
        </w:tc>
        <w:tc>
          <w:tcPr>
            <w:tcW w:w="114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gridSpan w:val="2"/>
            <w:shd w:val="clear" w:color="auto" w:fill="CFF0FC"/>
          </w:tcPr>
          <w:p>
            <w:pPr>
              <w:jc w:val="right"/>
              <w:ind w:right="224"/>
              <w:spacing w:after="0"/>
              <w:rPr>
                <w:sz w:val="20"/>
                <w:szCs w:val="20"/>
                <w:color w:val="auto"/>
              </w:rPr>
            </w:pPr>
            <w:r>
              <w:rPr>
                <w:rFonts w:ascii="Calibri" w:cs="Calibri" w:eastAsia="Calibri" w:hAnsi="Calibri"/>
                <w:sz w:val="15"/>
                <w:szCs w:val="15"/>
                <w:color w:val="auto"/>
              </w:rPr>
              <w:t>—</w:t>
            </w:r>
          </w:p>
        </w:tc>
        <w:tc>
          <w:tcPr>
            <w:tcW w:w="110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83"/>
        </w:trPr>
        <w:tc>
          <w:tcPr>
            <w:tcW w:w="7720" w:type="dxa"/>
            <w:vAlign w:val="bottom"/>
          </w:tcPr>
          <w:p>
            <w:pPr>
              <w:ind w:left="300"/>
              <w:spacing w:after="0"/>
              <w:rPr>
                <w:sz w:val="20"/>
                <w:szCs w:val="20"/>
                <w:color w:val="auto"/>
              </w:rPr>
            </w:pPr>
            <w:r>
              <w:rPr>
                <w:rFonts w:ascii="Calibri" w:cs="Calibri" w:eastAsia="Calibri" w:hAnsi="Calibri"/>
                <w:sz w:val="15"/>
                <w:szCs w:val="15"/>
                <w:color w:val="auto"/>
              </w:rPr>
              <w:t>Gain on sale of land</w:t>
            </w:r>
          </w:p>
        </w:tc>
        <w:tc>
          <w:tcPr>
            <w:tcW w:w="1140" w:type="dxa"/>
            <w:vAlign w:val="bottom"/>
          </w:tcPr>
          <w:p>
            <w:pPr>
              <w:spacing w:after="0"/>
              <w:rPr>
                <w:sz w:val="15"/>
                <w:szCs w:val="15"/>
                <w:color w:val="auto"/>
              </w:rPr>
            </w:pPr>
          </w:p>
        </w:tc>
        <w:tc>
          <w:tcPr>
            <w:tcW w:w="720" w:type="dxa"/>
            <w:vAlign w:val="bottom"/>
            <w:gridSpan w:val="2"/>
          </w:tcPr>
          <w:p>
            <w:pPr>
              <w:jc w:val="right"/>
              <w:ind w:right="224"/>
              <w:spacing w:after="0"/>
              <w:rPr>
                <w:sz w:val="20"/>
                <w:szCs w:val="20"/>
                <w:color w:val="auto"/>
              </w:rPr>
            </w:pPr>
            <w:r>
              <w:rPr>
                <w:rFonts w:ascii="Calibri" w:cs="Calibri" w:eastAsia="Calibri" w:hAnsi="Calibri"/>
                <w:sz w:val="15"/>
                <w:szCs w:val="15"/>
                <w:color w:val="auto"/>
              </w:rPr>
              <w:t>—</w:t>
            </w:r>
          </w:p>
        </w:tc>
        <w:tc>
          <w:tcPr>
            <w:tcW w:w="1100" w:type="dxa"/>
            <w:vAlign w:val="bottom"/>
          </w:tcPr>
          <w:p>
            <w:pPr>
              <w:spacing w:after="0"/>
              <w:rPr>
                <w:sz w:val="15"/>
                <w:szCs w:val="15"/>
                <w:color w:val="auto"/>
              </w:rPr>
            </w:pPr>
          </w:p>
        </w:tc>
        <w:tc>
          <w:tcPr>
            <w:tcW w:w="560" w:type="dxa"/>
            <w:vAlign w:val="bottom"/>
            <w:gridSpan w:val="2"/>
          </w:tcPr>
          <w:p>
            <w:pPr>
              <w:jc w:val="right"/>
              <w:ind w:right="40"/>
              <w:spacing w:after="0"/>
              <w:rPr>
                <w:sz w:val="20"/>
                <w:szCs w:val="20"/>
                <w:color w:val="auto"/>
              </w:rPr>
            </w:pPr>
            <w:r>
              <w:rPr>
                <w:rFonts w:ascii="Calibri" w:cs="Calibri" w:eastAsia="Calibri" w:hAnsi="Calibri"/>
                <w:sz w:val="15"/>
                <w:szCs w:val="15"/>
                <w:color w:val="auto"/>
              </w:rPr>
              <w:t>(1 )</w:t>
            </w:r>
          </w:p>
        </w:tc>
      </w:tr>
      <w:tr>
        <w:trPr>
          <w:trHeight w:val="33"/>
        </w:trPr>
        <w:tc>
          <w:tcPr>
            <w:tcW w:w="7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7720" w:type="dxa"/>
            <w:vAlign w:val="bottom"/>
            <w:tcBorders>
              <w:bottom w:val="single" w:sz="8" w:color="CFF0FC"/>
            </w:tcBorders>
            <w:shd w:val="clear" w:color="auto" w:fill="CFF0FC"/>
          </w:tcPr>
          <w:p>
            <w:pPr>
              <w:ind w:left="300"/>
              <w:spacing w:after="0"/>
              <w:rPr>
                <w:sz w:val="20"/>
                <w:szCs w:val="20"/>
                <w:color w:val="auto"/>
              </w:rPr>
            </w:pPr>
            <w:r>
              <w:rPr>
                <w:rFonts w:ascii="Calibri" w:cs="Calibri" w:eastAsia="Calibri" w:hAnsi="Calibri"/>
                <w:sz w:val="15"/>
                <w:szCs w:val="15"/>
                <w:color w:val="auto"/>
              </w:rPr>
              <w:t>Deferred tax provision (beneft)</w:t>
            </w:r>
          </w:p>
        </w:tc>
        <w:tc>
          <w:tcPr>
            <w:tcW w:w="114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7</w:t>
            </w:r>
          </w:p>
        </w:tc>
        <w:tc>
          <w:tcPr>
            <w:tcW w:w="28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Calibri" w:cs="Calibri" w:eastAsia="Calibri" w:hAnsi="Calibri"/>
                <w:sz w:val="15"/>
                <w:szCs w:val="15"/>
                <w:color w:val="auto"/>
              </w:rPr>
              <w:t>—</w:t>
            </w:r>
          </w:p>
        </w:tc>
      </w:tr>
      <w:tr>
        <w:trPr>
          <w:trHeight w:val="183"/>
        </w:trPr>
        <w:tc>
          <w:tcPr>
            <w:tcW w:w="7720" w:type="dxa"/>
            <w:vAlign w:val="bottom"/>
          </w:tcPr>
          <w:p>
            <w:pPr>
              <w:ind w:left="300"/>
              <w:spacing w:after="0"/>
              <w:rPr>
                <w:sz w:val="20"/>
                <w:szCs w:val="20"/>
                <w:color w:val="auto"/>
              </w:rPr>
            </w:pPr>
            <w:r>
              <w:rPr>
                <w:rFonts w:ascii="Calibri" w:cs="Calibri" w:eastAsia="Calibri" w:hAnsi="Calibri"/>
                <w:sz w:val="15"/>
                <w:szCs w:val="15"/>
                <w:color w:val="auto"/>
              </w:rPr>
              <w:t>Equity in earnings of afliated companies</w:t>
            </w:r>
          </w:p>
        </w:tc>
        <w:tc>
          <w:tcPr>
            <w:tcW w:w="1140" w:type="dxa"/>
            <w:vAlign w:val="bottom"/>
          </w:tcPr>
          <w:p>
            <w:pPr>
              <w:spacing w:after="0"/>
              <w:rPr>
                <w:sz w:val="15"/>
                <w:szCs w:val="15"/>
                <w:color w:val="auto"/>
              </w:rPr>
            </w:pPr>
          </w:p>
        </w:tc>
        <w:tc>
          <w:tcPr>
            <w:tcW w:w="720" w:type="dxa"/>
            <w:vAlign w:val="bottom"/>
            <w:gridSpan w:val="2"/>
          </w:tcPr>
          <w:p>
            <w:pPr>
              <w:jc w:val="right"/>
              <w:ind w:right="144"/>
              <w:spacing w:after="0"/>
              <w:rPr>
                <w:sz w:val="20"/>
                <w:szCs w:val="20"/>
                <w:color w:val="auto"/>
              </w:rPr>
            </w:pPr>
            <w:r>
              <w:rPr>
                <w:rFonts w:ascii="Calibri" w:cs="Calibri" w:eastAsia="Calibri" w:hAnsi="Calibri"/>
                <w:sz w:val="15"/>
                <w:szCs w:val="15"/>
                <w:color w:val="auto"/>
              </w:rPr>
              <w:t>(1 )</w:t>
            </w:r>
          </w:p>
        </w:tc>
        <w:tc>
          <w:tcPr>
            <w:tcW w:w="1100" w:type="dxa"/>
            <w:vAlign w:val="bottom"/>
          </w:tcPr>
          <w:p>
            <w:pPr>
              <w:spacing w:after="0"/>
              <w:rPr>
                <w:sz w:val="15"/>
                <w:szCs w:val="15"/>
                <w:color w:val="auto"/>
              </w:rPr>
            </w:pPr>
          </w:p>
        </w:tc>
        <w:tc>
          <w:tcPr>
            <w:tcW w:w="560" w:type="dxa"/>
            <w:vAlign w:val="bottom"/>
            <w:gridSpan w:val="2"/>
          </w:tcPr>
          <w:p>
            <w:pPr>
              <w:jc w:val="right"/>
              <w:ind w:right="40"/>
              <w:spacing w:after="0"/>
              <w:rPr>
                <w:sz w:val="20"/>
                <w:szCs w:val="20"/>
                <w:color w:val="auto"/>
              </w:rPr>
            </w:pPr>
            <w:r>
              <w:rPr>
                <w:rFonts w:ascii="Calibri" w:cs="Calibri" w:eastAsia="Calibri" w:hAnsi="Calibri"/>
                <w:sz w:val="15"/>
                <w:szCs w:val="15"/>
                <w:color w:val="auto"/>
              </w:rPr>
              <w:t>(2 )</w:t>
            </w:r>
          </w:p>
        </w:tc>
      </w:tr>
      <w:tr>
        <w:trPr>
          <w:trHeight w:val="33"/>
        </w:trPr>
        <w:tc>
          <w:tcPr>
            <w:tcW w:w="7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7720" w:type="dxa"/>
            <w:vAlign w:val="bottom"/>
            <w:tcBorders>
              <w:bottom w:val="single" w:sz="8" w:color="CFF0FC"/>
            </w:tcBorders>
            <w:shd w:val="clear" w:color="auto" w:fill="CFF0FC"/>
          </w:tcPr>
          <w:p>
            <w:pPr>
              <w:ind w:left="300"/>
              <w:spacing w:after="0"/>
              <w:rPr>
                <w:sz w:val="20"/>
                <w:szCs w:val="20"/>
                <w:color w:val="auto"/>
              </w:rPr>
            </w:pPr>
            <w:r>
              <w:rPr>
                <w:rFonts w:ascii="Calibri" w:cs="Calibri" w:eastAsia="Calibri" w:hAnsi="Calibri"/>
                <w:sz w:val="15"/>
                <w:szCs w:val="15"/>
                <w:color w:val="auto"/>
              </w:rPr>
              <w:t>Share-based compensaton</w:t>
            </w:r>
          </w:p>
        </w:tc>
        <w:tc>
          <w:tcPr>
            <w:tcW w:w="114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6</w:t>
            </w:r>
          </w:p>
        </w:tc>
        <w:tc>
          <w:tcPr>
            <w:tcW w:w="28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83"/>
        </w:trPr>
        <w:tc>
          <w:tcPr>
            <w:tcW w:w="7720" w:type="dxa"/>
            <w:vAlign w:val="bottom"/>
          </w:tcPr>
          <w:p>
            <w:pPr>
              <w:ind w:left="300"/>
              <w:spacing w:after="0"/>
              <w:rPr>
                <w:sz w:val="20"/>
                <w:szCs w:val="20"/>
                <w:color w:val="auto"/>
              </w:rPr>
            </w:pPr>
            <w:r>
              <w:rPr>
                <w:rFonts w:ascii="Calibri" w:cs="Calibri" w:eastAsia="Calibri" w:hAnsi="Calibri"/>
                <w:sz w:val="15"/>
                <w:szCs w:val="15"/>
                <w:color w:val="auto"/>
              </w:rPr>
              <w:t>Other non-cash (income) expense</w:t>
            </w:r>
          </w:p>
        </w:tc>
        <w:tc>
          <w:tcPr>
            <w:tcW w:w="1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Calibri" w:cs="Calibri" w:eastAsia="Calibri" w:hAnsi="Calibri"/>
                <w:sz w:val="15"/>
                <w:szCs w:val="15"/>
                <w:color w:val="auto"/>
              </w:rPr>
              <w:t>37</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gridSpan w:val="2"/>
          </w:tcPr>
          <w:p>
            <w:pPr>
              <w:jc w:val="right"/>
              <w:ind w:right="40"/>
              <w:spacing w:after="0"/>
              <w:rPr>
                <w:sz w:val="20"/>
                <w:szCs w:val="20"/>
                <w:color w:val="auto"/>
              </w:rPr>
            </w:pPr>
            <w:r>
              <w:rPr>
                <w:rFonts w:ascii="Calibri" w:cs="Calibri" w:eastAsia="Calibri" w:hAnsi="Calibri"/>
                <w:sz w:val="15"/>
                <w:szCs w:val="15"/>
                <w:color w:val="auto"/>
              </w:rPr>
              <w:t>(4 )</w:t>
            </w:r>
          </w:p>
        </w:tc>
      </w:tr>
      <w:tr>
        <w:trPr>
          <w:trHeight w:val="33"/>
        </w:trPr>
        <w:tc>
          <w:tcPr>
            <w:tcW w:w="7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7720" w:type="dxa"/>
            <w:vAlign w:val="bottom"/>
            <w:tcBorders>
              <w:bottom w:val="single" w:sz="8" w:color="CFF0FC"/>
            </w:tcBorders>
            <w:shd w:val="clear" w:color="auto" w:fill="CFF0FC"/>
          </w:tcPr>
          <w:p>
            <w:pPr>
              <w:ind w:left="300"/>
              <w:spacing w:after="0"/>
              <w:rPr>
                <w:sz w:val="20"/>
                <w:szCs w:val="20"/>
                <w:color w:val="auto"/>
              </w:rPr>
            </w:pPr>
            <w:r>
              <w:rPr>
                <w:rFonts w:ascii="Calibri" w:cs="Calibri" w:eastAsia="Calibri" w:hAnsi="Calibri"/>
                <w:sz w:val="15"/>
                <w:szCs w:val="15"/>
                <w:color w:val="auto"/>
              </w:rPr>
              <w:t>Cash dividends received from equity afliates</w:t>
            </w:r>
          </w:p>
        </w:tc>
        <w:tc>
          <w:tcPr>
            <w:tcW w:w="114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1</w:t>
            </w:r>
          </w:p>
        </w:tc>
        <w:tc>
          <w:tcPr>
            <w:tcW w:w="28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83"/>
        </w:trPr>
        <w:tc>
          <w:tcPr>
            <w:tcW w:w="7720" w:type="dxa"/>
            <w:vAlign w:val="bottom"/>
          </w:tcPr>
          <w:p>
            <w:pPr>
              <w:ind w:left="300"/>
              <w:spacing w:after="0"/>
              <w:rPr>
                <w:sz w:val="20"/>
                <w:szCs w:val="20"/>
                <w:color w:val="auto"/>
              </w:rPr>
            </w:pPr>
            <w:r>
              <w:rPr>
                <w:rFonts w:ascii="Calibri" w:cs="Calibri" w:eastAsia="Calibri" w:hAnsi="Calibri"/>
                <w:sz w:val="15"/>
                <w:szCs w:val="15"/>
                <w:color w:val="auto"/>
              </w:rPr>
              <w:t>Changes in assets and liabilites:</w:t>
            </w: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3"/>
        </w:trPr>
        <w:tc>
          <w:tcPr>
            <w:tcW w:w="7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7720" w:type="dxa"/>
            <w:vAlign w:val="bottom"/>
            <w:tcBorders>
              <w:bottom w:val="single" w:sz="8" w:color="CFF0FC"/>
            </w:tcBorders>
            <w:shd w:val="clear" w:color="auto" w:fill="CFF0FC"/>
          </w:tcPr>
          <w:p>
            <w:pPr>
              <w:ind w:left="460"/>
              <w:spacing w:after="0"/>
              <w:rPr>
                <w:sz w:val="20"/>
                <w:szCs w:val="20"/>
                <w:color w:val="auto"/>
              </w:rPr>
            </w:pPr>
            <w:r>
              <w:rPr>
                <w:rFonts w:ascii="Calibri" w:cs="Calibri" w:eastAsia="Calibri" w:hAnsi="Calibri"/>
                <w:sz w:val="15"/>
                <w:szCs w:val="15"/>
                <w:color w:val="auto"/>
              </w:rPr>
              <w:t>Accounts and notes receivable</w:t>
            </w:r>
          </w:p>
        </w:tc>
        <w:tc>
          <w:tcPr>
            <w:tcW w:w="114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gridSpan w:val="2"/>
            <w:shd w:val="clear" w:color="auto" w:fill="CFF0FC"/>
          </w:tcPr>
          <w:p>
            <w:pPr>
              <w:jc w:val="right"/>
              <w:ind w:right="144"/>
              <w:spacing w:after="0"/>
              <w:rPr>
                <w:sz w:val="20"/>
                <w:szCs w:val="20"/>
                <w:color w:val="auto"/>
              </w:rPr>
            </w:pPr>
            <w:r>
              <w:rPr>
                <w:rFonts w:ascii="Calibri" w:cs="Calibri" w:eastAsia="Calibri" w:hAnsi="Calibri"/>
                <w:sz w:val="15"/>
                <w:szCs w:val="15"/>
                <w:color w:val="auto"/>
              </w:rPr>
              <w:t>(7 )</w:t>
            </w:r>
          </w:p>
        </w:tc>
        <w:tc>
          <w:tcPr>
            <w:tcW w:w="110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80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83"/>
        </w:trPr>
        <w:tc>
          <w:tcPr>
            <w:tcW w:w="7720" w:type="dxa"/>
            <w:vAlign w:val="bottom"/>
          </w:tcPr>
          <w:p>
            <w:pPr>
              <w:ind w:left="460"/>
              <w:spacing w:after="0"/>
              <w:rPr>
                <w:sz w:val="20"/>
                <w:szCs w:val="20"/>
                <w:color w:val="auto"/>
              </w:rPr>
            </w:pPr>
            <w:r>
              <w:rPr>
                <w:rFonts w:ascii="Calibri" w:cs="Calibri" w:eastAsia="Calibri" w:hAnsi="Calibri"/>
                <w:sz w:val="15"/>
                <w:szCs w:val="15"/>
                <w:color w:val="auto"/>
              </w:rPr>
              <w:t>Inventories</w:t>
            </w:r>
          </w:p>
        </w:tc>
        <w:tc>
          <w:tcPr>
            <w:tcW w:w="1140" w:type="dxa"/>
            <w:vAlign w:val="bottom"/>
          </w:tcPr>
          <w:p>
            <w:pPr>
              <w:spacing w:after="0"/>
              <w:rPr>
                <w:sz w:val="15"/>
                <w:szCs w:val="15"/>
                <w:color w:val="auto"/>
              </w:rPr>
            </w:pPr>
          </w:p>
        </w:tc>
        <w:tc>
          <w:tcPr>
            <w:tcW w:w="720" w:type="dxa"/>
            <w:vAlign w:val="bottom"/>
            <w:gridSpan w:val="2"/>
          </w:tcPr>
          <w:p>
            <w:pPr>
              <w:jc w:val="right"/>
              <w:ind w:right="144"/>
              <w:spacing w:after="0"/>
              <w:rPr>
                <w:sz w:val="20"/>
                <w:szCs w:val="20"/>
                <w:color w:val="auto"/>
              </w:rPr>
            </w:pPr>
            <w:r>
              <w:rPr>
                <w:rFonts w:ascii="Calibri" w:cs="Calibri" w:eastAsia="Calibri" w:hAnsi="Calibri"/>
                <w:sz w:val="15"/>
                <w:szCs w:val="15"/>
                <w:color w:val="auto"/>
              </w:rPr>
              <w:t>(19 )</w:t>
            </w:r>
          </w:p>
        </w:tc>
        <w:tc>
          <w:tcPr>
            <w:tcW w:w="1100" w:type="dxa"/>
            <w:vAlign w:val="bottom"/>
          </w:tcPr>
          <w:p>
            <w:pPr>
              <w:spacing w:after="0"/>
              <w:rPr>
                <w:sz w:val="15"/>
                <w:szCs w:val="15"/>
                <w:color w:val="auto"/>
              </w:rPr>
            </w:pPr>
          </w:p>
        </w:tc>
        <w:tc>
          <w:tcPr>
            <w:tcW w:w="560" w:type="dxa"/>
            <w:vAlign w:val="bottom"/>
            <w:gridSpan w:val="2"/>
          </w:tcPr>
          <w:p>
            <w:pPr>
              <w:jc w:val="right"/>
              <w:ind w:right="40"/>
              <w:spacing w:after="0"/>
              <w:rPr>
                <w:sz w:val="20"/>
                <w:szCs w:val="20"/>
                <w:color w:val="auto"/>
              </w:rPr>
            </w:pPr>
            <w:r>
              <w:rPr>
                <w:rFonts w:ascii="Calibri" w:cs="Calibri" w:eastAsia="Calibri" w:hAnsi="Calibri"/>
                <w:sz w:val="15"/>
                <w:szCs w:val="15"/>
                <w:color w:val="auto"/>
              </w:rPr>
              <w:t>(14 )</w:t>
            </w:r>
          </w:p>
        </w:tc>
      </w:tr>
      <w:tr>
        <w:trPr>
          <w:trHeight w:val="33"/>
        </w:trPr>
        <w:tc>
          <w:tcPr>
            <w:tcW w:w="7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7720" w:type="dxa"/>
            <w:vAlign w:val="bottom"/>
            <w:tcBorders>
              <w:bottom w:val="single" w:sz="8" w:color="CFF0FC"/>
            </w:tcBorders>
            <w:shd w:val="clear" w:color="auto" w:fill="CFF0FC"/>
          </w:tcPr>
          <w:p>
            <w:pPr>
              <w:ind w:left="460"/>
              <w:spacing w:after="0"/>
              <w:rPr>
                <w:sz w:val="20"/>
                <w:szCs w:val="20"/>
                <w:color w:val="auto"/>
              </w:rPr>
            </w:pPr>
            <w:r>
              <w:rPr>
                <w:rFonts w:ascii="Calibri" w:cs="Calibri" w:eastAsia="Calibri" w:hAnsi="Calibri"/>
                <w:sz w:val="15"/>
                <w:szCs w:val="15"/>
                <w:color w:val="auto"/>
              </w:rPr>
              <w:t>Prepaid expenses and other assets</w:t>
            </w:r>
          </w:p>
        </w:tc>
        <w:tc>
          <w:tcPr>
            <w:tcW w:w="114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gridSpan w:val="2"/>
            <w:shd w:val="clear" w:color="auto" w:fill="CFF0FC"/>
          </w:tcPr>
          <w:p>
            <w:pPr>
              <w:jc w:val="right"/>
              <w:ind w:right="144"/>
              <w:spacing w:after="0"/>
              <w:rPr>
                <w:sz w:val="20"/>
                <w:szCs w:val="20"/>
                <w:color w:val="auto"/>
              </w:rPr>
            </w:pPr>
            <w:r>
              <w:rPr>
                <w:rFonts w:ascii="Calibri" w:cs="Calibri" w:eastAsia="Calibri" w:hAnsi="Calibri"/>
                <w:sz w:val="15"/>
                <w:szCs w:val="15"/>
                <w:color w:val="auto"/>
              </w:rPr>
              <w:t>(2 )</w:t>
            </w:r>
          </w:p>
        </w:tc>
        <w:tc>
          <w:tcPr>
            <w:tcW w:w="110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gridSpan w:val="2"/>
            <w:shd w:val="clear" w:color="auto" w:fill="CFF0FC"/>
          </w:tcPr>
          <w:p>
            <w:pPr>
              <w:jc w:val="right"/>
              <w:ind w:right="40"/>
              <w:spacing w:after="0"/>
              <w:rPr>
                <w:sz w:val="20"/>
                <w:szCs w:val="20"/>
                <w:color w:val="auto"/>
              </w:rPr>
            </w:pPr>
            <w:r>
              <w:rPr>
                <w:rFonts w:ascii="Calibri" w:cs="Calibri" w:eastAsia="Calibri" w:hAnsi="Calibri"/>
                <w:sz w:val="15"/>
                <w:szCs w:val="15"/>
                <w:color w:val="auto"/>
              </w:rPr>
              <w:t>(12 )</w:t>
            </w:r>
          </w:p>
        </w:tc>
      </w:tr>
      <w:tr>
        <w:trPr>
          <w:trHeight w:val="183"/>
        </w:trPr>
        <w:tc>
          <w:tcPr>
            <w:tcW w:w="7720" w:type="dxa"/>
            <w:vAlign w:val="bottom"/>
          </w:tcPr>
          <w:p>
            <w:pPr>
              <w:ind w:left="460"/>
              <w:spacing w:after="0"/>
              <w:rPr>
                <w:sz w:val="20"/>
                <w:szCs w:val="20"/>
                <w:color w:val="auto"/>
              </w:rPr>
            </w:pPr>
            <w:r>
              <w:rPr>
                <w:rFonts w:ascii="Calibri" w:cs="Calibri" w:eastAsia="Calibri" w:hAnsi="Calibri"/>
                <w:sz w:val="15"/>
                <w:szCs w:val="15"/>
                <w:color w:val="auto"/>
              </w:rPr>
              <w:t>Accounts payable and accrued liabilites</w:t>
            </w:r>
          </w:p>
        </w:tc>
        <w:tc>
          <w:tcPr>
            <w:tcW w:w="1140" w:type="dxa"/>
            <w:vAlign w:val="bottom"/>
          </w:tcPr>
          <w:p>
            <w:pPr>
              <w:spacing w:after="0"/>
              <w:rPr>
                <w:sz w:val="15"/>
                <w:szCs w:val="15"/>
                <w:color w:val="auto"/>
              </w:rPr>
            </w:pPr>
          </w:p>
        </w:tc>
        <w:tc>
          <w:tcPr>
            <w:tcW w:w="720" w:type="dxa"/>
            <w:vAlign w:val="bottom"/>
            <w:gridSpan w:val="2"/>
          </w:tcPr>
          <w:p>
            <w:pPr>
              <w:jc w:val="right"/>
              <w:ind w:right="144"/>
              <w:spacing w:after="0"/>
              <w:rPr>
                <w:sz w:val="20"/>
                <w:szCs w:val="20"/>
                <w:color w:val="auto"/>
              </w:rPr>
            </w:pPr>
            <w:r>
              <w:rPr>
                <w:rFonts w:ascii="Calibri" w:cs="Calibri" w:eastAsia="Calibri" w:hAnsi="Calibri"/>
                <w:sz w:val="15"/>
                <w:szCs w:val="15"/>
                <w:color w:val="auto"/>
              </w:rPr>
              <w:t>(20 )</w:t>
            </w:r>
          </w:p>
        </w:tc>
        <w:tc>
          <w:tcPr>
            <w:tcW w:w="1100" w:type="dxa"/>
            <w:vAlign w:val="bottom"/>
          </w:tcPr>
          <w:p>
            <w:pPr>
              <w:spacing w:after="0"/>
              <w:rPr>
                <w:sz w:val="15"/>
                <w:szCs w:val="15"/>
                <w:color w:val="auto"/>
              </w:rPr>
            </w:pPr>
          </w:p>
        </w:tc>
        <w:tc>
          <w:tcPr>
            <w:tcW w:w="560" w:type="dxa"/>
            <w:vAlign w:val="bottom"/>
            <w:gridSpan w:val="2"/>
          </w:tcPr>
          <w:p>
            <w:pPr>
              <w:jc w:val="right"/>
              <w:ind w:right="40"/>
              <w:spacing w:after="0"/>
              <w:rPr>
                <w:sz w:val="20"/>
                <w:szCs w:val="20"/>
                <w:color w:val="auto"/>
              </w:rPr>
            </w:pPr>
            <w:r>
              <w:rPr>
                <w:rFonts w:ascii="Calibri" w:cs="Calibri" w:eastAsia="Calibri" w:hAnsi="Calibri"/>
                <w:sz w:val="15"/>
                <w:szCs w:val="15"/>
                <w:color w:val="auto"/>
              </w:rPr>
              <w:t>(100 )</w:t>
            </w:r>
          </w:p>
        </w:tc>
      </w:tr>
      <w:tr>
        <w:trPr>
          <w:trHeight w:val="33"/>
        </w:trPr>
        <w:tc>
          <w:tcPr>
            <w:tcW w:w="7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7720" w:type="dxa"/>
            <w:vAlign w:val="bottom"/>
            <w:tcBorders>
              <w:bottom w:val="single" w:sz="8" w:color="CFF0FC"/>
            </w:tcBorders>
            <w:shd w:val="clear" w:color="auto" w:fill="CFF0FC"/>
          </w:tcPr>
          <w:p>
            <w:pPr>
              <w:ind w:left="460"/>
              <w:spacing w:after="0"/>
              <w:rPr>
                <w:sz w:val="20"/>
                <w:szCs w:val="20"/>
                <w:color w:val="auto"/>
              </w:rPr>
            </w:pPr>
            <w:r>
              <w:rPr>
                <w:rFonts w:ascii="Calibri" w:cs="Calibri" w:eastAsia="Calibri" w:hAnsi="Calibri"/>
                <w:sz w:val="15"/>
                <w:szCs w:val="15"/>
                <w:color w:val="auto"/>
              </w:rPr>
              <w:t>Income taxes payable</w:t>
            </w:r>
          </w:p>
        </w:tc>
        <w:tc>
          <w:tcPr>
            <w:tcW w:w="114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gridSpan w:val="2"/>
            <w:shd w:val="clear" w:color="auto" w:fill="CFF0FC"/>
          </w:tcPr>
          <w:p>
            <w:pPr>
              <w:jc w:val="right"/>
              <w:ind w:right="144"/>
              <w:spacing w:after="0"/>
              <w:rPr>
                <w:sz w:val="20"/>
                <w:szCs w:val="20"/>
                <w:color w:val="auto"/>
              </w:rPr>
            </w:pPr>
            <w:r>
              <w:rPr>
                <w:rFonts w:ascii="Calibri" w:cs="Calibri" w:eastAsia="Calibri" w:hAnsi="Calibri"/>
                <w:sz w:val="15"/>
                <w:szCs w:val="15"/>
                <w:color w:val="auto"/>
              </w:rPr>
              <w:t>(10 )</w:t>
            </w:r>
          </w:p>
        </w:tc>
        <w:tc>
          <w:tcPr>
            <w:tcW w:w="110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gridSpan w:val="2"/>
            <w:shd w:val="clear" w:color="auto" w:fill="CFF0FC"/>
          </w:tcPr>
          <w:p>
            <w:pPr>
              <w:jc w:val="right"/>
              <w:ind w:right="40"/>
              <w:spacing w:after="0"/>
              <w:rPr>
                <w:sz w:val="20"/>
                <w:szCs w:val="20"/>
                <w:color w:val="auto"/>
              </w:rPr>
            </w:pPr>
            <w:r>
              <w:rPr>
                <w:rFonts w:ascii="Calibri" w:cs="Calibri" w:eastAsia="Calibri" w:hAnsi="Calibri"/>
                <w:sz w:val="15"/>
                <w:szCs w:val="15"/>
                <w:color w:val="auto"/>
              </w:rPr>
              <w:t>(10 )</w:t>
            </w:r>
          </w:p>
        </w:tc>
      </w:tr>
      <w:tr>
        <w:trPr>
          <w:trHeight w:val="187"/>
        </w:trPr>
        <w:tc>
          <w:tcPr>
            <w:tcW w:w="7720" w:type="dxa"/>
            <w:vAlign w:val="bottom"/>
          </w:tcPr>
          <w:p>
            <w:pPr>
              <w:ind w:left="460"/>
              <w:spacing w:after="0"/>
              <w:rPr>
                <w:sz w:val="20"/>
                <w:szCs w:val="20"/>
                <w:color w:val="auto"/>
              </w:rPr>
            </w:pPr>
            <w:r>
              <w:rPr>
                <w:rFonts w:ascii="Calibri" w:cs="Calibri" w:eastAsia="Calibri" w:hAnsi="Calibri"/>
                <w:sz w:val="15"/>
                <w:szCs w:val="15"/>
                <w:color w:val="auto"/>
              </w:rPr>
              <w:t>Other liabilites</w:t>
            </w:r>
          </w:p>
        </w:tc>
        <w:tc>
          <w:tcPr>
            <w:tcW w:w="1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Calibri" w:cs="Calibri" w:eastAsia="Calibri" w:hAnsi="Calibri"/>
                <w:sz w:val="15"/>
                <w:szCs w:val="15"/>
                <w:color w:val="auto"/>
              </w:rPr>
              <w:t>11</w:t>
            </w: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Calibri" w:cs="Calibri" w:eastAsia="Calibri" w:hAnsi="Calibri"/>
                <w:sz w:val="15"/>
                <w:szCs w:val="15"/>
                <w:color w:val="auto"/>
              </w:rPr>
              <w:t>3</w:t>
            </w:r>
          </w:p>
        </w:tc>
        <w:tc>
          <w:tcPr>
            <w:tcW w:w="100" w:type="dxa"/>
            <w:vAlign w:val="bottom"/>
          </w:tcPr>
          <w:p>
            <w:pPr>
              <w:spacing w:after="0"/>
              <w:rPr>
                <w:sz w:val="16"/>
                <w:szCs w:val="16"/>
                <w:color w:val="auto"/>
              </w:rPr>
            </w:pPr>
          </w:p>
        </w:tc>
      </w:tr>
      <w:tr>
        <w:trPr>
          <w:trHeight w:val="29"/>
        </w:trPr>
        <w:tc>
          <w:tcPr>
            <w:tcW w:w="77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5"/>
        </w:trPr>
        <w:tc>
          <w:tcPr>
            <w:tcW w:w="7720" w:type="dxa"/>
            <w:vAlign w:val="bottom"/>
            <w:tcBorders>
              <w:bottom w:val="single" w:sz="8" w:color="CFF0FC"/>
            </w:tcBorders>
            <w:shd w:val="clear" w:color="auto" w:fill="CFF0FC"/>
          </w:tcPr>
          <w:p>
            <w:pPr>
              <w:ind w:left="600"/>
              <w:spacing w:after="0" w:line="180" w:lineRule="exact"/>
              <w:rPr>
                <w:sz w:val="20"/>
                <w:szCs w:val="20"/>
                <w:color w:val="auto"/>
              </w:rPr>
            </w:pPr>
            <w:r>
              <w:rPr>
                <w:rFonts w:ascii="Calibri" w:cs="Calibri" w:eastAsia="Calibri" w:hAnsi="Calibri"/>
                <w:sz w:val="15"/>
                <w:szCs w:val="15"/>
                <w:color w:val="auto"/>
              </w:rPr>
              <w:t>Cash provided by (used in) operatng actvites</w:t>
            </w:r>
          </w:p>
        </w:tc>
        <w:tc>
          <w:tcPr>
            <w:tcW w:w="114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jc w:val="right"/>
              <w:spacing w:after="0" w:line="180" w:lineRule="exact"/>
              <w:rPr>
                <w:sz w:val="20"/>
                <w:szCs w:val="20"/>
                <w:color w:val="auto"/>
              </w:rPr>
            </w:pPr>
            <w:r>
              <w:rPr>
                <w:rFonts w:ascii="Calibri" w:cs="Calibri" w:eastAsia="Calibri" w:hAnsi="Calibri"/>
                <w:sz w:val="15"/>
                <w:szCs w:val="15"/>
                <w:color w:val="auto"/>
              </w:rPr>
              <w:t>105</w:t>
            </w:r>
          </w:p>
        </w:tc>
        <w:tc>
          <w:tcPr>
            <w:tcW w:w="28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jc w:val="right"/>
              <w:spacing w:after="0" w:line="180" w:lineRule="exact"/>
              <w:rPr>
                <w:sz w:val="20"/>
                <w:szCs w:val="20"/>
                <w:color w:val="auto"/>
              </w:rPr>
            </w:pPr>
            <w:r>
              <w:rPr>
                <w:rFonts w:ascii="Calibri" w:cs="Calibri" w:eastAsia="Calibri" w:hAnsi="Calibri"/>
                <w:sz w:val="15"/>
                <w:szCs w:val="15"/>
                <w:color w:val="auto"/>
              </w:rPr>
              <w:t>52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76"/>
        </w:trPr>
        <w:tc>
          <w:tcPr>
            <w:tcW w:w="7720" w:type="dxa"/>
            <w:vAlign w:val="bottom"/>
            <w:tcBorders>
              <w:top w:val="single" w:sz="8" w:color="CFF0FC"/>
            </w:tcBorders>
          </w:tcPr>
          <w:p>
            <w:pPr>
              <w:ind w:left="20"/>
              <w:spacing w:after="0" w:line="176" w:lineRule="exact"/>
              <w:rPr>
                <w:sz w:val="20"/>
                <w:szCs w:val="20"/>
                <w:color w:val="auto"/>
              </w:rPr>
            </w:pPr>
            <w:r>
              <w:rPr>
                <w:rFonts w:ascii="Calibri" w:cs="Calibri" w:eastAsia="Calibri" w:hAnsi="Calibri"/>
                <w:sz w:val="15"/>
                <w:szCs w:val="15"/>
                <w:b w:val="1"/>
                <w:bCs w:val="1"/>
                <w:color w:val="auto"/>
              </w:rPr>
              <w:t>Cash Flows from Investng Actvites:</w:t>
            </w:r>
          </w:p>
        </w:tc>
        <w:tc>
          <w:tcPr>
            <w:tcW w:w="114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33"/>
        </w:trPr>
        <w:tc>
          <w:tcPr>
            <w:tcW w:w="7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772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5"/>
                <w:szCs w:val="15"/>
                <w:color w:val="auto"/>
              </w:rPr>
              <w:t>Additons to property, plant and equipment</w:t>
            </w:r>
          </w:p>
        </w:tc>
        <w:tc>
          <w:tcPr>
            <w:tcW w:w="114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gridSpan w:val="2"/>
            <w:shd w:val="clear" w:color="auto" w:fill="CFF0FC"/>
          </w:tcPr>
          <w:p>
            <w:pPr>
              <w:jc w:val="right"/>
              <w:ind w:right="144"/>
              <w:spacing w:after="0"/>
              <w:rPr>
                <w:sz w:val="20"/>
                <w:szCs w:val="20"/>
                <w:color w:val="auto"/>
              </w:rPr>
            </w:pPr>
            <w:r>
              <w:rPr>
                <w:rFonts w:ascii="Calibri" w:cs="Calibri" w:eastAsia="Calibri" w:hAnsi="Calibri"/>
                <w:sz w:val="15"/>
                <w:szCs w:val="15"/>
                <w:color w:val="auto"/>
              </w:rPr>
              <w:t>(54 )</w:t>
            </w:r>
          </w:p>
        </w:tc>
        <w:tc>
          <w:tcPr>
            <w:tcW w:w="110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gridSpan w:val="2"/>
            <w:shd w:val="clear" w:color="auto" w:fill="CFF0FC"/>
          </w:tcPr>
          <w:p>
            <w:pPr>
              <w:jc w:val="right"/>
              <w:ind w:right="40"/>
              <w:spacing w:after="0"/>
              <w:rPr>
                <w:sz w:val="20"/>
                <w:szCs w:val="20"/>
                <w:color w:val="auto"/>
              </w:rPr>
            </w:pPr>
            <w:r>
              <w:rPr>
                <w:rFonts w:ascii="Calibri" w:cs="Calibri" w:eastAsia="Calibri" w:hAnsi="Calibri"/>
                <w:sz w:val="15"/>
                <w:szCs w:val="15"/>
                <w:color w:val="auto"/>
              </w:rPr>
              <w:t>(35 )</w:t>
            </w:r>
          </w:p>
        </w:tc>
      </w:tr>
      <w:tr>
        <w:trPr>
          <w:trHeight w:val="183"/>
        </w:trPr>
        <w:tc>
          <w:tcPr>
            <w:tcW w:w="7720" w:type="dxa"/>
            <w:vAlign w:val="bottom"/>
          </w:tcPr>
          <w:p>
            <w:pPr>
              <w:ind w:left="160"/>
              <w:spacing w:after="0"/>
              <w:rPr>
                <w:sz w:val="20"/>
                <w:szCs w:val="20"/>
                <w:color w:val="auto"/>
              </w:rPr>
            </w:pPr>
            <w:r>
              <w:rPr>
                <w:rFonts w:ascii="Calibri" w:cs="Calibri" w:eastAsia="Calibri" w:hAnsi="Calibri"/>
                <w:sz w:val="15"/>
                <w:szCs w:val="15"/>
                <w:color w:val="auto"/>
              </w:rPr>
              <w:t>Proceeds from sale of land</w:t>
            </w:r>
          </w:p>
        </w:tc>
        <w:tc>
          <w:tcPr>
            <w:tcW w:w="1140" w:type="dxa"/>
            <w:vAlign w:val="bottom"/>
          </w:tcPr>
          <w:p>
            <w:pPr>
              <w:spacing w:after="0"/>
              <w:rPr>
                <w:sz w:val="15"/>
                <w:szCs w:val="15"/>
                <w:color w:val="auto"/>
              </w:rPr>
            </w:pPr>
          </w:p>
        </w:tc>
        <w:tc>
          <w:tcPr>
            <w:tcW w:w="720" w:type="dxa"/>
            <w:vAlign w:val="bottom"/>
            <w:gridSpan w:val="2"/>
          </w:tcPr>
          <w:p>
            <w:pPr>
              <w:jc w:val="right"/>
              <w:ind w:right="224"/>
              <w:spacing w:after="0"/>
              <w:rPr>
                <w:sz w:val="20"/>
                <w:szCs w:val="20"/>
                <w:color w:val="auto"/>
              </w:rPr>
            </w:pPr>
            <w:r>
              <w:rPr>
                <w:rFonts w:ascii="Calibri" w:cs="Calibri" w:eastAsia="Calibri" w:hAnsi="Calibri"/>
                <w:sz w:val="15"/>
                <w:szCs w:val="15"/>
                <w:color w:val="auto"/>
              </w:rPr>
              <w:t>—</w:t>
            </w:r>
          </w:p>
        </w:tc>
        <w:tc>
          <w:tcPr>
            <w:tcW w:w="1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alibri" w:cs="Calibri" w:eastAsia="Calibri" w:hAnsi="Calibri"/>
                <w:sz w:val="15"/>
                <w:szCs w:val="15"/>
                <w:color w:val="auto"/>
              </w:rPr>
              <w:t>7</w:t>
            </w:r>
          </w:p>
        </w:tc>
        <w:tc>
          <w:tcPr>
            <w:tcW w:w="100" w:type="dxa"/>
            <w:vAlign w:val="bottom"/>
          </w:tcPr>
          <w:p>
            <w:pPr>
              <w:spacing w:after="0"/>
              <w:rPr>
                <w:sz w:val="15"/>
                <w:szCs w:val="15"/>
                <w:color w:val="auto"/>
              </w:rPr>
            </w:pPr>
          </w:p>
        </w:tc>
      </w:tr>
      <w:tr>
        <w:trPr>
          <w:trHeight w:val="33"/>
        </w:trPr>
        <w:tc>
          <w:tcPr>
            <w:tcW w:w="7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772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5"/>
                <w:szCs w:val="15"/>
                <w:color w:val="auto"/>
              </w:rPr>
              <w:t>Proceeds from sale of business</w:t>
            </w:r>
          </w:p>
        </w:tc>
        <w:tc>
          <w:tcPr>
            <w:tcW w:w="114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gridSpan w:val="2"/>
            <w:shd w:val="clear" w:color="auto" w:fill="CFF0FC"/>
          </w:tcPr>
          <w:p>
            <w:pPr>
              <w:jc w:val="right"/>
              <w:ind w:right="224"/>
              <w:spacing w:after="0"/>
              <w:rPr>
                <w:sz w:val="20"/>
                <w:szCs w:val="20"/>
                <w:color w:val="auto"/>
              </w:rPr>
            </w:pPr>
            <w:r>
              <w:rPr>
                <w:rFonts w:ascii="Calibri" w:cs="Calibri" w:eastAsia="Calibri" w:hAnsi="Calibri"/>
                <w:sz w:val="15"/>
                <w:szCs w:val="15"/>
                <w:color w:val="auto"/>
              </w:rPr>
              <w:t>—</w:t>
            </w:r>
          </w:p>
        </w:tc>
        <w:tc>
          <w:tcPr>
            <w:tcW w:w="110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87"/>
        </w:trPr>
        <w:tc>
          <w:tcPr>
            <w:tcW w:w="7720" w:type="dxa"/>
            <w:vAlign w:val="bottom"/>
          </w:tcPr>
          <w:p>
            <w:pPr>
              <w:ind w:left="160"/>
              <w:spacing w:after="0"/>
              <w:rPr>
                <w:sz w:val="20"/>
                <w:szCs w:val="20"/>
                <w:color w:val="auto"/>
              </w:rPr>
            </w:pPr>
            <w:r>
              <w:rPr>
                <w:rFonts w:ascii="Calibri" w:cs="Calibri" w:eastAsia="Calibri" w:hAnsi="Calibri"/>
                <w:sz w:val="15"/>
                <w:szCs w:val="15"/>
                <w:color w:val="auto"/>
              </w:rPr>
              <w:t>Other</w:t>
            </w:r>
          </w:p>
        </w:tc>
        <w:tc>
          <w:tcPr>
            <w:tcW w:w="1140" w:type="dxa"/>
            <w:vAlign w:val="bottom"/>
          </w:tcPr>
          <w:p>
            <w:pPr>
              <w:spacing w:after="0"/>
              <w:rPr>
                <w:sz w:val="16"/>
                <w:szCs w:val="16"/>
                <w:color w:val="auto"/>
              </w:rPr>
            </w:pPr>
          </w:p>
        </w:tc>
        <w:tc>
          <w:tcPr>
            <w:tcW w:w="720" w:type="dxa"/>
            <w:vAlign w:val="bottom"/>
            <w:gridSpan w:val="2"/>
          </w:tcPr>
          <w:p>
            <w:pPr>
              <w:jc w:val="right"/>
              <w:ind w:right="224"/>
              <w:spacing w:after="0"/>
              <w:rPr>
                <w:sz w:val="20"/>
                <w:szCs w:val="20"/>
                <w:color w:val="auto"/>
              </w:rPr>
            </w:pPr>
            <w:r>
              <w:rPr>
                <w:rFonts w:ascii="Calibri" w:cs="Calibri" w:eastAsia="Calibri" w:hAnsi="Calibri"/>
                <w:sz w:val="15"/>
                <w:szCs w:val="15"/>
                <w:color w:val="auto"/>
              </w:rPr>
              <w:t>—</w:t>
            </w:r>
          </w:p>
        </w:tc>
        <w:tc>
          <w:tcPr>
            <w:tcW w:w="1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Calibri" w:cs="Calibri" w:eastAsia="Calibri" w:hAnsi="Calibri"/>
                <w:sz w:val="15"/>
                <w:szCs w:val="15"/>
                <w:color w:val="auto"/>
              </w:rPr>
              <w:t>5</w:t>
            </w:r>
          </w:p>
        </w:tc>
        <w:tc>
          <w:tcPr>
            <w:tcW w:w="100" w:type="dxa"/>
            <w:vAlign w:val="bottom"/>
          </w:tcPr>
          <w:p>
            <w:pPr>
              <w:spacing w:after="0"/>
              <w:rPr>
                <w:sz w:val="16"/>
                <w:szCs w:val="16"/>
                <w:color w:val="auto"/>
              </w:rPr>
            </w:pPr>
          </w:p>
        </w:tc>
      </w:tr>
      <w:tr>
        <w:trPr>
          <w:trHeight w:val="30"/>
        </w:trPr>
        <w:tc>
          <w:tcPr>
            <w:tcW w:w="77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4"/>
        </w:trPr>
        <w:tc>
          <w:tcPr>
            <w:tcW w:w="7720" w:type="dxa"/>
            <w:vAlign w:val="bottom"/>
            <w:tcBorders>
              <w:bottom w:val="single" w:sz="8" w:color="CFF0FC"/>
            </w:tcBorders>
            <w:shd w:val="clear" w:color="auto" w:fill="CFF0FC"/>
          </w:tcPr>
          <w:p>
            <w:pPr>
              <w:ind w:left="600"/>
              <w:spacing w:after="0" w:line="180" w:lineRule="exact"/>
              <w:rPr>
                <w:sz w:val="20"/>
                <w:szCs w:val="20"/>
                <w:color w:val="auto"/>
              </w:rPr>
            </w:pPr>
            <w:r>
              <w:rPr>
                <w:rFonts w:ascii="Calibri" w:cs="Calibri" w:eastAsia="Calibri" w:hAnsi="Calibri"/>
                <w:sz w:val="15"/>
                <w:szCs w:val="15"/>
                <w:color w:val="auto"/>
              </w:rPr>
              <w:t>Cash provided by (used in) investng actvites</w:t>
            </w:r>
          </w:p>
        </w:tc>
        <w:tc>
          <w:tcPr>
            <w:tcW w:w="114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gridSpan w:val="2"/>
            <w:shd w:val="clear" w:color="auto" w:fill="CFF0FC"/>
          </w:tcPr>
          <w:p>
            <w:pPr>
              <w:jc w:val="right"/>
              <w:ind w:right="144"/>
              <w:spacing w:after="0" w:line="180" w:lineRule="exact"/>
              <w:rPr>
                <w:sz w:val="20"/>
                <w:szCs w:val="20"/>
                <w:color w:val="auto"/>
              </w:rPr>
            </w:pPr>
            <w:r>
              <w:rPr>
                <w:rFonts w:ascii="Calibri" w:cs="Calibri" w:eastAsia="Calibri" w:hAnsi="Calibri"/>
                <w:sz w:val="15"/>
                <w:szCs w:val="15"/>
                <w:color w:val="auto"/>
              </w:rPr>
              <w:t>(54 )</w:t>
            </w:r>
          </w:p>
        </w:tc>
        <w:tc>
          <w:tcPr>
            <w:tcW w:w="110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gridSpan w:val="2"/>
            <w:shd w:val="clear" w:color="auto" w:fill="CFF0FC"/>
          </w:tcPr>
          <w:p>
            <w:pPr>
              <w:jc w:val="right"/>
              <w:ind w:right="40"/>
              <w:spacing w:after="0" w:line="180" w:lineRule="exact"/>
              <w:rPr>
                <w:sz w:val="20"/>
                <w:szCs w:val="20"/>
                <w:color w:val="auto"/>
              </w:rPr>
            </w:pPr>
            <w:r>
              <w:rPr>
                <w:rFonts w:ascii="Calibri" w:cs="Calibri" w:eastAsia="Calibri" w:hAnsi="Calibri"/>
                <w:sz w:val="15"/>
                <w:szCs w:val="15"/>
                <w:color w:val="auto"/>
              </w:rPr>
              <w:t>(17 )</w:t>
            </w:r>
          </w:p>
        </w:tc>
      </w:tr>
      <w:tr>
        <w:trPr>
          <w:trHeight w:val="176"/>
        </w:trPr>
        <w:tc>
          <w:tcPr>
            <w:tcW w:w="7720" w:type="dxa"/>
            <w:vAlign w:val="bottom"/>
            <w:tcBorders>
              <w:top w:val="single" w:sz="8" w:color="CFF0FC"/>
            </w:tcBorders>
          </w:tcPr>
          <w:p>
            <w:pPr>
              <w:ind w:left="20"/>
              <w:spacing w:after="0" w:line="176" w:lineRule="exact"/>
              <w:rPr>
                <w:sz w:val="20"/>
                <w:szCs w:val="20"/>
                <w:color w:val="auto"/>
              </w:rPr>
            </w:pPr>
            <w:r>
              <w:rPr>
                <w:rFonts w:ascii="Calibri" w:cs="Calibri" w:eastAsia="Calibri" w:hAnsi="Calibri"/>
                <w:sz w:val="15"/>
                <w:szCs w:val="15"/>
                <w:b w:val="1"/>
                <w:bCs w:val="1"/>
                <w:color w:val="auto"/>
              </w:rPr>
              <w:t>Cash Flows from Financing Actvites:</w:t>
            </w:r>
          </w:p>
        </w:tc>
        <w:tc>
          <w:tcPr>
            <w:tcW w:w="114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33"/>
        </w:trPr>
        <w:tc>
          <w:tcPr>
            <w:tcW w:w="7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772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5"/>
                <w:szCs w:val="15"/>
                <w:color w:val="auto"/>
              </w:rPr>
              <w:t>Proceeds from short-term borrowings</w:t>
            </w:r>
          </w:p>
        </w:tc>
        <w:tc>
          <w:tcPr>
            <w:tcW w:w="114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gridSpan w:val="2"/>
            <w:shd w:val="clear" w:color="auto" w:fill="CFF0FC"/>
          </w:tcPr>
          <w:p>
            <w:pPr>
              <w:jc w:val="right"/>
              <w:ind w:right="224"/>
              <w:spacing w:after="0"/>
              <w:rPr>
                <w:sz w:val="20"/>
                <w:szCs w:val="20"/>
                <w:color w:val="auto"/>
              </w:rPr>
            </w:pPr>
            <w:r>
              <w:rPr>
                <w:rFonts w:ascii="Calibri" w:cs="Calibri" w:eastAsia="Calibri" w:hAnsi="Calibri"/>
                <w:sz w:val="15"/>
                <w:szCs w:val="15"/>
                <w:color w:val="auto"/>
              </w:rPr>
              <w:t>—</w:t>
            </w:r>
          </w:p>
        </w:tc>
        <w:tc>
          <w:tcPr>
            <w:tcW w:w="110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11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83"/>
        </w:trPr>
        <w:tc>
          <w:tcPr>
            <w:tcW w:w="7720" w:type="dxa"/>
            <w:vAlign w:val="bottom"/>
          </w:tcPr>
          <w:p>
            <w:pPr>
              <w:ind w:left="160"/>
              <w:spacing w:after="0"/>
              <w:rPr>
                <w:sz w:val="20"/>
                <w:szCs w:val="20"/>
                <w:color w:val="auto"/>
              </w:rPr>
            </w:pPr>
            <w:r>
              <w:rPr>
                <w:rFonts w:ascii="Calibri" w:cs="Calibri" w:eastAsia="Calibri" w:hAnsi="Calibri"/>
                <w:sz w:val="15"/>
                <w:szCs w:val="15"/>
                <w:color w:val="auto"/>
              </w:rPr>
              <w:t>Proceeds from issuance (repayments) of commercial paper, net</w:t>
            </w:r>
          </w:p>
        </w:tc>
        <w:tc>
          <w:tcPr>
            <w:tcW w:w="1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Calibri" w:cs="Calibri" w:eastAsia="Calibri" w:hAnsi="Calibri"/>
                <w:sz w:val="15"/>
                <w:szCs w:val="15"/>
                <w:color w:val="auto"/>
              </w:rPr>
              <w:t>32</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gridSpan w:val="2"/>
          </w:tcPr>
          <w:p>
            <w:pPr>
              <w:jc w:val="right"/>
              <w:ind w:right="40"/>
              <w:spacing w:after="0"/>
              <w:rPr>
                <w:sz w:val="20"/>
                <w:szCs w:val="20"/>
                <w:color w:val="auto"/>
              </w:rPr>
            </w:pPr>
            <w:r>
              <w:rPr>
                <w:rFonts w:ascii="Calibri" w:cs="Calibri" w:eastAsia="Calibri" w:hAnsi="Calibri"/>
                <w:sz w:val="15"/>
                <w:szCs w:val="15"/>
                <w:color w:val="auto"/>
              </w:rPr>
              <w:t>(48 )</w:t>
            </w:r>
          </w:p>
        </w:tc>
      </w:tr>
      <w:tr>
        <w:trPr>
          <w:trHeight w:val="33"/>
        </w:trPr>
        <w:tc>
          <w:tcPr>
            <w:tcW w:w="7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772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5"/>
                <w:szCs w:val="15"/>
                <w:color w:val="auto"/>
              </w:rPr>
              <w:t>Repayments of long-term debt</w:t>
            </w:r>
          </w:p>
        </w:tc>
        <w:tc>
          <w:tcPr>
            <w:tcW w:w="114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gridSpan w:val="2"/>
            <w:shd w:val="clear" w:color="auto" w:fill="CFF0FC"/>
          </w:tcPr>
          <w:p>
            <w:pPr>
              <w:jc w:val="right"/>
              <w:ind w:right="144"/>
              <w:spacing w:after="0"/>
              <w:rPr>
                <w:sz w:val="20"/>
                <w:szCs w:val="20"/>
                <w:color w:val="auto"/>
              </w:rPr>
            </w:pPr>
            <w:r>
              <w:rPr>
                <w:rFonts w:ascii="Calibri" w:cs="Calibri" w:eastAsia="Calibri" w:hAnsi="Calibri"/>
                <w:sz w:val="15"/>
                <w:szCs w:val="15"/>
                <w:color w:val="auto"/>
              </w:rPr>
              <w:t>(1 )</w:t>
            </w:r>
          </w:p>
        </w:tc>
        <w:tc>
          <w:tcPr>
            <w:tcW w:w="110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gridSpan w:val="2"/>
            <w:shd w:val="clear" w:color="auto" w:fill="CFF0FC"/>
          </w:tcPr>
          <w:p>
            <w:pPr>
              <w:jc w:val="right"/>
              <w:ind w:right="40"/>
              <w:spacing w:after="0"/>
              <w:rPr>
                <w:sz w:val="20"/>
                <w:szCs w:val="20"/>
                <w:color w:val="auto"/>
              </w:rPr>
            </w:pPr>
            <w:r>
              <w:rPr>
                <w:rFonts w:ascii="Calibri" w:cs="Calibri" w:eastAsia="Calibri" w:hAnsi="Calibri"/>
                <w:sz w:val="15"/>
                <w:szCs w:val="15"/>
                <w:color w:val="auto"/>
              </w:rPr>
              <w:t>(6 )</w:t>
            </w:r>
          </w:p>
        </w:tc>
      </w:tr>
      <w:tr>
        <w:trPr>
          <w:trHeight w:val="183"/>
        </w:trPr>
        <w:tc>
          <w:tcPr>
            <w:tcW w:w="7720" w:type="dxa"/>
            <w:vAlign w:val="bottom"/>
          </w:tcPr>
          <w:p>
            <w:pPr>
              <w:ind w:left="160"/>
              <w:spacing w:after="0"/>
              <w:rPr>
                <w:sz w:val="20"/>
                <w:szCs w:val="20"/>
                <w:color w:val="auto"/>
              </w:rPr>
            </w:pPr>
            <w:r>
              <w:rPr>
                <w:rFonts w:ascii="Calibri" w:cs="Calibri" w:eastAsia="Calibri" w:hAnsi="Calibri"/>
                <w:sz w:val="15"/>
                <w:szCs w:val="15"/>
                <w:color w:val="auto"/>
              </w:rPr>
              <w:t>Purchases of common stock</w:t>
            </w:r>
          </w:p>
        </w:tc>
        <w:tc>
          <w:tcPr>
            <w:tcW w:w="1140" w:type="dxa"/>
            <w:vAlign w:val="bottom"/>
          </w:tcPr>
          <w:p>
            <w:pPr>
              <w:spacing w:after="0"/>
              <w:rPr>
                <w:sz w:val="15"/>
                <w:szCs w:val="15"/>
                <w:color w:val="auto"/>
              </w:rPr>
            </w:pPr>
          </w:p>
        </w:tc>
        <w:tc>
          <w:tcPr>
            <w:tcW w:w="720" w:type="dxa"/>
            <w:vAlign w:val="bottom"/>
            <w:gridSpan w:val="2"/>
          </w:tcPr>
          <w:p>
            <w:pPr>
              <w:jc w:val="right"/>
              <w:ind w:right="144"/>
              <w:spacing w:after="0"/>
              <w:rPr>
                <w:sz w:val="20"/>
                <w:szCs w:val="20"/>
                <w:color w:val="auto"/>
              </w:rPr>
            </w:pPr>
            <w:r>
              <w:rPr>
                <w:rFonts w:ascii="Calibri" w:cs="Calibri" w:eastAsia="Calibri" w:hAnsi="Calibri"/>
                <w:sz w:val="15"/>
                <w:szCs w:val="15"/>
                <w:color w:val="auto"/>
              </w:rPr>
              <w:t>(33 )</w:t>
            </w:r>
          </w:p>
        </w:tc>
        <w:tc>
          <w:tcPr>
            <w:tcW w:w="1100" w:type="dxa"/>
            <w:vAlign w:val="bottom"/>
          </w:tcPr>
          <w:p>
            <w:pPr>
              <w:spacing w:after="0"/>
              <w:rPr>
                <w:sz w:val="15"/>
                <w:szCs w:val="15"/>
                <w:color w:val="auto"/>
              </w:rPr>
            </w:pPr>
          </w:p>
        </w:tc>
        <w:tc>
          <w:tcPr>
            <w:tcW w:w="560" w:type="dxa"/>
            <w:vAlign w:val="bottom"/>
            <w:gridSpan w:val="2"/>
          </w:tcPr>
          <w:p>
            <w:pPr>
              <w:jc w:val="right"/>
              <w:ind w:right="40"/>
              <w:spacing w:after="0"/>
              <w:rPr>
                <w:sz w:val="20"/>
                <w:szCs w:val="20"/>
                <w:color w:val="auto"/>
              </w:rPr>
            </w:pPr>
            <w:r>
              <w:rPr>
                <w:rFonts w:ascii="Calibri" w:cs="Calibri" w:eastAsia="Calibri" w:hAnsi="Calibri"/>
                <w:sz w:val="15"/>
                <w:szCs w:val="15"/>
                <w:color w:val="auto"/>
              </w:rPr>
              <w:t>(17 )</w:t>
            </w:r>
          </w:p>
        </w:tc>
      </w:tr>
      <w:tr>
        <w:trPr>
          <w:trHeight w:val="33"/>
        </w:trPr>
        <w:tc>
          <w:tcPr>
            <w:tcW w:w="7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772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5"/>
                <w:szCs w:val="15"/>
                <w:color w:val="auto"/>
              </w:rPr>
              <w:t>Proceeds from sales of common stock</w:t>
            </w:r>
          </w:p>
        </w:tc>
        <w:tc>
          <w:tcPr>
            <w:tcW w:w="114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7</w:t>
            </w:r>
          </w:p>
        </w:tc>
        <w:tc>
          <w:tcPr>
            <w:tcW w:w="28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83"/>
        </w:trPr>
        <w:tc>
          <w:tcPr>
            <w:tcW w:w="7720" w:type="dxa"/>
            <w:vAlign w:val="bottom"/>
          </w:tcPr>
          <w:p>
            <w:pPr>
              <w:ind w:left="160"/>
              <w:spacing w:after="0"/>
              <w:rPr>
                <w:sz w:val="20"/>
                <w:szCs w:val="20"/>
                <w:color w:val="auto"/>
              </w:rPr>
            </w:pPr>
            <w:r>
              <w:rPr>
                <w:rFonts w:ascii="Calibri" w:cs="Calibri" w:eastAsia="Calibri" w:hAnsi="Calibri"/>
                <w:sz w:val="15"/>
                <w:szCs w:val="15"/>
                <w:color w:val="auto"/>
              </w:rPr>
              <w:t>Cash dividends paid to noncontrolling interests</w:t>
            </w:r>
          </w:p>
        </w:tc>
        <w:tc>
          <w:tcPr>
            <w:tcW w:w="1140" w:type="dxa"/>
            <w:vAlign w:val="bottom"/>
          </w:tcPr>
          <w:p>
            <w:pPr>
              <w:spacing w:after="0"/>
              <w:rPr>
                <w:sz w:val="15"/>
                <w:szCs w:val="15"/>
                <w:color w:val="auto"/>
              </w:rPr>
            </w:pPr>
          </w:p>
        </w:tc>
        <w:tc>
          <w:tcPr>
            <w:tcW w:w="720" w:type="dxa"/>
            <w:vAlign w:val="bottom"/>
            <w:gridSpan w:val="2"/>
          </w:tcPr>
          <w:p>
            <w:pPr>
              <w:jc w:val="right"/>
              <w:ind w:right="144"/>
              <w:spacing w:after="0"/>
              <w:rPr>
                <w:sz w:val="20"/>
                <w:szCs w:val="20"/>
                <w:color w:val="auto"/>
              </w:rPr>
            </w:pPr>
            <w:r>
              <w:rPr>
                <w:rFonts w:ascii="Calibri" w:cs="Calibri" w:eastAsia="Calibri" w:hAnsi="Calibri"/>
                <w:sz w:val="15"/>
                <w:szCs w:val="15"/>
                <w:color w:val="auto"/>
              </w:rPr>
              <w:t>(12 )</w:t>
            </w:r>
          </w:p>
        </w:tc>
        <w:tc>
          <w:tcPr>
            <w:tcW w:w="1100" w:type="dxa"/>
            <w:vAlign w:val="bottom"/>
          </w:tcPr>
          <w:p>
            <w:pPr>
              <w:spacing w:after="0"/>
              <w:rPr>
                <w:sz w:val="15"/>
                <w:szCs w:val="15"/>
                <w:color w:val="auto"/>
              </w:rPr>
            </w:pPr>
          </w:p>
        </w:tc>
        <w:tc>
          <w:tcPr>
            <w:tcW w:w="560" w:type="dxa"/>
            <w:vAlign w:val="bottom"/>
            <w:gridSpan w:val="2"/>
          </w:tcPr>
          <w:p>
            <w:pPr>
              <w:jc w:val="right"/>
              <w:ind w:right="40"/>
              <w:spacing w:after="0"/>
              <w:rPr>
                <w:sz w:val="20"/>
                <w:szCs w:val="20"/>
                <w:color w:val="auto"/>
              </w:rPr>
            </w:pPr>
            <w:r>
              <w:rPr>
                <w:rFonts w:ascii="Calibri" w:cs="Calibri" w:eastAsia="Calibri" w:hAnsi="Calibri"/>
                <w:sz w:val="15"/>
                <w:szCs w:val="15"/>
                <w:color w:val="auto"/>
              </w:rPr>
              <w:t>(14 )</w:t>
            </w:r>
          </w:p>
        </w:tc>
      </w:tr>
      <w:tr>
        <w:trPr>
          <w:trHeight w:val="33"/>
        </w:trPr>
        <w:tc>
          <w:tcPr>
            <w:tcW w:w="7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772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5"/>
                <w:szCs w:val="15"/>
                <w:color w:val="auto"/>
              </w:rPr>
              <w:t>Cash dividends paid to common stockholders</w:t>
            </w:r>
          </w:p>
        </w:tc>
        <w:tc>
          <w:tcPr>
            <w:tcW w:w="114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gridSpan w:val="2"/>
            <w:shd w:val="clear" w:color="auto" w:fill="CFF0FC"/>
          </w:tcPr>
          <w:p>
            <w:pPr>
              <w:jc w:val="right"/>
              <w:ind w:right="144"/>
              <w:spacing w:after="0"/>
              <w:rPr>
                <w:sz w:val="20"/>
                <w:szCs w:val="20"/>
                <w:color w:val="auto"/>
              </w:rPr>
            </w:pPr>
            <w:r>
              <w:rPr>
                <w:rFonts w:ascii="Calibri" w:cs="Calibri" w:eastAsia="Calibri" w:hAnsi="Calibri"/>
                <w:sz w:val="15"/>
                <w:szCs w:val="15"/>
                <w:color w:val="auto"/>
              </w:rPr>
              <w:t>(22 )</w:t>
            </w:r>
          </w:p>
        </w:tc>
        <w:tc>
          <w:tcPr>
            <w:tcW w:w="110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gridSpan w:val="2"/>
            <w:shd w:val="clear" w:color="auto" w:fill="CFF0FC"/>
          </w:tcPr>
          <w:p>
            <w:pPr>
              <w:jc w:val="right"/>
              <w:ind w:right="40"/>
              <w:spacing w:after="0"/>
              <w:rPr>
                <w:sz w:val="20"/>
                <w:szCs w:val="20"/>
                <w:color w:val="auto"/>
              </w:rPr>
            </w:pPr>
            <w:r>
              <w:rPr>
                <w:rFonts w:ascii="Calibri" w:cs="Calibri" w:eastAsia="Calibri" w:hAnsi="Calibri"/>
                <w:sz w:val="15"/>
                <w:szCs w:val="15"/>
                <w:color w:val="auto"/>
              </w:rPr>
              <w:t>(21 )</w:t>
            </w:r>
          </w:p>
        </w:tc>
      </w:tr>
      <w:tr>
        <w:trPr>
          <w:trHeight w:val="20"/>
        </w:trPr>
        <w:tc>
          <w:tcPr>
            <w:tcW w:w="772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0"/>
        </w:trPr>
        <w:tc>
          <w:tcPr>
            <w:tcW w:w="7720" w:type="dxa"/>
            <w:vAlign w:val="bottom"/>
          </w:tcPr>
          <w:p>
            <w:pPr>
              <w:ind w:left="600"/>
              <w:spacing w:after="0" w:line="180" w:lineRule="exact"/>
              <w:rPr>
                <w:sz w:val="20"/>
                <w:szCs w:val="20"/>
                <w:color w:val="auto"/>
              </w:rPr>
            </w:pPr>
            <w:r>
              <w:rPr>
                <w:rFonts w:ascii="Calibri" w:cs="Calibri" w:eastAsia="Calibri" w:hAnsi="Calibri"/>
                <w:sz w:val="15"/>
                <w:szCs w:val="15"/>
                <w:color w:val="auto"/>
              </w:rPr>
              <w:t>Cash provided by (used in) fnancing actvites</w:t>
            </w:r>
          </w:p>
        </w:tc>
        <w:tc>
          <w:tcPr>
            <w:tcW w:w="1140" w:type="dxa"/>
            <w:vAlign w:val="bottom"/>
          </w:tcPr>
          <w:p>
            <w:pPr>
              <w:spacing w:after="0"/>
              <w:rPr>
                <w:sz w:val="15"/>
                <w:szCs w:val="15"/>
                <w:color w:val="auto"/>
              </w:rPr>
            </w:pPr>
          </w:p>
        </w:tc>
        <w:tc>
          <w:tcPr>
            <w:tcW w:w="720" w:type="dxa"/>
            <w:vAlign w:val="bottom"/>
            <w:gridSpan w:val="2"/>
          </w:tcPr>
          <w:p>
            <w:pPr>
              <w:jc w:val="right"/>
              <w:ind w:right="144"/>
              <w:spacing w:after="0" w:line="180" w:lineRule="exact"/>
              <w:rPr>
                <w:sz w:val="20"/>
                <w:szCs w:val="20"/>
                <w:color w:val="auto"/>
              </w:rPr>
            </w:pPr>
            <w:r>
              <w:rPr>
                <w:rFonts w:ascii="Calibri" w:cs="Calibri" w:eastAsia="Calibri" w:hAnsi="Calibri"/>
                <w:sz w:val="15"/>
                <w:szCs w:val="15"/>
                <w:color w:val="auto"/>
              </w:rPr>
              <w:t>(29 )</w:t>
            </w:r>
          </w:p>
        </w:tc>
        <w:tc>
          <w:tcPr>
            <w:tcW w:w="1100" w:type="dxa"/>
            <w:vAlign w:val="bottom"/>
          </w:tcPr>
          <w:p>
            <w:pPr>
              <w:spacing w:after="0"/>
              <w:rPr>
                <w:sz w:val="15"/>
                <w:szCs w:val="15"/>
                <w:color w:val="auto"/>
              </w:rPr>
            </w:pPr>
          </w:p>
        </w:tc>
        <w:tc>
          <w:tcPr>
            <w:tcW w:w="560" w:type="dxa"/>
            <w:vAlign w:val="bottom"/>
            <w:gridSpan w:val="2"/>
          </w:tcPr>
          <w:p>
            <w:pPr>
              <w:jc w:val="right"/>
              <w:ind w:right="40"/>
              <w:spacing w:after="0" w:line="180" w:lineRule="exact"/>
              <w:rPr>
                <w:sz w:val="20"/>
                <w:szCs w:val="20"/>
                <w:color w:val="auto"/>
              </w:rPr>
            </w:pPr>
            <w:r>
              <w:rPr>
                <w:rFonts w:ascii="Calibri" w:cs="Calibri" w:eastAsia="Calibri" w:hAnsi="Calibri"/>
                <w:sz w:val="15"/>
                <w:szCs w:val="15"/>
                <w:color w:val="auto"/>
              </w:rPr>
              <w:t>(92 )</w:t>
            </w:r>
          </w:p>
        </w:tc>
      </w:tr>
      <w:tr>
        <w:trPr>
          <w:trHeight w:val="30"/>
        </w:trPr>
        <w:tc>
          <w:tcPr>
            <w:tcW w:w="77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7720" w:type="dxa"/>
            <w:vAlign w:val="bottom"/>
            <w:tcBorders>
              <w:bottom w:val="single" w:sz="8" w:color="CFF0FC"/>
            </w:tcBorders>
            <w:shd w:val="clear" w:color="auto" w:fill="CFF0FC"/>
          </w:tcPr>
          <w:p>
            <w:pPr>
              <w:ind w:left="20"/>
              <w:spacing w:after="0" w:line="180" w:lineRule="exact"/>
              <w:rPr>
                <w:sz w:val="20"/>
                <w:szCs w:val="20"/>
                <w:color w:val="auto"/>
              </w:rPr>
            </w:pPr>
            <w:r>
              <w:rPr>
                <w:rFonts w:ascii="Calibri" w:cs="Calibri" w:eastAsia="Calibri" w:hAnsi="Calibri"/>
                <w:sz w:val="15"/>
                <w:szCs w:val="15"/>
                <w:color w:val="auto"/>
              </w:rPr>
              <w:t>Efects of exchange rate changes on cash</w:t>
            </w:r>
          </w:p>
        </w:tc>
        <w:tc>
          <w:tcPr>
            <w:tcW w:w="1140" w:type="dxa"/>
            <w:vAlign w:val="bottom"/>
            <w:tcBorders>
              <w:bottom w:val="single" w:sz="8" w:color="CFF0FC"/>
            </w:tcBorders>
            <w:shd w:val="clear" w:color="auto" w:fill="CFF0FC"/>
          </w:tcPr>
          <w:p>
            <w:pPr>
              <w:spacing w:after="0"/>
              <w:rPr>
                <w:sz w:val="16"/>
                <w:szCs w:val="16"/>
                <w:color w:val="auto"/>
              </w:rPr>
            </w:pPr>
          </w:p>
        </w:tc>
        <w:tc>
          <w:tcPr>
            <w:tcW w:w="720" w:type="dxa"/>
            <w:vAlign w:val="bottom"/>
            <w:tcBorders>
              <w:bottom w:val="single" w:sz="8" w:color="CFF0FC"/>
            </w:tcBorders>
            <w:gridSpan w:val="2"/>
            <w:shd w:val="clear" w:color="auto" w:fill="CFF0FC"/>
          </w:tcPr>
          <w:p>
            <w:pPr>
              <w:jc w:val="right"/>
              <w:ind w:right="144"/>
              <w:spacing w:after="0" w:line="180" w:lineRule="exact"/>
              <w:rPr>
                <w:sz w:val="20"/>
                <w:szCs w:val="20"/>
                <w:color w:val="auto"/>
              </w:rPr>
            </w:pPr>
            <w:r>
              <w:rPr>
                <w:rFonts w:ascii="Calibri" w:cs="Calibri" w:eastAsia="Calibri" w:hAnsi="Calibri"/>
                <w:sz w:val="15"/>
                <w:szCs w:val="15"/>
                <w:color w:val="auto"/>
              </w:rPr>
              <w:t>(16 )</w:t>
            </w:r>
          </w:p>
        </w:tc>
        <w:tc>
          <w:tcPr>
            <w:tcW w:w="1100" w:type="dxa"/>
            <w:vAlign w:val="bottom"/>
            <w:tcBorders>
              <w:bottom w:val="single" w:sz="8" w:color="CFF0FC"/>
            </w:tcBorders>
            <w:shd w:val="clear" w:color="auto" w:fill="CFF0FC"/>
          </w:tcPr>
          <w:p>
            <w:pPr>
              <w:spacing w:after="0"/>
              <w:rPr>
                <w:sz w:val="16"/>
                <w:szCs w:val="16"/>
                <w:color w:val="auto"/>
              </w:rPr>
            </w:pPr>
          </w:p>
        </w:tc>
        <w:tc>
          <w:tcPr>
            <w:tcW w:w="460" w:type="dxa"/>
            <w:vAlign w:val="bottom"/>
            <w:tcBorders>
              <w:bottom w:val="single" w:sz="8" w:color="CFF0FC"/>
            </w:tcBorders>
            <w:shd w:val="clear" w:color="auto" w:fill="CFF0FC"/>
          </w:tcPr>
          <w:p>
            <w:pPr>
              <w:jc w:val="right"/>
              <w:spacing w:after="0" w:line="180" w:lineRule="exact"/>
              <w:rPr>
                <w:sz w:val="20"/>
                <w:szCs w:val="20"/>
                <w:color w:val="auto"/>
              </w:rPr>
            </w:pPr>
            <w:r>
              <w:rPr>
                <w:rFonts w:ascii="Calibri" w:cs="Calibri" w:eastAsia="Calibri" w:hAnsi="Calibri"/>
                <w:sz w:val="15"/>
                <w:szCs w:val="15"/>
                <w:color w:val="auto"/>
              </w:rPr>
              <w:t>41</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20"/>
        </w:trPr>
        <w:tc>
          <w:tcPr>
            <w:tcW w:w="772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76"/>
        </w:trPr>
        <w:tc>
          <w:tcPr>
            <w:tcW w:w="7720" w:type="dxa"/>
            <w:vAlign w:val="bottom"/>
          </w:tcPr>
          <w:p>
            <w:pPr>
              <w:ind w:left="20"/>
              <w:spacing w:after="0" w:line="176" w:lineRule="exact"/>
              <w:rPr>
                <w:sz w:val="20"/>
                <w:szCs w:val="20"/>
                <w:color w:val="auto"/>
              </w:rPr>
            </w:pPr>
            <w:r>
              <w:rPr>
                <w:rFonts w:ascii="Calibri" w:cs="Calibri" w:eastAsia="Calibri" w:hAnsi="Calibri"/>
                <w:sz w:val="15"/>
                <w:szCs w:val="15"/>
                <w:color w:val="auto"/>
              </w:rPr>
              <w:t>Increase (decrease) in cash and cash equivalents</w:t>
            </w:r>
          </w:p>
        </w:tc>
        <w:tc>
          <w:tcPr>
            <w:tcW w:w="1140" w:type="dxa"/>
            <w:vAlign w:val="bottom"/>
          </w:tcPr>
          <w:p>
            <w:pPr>
              <w:spacing w:after="0"/>
              <w:rPr>
                <w:sz w:val="15"/>
                <w:szCs w:val="15"/>
                <w:color w:val="auto"/>
              </w:rPr>
            </w:pPr>
          </w:p>
        </w:tc>
        <w:tc>
          <w:tcPr>
            <w:tcW w:w="440" w:type="dxa"/>
            <w:vAlign w:val="bottom"/>
          </w:tcPr>
          <w:p>
            <w:pPr>
              <w:jc w:val="right"/>
              <w:spacing w:after="0" w:line="176" w:lineRule="exact"/>
              <w:rPr>
                <w:sz w:val="20"/>
                <w:szCs w:val="20"/>
                <w:color w:val="auto"/>
              </w:rPr>
            </w:pPr>
            <w:r>
              <w:rPr>
                <w:rFonts w:ascii="Calibri" w:cs="Calibri" w:eastAsia="Calibri" w:hAnsi="Calibri"/>
                <w:sz w:val="15"/>
                <w:szCs w:val="15"/>
                <w:color w:val="auto"/>
              </w:rPr>
              <w:t>6</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gridSpan w:val="2"/>
          </w:tcPr>
          <w:p>
            <w:pPr>
              <w:jc w:val="right"/>
              <w:ind w:right="40"/>
              <w:spacing w:after="0" w:line="176" w:lineRule="exact"/>
              <w:rPr>
                <w:sz w:val="20"/>
                <w:szCs w:val="20"/>
                <w:color w:val="auto"/>
              </w:rPr>
            </w:pPr>
            <w:r>
              <w:rPr>
                <w:rFonts w:ascii="Calibri" w:cs="Calibri" w:eastAsia="Calibri" w:hAnsi="Calibri"/>
                <w:sz w:val="15"/>
                <w:szCs w:val="15"/>
                <w:color w:val="auto"/>
              </w:rPr>
              <w:t>(16 )</w:t>
            </w:r>
          </w:p>
        </w:tc>
      </w:tr>
      <w:tr>
        <w:trPr>
          <w:trHeight w:val="33"/>
        </w:trPr>
        <w:tc>
          <w:tcPr>
            <w:tcW w:w="7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1"/>
        </w:trPr>
        <w:tc>
          <w:tcPr>
            <w:tcW w:w="772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5"/>
                <w:szCs w:val="15"/>
                <w:color w:val="auto"/>
              </w:rPr>
              <w:t>Cash and cash equivalents at beginning of period</w:t>
            </w:r>
          </w:p>
        </w:tc>
        <w:tc>
          <w:tcPr>
            <w:tcW w:w="114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238</w:t>
            </w:r>
          </w:p>
        </w:tc>
        <w:tc>
          <w:tcPr>
            <w:tcW w:w="28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206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8"/>
        </w:trPr>
        <w:tc>
          <w:tcPr>
            <w:tcW w:w="7720" w:type="dxa"/>
            <w:vAlign w:val="bottom"/>
            <w:tcBorders>
              <w:top w:val="single" w:sz="8" w:color="CFF0FC"/>
            </w:tcBorders>
          </w:tcPr>
          <w:p>
            <w:pPr>
              <w:ind w:left="20"/>
              <w:spacing w:after="0"/>
              <w:rPr>
                <w:sz w:val="20"/>
                <w:szCs w:val="20"/>
                <w:color w:val="auto"/>
              </w:rPr>
            </w:pPr>
            <w:r>
              <w:rPr>
                <w:rFonts w:ascii="Calibri" w:cs="Calibri" w:eastAsia="Calibri" w:hAnsi="Calibri"/>
                <w:sz w:val="15"/>
                <w:szCs w:val="15"/>
                <w:color w:val="auto"/>
              </w:rPr>
              <w:t>Cash and cash equivalents at end of period</w:t>
            </w:r>
          </w:p>
        </w:tc>
        <w:tc>
          <w:tcPr>
            <w:tcW w:w="1140" w:type="dxa"/>
            <w:vAlign w:val="bottom"/>
            <w:tcBorders>
              <w:top w:val="single" w:sz="8" w:color="auto"/>
              <w:bottom w:val="single" w:sz="8" w:color="auto"/>
            </w:tcBorders>
          </w:tcPr>
          <w:p>
            <w:pPr>
              <w:jc w:val="right"/>
              <w:ind w:right="964"/>
              <w:spacing w:after="0"/>
              <w:rPr>
                <w:sz w:val="20"/>
                <w:szCs w:val="20"/>
                <w:color w:val="auto"/>
              </w:rPr>
            </w:pPr>
            <w:r>
              <w:rPr>
                <w:rFonts w:ascii="Calibri" w:cs="Calibri" w:eastAsia="Calibri" w:hAnsi="Calibri"/>
                <w:sz w:val="15"/>
                <w:szCs w:val="15"/>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15"/>
                <w:szCs w:val="15"/>
                <w:color w:val="auto"/>
              </w:rPr>
              <w:t>244</w:t>
            </w:r>
          </w:p>
        </w:tc>
        <w:tc>
          <w:tcPr>
            <w:tcW w:w="280" w:type="dxa"/>
            <w:vAlign w:val="bottom"/>
            <w:tcBorders>
              <w:top w:val="single" w:sz="8" w:color="CFF0FC"/>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924"/>
              <w:spacing w:after="0"/>
              <w:rPr>
                <w:sz w:val="20"/>
                <w:szCs w:val="20"/>
                <w:color w:val="auto"/>
              </w:rPr>
            </w:pPr>
            <w:r>
              <w:rPr>
                <w:rFonts w:ascii="Calibri" w:cs="Calibri" w:eastAsia="Calibri" w:hAnsi="Calibri"/>
                <w:sz w:val="15"/>
                <w:szCs w:val="15"/>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15"/>
                <w:szCs w:val="15"/>
                <w:color w:val="auto"/>
              </w:rPr>
              <w:t>190</w:t>
            </w:r>
          </w:p>
        </w:tc>
        <w:tc>
          <w:tcPr>
            <w:tcW w:w="100" w:type="dxa"/>
            <w:vAlign w:val="bottom"/>
            <w:tcBorders>
              <w:top w:val="single" w:sz="8" w:color="CFF0FC"/>
            </w:tcBorders>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-2691130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-2691130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-1851025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-744855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-453390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9" w:lineRule="exact"/>
        <w:rPr>
          <w:sz w:val="20"/>
          <w:szCs w:val="20"/>
          <w:color w:val="auto"/>
        </w:rPr>
      </w:pPr>
    </w:p>
    <w:p>
      <w:pPr>
        <w:ind w:left="2880"/>
        <w:spacing w:after="0"/>
        <w:rPr>
          <w:sz w:val="20"/>
          <w:szCs w:val="20"/>
          <w:color w:val="auto"/>
        </w:rPr>
      </w:pPr>
      <w:r>
        <w:rPr>
          <w:rFonts w:ascii="Calibri" w:cs="Calibri" w:eastAsia="Calibri" w:hAnsi="Calibri"/>
          <w:sz w:val="18"/>
          <w:szCs w:val="18"/>
          <w:color w:val="auto"/>
        </w:rPr>
        <w:t>The accompanying notes are an integral part of these consolidated fnancial statements.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415925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7" w:name="page8"/>
    <w:bookmarkEnd w:id="7"/>
    <w:p>
      <w:pPr>
        <w:jc w:val="center"/>
        <w:ind w:right="-19"/>
        <w:spacing w:after="0"/>
        <w:rPr>
          <w:sz w:val="20"/>
          <w:szCs w:val="20"/>
          <w:color w:val="auto"/>
        </w:rPr>
      </w:pPr>
      <w:r>
        <w:rPr>
          <w:rFonts w:ascii="Calibri" w:cs="Calibri" w:eastAsia="Calibri" w:hAnsi="Calibri"/>
          <w:sz w:val="18"/>
          <w:szCs w:val="18"/>
          <w:b w:val="1"/>
          <w:bCs w:val="1"/>
          <w:color w:val="auto"/>
        </w:rPr>
        <w:t>CABOT CORPORATION</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CONSOLIDATED STATEMENTS OF CHANGES IN STOCKHOLDERS’ EQUITY</w:t>
      </w:r>
    </w:p>
    <w:p>
      <w:pPr>
        <w:jc w:val="center"/>
        <w:ind w:right="-19"/>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3"/>
          </w:tcPr>
          <w:p>
            <w:pPr>
              <w:jc w:val="center"/>
              <w:ind w:right="200"/>
              <w:spacing w:after="0"/>
              <w:rPr>
                <w:sz w:val="20"/>
                <w:szCs w:val="20"/>
                <w:color w:val="auto"/>
              </w:rPr>
            </w:pPr>
            <w:r>
              <w:rPr>
                <w:rFonts w:ascii="Calibri" w:cs="Calibri" w:eastAsia="Calibri" w:hAnsi="Calibri"/>
                <w:sz w:val="14"/>
                <w:szCs w:val="14"/>
                <w:b w:val="1"/>
                <w:bCs w:val="1"/>
                <w:color w:val="auto"/>
              </w:rPr>
              <w:t>Accumulate</w:t>
            </w:r>
          </w:p>
        </w:tc>
        <w:tc>
          <w:tcPr>
            <w:tcW w:w="980" w:type="dxa"/>
            <w:vAlign w:val="bottom"/>
            <w:gridSpan w:val="3"/>
          </w:tcPr>
          <w:p>
            <w:pPr>
              <w:ind w:left="20"/>
              <w:spacing w:after="0"/>
              <w:rPr>
                <w:sz w:val="20"/>
                <w:szCs w:val="20"/>
                <w:color w:val="auto"/>
              </w:rPr>
            </w:pPr>
            <w:r>
              <w:rPr>
                <w:rFonts w:ascii="Calibri" w:cs="Calibri" w:eastAsia="Calibri" w:hAnsi="Calibri"/>
                <w:sz w:val="14"/>
                <w:szCs w:val="14"/>
                <w:b w:val="1"/>
                <w:bCs w:val="1"/>
                <w:color w:val="auto"/>
              </w:rPr>
              <w:t>Total Cabot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800" w:type="dxa"/>
            <w:vAlign w:val="bottom"/>
          </w:tcPr>
          <w:p>
            <w:pPr>
              <w:spacing w:after="0"/>
              <w:rPr>
                <w:sz w:val="15"/>
                <w:szCs w:val="15"/>
                <w:color w:val="auto"/>
              </w:rPr>
            </w:pPr>
          </w:p>
        </w:tc>
        <w:tc>
          <w:tcPr>
            <w:tcW w:w="1560" w:type="dxa"/>
            <w:vAlign w:val="bottom"/>
            <w:gridSpan w:val="4"/>
            <w:vMerge w:val="restart"/>
          </w:tcPr>
          <w:p>
            <w:pPr>
              <w:jc w:val="right"/>
              <w:ind w:right="34"/>
              <w:spacing w:after="0"/>
              <w:rPr>
                <w:sz w:val="20"/>
                <w:szCs w:val="20"/>
                <w:color w:val="auto"/>
              </w:rPr>
            </w:pPr>
            <w:r>
              <w:rPr>
                <w:rFonts w:ascii="Calibri" w:cs="Calibri" w:eastAsia="Calibri" w:hAnsi="Calibri"/>
                <w:sz w:val="14"/>
                <w:szCs w:val="14"/>
                <w:b w:val="1"/>
                <w:bCs w:val="1"/>
                <w:color w:val="auto"/>
              </w:rPr>
              <w:t>Common Stock, Net of</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360"/>
              <w:spacing w:after="0"/>
              <w:rPr>
                <w:sz w:val="20"/>
                <w:szCs w:val="20"/>
                <w:color w:val="auto"/>
              </w:rPr>
            </w:pPr>
            <w:r>
              <w:rPr>
                <w:rFonts w:ascii="Calibri" w:cs="Calibri" w:eastAsia="Calibri" w:hAnsi="Calibri"/>
                <w:sz w:val="14"/>
                <w:szCs w:val="14"/>
                <w:b w:val="1"/>
                <w:bCs w:val="1"/>
                <w:color w:val="auto"/>
              </w:rPr>
              <w:t>d Other</w:t>
            </w:r>
          </w:p>
        </w:tc>
        <w:tc>
          <w:tcPr>
            <w:tcW w:w="980" w:type="dxa"/>
            <w:vAlign w:val="bottom"/>
            <w:gridSpan w:val="3"/>
          </w:tcPr>
          <w:p>
            <w:pPr>
              <w:ind w:left="20"/>
              <w:spacing w:after="0"/>
              <w:rPr>
                <w:sz w:val="20"/>
                <w:szCs w:val="20"/>
                <w:color w:val="auto"/>
              </w:rPr>
            </w:pPr>
            <w:r>
              <w:rPr>
                <w:rFonts w:ascii="Calibri" w:cs="Calibri" w:eastAsia="Calibri" w:hAnsi="Calibri"/>
                <w:sz w:val="14"/>
                <w:szCs w:val="14"/>
                <w:b w:val="1"/>
                <w:bCs w:val="1"/>
                <w:color w:val="auto"/>
              </w:rPr>
              <w:t>Corporaton</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center"/>
              <w:ind w:right="300"/>
              <w:spacing w:after="0"/>
              <w:rPr>
                <w:sz w:val="20"/>
                <w:szCs w:val="20"/>
                <w:color w:val="auto"/>
              </w:rPr>
            </w:pPr>
            <w:r>
              <w:rPr>
                <w:rFonts w:ascii="Calibri" w:cs="Calibri" w:eastAsia="Calibri" w:hAnsi="Calibri"/>
                <w:sz w:val="14"/>
                <w:szCs w:val="14"/>
                <w:b w:val="1"/>
                <w:bCs w:val="1"/>
                <w:color w:val="auto"/>
              </w:rPr>
              <w:t>Total</w:t>
            </w:r>
          </w:p>
        </w:tc>
        <w:tc>
          <w:tcPr>
            <w:tcW w:w="0" w:type="dxa"/>
            <w:vAlign w:val="bottom"/>
          </w:tcPr>
          <w:p>
            <w:pPr>
              <w:spacing w:after="0"/>
              <w:rPr>
                <w:sz w:val="1"/>
                <w:szCs w:val="1"/>
                <w:color w:val="auto"/>
              </w:rPr>
            </w:pPr>
          </w:p>
        </w:tc>
      </w:tr>
      <w:tr>
        <w:trPr>
          <w:trHeight w:val="168"/>
        </w:trPr>
        <w:tc>
          <w:tcPr>
            <w:tcW w:w="3800" w:type="dxa"/>
            <w:vAlign w:val="bottom"/>
          </w:tcPr>
          <w:p>
            <w:pPr>
              <w:spacing w:after="0"/>
              <w:rPr>
                <w:sz w:val="14"/>
                <w:szCs w:val="14"/>
                <w:color w:val="auto"/>
              </w:rPr>
            </w:pPr>
          </w:p>
        </w:tc>
        <w:tc>
          <w:tcPr>
            <w:tcW w:w="156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3"/>
          </w:tcPr>
          <w:p>
            <w:pPr>
              <w:jc w:val="right"/>
              <w:ind w:right="140"/>
              <w:spacing w:after="0" w:line="168" w:lineRule="exact"/>
              <w:rPr>
                <w:sz w:val="20"/>
                <w:szCs w:val="20"/>
                <w:color w:val="auto"/>
              </w:rPr>
            </w:pPr>
            <w:r>
              <w:rPr>
                <w:rFonts w:ascii="Calibri" w:cs="Calibri" w:eastAsia="Calibri" w:hAnsi="Calibri"/>
                <w:sz w:val="14"/>
                <w:szCs w:val="14"/>
                <w:b w:val="1"/>
                <w:bCs w:val="1"/>
                <w:color w:val="auto"/>
              </w:rPr>
              <w:t>Additonal</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3"/>
          </w:tcPr>
          <w:p>
            <w:pPr>
              <w:jc w:val="center"/>
              <w:ind w:right="200"/>
              <w:spacing w:after="0" w:line="168" w:lineRule="exact"/>
              <w:rPr>
                <w:sz w:val="20"/>
                <w:szCs w:val="20"/>
                <w:color w:val="auto"/>
              </w:rPr>
            </w:pPr>
            <w:r>
              <w:rPr>
                <w:rFonts w:ascii="Calibri" w:cs="Calibri" w:eastAsia="Calibri" w:hAnsi="Calibri"/>
                <w:sz w:val="14"/>
                <w:szCs w:val="14"/>
                <w:b w:val="1"/>
                <w:bCs w:val="1"/>
                <w:color w:val="auto"/>
              </w:rPr>
              <w:t>Comprehen</w:t>
            </w:r>
          </w:p>
        </w:tc>
        <w:tc>
          <w:tcPr>
            <w:tcW w:w="980" w:type="dxa"/>
            <w:vAlign w:val="bottom"/>
            <w:gridSpan w:val="3"/>
          </w:tcPr>
          <w:p>
            <w:pPr>
              <w:ind w:left="20"/>
              <w:spacing w:after="0" w:line="168" w:lineRule="exact"/>
              <w:rPr>
                <w:sz w:val="20"/>
                <w:szCs w:val="20"/>
                <w:color w:val="auto"/>
              </w:rPr>
            </w:pPr>
            <w:r>
              <w:rPr>
                <w:rFonts w:ascii="Calibri" w:cs="Calibri" w:eastAsia="Calibri" w:hAnsi="Calibri"/>
                <w:sz w:val="14"/>
                <w:szCs w:val="14"/>
                <w:b w:val="1"/>
                <w:bCs w:val="1"/>
                <w:color w:val="auto"/>
              </w:rPr>
              <w:t>Stockholder</w:t>
            </w:r>
          </w:p>
        </w:tc>
        <w:tc>
          <w:tcPr>
            <w:tcW w:w="960" w:type="dxa"/>
            <w:vAlign w:val="bottom"/>
            <w:gridSpan w:val="3"/>
          </w:tcPr>
          <w:p>
            <w:pPr>
              <w:ind w:left="20"/>
              <w:spacing w:after="0" w:line="168" w:lineRule="exact"/>
              <w:rPr>
                <w:sz w:val="20"/>
                <w:szCs w:val="20"/>
                <w:color w:val="auto"/>
              </w:rPr>
            </w:pPr>
            <w:r>
              <w:rPr>
                <w:rFonts w:ascii="Calibri" w:cs="Calibri" w:eastAsia="Calibri" w:hAnsi="Calibri"/>
                <w:sz w:val="14"/>
                <w:szCs w:val="14"/>
                <w:b w:val="1"/>
                <w:bCs w:val="1"/>
                <w:color w:val="auto"/>
              </w:rPr>
              <w:t>Noncontroll</w:t>
            </w:r>
          </w:p>
        </w:tc>
        <w:tc>
          <w:tcPr>
            <w:tcW w:w="880" w:type="dxa"/>
            <w:vAlign w:val="bottom"/>
            <w:gridSpan w:val="3"/>
          </w:tcPr>
          <w:p>
            <w:pPr>
              <w:jc w:val="center"/>
              <w:ind w:right="100"/>
              <w:spacing w:after="0" w:line="168" w:lineRule="exact"/>
              <w:rPr>
                <w:sz w:val="20"/>
                <w:szCs w:val="20"/>
                <w:color w:val="auto"/>
              </w:rPr>
            </w:pPr>
            <w:r>
              <w:rPr>
                <w:rFonts w:ascii="Calibri" w:cs="Calibri" w:eastAsia="Calibri" w:hAnsi="Calibri"/>
                <w:sz w:val="14"/>
                <w:szCs w:val="14"/>
                <w:b w:val="1"/>
                <w:bCs w:val="1"/>
                <w:color w:val="auto"/>
              </w:rPr>
              <w:t>Stockholder</w:t>
            </w:r>
          </w:p>
        </w:tc>
        <w:tc>
          <w:tcPr>
            <w:tcW w:w="0" w:type="dxa"/>
            <w:vAlign w:val="bottom"/>
          </w:tcPr>
          <w:p>
            <w:pPr>
              <w:spacing w:after="0"/>
              <w:rPr>
                <w:sz w:val="1"/>
                <w:szCs w:val="1"/>
                <w:color w:val="auto"/>
              </w:rPr>
            </w:pPr>
          </w:p>
        </w:tc>
      </w:tr>
      <w:tr>
        <w:trPr>
          <w:trHeight w:val="197"/>
        </w:trPr>
        <w:tc>
          <w:tcPr>
            <w:tcW w:w="3800" w:type="dxa"/>
            <w:vAlign w:val="bottom"/>
          </w:tcPr>
          <w:p>
            <w:pPr>
              <w:spacing w:after="0"/>
              <w:rPr>
                <w:sz w:val="17"/>
                <w:szCs w:val="17"/>
                <w:color w:val="auto"/>
              </w:rPr>
            </w:pPr>
          </w:p>
        </w:tc>
        <w:tc>
          <w:tcPr>
            <w:tcW w:w="1560" w:type="dxa"/>
            <w:vAlign w:val="bottom"/>
            <w:tcBorders>
              <w:bottom w:val="single" w:sz="8" w:color="auto"/>
            </w:tcBorders>
            <w:gridSpan w:val="4"/>
          </w:tcPr>
          <w:p>
            <w:pPr>
              <w:jc w:val="right"/>
              <w:ind w:right="254"/>
              <w:spacing w:after="0"/>
              <w:rPr>
                <w:sz w:val="20"/>
                <w:szCs w:val="20"/>
                <w:color w:val="auto"/>
              </w:rPr>
            </w:pPr>
            <w:r>
              <w:rPr>
                <w:rFonts w:ascii="Calibri" w:cs="Calibri" w:eastAsia="Calibri" w:hAnsi="Calibri"/>
                <w:sz w:val="14"/>
                <w:szCs w:val="14"/>
                <w:b w:val="1"/>
                <w:bCs w:val="1"/>
                <w:color w:val="auto"/>
              </w:rPr>
              <w:t>Treasury Stock</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240"/>
              <w:spacing w:after="0"/>
              <w:rPr>
                <w:sz w:val="20"/>
                <w:szCs w:val="20"/>
                <w:color w:val="auto"/>
              </w:rPr>
            </w:pPr>
            <w:r>
              <w:rPr>
                <w:rFonts w:ascii="Calibri" w:cs="Calibri" w:eastAsia="Calibri" w:hAnsi="Calibri"/>
                <w:sz w:val="14"/>
                <w:szCs w:val="14"/>
                <w:b w:val="1"/>
                <w:bCs w:val="1"/>
                <w:color w:val="auto"/>
              </w:rPr>
              <w:t>Paid-in</w:t>
            </w:r>
          </w:p>
        </w:tc>
        <w:tc>
          <w:tcPr>
            <w:tcW w:w="120" w:type="dxa"/>
            <w:vAlign w:val="bottom"/>
          </w:tcPr>
          <w:p>
            <w:pPr>
              <w:spacing w:after="0"/>
              <w:rPr>
                <w:sz w:val="17"/>
                <w:szCs w:val="17"/>
                <w:color w:val="auto"/>
              </w:rPr>
            </w:pPr>
          </w:p>
        </w:tc>
        <w:tc>
          <w:tcPr>
            <w:tcW w:w="920" w:type="dxa"/>
            <w:vAlign w:val="bottom"/>
            <w:gridSpan w:val="3"/>
          </w:tcPr>
          <w:p>
            <w:pPr>
              <w:jc w:val="right"/>
              <w:ind w:right="228"/>
              <w:spacing w:after="0"/>
              <w:rPr>
                <w:sz w:val="20"/>
                <w:szCs w:val="20"/>
                <w:color w:val="auto"/>
              </w:rPr>
            </w:pPr>
            <w:r>
              <w:rPr>
                <w:rFonts w:ascii="Calibri" w:cs="Calibri" w:eastAsia="Calibri" w:hAnsi="Calibri"/>
                <w:sz w:val="14"/>
                <w:szCs w:val="14"/>
                <w:b w:val="1"/>
                <w:bCs w:val="1"/>
                <w:color w:val="auto"/>
              </w:rPr>
              <w:t>Retained</w:t>
            </w:r>
          </w:p>
        </w:tc>
        <w:tc>
          <w:tcPr>
            <w:tcW w:w="120" w:type="dxa"/>
            <w:vAlign w:val="bottom"/>
          </w:tcPr>
          <w:p>
            <w:pPr>
              <w:spacing w:after="0"/>
              <w:rPr>
                <w:sz w:val="17"/>
                <w:szCs w:val="17"/>
                <w:color w:val="auto"/>
              </w:rPr>
            </w:pPr>
          </w:p>
        </w:tc>
        <w:tc>
          <w:tcPr>
            <w:tcW w:w="860" w:type="dxa"/>
            <w:vAlign w:val="bottom"/>
            <w:gridSpan w:val="2"/>
          </w:tcPr>
          <w:p>
            <w:pPr>
              <w:jc w:val="center"/>
              <w:ind w:right="340"/>
              <w:spacing w:after="0"/>
              <w:rPr>
                <w:sz w:val="20"/>
                <w:szCs w:val="20"/>
                <w:color w:val="auto"/>
              </w:rPr>
            </w:pPr>
            <w:r>
              <w:rPr>
                <w:rFonts w:ascii="Calibri" w:cs="Calibri" w:eastAsia="Calibri" w:hAnsi="Calibri"/>
                <w:sz w:val="14"/>
                <w:szCs w:val="14"/>
                <w:b w:val="1"/>
                <w:bCs w:val="1"/>
                <w:color w:val="auto"/>
              </w:rPr>
              <w:t>sive</w:t>
            </w:r>
          </w:p>
        </w:tc>
        <w:tc>
          <w:tcPr>
            <w:tcW w:w="140" w:type="dxa"/>
            <w:vAlign w:val="bottom"/>
          </w:tcPr>
          <w:p>
            <w:pPr>
              <w:spacing w:after="0"/>
              <w:rPr>
                <w:sz w:val="17"/>
                <w:szCs w:val="17"/>
                <w:color w:val="auto"/>
              </w:rPr>
            </w:pPr>
          </w:p>
        </w:tc>
        <w:tc>
          <w:tcPr>
            <w:tcW w:w="840" w:type="dxa"/>
            <w:vAlign w:val="bottom"/>
            <w:gridSpan w:val="2"/>
          </w:tcPr>
          <w:p>
            <w:pPr>
              <w:jc w:val="right"/>
              <w:ind w:right="560"/>
              <w:spacing w:after="0"/>
              <w:rPr>
                <w:sz w:val="20"/>
                <w:szCs w:val="20"/>
                <w:color w:val="auto"/>
              </w:rPr>
            </w:pPr>
            <w:r>
              <w:rPr>
                <w:rFonts w:ascii="Calibri" w:cs="Calibri" w:eastAsia="Calibri" w:hAnsi="Calibri"/>
                <w:sz w:val="14"/>
                <w:szCs w:val="14"/>
                <w:b w:val="1"/>
                <w:bCs w:val="1"/>
                <w:color w:val="auto"/>
              </w:rPr>
              <w:t>s’</w:t>
            </w:r>
          </w:p>
        </w:tc>
        <w:tc>
          <w:tcPr>
            <w:tcW w:w="100" w:type="dxa"/>
            <w:vAlign w:val="bottom"/>
          </w:tcPr>
          <w:p>
            <w:pPr>
              <w:spacing w:after="0"/>
              <w:rPr>
                <w:sz w:val="17"/>
                <w:szCs w:val="17"/>
                <w:color w:val="auto"/>
              </w:rPr>
            </w:pPr>
          </w:p>
        </w:tc>
        <w:tc>
          <w:tcPr>
            <w:tcW w:w="860" w:type="dxa"/>
            <w:vAlign w:val="bottom"/>
            <w:gridSpan w:val="2"/>
          </w:tcPr>
          <w:p>
            <w:pPr>
              <w:jc w:val="right"/>
              <w:ind w:right="500"/>
              <w:spacing w:after="0"/>
              <w:rPr>
                <w:sz w:val="20"/>
                <w:szCs w:val="20"/>
                <w:color w:val="auto"/>
              </w:rPr>
            </w:pPr>
            <w:r>
              <w:rPr>
                <w:rFonts w:ascii="Calibri" w:cs="Calibri" w:eastAsia="Calibri" w:hAnsi="Calibri"/>
                <w:sz w:val="14"/>
                <w:szCs w:val="14"/>
                <w:b w:val="1"/>
                <w:bCs w:val="1"/>
                <w:color w:val="auto"/>
              </w:rPr>
              <w:t>ing</w:t>
            </w:r>
          </w:p>
        </w:tc>
        <w:tc>
          <w:tcPr>
            <w:tcW w:w="160" w:type="dxa"/>
            <w:vAlign w:val="bottom"/>
          </w:tcPr>
          <w:p>
            <w:pPr>
              <w:spacing w:after="0"/>
              <w:rPr>
                <w:sz w:val="17"/>
                <w:szCs w:val="17"/>
                <w:color w:val="auto"/>
              </w:rPr>
            </w:pPr>
          </w:p>
        </w:tc>
        <w:tc>
          <w:tcPr>
            <w:tcW w:w="720" w:type="dxa"/>
            <w:vAlign w:val="bottom"/>
            <w:gridSpan w:val="2"/>
          </w:tcPr>
          <w:p>
            <w:pPr>
              <w:jc w:val="center"/>
              <w:ind w:right="260"/>
              <w:spacing w:after="0"/>
              <w:rPr>
                <w:sz w:val="20"/>
                <w:szCs w:val="20"/>
                <w:color w:val="auto"/>
              </w:rPr>
            </w:pPr>
            <w:r>
              <w:rPr>
                <w:rFonts w:ascii="Calibri" w:cs="Calibri" w:eastAsia="Calibri" w:hAnsi="Calibri"/>
                <w:sz w:val="14"/>
                <w:szCs w:val="14"/>
                <w:b w:val="1"/>
                <w:bCs w:val="1"/>
                <w:color w:val="auto"/>
              </w:rPr>
              <w:t>s’</w:t>
            </w:r>
          </w:p>
        </w:tc>
        <w:tc>
          <w:tcPr>
            <w:tcW w:w="0" w:type="dxa"/>
            <w:vAlign w:val="bottom"/>
          </w:tcPr>
          <w:p>
            <w:pPr>
              <w:spacing w:after="0"/>
              <w:rPr>
                <w:sz w:val="1"/>
                <w:szCs w:val="1"/>
                <w:color w:val="auto"/>
              </w:rPr>
            </w:pPr>
          </w:p>
        </w:tc>
      </w:tr>
      <w:tr>
        <w:trPr>
          <w:trHeight w:val="169"/>
        </w:trPr>
        <w:tc>
          <w:tcPr>
            <w:tcW w:w="3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380"/>
              <w:spacing w:after="0" w:line="169" w:lineRule="exact"/>
              <w:rPr>
                <w:sz w:val="20"/>
                <w:szCs w:val="20"/>
                <w:color w:val="auto"/>
              </w:rPr>
            </w:pPr>
            <w:r>
              <w:rPr>
                <w:rFonts w:ascii="Calibri" w:cs="Calibri" w:eastAsia="Calibri" w:hAnsi="Calibri"/>
                <w:sz w:val="14"/>
                <w:szCs w:val="14"/>
                <w:b w:val="1"/>
                <w:bCs w:val="1"/>
                <w:color w:val="auto"/>
              </w:rPr>
              <w:t>Income</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800" w:type="dxa"/>
            <w:vAlign w:val="bottom"/>
          </w:tcPr>
          <w:p>
            <w:pPr>
              <w:spacing w:after="0"/>
              <w:rPr>
                <w:sz w:val="15"/>
                <w:szCs w:val="15"/>
                <w:color w:val="auto"/>
              </w:rPr>
            </w:pPr>
          </w:p>
        </w:tc>
        <w:tc>
          <w:tcPr>
            <w:tcW w:w="1000" w:type="dxa"/>
            <w:vAlign w:val="bottom"/>
            <w:gridSpan w:val="2"/>
          </w:tcPr>
          <w:p>
            <w:pPr>
              <w:jc w:val="right"/>
              <w:ind w:right="420"/>
              <w:spacing w:after="0"/>
              <w:rPr>
                <w:sz w:val="20"/>
                <w:szCs w:val="20"/>
                <w:color w:val="auto"/>
              </w:rPr>
            </w:pPr>
            <w:r>
              <w:rPr>
                <w:rFonts w:ascii="Calibri" w:cs="Calibri" w:eastAsia="Calibri" w:hAnsi="Calibri"/>
                <w:sz w:val="14"/>
                <w:szCs w:val="14"/>
                <w:b w:val="1"/>
                <w:bCs w:val="1"/>
                <w:color w:val="auto"/>
              </w:rPr>
              <w:t>Shares</w:t>
            </w:r>
          </w:p>
        </w:tc>
        <w:tc>
          <w:tcPr>
            <w:tcW w:w="120" w:type="dxa"/>
            <w:vAlign w:val="bottom"/>
          </w:tcPr>
          <w:p>
            <w:pPr>
              <w:spacing w:after="0"/>
              <w:rPr>
                <w:sz w:val="15"/>
                <w:szCs w:val="15"/>
                <w:color w:val="auto"/>
              </w:rPr>
            </w:pPr>
          </w:p>
        </w:tc>
        <w:tc>
          <w:tcPr>
            <w:tcW w:w="440" w:type="dxa"/>
            <w:vAlign w:val="bottom"/>
          </w:tcPr>
          <w:p>
            <w:pPr>
              <w:jc w:val="right"/>
              <w:ind w:right="74"/>
              <w:spacing w:after="0"/>
              <w:rPr>
                <w:sz w:val="20"/>
                <w:szCs w:val="20"/>
                <w:color w:val="auto"/>
              </w:rPr>
            </w:pPr>
            <w:r>
              <w:rPr>
                <w:rFonts w:ascii="Calibri" w:cs="Calibri" w:eastAsia="Calibri" w:hAnsi="Calibri"/>
                <w:sz w:val="14"/>
                <w:szCs w:val="14"/>
                <w:b w:val="1"/>
                <w:bCs w:val="1"/>
                <w:color w:val="auto"/>
              </w:rPr>
              <w:t>Cost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240"/>
              <w:spacing w:after="0"/>
              <w:rPr>
                <w:sz w:val="20"/>
                <w:szCs w:val="20"/>
                <w:color w:val="auto"/>
              </w:rPr>
            </w:pPr>
            <w:r>
              <w:rPr>
                <w:rFonts w:ascii="Calibri" w:cs="Calibri" w:eastAsia="Calibri" w:hAnsi="Calibri"/>
                <w:sz w:val="14"/>
                <w:szCs w:val="14"/>
                <w:b w:val="1"/>
                <w:bCs w:val="1"/>
                <w:color w:val="auto"/>
              </w:rPr>
              <w:t>Capital</w:t>
            </w:r>
          </w:p>
        </w:tc>
        <w:tc>
          <w:tcPr>
            <w:tcW w:w="120" w:type="dxa"/>
            <w:vAlign w:val="bottom"/>
          </w:tcPr>
          <w:p>
            <w:pPr>
              <w:spacing w:after="0"/>
              <w:rPr>
                <w:sz w:val="15"/>
                <w:szCs w:val="15"/>
                <w:color w:val="auto"/>
              </w:rPr>
            </w:pPr>
          </w:p>
        </w:tc>
        <w:tc>
          <w:tcPr>
            <w:tcW w:w="920" w:type="dxa"/>
            <w:vAlign w:val="bottom"/>
            <w:gridSpan w:val="3"/>
          </w:tcPr>
          <w:p>
            <w:pPr>
              <w:jc w:val="right"/>
              <w:ind w:right="228"/>
              <w:spacing w:after="0"/>
              <w:rPr>
                <w:sz w:val="20"/>
                <w:szCs w:val="20"/>
                <w:color w:val="auto"/>
              </w:rPr>
            </w:pPr>
            <w:r>
              <w:rPr>
                <w:rFonts w:ascii="Calibri" w:cs="Calibri" w:eastAsia="Calibri" w:hAnsi="Calibri"/>
                <w:sz w:val="14"/>
                <w:szCs w:val="14"/>
                <w:b w:val="1"/>
                <w:bCs w:val="1"/>
                <w:color w:val="auto"/>
              </w:rPr>
              <w:t>Earnings</w:t>
            </w:r>
          </w:p>
        </w:tc>
        <w:tc>
          <w:tcPr>
            <w:tcW w:w="120" w:type="dxa"/>
            <w:vAlign w:val="bottom"/>
          </w:tcPr>
          <w:p>
            <w:pPr>
              <w:spacing w:after="0"/>
              <w:rPr>
                <w:sz w:val="15"/>
                <w:szCs w:val="15"/>
                <w:color w:val="auto"/>
              </w:rPr>
            </w:pPr>
          </w:p>
        </w:tc>
        <w:tc>
          <w:tcPr>
            <w:tcW w:w="860" w:type="dxa"/>
            <w:vAlign w:val="bottom"/>
            <w:gridSpan w:val="2"/>
          </w:tcPr>
          <w:p>
            <w:pPr>
              <w:jc w:val="center"/>
              <w:ind w:right="320"/>
              <w:spacing w:after="0"/>
              <w:rPr>
                <w:sz w:val="20"/>
                <w:szCs w:val="20"/>
                <w:color w:val="auto"/>
              </w:rPr>
            </w:pPr>
            <w:r>
              <w:rPr>
                <w:rFonts w:ascii="Calibri" w:cs="Calibri" w:eastAsia="Calibri" w:hAnsi="Calibri"/>
                <w:sz w:val="14"/>
                <w:szCs w:val="14"/>
                <w:b w:val="1"/>
                <w:bCs w:val="1"/>
                <w:color w:val="auto"/>
              </w:rPr>
              <w:t>(Loss)</w:t>
            </w:r>
          </w:p>
        </w:tc>
        <w:tc>
          <w:tcPr>
            <w:tcW w:w="140" w:type="dxa"/>
            <w:vAlign w:val="bottom"/>
          </w:tcPr>
          <w:p>
            <w:pPr>
              <w:spacing w:after="0"/>
              <w:rPr>
                <w:sz w:val="15"/>
                <w:szCs w:val="15"/>
                <w:color w:val="auto"/>
              </w:rPr>
            </w:pPr>
          </w:p>
        </w:tc>
        <w:tc>
          <w:tcPr>
            <w:tcW w:w="840" w:type="dxa"/>
            <w:vAlign w:val="bottom"/>
            <w:gridSpan w:val="2"/>
          </w:tcPr>
          <w:p>
            <w:pPr>
              <w:jc w:val="right"/>
              <w:ind w:right="420"/>
              <w:spacing w:after="0"/>
              <w:rPr>
                <w:sz w:val="20"/>
                <w:szCs w:val="20"/>
                <w:color w:val="auto"/>
              </w:rPr>
            </w:pPr>
            <w:r>
              <w:rPr>
                <w:rFonts w:ascii="Calibri" w:cs="Calibri" w:eastAsia="Calibri" w:hAnsi="Calibri"/>
                <w:sz w:val="14"/>
                <w:szCs w:val="14"/>
                <w:b w:val="1"/>
                <w:bCs w:val="1"/>
                <w:color w:val="auto"/>
              </w:rPr>
              <w:t>Equity</w:t>
            </w:r>
          </w:p>
        </w:tc>
        <w:tc>
          <w:tcPr>
            <w:tcW w:w="100" w:type="dxa"/>
            <w:vAlign w:val="bottom"/>
          </w:tcPr>
          <w:p>
            <w:pPr>
              <w:spacing w:after="0"/>
              <w:rPr>
                <w:sz w:val="15"/>
                <w:szCs w:val="15"/>
                <w:color w:val="auto"/>
              </w:rPr>
            </w:pPr>
          </w:p>
        </w:tc>
        <w:tc>
          <w:tcPr>
            <w:tcW w:w="860" w:type="dxa"/>
            <w:vAlign w:val="bottom"/>
            <w:gridSpan w:val="2"/>
          </w:tcPr>
          <w:p>
            <w:pPr>
              <w:jc w:val="right"/>
              <w:ind w:right="340"/>
              <w:spacing w:after="0"/>
              <w:rPr>
                <w:sz w:val="20"/>
                <w:szCs w:val="20"/>
                <w:color w:val="auto"/>
              </w:rPr>
            </w:pPr>
            <w:r>
              <w:rPr>
                <w:rFonts w:ascii="Calibri" w:cs="Calibri" w:eastAsia="Calibri" w:hAnsi="Calibri"/>
                <w:sz w:val="14"/>
                <w:szCs w:val="14"/>
                <w:b w:val="1"/>
                <w:bCs w:val="1"/>
                <w:color w:val="auto"/>
                <w:w w:val="97"/>
              </w:rPr>
              <w:t>Interests</w:t>
            </w:r>
          </w:p>
        </w:tc>
        <w:tc>
          <w:tcPr>
            <w:tcW w:w="160" w:type="dxa"/>
            <w:vAlign w:val="bottom"/>
          </w:tcPr>
          <w:p>
            <w:pPr>
              <w:spacing w:after="0"/>
              <w:rPr>
                <w:sz w:val="15"/>
                <w:szCs w:val="15"/>
                <w:color w:val="auto"/>
              </w:rPr>
            </w:pPr>
          </w:p>
        </w:tc>
        <w:tc>
          <w:tcPr>
            <w:tcW w:w="720" w:type="dxa"/>
            <w:vAlign w:val="bottom"/>
            <w:gridSpan w:val="2"/>
          </w:tcPr>
          <w:p>
            <w:pPr>
              <w:jc w:val="center"/>
              <w:ind w:right="260"/>
              <w:spacing w:after="0"/>
              <w:rPr>
                <w:sz w:val="20"/>
                <w:szCs w:val="20"/>
                <w:color w:val="auto"/>
              </w:rPr>
            </w:pPr>
            <w:r>
              <w:rPr>
                <w:rFonts w:ascii="Calibri" w:cs="Calibri" w:eastAsia="Calibri" w:hAnsi="Calibri"/>
                <w:sz w:val="14"/>
                <w:szCs w:val="14"/>
                <w:b w:val="1"/>
                <w:bCs w:val="1"/>
                <w:color w:val="auto"/>
              </w:rPr>
              <w:t>Equity</w:t>
            </w:r>
          </w:p>
        </w:tc>
        <w:tc>
          <w:tcPr>
            <w:tcW w:w="0" w:type="dxa"/>
            <w:vAlign w:val="bottom"/>
          </w:tcPr>
          <w:p>
            <w:pPr>
              <w:spacing w:after="0"/>
              <w:rPr>
                <w:sz w:val="1"/>
                <w:szCs w:val="1"/>
                <w:color w:val="auto"/>
              </w:rPr>
            </w:pPr>
          </w:p>
        </w:tc>
      </w:tr>
      <w:tr>
        <w:trPr>
          <w:trHeight w:val="33"/>
        </w:trPr>
        <w:tc>
          <w:tcPr>
            <w:tcW w:w="38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3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right"/>
              <w:ind w:right="30"/>
              <w:spacing w:after="0" w:line="164" w:lineRule="exact"/>
              <w:rPr>
                <w:sz w:val="20"/>
                <w:szCs w:val="20"/>
                <w:color w:val="auto"/>
              </w:rPr>
            </w:pPr>
            <w:r>
              <w:rPr>
                <w:rFonts w:ascii="Calibri" w:cs="Calibri" w:eastAsia="Calibri" w:hAnsi="Calibri"/>
                <w:sz w:val="14"/>
                <w:szCs w:val="14"/>
                <w:b w:val="1"/>
                <w:bCs w:val="1"/>
                <w:color w:val="auto"/>
              </w:rPr>
              <w:t>(In millions,</w:t>
            </w:r>
          </w:p>
        </w:tc>
        <w:tc>
          <w:tcPr>
            <w:tcW w:w="1320" w:type="dxa"/>
            <w:vAlign w:val="bottom"/>
            <w:gridSpan w:val="5"/>
          </w:tcPr>
          <w:p>
            <w:pPr>
              <w:spacing w:after="0" w:line="164" w:lineRule="exact"/>
              <w:rPr>
                <w:sz w:val="20"/>
                <w:szCs w:val="20"/>
                <w:color w:val="auto"/>
              </w:rPr>
            </w:pPr>
            <w:r>
              <w:rPr>
                <w:rFonts w:ascii="Calibri" w:cs="Calibri" w:eastAsia="Calibri" w:hAnsi="Calibri"/>
                <w:sz w:val="14"/>
                <w:szCs w:val="14"/>
                <w:b w:val="1"/>
                <w:bCs w:val="1"/>
                <w:color w:val="auto"/>
                <w:w w:val="97"/>
              </w:rPr>
              <w:t>except share amounts)</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38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80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Balance at September 30, 2023</w:t>
            </w:r>
          </w:p>
        </w:tc>
        <w:tc>
          <w:tcPr>
            <w:tcW w:w="7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55,244</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44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52</w:t>
            </w:r>
          </w:p>
        </w:tc>
        <w:tc>
          <w:tcPr>
            <w:tcW w:w="360" w:type="dxa"/>
            <w:vAlign w:val="bottom"/>
            <w:tcBorders>
              <w:bottom w:val="single" w:sz="8" w:color="CFF0FC"/>
            </w:tcBorders>
            <w:gridSpan w:val="2"/>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w:t>
            </w:r>
          </w:p>
        </w:tc>
        <w:tc>
          <w:tcPr>
            <w:tcW w:w="680" w:type="dxa"/>
            <w:vAlign w:val="bottom"/>
            <w:tcBorders>
              <w:bottom w:val="single" w:sz="8" w:color="CFF0FC"/>
            </w:tcBorders>
            <w:gridSpan w:val="2"/>
            <w:shd w:val="clear" w:color="auto" w:fill="CFF0FC"/>
          </w:tcPr>
          <w:p>
            <w:pPr>
              <w:jc w:val="right"/>
              <w:ind w:right="100"/>
              <w:spacing w:after="0" w:line="208" w:lineRule="exact"/>
              <w:rPr>
                <w:sz w:val="20"/>
                <w:szCs w:val="20"/>
                <w:color w:val="auto"/>
              </w:rPr>
            </w:pPr>
            <w:r>
              <w:rPr>
                <w:rFonts w:ascii="Calibri" w:cs="Calibri" w:eastAsia="Calibri" w:hAnsi="Calibri"/>
                <w:sz w:val="18"/>
                <w:szCs w:val="18"/>
                <w:color w:val="auto"/>
              </w:rPr>
              <w:t>—</w:t>
            </w:r>
          </w:p>
        </w:tc>
        <w:tc>
          <w:tcPr>
            <w:tcW w:w="320" w:type="dxa"/>
            <w:vAlign w:val="bottom"/>
            <w:tcBorders>
              <w:bottom w:val="single" w:sz="8" w:color="CFF0FC"/>
            </w:tcBorders>
            <w:gridSpan w:val="2"/>
            <w:shd w:val="clear" w:color="auto" w:fill="CFF0FC"/>
          </w:tcPr>
          <w:p>
            <w:pPr>
              <w:jc w:val="right"/>
              <w:ind w:right="2"/>
              <w:spacing w:after="0" w:line="208" w:lineRule="exact"/>
              <w:rPr>
                <w:sz w:val="20"/>
                <w:szCs w:val="20"/>
                <w:color w:val="auto"/>
              </w:rPr>
            </w:pPr>
            <w:r>
              <w:rPr>
                <w:rFonts w:ascii="Calibri" w:cs="Calibri" w:eastAsia="Calibri" w:hAnsi="Calibri"/>
                <w:sz w:val="18"/>
                <w:szCs w:val="18"/>
                <w:color w:val="auto"/>
              </w:rPr>
              <w:t>$</w:t>
            </w:r>
          </w:p>
        </w:tc>
        <w:tc>
          <w:tcPr>
            <w:tcW w:w="5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1,574</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w:t>
            </w:r>
          </w:p>
        </w:tc>
        <w:tc>
          <w:tcPr>
            <w:tcW w:w="860" w:type="dxa"/>
            <w:vAlign w:val="bottom"/>
            <w:tcBorders>
              <w:bottom w:val="single" w:sz="8" w:color="CFF0FC"/>
            </w:tcBorders>
            <w:gridSpan w:val="2"/>
            <w:shd w:val="clear" w:color="auto" w:fill="CFF0FC"/>
          </w:tcPr>
          <w:p>
            <w:pPr>
              <w:jc w:val="right"/>
              <w:ind w:right="140"/>
              <w:spacing w:after="0" w:line="208" w:lineRule="exact"/>
              <w:rPr>
                <w:sz w:val="20"/>
                <w:szCs w:val="20"/>
                <w:color w:val="auto"/>
              </w:rPr>
            </w:pPr>
            <w:r>
              <w:rPr>
                <w:rFonts w:ascii="Calibri" w:cs="Calibri" w:eastAsia="Calibri" w:hAnsi="Calibri"/>
                <w:sz w:val="18"/>
                <w:szCs w:val="18"/>
                <w:color w:val="auto"/>
              </w:rPr>
              <w:t>(362 )</w:t>
            </w:r>
          </w:p>
        </w:tc>
        <w:tc>
          <w:tcPr>
            <w:tcW w:w="14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w:t>
            </w:r>
          </w:p>
        </w:tc>
        <w:tc>
          <w:tcPr>
            <w:tcW w:w="6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1,264</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w w:val="87"/>
              </w:rPr>
              <w:t>$</w:t>
            </w:r>
          </w:p>
        </w:tc>
        <w:tc>
          <w:tcPr>
            <w:tcW w:w="64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143</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6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1,407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00" w:type="dxa"/>
            <w:vAlign w:val="bottom"/>
          </w:tcPr>
          <w:p>
            <w:pPr>
              <w:ind w:left="20"/>
              <w:spacing w:after="0" w:line="215" w:lineRule="exact"/>
              <w:rPr>
                <w:sz w:val="20"/>
                <w:szCs w:val="20"/>
                <w:color w:val="auto"/>
              </w:rPr>
            </w:pPr>
            <w:r>
              <w:rPr>
                <w:rFonts w:ascii="Calibri" w:cs="Calibri" w:eastAsia="Calibri" w:hAnsi="Calibri"/>
                <w:sz w:val="18"/>
                <w:szCs w:val="18"/>
                <w:color w:val="auto"/>
              </w:rPr>
              <w:t>Net income (loss)</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line="215" w:lineRule="exact"/>
              <w:rPr>
                <w:sz w:val="20"/>
                <w:szCs w:val="20"/>
                <w:color w:val="auto"/>
              </w:rPr>
            </w:pPr>
            <w:r>
              <w:rPr>
                <w:rFonts w:ascii="Calibri" w:cs="Calibri" w:eastAsia="Calibri" w:hAnsi="Calibri"/>
                <w:sz w:val="18"/>
                <w:szCs w:val="18"/>
                <w:color w:val="auto"/>
              </w:rPr>
              <w:t>50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50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line="215" w:lineRule="exact"/>
              <w:rPr>
                <w:sz w:val="20"/>
                <w:szCs w:val="20"/>
                <w:color w:val="auto"/>
              </w:rPr>
            </w:pPr>
            <w:r>
              <w:rPr>
                <w:rFonts w:ascii="Calibri" w:cs="Calibri" w:eastAsia="Calibri" w:hAnsi="Calibri"/>
                <w:sz w:val="18"/>
                <w:szCs w:val="18"/>
                <w:color w:val="auto"/>
              </w:rPr>
              <w:t>11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3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8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Total other comprehensive income (loss)</w:t>
            </w:r>
          </w:p>
        </w:tc>
        <w:tc>
          <w:tcPr>
            <w:tcW w:w="7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57</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57</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800" w:type="dxa"/>
            <w:vAlign w:val="bottom"/>
          </w:tcPr>
          <w:p>
            <w:pPr>
              <w:ind w:left="20"/>
              <w:spacing w:after="0" w:line="215" w:lineRule="exact"/>
              <w:rPr>
                <w:sz w:val="20"/>
                <w:szCs w:val="20"/>
                <w:color w:val="auto"/>
              </w:rPr>
            </w:pPr>
            <w:r>
              <w:rPr>
                <w:rFonts w:ascii="Calibri" w:cs="Calibri" w:eastAsia="Calibri" w:hAnsi="Calibri"/>
                <w:sz w:val="18"/>
                <w:szCs w:val="18"/>
                <w:color w:val="auto"/>
              </w:rPr>
              <w:t>Cash dividends paid:</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3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80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Common stock, $0.40 per share</w:t>
            </w:r>
          </w:p>
        </w:tc>
        <w:tc>
          <w:tcPr>
            <w:tcW w:w="7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gridSpan w:val="2"/>
            <w:shd w:val="clear" w:color="auto" w:fill="CFF0FC"/>
          </w:tcPr>
          <w:p>
            <w:pPr>
              <w:jc w:val="right"/>
              <w:ind w:right="68"/>
              <w:spacing w:after="0" w:line="215" w:lineRule="exact"/>
              <w:rPr>
                <w:sz w:val="20"/>
                <w:szCs w:val="20"/>
                <w:color w:val="auto"/>
              </w:rPr>
            </w:pPr>
            <w:r>
              <w:rPr>
                <w:rFonts w:ascii="Calibri" w:cs="Calibri" w:eastAsia="Calibri" w:hAnsi="Calibri"/>
                <w:sz w:val="18"/>
                <w:szCs w:val="18"/>
                <w:color w:val="auto"/>
              </w:rPr>
              <w:t>(22 )</w:t>
            </w:r>
          </w:p>
        </w:tc>
        <w:tc>
          <w:tcPr>
            <w:tcW w:w="12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gridSpan w:val="2"/>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(22 )</w:t>
            </w:r>
          </w:p>
        </w:tc>
        <w:tc>
          <w:tcPr>
            <w:tcW w:w="10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(22 )</w:t>
            </w:r>
          </w:p>
        </w:tc>
        <w:tc>
          <w:tcPr>
            <w:tcW w:w="0" w:type="dxa"/>
            <w:vAlign w:val="bottom"/>
          </w:tcPr>
          <w:p>
            <w:pPr>
              <w:spacing w:after="0"/>
              <w:rPr>
                <w:sz w:val="1"/>
                <w:szCs w:val="1"/>
                <w:color w:val="auto"/>
              </w:rPr>
            </w:pPr>
          </w:p>
        </w:tc>
      </w:tr>
      <w:tr>
        <w:trPr>
          <w:trHeight w:val="215"/>
        </w:trPr>
        <w:tc>
          <w:tcPr>
            <w:tcW w:w="3800" w:type="dxa"/>
            <w:vAlign w:val="bottom"/>
          </w:tcPr>
          <w:p>
            <w:pPr>
              <w:ind w:left="20"/>
              <w:spacing w:after="0" w:line="215" w:lineRule="exact"/>
              <w:rPr>
                <w:sz w:val="20"/>
                <w:szCs w:val="20"/>
                <w:color w:val="auto"/>
              </w:rPr>
            </w:pPr>
            <w:r>
              <w:rPr>
                <w:rFonts w:ascii="Calibri" w:cs="Calibri" w:eastAsia="Calibri" w:hAnsi="Calibri"/>
                <w:sz w:val="18"/>
                <w:szCs w:val="18"/>
                <w:color w:val="auto"/>
              </w:rPr>
              <w:t>Cash dividends declared to noncontrolling interests</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(12 )</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(12 )</w:t>
            </w:r>
          </w:p>
        </w:tc>
        <w:tc>
          <w:tcPr>
            <w:tcW w:w="0" w:type="dxa"/>
            <w:vAlign w:val="bottom"/>
          </w:tcPr>
          <w:p>
            <w:pPr>
              <w:spacing w:after="0"/>
              <w:rPr>
                <w:sz w:val="1"/>
                <w:szCs w:val="1"/>
                <w:color w:val="auto"/>
              </w:rPr>
            </w:pPr>
          </w:p>
        </w:tc>
      </w:tr>
      <w:tr>
        <w:trPr>
          <w:trHeight w:val="28"/>
        </w:trPr>
        <w:tc>
          <w:tcPr>
            <w:tcW w:w="3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8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Issuance of stock under equity compensaton plans</w:t>
            </w:r>
          </w:p>
        </w:tc>
        <w:tc>
          <w:tcPr>
            <w:tcW w:w="7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441</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800" w:type="dxa"/>
            <w:vAlign w:val="bottom"/>
          </w:tcPr>
          <w:p>
            <w:pPr>
              <w:ind w:left="20"/>
              <w:spacing w:after="0" w:line="215" w:lineRule="exact"/>
              <w:rPr>
                <w:sz w:val="20"/>
                <w:szCs w:val="20"/>
                <w:color w:val="auto"/>
              </w:rPr>
            </w:pPr>
            <w:r>
              <w:rPr>
                <w:rFonts w:ascii="Calibri" w:cs="Calibri" w:eastAsia="Calibri" w:hAnsi="Calibri"/>
                <w:sz w:val="18"/>
                <w:szCs w:val="18"/>
                <w:color w:val="auto"/>
              </w:rPr>
              <w:t>Share-based compensaton</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3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80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Purchase and retrement of common stock</w:t>
            </w:r>
          </w:p>
        </w:tc>
        <w:tc>
          <w:tcPr>
            <w:tcW w:w="1000" w:type="dxa"/>
            <w:vAlign w:val="bottom"/>
            <w:tcBorders>
              <w:bottom w:val="single" w:sz="8" w:color="CFF0FC"/>
            </w:tcBorders>
            <w:gridSpan w:val="2"/>
            <w:shd w:val="clear" w:color="auto" w:fill="CFF0FC"/>
          </w:tcPr>
          <w:p>
            <w:pPr>
              <w:jc w:val="right"/>
              <w:ind w:right="180"/>
              <w:spacing w:after="0" w:line="215" w:lineRule="exact"/>
              <w:rPr>
                <w:sz w:val="20"/>
                <w:szCs w:val="20"/>
                <w:color w:val="auto"/>
              </w:rPr>
            </w:pPr>
            <w:r>
              <w:rPr>
                <w:rFonts w:ascii="Calibri" w:cs="Calibri" w:eastAsia="Calibri" w:hAnsi="Calibri"/>
                <w:sz w:val="18"/>
                <w:szCs w:val="18"/>
                <w:color w:val="auto"/>
              </w:rPr>
              <w:t>(260 )</w:t>
            </w:r>
          </w:p>
        </w:tc>
        <w:tc>
          <w:tcPr>
            <w:tcW w:w="1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CFF0FC"/>
            </w:tcBorders>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(13 )</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gridSpan w:val="2"/>
            <w:shd w:val="clear" w:color="auto" w:fill="CFF0FC"/>
          </w:tcPr>
          <w:p>
            <w:pPr>
              <w:jc w:val="right"/>
              <w:ind w:right="68"/>
              <w:spacing w:after="0" w:line="215" w:lineRule="exact"/>
              <w:rPr>
                <w:sz w:val="20"/>
                <w:szCs w:val="20"/>
                <w:color w:val="auto"/>
              </w:rPr>
            </w:pPr>
            <w:r>
              <w:rPr>
                <w:rFonts w:ascii="Calibri" w:cs="Calibri" w:eastAsia="Calibri" w:hAnsi="Calibri"/>
                <w:sz w:val="18"/>
                <w:szCs w:val="18"/>
                <w:color w:val="auto"/>
              </w:rPr>
              <w:t>(20 )</w:t>
            </w:r>
          </w:p>
        </w:tc>
        <w:tc>
          <w:tcPr>
            <w:tcW w:w="12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gridSpan w:val="2"/>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(33 )</w:t>
            </w:r>
          </w:p>
        </w:tc>
        <w:tc>
          <w:tcPr>
            <w:tcW w:w="10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(33 )</w:t>
            </w:r>
          </w:p>
        </w:tc>
        <w:tc>
          <w:tcPr>
            <w:tcW w:w="0" w:type="dxa"/>
            <w:vAlign w:val="bottom"/>
          </w:tcPr>
          <w:p>
            <w:pPr>
              <w:spacing w:after="0"/>
              <w:rPr>
                <w:sz w:val="1"/>
                <w:szCs w:val="1"/>
                <w:color w:val="auto"/>
              </w:rPr>
            </w:pPr>
          </w:p>
        </w:tc>
      </w:tr>
      <w:tr>
        <w:trPr>
          <w:trHeight w:val="20"/>
        </w:trPr>
        <w:tc>
          <w:tcPr>
            <w:tcW w:w="38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800" w:type="dxa"/>
            <w:vAlign w:val="bottom"/>
          </w:tcPr>
          <w:p>
            <w:pPr>
              <w:ind w:left="20"/>
              <w:spacing w:after="0"/>
              <w:rPr>
                <w:sz w:val="20"/>
                <w:szCs w:val="20"/>
                <w:color w:val="auto"/>
              </w:rPr>
            </w:pPr>
            <w:r>
              <w:rPr>
                <w:rFonts w:ascii="Calibri" w:cs="Calibri" w:eastAsia="Calibri" w:hAnsi="Calibri"/>
                <w:sz w:val="18"/>
                <w:szCs w:val="18"/>
                <w:color w:val="auto"/>
              </w:rPr>
              <w:t>Balance at December 31, 2023</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55,425</w:t>
            </w:r>
          </w:p>
        </w:tc>
        <w:tc>
          <w:tcPr>
            <w:tcW w:w="240" w:type="dxa"/>
            <w:vAlign w:val="bottom"/>
          </w:tcPr>
          <w:p>
            <w:pPr>
              <w:spacing w:after="0"/>
              <w:rPr>
                <w:sz w:val="20"/>
                <w:szCs w:val="20"/>
                <w:color w:val="auto"/>
              </w:rPr>
            </w:pPr>
          </w:p>
        </w:tc>
        <w:tc>
          <w:tcPr>
            <w:tcW w:w="12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440" w:type="dxa"/>
            <w:vAlign w:val="bottom"/>
          </w:tcPr>
          <w:p>
            <w:pPr>
              <w:jc w:val="right"/>
              <w:spacing w:after="0" w:line="215" w:lineRule="exact"/>
              <w:rPr>
                <w:sz w:val="20"/>
                <w:szCs w:val="20"/>
                <w:color w:val="auto"/>
              </w:rPr>
            </w:pPr>
            <w:r>
              <w:rPr>
                <w:rFonts w:ascii="Calibri" w:cs="Calibri" w:eastAsia="Calibri" w:hAnsi="Calibri"/>
                <w:sz w:val="18"/>
                <w:szCs w:val="18"/>
                <w:color w:val="auto"/>
              </w:rPr>
              <w:t>52</w:t>
            </w:r>
          </w:p>
        </w:tc>
        <w:tc>
          <w:tcPr>
            <w:tcW w:w="240" w:type="dxa"/>
            <w:vAlign w:val="bottom"/>
          </w:tcPr>
          <w:p>
            <w:pPr>
              <w:spacing w:after="0"/>
              <w:rPr>
                <w:sz w:val="20"/>
                <w:szCs w:val="20"/>
                <w:color w:val="auto"/>
              </w:rPr>
            </w:pPr>
          </w:p>
        </w:tc>
        <w:tc>
          <w:tcPr>
            <w:tcW w:w="12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jc w:val="right"/>
              <w:ind w:right="2"/>
              <w:spacing w:after="0" w:line="215" w:lineRule="exact"/>
              <w:rPr>
                <w:sz w:val="20"/>
                <w:szCs w:val="20"/>
                <w:color w:val="auto"/>
              </w:rPr>
            </w:pPr>
            <w:r>
              <w:rPr>
                <w:rFonts w:ascii="Calibri" w:cs="Calibri" w:eastAsia="Calibri" w:hAnsi="Calibri"/>
                <w:sz w:val="18"/>
                <w:szCs w:val="18"/>
                <w:color w:val="auto"/>
              </w:rPr>
              <w:t>$</w:t>
            </w:r>
          </w:p>
        </w:tc>
        <w:tc>
          <w:tcPr>
            <w:tcW w:w="520" w:type="dxa"/>
            <w:vAlign w:val="bottom"/>
          </w:tcPr>
          <w:p>
            <w:pPr>
              <w:jc w:val="right"/>
              <w:spacing w:after="0" w:line="215" w:lineRule="exact"/>
              <w:rPr>
                <w:sz w:val="20"/>
                <w:szCs w:val="20"/>
                <w:color w:val="auto"/>
              </w:rPr>
            </w:pPr>
            <w:r>
              <w:rPr>
                <w:rFonts w:ascii="Calibri" w:cs="Calibri" w:eastAsia="Calibri" w:hAnsi="Calibri"/>
                <w:sz w:val="18"/>
                <w:szCs w:val="18"/>
                <w:color w:val="auto"/>
              </w:rPr>
              <w:t>1,582</w:t>
            </w:r>
          </w:p>
        </w:tc>
        <w:tc>
          <w:tcPr>
            <w:tcW w:w="200" w:type="dxa"/>
            <w:vAlign w:val="bottom"/>
          </w:tcPr>
          <w:p>
            <w:pPr>
              <w:spacing w:after="0"/>
              <w:rPr>
                <w:sz w:val="20"/>
                <w:szCs w:val="20"/>
                <w:color w:val="auto"/>
              </w:rPr>
            </w:pPr>
          </w:p>
        </w:tc>
        <w:tc>
          <w:tcPr>
            <w:tcW w:w="1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86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(305 )</w:t>
            </w:r>
          </w:p>
        </w:tc>
        <w:tc>
          <w:tcPr>
            <w:tcW w:w="140" w:type="dxa"/>
            <w:vAlign w:val="bottom"/>
          </w:tcPr>
          <w:p>
            <w:pPr>
              <w:ind w:left="20"/>
              <w:spacing w:after="0" w:line="215" w:lineRule="exact"/>
              <w:rPr>
                <w:sz w:val="20"/>
                <w:szCs w:val="20"/>
                <w:color w:val="auto"/>
              </w:rPr>
            </w:pPr>
            <w:r>
              <w:rPr>
                <w:rFonts w:ascii="Calibri" w:cs="Calibri" w:eastAsia="Calibri" w:hAnsi="Calibri"/>
                <w:sz w:val="18"/>
                <w:szCs w:val="18"/>
                <w:color w:val="auto"/>
              </w:rPr>
              <w:t>$</w:t>
            </w: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1,329</w:t>
            </w:r>
          </w:p>
        </w:tc>
        <w:tc>
          <w:tcPr>
            <w:tcW w:w="220" w:type="dxa"/>
            <w:vAlign w:val="bottom"/>
          </w:tcPr>
          <w:p>
            <w:pPr>
              <w:spacing w:after="0"/>
              <w:rPr>
                <w:sz w:val="20"/>
                <w:szCs w:val="20"/>
                <w:color w:val="auto"/>
              </w:rPr>
            </w:pPr>
          </w:p>
        </w:tc>
        <w:tc>
          <w:tcPr>
            <w:tcW w:w="100" w:type="dxa"/>
            <w:vAlign w:val="bottom"/>
          </w:tcPr>
          <w:p>
            <w:pPr>
              <w:spacing w:after="0" w:line="215" w:lineRule="exact"/>
              <w:rPr>
                <w:sz w:val="20"/>
                <w:szCs w:val="20"/>
                <w:color w:val="auto"/>
              </w:rPr>
            </w:pPr>
            <w:r>
              <w:rPr>
                <w:rFonts w:ascii="Calibri" w:cs="Calibri" w:eastAsia="Calibri" w:hAnsi="Calibri"/>
                <w:sz w:val="18"/>
                <w:szCs w:val="18"/>
                <w:color w:val="auto"/>
                <w:w w:val="87"/>
              </w:rPr>
              <w:t>$</w:t>
            </w:r>
          </w:p>
        </w:tc>
        <w:tc>
          <w:tcPr>
            <w:tcW w:w="640" w:type="dxa"/>
            <w:vAlign w:val="bottom"/>
          </w:tcPr>
          <w:p>
            <w:pPr>
              <w:jc w:val="right"/>
              <w:spacing w:after="0" w:line="215" w:lineRule="exact"/>
              <w:rPr>
                <w:sz w:val="20"/>
                <w:szCs w:val="20"/>
                <w:color w:val="auto"/>
              </w:rPr>
            </w:pPr>
            <w:r>
              <w:rPr>
                <w:rFonts w:ascii="Calibri" w:cs="Calibri" w:eastAsia="Calibri" w:hAnsi="Calibri"/>
                <w:sz w:val="18"/>
                <w:szCs w:val="18"/>
                <w:color w:val="auto"/>
              </w:rPr>
              <w:t>146</w:t>
            </w:r>
          </w:p>
        </w:tc>
        <w:tc>
          <w:tcPr>
            <w:tcW w:w="220" w:type="dxa"/>
            <w:vAlign w:val="bottom"/>
          </w:tcPr>
          <w:p>
            <w:pPr>
              <w:spacing w:after="0"/>
              <w:rPr>
                <w:sz w:val="20"/>
                <w:szCs w:val="20"/>
                <w:color w:val="auto"/>
              </w:rPr>
            </w:pPr>
          </w:p>
        </w:tc>
        <w:tc>
          <w:tcPr>
            <w:tcW w:w="16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1,475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-187960</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-187960</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-187960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-187960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-187960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-187960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-187960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The accompanying notes are an integral part of these consolidated fnancial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415925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 w:name="page9"/>
    <w:bookmarkEnd w:id="8"/>
    <w:p>
      <w:pPr>
        <w:jc w:val="center"/>
        <w:ind w:right="-19"/>
        <w:spacing w:after="0"/>
        <w:rPr>
          <w:sz w:val="20"/>
          <w:szCs w:val="20"/>
          <w:color w:val="auto"/>
        </w:rPr>
      </w:pPr>
      <w:r>
        <w:rPr>
          <w:rFonts w:ascii="Calibri" w:cs="Calibri" w:eastAsia="Calibri" w:hAnsi="Calibri"/>
          <w:sz w:val="18"/>
          <w:szCs w:val="18"/>
          <w:b w:val="1"/>
          <w:bCs w:val="1"/>
          <w:color w:val="auto"/>
        </w:rPr>
        <w:t>CABOT CORPORATION</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CONSOLIDATED STATEMENTS OF CHANGES IN STOCKHOLDERS’ EQUITY</w:t>
      </w:r>
    </w:p>
    <w:p>
      <w:pPr>
        <w:jc w:val="center"/>
        <w:ind w:right="-19"/>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3"/>
          </w:tcPr>
          <w:p>
            <w:pPr>
              <w:jc w:val="center"/>
              <w:ind w:right="200"/>
              <w:spacing w:after="0"/>
              <w:rPr>
                <w:sz w:val="20"/>
                <w:szCs w:val="20"/>
                <w:color w:val="auto"/>
              </w:rPr>
            </w:pPr>
            <w:r>
              <w:rPr>
                <w:rFonts w:ascii="Calibri" w:cs="Calibri" w:eastAsia="Calibri" w:hAnsi="Calibri"/>
                <w:sz w:val="14"/>
                <w:szCs w:val="14"/>
                <w:b w:val="1"/>
                <w:bCs w:val="1"/>
                <w:color w:val="auto"/>
              </w:rPr>
              <w:t>Accumulate</w:t>
            </w:r>
          </w:p>
        </w:tc>
        <w:tc>
          <w:tcPr>
            <w:tcW w:w="980" w:type="dxa"/>
            <w:vAlign w:val="bottom"/>
            <w:gridSpan w:val="3"/>
          </w:tcPr>
          <w:p>
            <w:pPr>
              <w:ind w:left="20"/>
              <w:spacing w:after="0"/>
              <w:rPr>
                <w:sz w:val="20"/>
                <w:szCs w:val="20"/>
                <w:color w:val="auto"/>
              </w:rPr>
            </w:pPr>
            <w:r>
              <w:rPr>
                <w:rFonts w:ascii="Calibri" w:cs="Calibri" w:eastAsia="Calibri" w:hAnsi="Calibri"/>
                <w:sz w:val="14"/>
                <w:szCs w:val="14"/>
                <w:b w:val="1"/>
                <w:bCs w:val="1"/>
                <w:color w:val="auto"/>
              </w:rPr>
              <w:t>Total Cabot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800" w:type="dxa"/>
            <w:vAlign w:val="bottom"/>
          </w:tcPr>
          <w:p>
            <w:pPr>
              <w:spacing w:after="0"/>
              <w:rPr>
                <w:sz w:val="15"/>
                <w:szCs w:val="15"/>
                <w:color w:val="auto"/>
              </w:rPr>
            </w:pPr>
          </w:p>
        </w:tc>
        <w:tc>
          <w:tcPr>
            <w:tcW w:w="1560" w:type="dxa"/>
            <w:vAlign w:val="bottom"/>
            <w:gridSpan w:val="4"/>
            <w:vMerge w:val="restart"/>
          </w:tcPr>
          <w:p>
            <w:pPr>
              <w:jc w:val="right"/>
              <w:ind w:right="34"/>
              <w:spacing w:after="0"/>
              <w:rPr>
                <w:sz w:val="20"/>
                <w:szCs w:val="20"/>
                <w:color w:val="auto"/>
              </w:rPr>
            </w:pPr>
            <w:r>
              <w:rPr>
                <w:rFonts w:ascii="Calibri" w:cs="Calibri" w:eastAsia="Calibri" w:hAnsi="Calibri"/>
                <w:sz w:val="14"/>
                <w:szCs w:val="14"/>
                <w:b w:val="1"/>
                <w:bCs w:val="1"/>
                <w:color w:val="auto"/>
              </w:rPr>
              <w:t>Common Stock, Net of</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360"/>
              <w:spacing w:after="0"/>
              <w:rPr>
                <w:sz w:val="20"/>
                <w:szCs w:val="20"/>
                <w:color w:val="auto"/>
              </w:rPr>
            </w:pPr>
            <w:r>
              <w:rPr>
                <w:rFonts w:ascii="Calibri" w:cs="Calibri" w:eastAsia="Calibri" w:hAnsi="Calibri"/>
                <w:sz w:val="14"/>
                <w:szCs w:val="14"/>
                <w:b w:val="1"/>
                <w:bCs w:val="1"/>
                <w:color w:val="auto"/>
              </w:rPr>
              <w:t>d Other</w:t>
            </w:r>
          </w:p>
        </w:tc>
        <w:tc>
          <w:tcPr>
            <w:tcW w:w="980" w:type="dxa"/>
            <w:vAlign w:val="bottom"/>
            <w:gridSpan w:val="3"/>
          </w:tcPr>
          <w:p>
            <w:pPr>
              <w:ind w:left="20"/>
              <w:spacing w:after="0"/>
              <w:rPr>
                <w:sz w:val="20"/>
                <w:szCs w:val="20"/>
                <w:color w:val="auto"/>
              </w:rPr>
            </w:pPr>
            <w:r>
              <w:rPr>
                <w:rFonts w:ascii="Calibri" w:cs="Calibri" w:eastAsia="Calibri" w:hAnsi="Calibri"/>
                <w:sz w:val="14"/>
                <w:szCs w:val="14"/>
                <w:b w:val="1"/>
                <w:bCs w:val="1"/>
                <w:color w:val="auto"/>
              </w:rPr>
              <w:t>Corporaton</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center"/>
              <w:ind w:right="300"/>
              <w:spacing w:after="0"/>
              <w:rPr>
                <w:sz w:val="20"/>
                <w:szCs w:val="20"/>
                <w:color w:val="auto"/>
              </w:rPr>
            </w:pPr>
            <w:r>
              <w:rPr>
                <w:rFonts w:ascii="Calibri" w:cs="Calibri" w:eastAsia="Calibri" w:hAnsi="Calibri"/>
                <w:sz w:val="14"/>
                <w:szCs w:val="14"/>
                <w:b w:val="1"/>
                <w:bCs w:val="1"/>
                <w:color w:val="auto"/>
              </w:rPr>
              <w:t>Total</w:t>
            </w:r>
          </w:p>
        </w:tc>
        <w:tc>
          <w:tcPr>
            <w:tcW w:w="0" w:type="dxa"/>
            <w:vAlign w:val="bottom"/>
          </w:tcPr>
          <w:p>
            <w:pPr>
              <w:spacing w:after="0"/>
              <w:rPr>
                <w:sz w:val="1"/>
                <w:szCs w:val="1"/>
                <w:color w:val="auto"/>
              </w:rPr>
            </w:pPr>
          </w:p>
        </w:tc>
      </w:tr>
      <w:tr>
        <w:trPr>
          <w:trHeight w:val="168"/>
        </w:trPr>
        <w:tc>
          <w:tcPr>
            <w:tcW w:w="3800" w:type="dxa"/>
            <w:vAlign w:val="bottom"/>
          </w:tcPr>
          <w:p>
            <w:pPr>
              <w:spacing w:after="0"/>
              <w:rPr>
                <w:sz w:val="14"/>
                <w:szCs w:val="14"/>
                <w:color w:val="auto"/>
              </w:rPr>
            </w:pPr>
          </w:p>
        </w:tc>
        <w:tc>
          <w:tcPr>
            <w:tcW w:w="156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3"/>
          </w:tcPr>
          <w:p>
            <w:pPr>
              <w:jc w:val="right"/>
              <w:ind w:right="140"/>
              <w:spacing w:after="0" w:line="168" w:lineRule="exact"/>
              <w:rPr>
                <w:sz w:val="20"/>
                <w:szCs w:val="20"/>
                <w:color w:val="auto"/>
              </w:rPr>
            </w:pPr>
            <w:r>
              <w:rPr>
                <w:rFonts w:ascii="Calibri" w:cs="Calibri" w:eastAsia="Calibri" w:hAnsi="Calibri"/>
                <w:sz w:val="14"/>
                <w:szCs w:val="14"/>
                <w:b w:val="1"/>
                <w:bCs w:val="1"/>
                <w:color w:val="auto"/>
              </w:rPr>
              <w:t>Additonal</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3"/>
          </w:tcPr>
          <w:p>
            <w:pPr>
              <w:jc w:val="center"/>
              <w:ind w:right="200"/>
              <w:spacing w:after="0" w:line="168" w:lineRule="exact"/>
              <w:rPr>
                <w:sz w:val="20"/>
                <w:szCs w:val="20"/>
                <w:color w:val="auto"/>
              </w:rPr>
            </w:pPr>
            <w:r>
              <w:rPr>
                <w:rFonts w:ascii="Calibri" w:cs="Calibri" w:eastAsia="Calibri" w:hAnsi="Calibri"/>
                <w:sz w:val="14"/>
                <w:szCs w:val="14"/>
                <w:b w:val="1"/>
                <w:bCs w:val="1"/>
                <w:color w:val="auto"/>
              </w:rPr>
              <w:t>Comprehen</w:t>
            </w:r>
          </w:p>
        </w:tc>
        <w:tc>
          <w:tcPr>
            <w:tcW w:w="980" w:type="dxa"/>
            <w:vAlign w:val="bottom"/>
            <w:gridSpan w:val="3"/>
          </w:tcPr>
          <w:p>
            <w:pPr>
              <w:ind w:left="20"/>
              <w:spacing w:after="0" w:line="168" w:lineRule="exact"/>
              <w:rPr>
                <w:sz w:val="20"/>
                <w:szCs w:val="20"/>
                <w:color w:val="auto"/>
              </w:rPr>
            </w:pPr>
            <w:r>
              <w:rPr>
                <w:rFonts w:ascii="Calibri" w:cs="Calibri" w:eastAsia="Calibri" w:hAnsi="Calibri"/>
                <w:sz w:val="14"/>
                <w:szCs w:val="14"/>
                <w:b w:val="1"/>
                <w:bCs w:val="1"/>
                <w:color w:val="auto"/>
              </w:rPr>
              <w:t>Stockholder</w:t>
            </w:r>
          </w:p>
        </w:tc>
        <w:tc>
          <w:tcPr>
            <w:tcW w:w="960" w:type="dxa"/>
            <w:vAlign w:val="bottom"/>
            <w:gridSpan w:val="3"/>
          </w:tcPr>
          <w:p>
            <w:pPr>
              <w:ind w:left="20"/>
              <w:spacing w:after="0" w:line="168" w:lineRule="exact"/>
              <w:rPr>
                <w:sz w:val="20"/>
                <w:szCs w:val="20"/>
                <w:color w:val="auto"/>
              </w:rPr>
            </w:pPr>
            <w:r>
              <w:rPr>
                <w:rFonts w:ascii="Calibri" w:cs="Calibri" w:eastAsia="Calibri" w:hAnsi="Calibri"/>
                <w:sz w:val="14"/>
                <w:szCs w:val="14"/>
                <w:b w:val="1"/>
                <w:bCs w:val="1"/>
                <w:color w:val="auto"/>
              </w:rPr>
              <w:t>Noncontroll</w:t>
            </w:r>
          </w:p>
        </w:tc>
        <w:tc>
          <w:tcPr>
            <w:tcW w:w="880" w:type="dxa"/>
            <w:vAlign w:val="bottom"/>
            <w:gridSpan w:val="3"/>
          </w:tcPr>
          <w:p>
            <w:pPr>
              <w:jc w:val="center"/>
              <w:ind w:right="100"/>
              <w:spacing w:after="0" w:line="168" w:lineRule="exact"/>
              <w:rPr>
                <w:sz w:val="20"/>
                <w:szCs w:val="20"/>
                <w:color w:val="auto"/>
              </w:rPr>
            </w:pPr>
            <w:r>
              <w:rPr>
                <w:rFonts w:ascii="Calibri" w:cs="Calibri" w:eastAsia="Calibri" w:hAnsi="Calibri"/>
                <w:sz w:val="14"/>
                <w:szCs w:val="14"/>
                <w:b w:val="1"/>
                <w:bCs w:val="1"/>
                <w:color w:val="auto"/>
              </w:rPr>
              <w:t>Stockholder</w:t>
            </w:r>
          </w:p>
        </w:tc>
        <w:tc>
          <w:tcPr>
            <w:tcW w:w="0" w:type="dxa"/>
            <w:vAlign w:val="bottom"/>
          </w:tcPr>
          <w:p>
            <w:pPr>
              <w:spacing w:after="0"/>
              <w:rPr>
                <w:sz w:val="1"/>
                <w:szCs w:val="1"/>
                <w:color w:val="auto"/>
              </w:rPr>
            </w:pPr>
          </w:p>
        </w:tc>
      </w:tr>
      <w:tr>
        <w:trPr>
          <w:trHeight w:val="197"/>
        </w:trPr>
        <w:tc>
          <w:tcPr>
            <w:tcW w:w="3800" w:type="dxa"/>
            <w:vAlign w:val="bottom"/>
          </w:tcPr>
          <w:p>
            <w:pPr>
              <w:spacing w:after="0"/>
              <w:rPr>
                <w:sz w:val="17"/>
                <w:szCs w:val="17"/>
                <w:color w:val="auto"/>
              </w:rPr>
            </w:pPr>
          </w:p>
        </w:tc>
        <w:tc>
          <w:tcPr>
            <w:tcW w:w="1560" w:type="dxa"/>
            <w:vAlign w:val="bottom"/>
            <w:tcBorders>
              <w:bottom w:val="single" w:sz="8" w:color="auto"/>
            </w:tcBorders>
            <w:gridSpan w:val="4"/>
          </w:tcPr>
          <w:p>
            <w:pPr>
              <w:jc w:val="right"/>
              <w:ind w:right="254"/>
              <w:spacing w:after="0"/>
              <w:rPr>
                <w:sz w:val="20"/>
                <w:szCs w:val="20"/>
                <w:color w:val="auto"/>
              </w:rPr>
            </w:pPr>
            <w:r>
              <w:rPr>
                <w:rFonts w:ascii="Calibri" w:cs="Calibri" w:eastAsia="Calibri" w:hAnsi="Calibri"/>
                <w:sz w:val="14"/>
                <w:szCs w:val="14"/>
                <w:b w:val="1"/>
                <w:bCs w:val="1"/>
                <w:color w:val="auto"/>
              </w:rPr>
              <w:t>Treasury Stock</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240"/>
              <w:spacing w:after="0"/>
              <w:rPr>
                <w:sz w:val="20"/>
                <w:szCs w:val="20"/>
                <w:color w:val="auto"/>
              </w:rPr>
            </w:pPr>
            <w:r>
              <w:rPr>
                <w:rFonts w:ascii="Calibri" w:cs="Calibri" w:eastAsia="Calibri" w:hAnsi="Calibri"/>
                <w:sz w:val="14"/>
                <w:szCs w:val="14"/>
                <w:b w:val="1"/>
                <w:bCs w:val="1"/>
                <w:color w:val="auto"/>
              </w:rPr>
              <w:t>Paid-in</w:t>
            </w:r>
          </w:p>
        </w:tc>
        <w:tc>
          <w:tcPr>
            <w:tcW w:w="120" w:type="dxa"/>
            <w:vAlign w:val="bottom"/>
          </w:tcPr>
          <w:p>
            <w:pPr>
              <w:spacing w:after="0"/>
              <w:rPr>
                <w:sz w:val="17"/>
                <w:szCs w:val="17"/>
                <w:color w:val="auto"/>
              </w:rPr>
            </w:pPr>
          </w:p>
        </w:tc>
        <w:tc>
          <w:tcPr>
            <w:tcW w:w="920" w:type="dxa"/>
            <w:vAlign w:val="bottom"/>
            <w:gridSpan w:val="3"/>
          </w:tcPr>
          <w:p>
            <w:pPr>
              <w:jc w:val="right"/>
              <w:ind w:right="228"/>
              <w:spacing w:after="0"/>
              <w:rPr>
                <w:sz w:val="20"/>
                <w:szCs w:val="20"/>
                <w:color w:val="auto"/>
              </w:rPr>
            </w:pPr>
            <w:r>
              <w:rPr>
                <w:rFonts w:ascii="Calibri" w:cs="Calibri" w:eastAsia="Calibri" w:hAnsi="Calibri"/>
                <w:sz w:val="14"/>
                <w:szCs w:val="14"/>
                <w:b w:val="1"/>
                <w:bCs w:val="1"/>
                <w:color w:val="auto"/>
              </w:rPr>
              <w:t>Retained</w:t>
            </w:r>
          </w:p>
        </w:tc>
        <w:tc>
          <w:tcPr>
            <w:tcW w:w="120" w:type="dxa"/>
            <w:vAlign w:val="bottom"/>
          </w:tcPr>
          <w:p>
            <w:pPr>
              <w:spacing w:after="0"/>
              <w:rPr>
                <w:sz w:val="17"/>
                <w:szCs w:val="17"/>
                <w:color w:val="auto"/>
              </w:rPr>
            </w:pPr>
          </w:p>
        </w:tc>
        <w:tc>
          <w:tcPr>
            <w:tcW w:w="860" w:type="dxa"/>
            <w:vAlign w:val="bottom"/>
            <w:gridSpan w:val="2"/>
          </w:tcPr>
          <w:p>
            <w:pPr>
              <w:jc w:val="center"/>
              <w:ind w:right="340"/>
              <w:spacing w:after="0"/>
              <w:rPr>
                <w:sz w:val="20"/>
                <w:szCs w:val="20"/>
                <w:color w:val="auto"/>
              </w:rPr>
            </w:pPr>
            <w:r>
              <w:rPr>
                <w:rFonts w:ascii="Calibri" w:cs="Calibri" w:eastAsia="Calibri" w:hAnsi="Calibri"/>
                <w:sz w:val="14"/>
                <w:szCs w:val="14"/>
                <w:b w:val="1"/>
                <w:bCs w:val="1"/>
                <w:color w:val="auto"/>
              </w:rPr>
              <w:t>sive</w:t>
            </w:r>
          </w:p>
        </w:tc>
        <w:tc>
          <w:tcPr>
            <w:tcW w:w="140" w:type="dxa"/>
            <w:vAlign w:val="bottom"/>
          </w:tcPr>
          <w:p>
            <w:pPr>
              <w:spacing w:after="0"/>
              <w:rPr>
                <w:sz w:val="17"/>
                <w:szCs w:val="17"/>
                <w:color w:val="auto"/>
              </w:rPr>
            </w:pPr>
          </w:p>
        </w:tc>
        <w:tc>
          <w:tcPr>
            <w:tcW w:w="840" w:type="dxa"/>
            <w:vAlign w:val="bottom"/>
            <w:gridSpan w:val="2"/>
          </w:tcPr>
          <w:p>
            <w:pPr>
              <w:jc w:val="right"/>
              <w:ind w:right="560"/>
              <w:spacing w:after="0"/>
              <w:rPr>
                <w:sz w:val="20"/>
                <w:szCs w:val="20"/>
                <w:color w:val="auto"/>
              </w:rPr>
            </w:pPr>
            <w:r>
              <w:rPr>
                <w:rFonts w:ascii="Calibri" w:cs="Calibri" w:eastAsia="Calibri" w:hAnsi="Calibri"/>
                <w:sz w:val="14"/>
                <w:szCs w:val="14"/>
                <w:b w:val="1"/>
                <w:bCs w:val="1"/>
                <w:color w:val="auto"/>
              </w:rPr>
              <w:t>s’</w:t>
            </w:r>
          </w:p>
        </w:tc>
        <w:tc>
          <w:tcPr>
            <w:tcW w:w="100" w:type="dxa"/>
            <w:vAlign w:val="bottom"/>
          </w:tcPr>
          <w:p>
            <w:pPr>
              <w:spacing w:after="0"/>
              <w:rPr>
                <w:sz w:val="17"/>
                <w:szCs w:val="17"/>
                <w:color w:val="auto"/>
              </w:rPr>
            </w:pPr>
          </w:p>
        </w:tc>
        <w:tc>
          <w:tcPr>
            <w:tcW w:w="860" w:type="dxa"/>
            <w:vAlign w:val="bottom"/>
            <w:gridSpan w:val="2"/>
          </w:tcPr>
          <w:p>
            <w:pPr>
              <w:jc w:val="right"/>
              <w:ind w:right="500"/>
              <w:spacing w:after="0"/>
              <w:rPr>
                <w:sz w:val="20"/>
                <w:szCs w:val="20"/>
                <w:color w:val="auto"/>
              </w:rPr>
            </w:pPr>
            <w:r>
              <w:rPr>
                <w:rFonts w:ascii="Calibri" w:cs="Calibri" w:eastAsia="Calibri" w:hAnsi="Calibri"/>
                <w:sz w:val="14"/>
                <w:szCs w:val="14"/>
                <w:b w:val="1"/>
                <w:bCs w:val="1"/>
                <w:color w:val="auto"/>
              </w:rPr>
              <w:t>ing</w:t>
            </w:r>
          </w:p>
        </w:tc>
        <w:tc>
          <w:tcPr>
            <w:tcW w:w="160" w:type="dxa"/>
            <w:vAlign w:val="bottom"/>
          </w:tcPr>
          <w:p>
            <w:pPr>
              <w:spacing w:after="0"/>
              <w:rPr>
                <w:sz w:val="17"/>
                <w:szCs w:val="17"/>
                <w:color w:val="auto"/>
              </w:rPr>
            </w:pPr>
          </w:p>
        </w:tc>
        <w:tc>
          <w:tcPr>
            <w:tcW w:w="720" w:type="dxa"/>
            <w:vAlign w:val="bottom"/>
            <w:gridSpan w:val="2"/>
          </w:tcPr>
          <w:p>
            <w:pPr>
              <w:jc w:val="center"/>
              <w:ind w:right="260"/>
              <w:spacing w:after="0"/>
              <w:rPr>
                <w:sz w:val="20"/>
                <w:szCs w:val="20"/>
                <w:color w:val="auto"/>
              </w:rPr>
            </w:pPr>
            <w:r>
              <w:rPr>
                <w:rFonts w:ascii="Calibri" w:cs="Calibri" w:eastAsia="Calibri" w:hAnsi="Calibri"/>
                <w:sz w:val="14"/>
                <w:szCs w:val="14"/>
                <w:b w:val="1"/>
                <w:bCs w:val="1"/>
                <w:color w:val="auto"/>
              </w:rPr>
              <w:t>s’</w:t>
            </w:r>
          </w:p>
        </w:tc>
        <w:tc>
          <w:tcPr>
            <w:tcW w:w="0" w:type="dxa"/>
            <w:vAlign w:val="bottom"/>
          </w:tcPr>
          <w:p>
            <w:pPr>
              <w:spacing w:after="0"/>
              <w:rPr>
                <w:sz w:val="1"/>
                <w:szCs w:val="1"/>
                <w:color w:val="auto"/>
              </w:rPr>
            </w:pPr>
          </w:p>
        </w:tc>
      </w:tr>
      <w:tr>
        <w:trPr>
          <w:trHeight w:val="169"/>
        </w:trPr>
        <w:tc>
          <w:tcPr>
            <w:tcW w:w="3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380"/>
              <w:spacing w:after="0" w:line="169" w:lineRule="exact"/>
              <w:rPr>
                <w:sz w:val="20"/>
                <w:szCs w:val="20"/>
                <w:color w:val="auto"/>
              </w:rPr>
            </w:pPr>
            <w:r>
              <w:rPr>
                <w:rFonts w:ascii="Calibri" w:cs="Calibri" w:eastAsia="Calibri" w:hAnsi="Calibri"/>
                <w:sz w:val="14"/>
                <w:szCs w:val="14"/>
                <w:b w:val="1"/>
                <w:bCs w:val="1"/>
                <w:color w:val="auto"/>
              </w:rPr>
              <w:t>Income</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800" w:type="dxa"/>
            <w:vAlign w:val="bottom"/>
          </w:tcPr>
          <w:p>
            <w:pPr>
              <w:spacing w:after="0"/>
              <w:rPr>
                <w:sz w:val="15"/>
                <w:szCs w:val="15"/>
                <w:color w:val="auto"/>
              </w:rPr>
            </w:pPr>
          </w:p>
        </w:tc>
        <w:tc>
          <w:tcPr>
            <w:tcW w:w="1000" w:type="dxa"/>
            <w:vAlign w:val="bottom"/>
            <w:gridSpan w:val="2"/>
          </w:tcPr>
          <w:p>
            <w:pPr>
              <w:jc w:val="right"/>
              <w:ind w:right="420"/>
              <w:spacing w:after="0"/>
              <w:rPr>
                <w:sz w:val="20"/>
                <w:szCs w:val="20"/>
                <w:color w:val="auto"/>
              </w:rPr>
            </w:pPr>
            <w:r>
              <w:rPr>
                <w:rFonts w:ascii="Calibri" w:cs="Calibri" w:eastAsia="Calibri" w:hAnsi="Calibri"/>
                <w:sz w:val="14"/>
                <w:szCs w:val="14"/>
                <w:b w:val="1"/>
                <w:bCs w:val="1"/>
                <w:color w:val="auto"/>
              </w:rPr>
              <w:t>Shares</w:t>
            </w:r>
          </w:p>
        </w:tc>
        <w:tc>
          <w:tcPr>
            <w:tcW w:w="120" w:type="dxa"/>
            <w:vAlign w:val="bottom"/>
          </w:tcPr>
          <w:p>
            <w:pPr>
              <w:spacing w:after="0"/>
              <w:rPr>
                <w:sz w:val="15"/>
                <w:szCs w:val="15"/>
                <w:color w:val="auto"/>
              </w:rPr>
            </w:pPr>
          </w:p>
        </w:tc>
        <w:tc>
          <w:tcPr>
            <w:tcW w:w="440" w:type="dxa"/>
            <w:vAlign w:val="bottom"/>
          </w:tcPr>
          <w:p>
            <w:pPr>
              <w:jc w:val="right"/>
              <w:ind w:right="74"/>
              <w:spacing w:after="0"/>
              <w:rPr>
                <w:sz w:val="20"/>
                <w:szCs w:val="20"/>
                <w:color w:val="auto"/>
              </w:rPr>
            </w:pPr>
            <w:r>
              <w:rPr>
                <w:rFonts w:ascii="Calibri" w:cs="Calibri" w:eastAsia="Calibri" w:hAnsi="Calibri"/>
                <w:sz w:val="14"/>
                <w:szCs w:val="14"/>
                <w:b w:val="1"/>
                <w:bCs w:val="1"/>
                <w:color w:val="auto"/>
              </w:rPr>
              <w:t>Cost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240"/>
              <w:spacing w:after="0"/>
              <w:rPr>
                <w:sz w:val="20"/>
                <w:szCs w:val="20"/>
                <w:color w:val="auto"/>
              </w:rPr>
            </w:pPr>
            <w:r>
              <w:rPr>
                <w:rFonts w:ascii="Calibri" w:cs="Calibri" w:eastAsia="Calibri" w:hAnsi="Calibri"/>
                <w:sz w:val="14"/>
                <w:szCs w:val="14"/>
                <w:b w:val="1"/>
                <w:bCs w:val="1"/>
                <w:color w:val="auto"/>
              </w:rPr>
              <w:t>Capital</w:t>
            </w:r>
          </w:p>
        </w:tc>
        <w:tc>
          <w:tcPr>
            <w:tcW w:w="120" w:type="dxa"/>
            <w:vAlign w:val="bottom"/>
          </w:tcPr>
          <w:p>
            <w:pPr>
              <w:spacing w:after="0"/>
              <w:rPr>
                <w:sz w:val="15"/>
                <w:szCs w:val="15"/>
                <w:color w:val="auto"/>
              </w:rPr>
            </w:pPr>
          </w:p>
        </w:tc>
        <w:tc>
          <w:tcPr>
            <w:tcW w:w="920" w:type="dxa"/>
            <w:vAlign w:val="bottom"/>
            <w:gridSpan w:val="3"/>
          </w:tcPr>
          <w:p>
            <w:pPr>
              <w:jc w:val="right"/>
              <w:ind w:right="228"/>
              <w:spacing w:after="0"/>
              <w:rPr>
                <w:sz w:val="20"/>
                <w:szCs w:val="20"/>
                <w:color w:val="auto"/>
              </w:rPr>
            </w:pPr>
            <w:r>
              <w:rPr>
                <w:rFonts w:ascii="Calibri" w:cs="Calibri" w:eastAsia="Calibri" w:hAnsi="Calibri"/>
                <w:sz w:val="14"/>
                <w:szCs w:val="14"/>
                <w:b w:val="1"/>
                <w:bCs w:val="1"/>
                <w:color w:val="auto"/>
              </w:rPr>
              <w:t>Earnings</w:t>
            </w:r>
          </w:p>
        </w:tc>
        <w:tc>
          <w:tcPr>
            <w:tcW w:w="120" w:type="dxa"/>
            <w:vAlign w:val="bottom"/>
          </w:tcPr>
          <w:p>
            <w:pPr>
              <w:spacing w:after="0"/>
              <w:rPr>
                <w:sz w:val="15"/>
                <w:szCs w:val="15"/>
                <w:color w:val="auto"/>
              </w:rPr>
            </w:pPr>
          </w:p>
        </w:tc>
        <w:tc>
          <w:tcPr>
            <w:tcW w:w="860" w:type="dxa"/>
            <w:vAlign w:val="bottom"/>
            <w:gridSpan w:val="2"/>
          </w:tcPr>
          <w:p>
            <w:pPr>
              <w:jc w:val="center"/>
              <w:ind w:right="320"/>
              <w:spacing w:after="0"/>
              <w:rPr>
                <w:sz w:val="20"/>
                <w:szCs w:val="20"/>
                <w:color w:val="auto"/>
              </w:rPr>
            </w:pPr>
            <w:r>
              <w:rPr>
                <w:rFonts w:ascii="Calibri" w:cs="Calibri" w:eastAsia="Calibri" w:hAnsi="Calibri"/>
                <w:sz w:val="14"/>
                <w:szCs w:val="14"/>
                <w:b w:val="1"/>
                <w:bCs w:val="1"/>
                <w:color w:val="auto"/>
              </w:rPr>
              <w:t>(Loss)</w:t>
            </w:r>
          </w:p>
        </w:tc>
        <w:tc>
          <w:tcPr>
            <w:tcW w:w="140" w:type="dxa"/>
            <w:vAlign w:val="bottom"/>
          </w:tcPr>
          <w:p>
            <w:pPr>
              <w:spacing w:after="0"/>
              <w:rPr>
                <w:sz w:val="15"/>
                <w:szCs w:val="15"/>
                <w:color w:val="auto"/>
              </w:rPr>
            </w:pPr>
          </w:p>
        </w:tc>
        <w:tc>
          <w:tcPr>
            <w:tcW w:w="840" w:type="dxa"/>
            <w:vAlign w:val="bottom"/>
            <w:gridSpan w:val="2"/>
          </w:tcPr>
          <w:p>
            <w:pPr>
              <w:jc w:val="right"/>
              <w:ind w:right="420"/>
              <w:spacing w:after="0"/>
              <w:rPr>
                <w:sz w:val="20"/>
                <w:szCs w:val="20"/>
                <w:color w:val="auto"/>
              </w:rPr>
            </w:pPr>
            <w:r>
              <w:rPr>
                <w:rFonts w:ascii="Calibri" w:cs="Calibri" w:eastAsia="Calibri" w:hAnsi="Calibri"/>
                <w:sz w:val="14"/>
                <w:szCs w:val="14"/>
                <w:b w:val="1"/>
                <w:bCs w:val="1"/>
                <w:color w:val="auto"/>
              </w:rPr>
              <w:t>Equity</w:t>
            </w:r>
          </w:p>
        </w:tc>
        <w:tc>
          <w:tcPr>
            <w:tcW w:w="100" w:type="dxa"/>
            <w:vAlign w:val="bottom"/>
          </w:tcPr>
          <w:p>
            <w:pPr>
              <w:spacing w:after="0"/>
              <w:rPr>
                <w:sz w:val="15"/>
                <w:szCs w:val="15"/>
                <w:color w:val="auto"/>
              </w:rPr>
            </w:pPr>
          </w:p>
        </w:tc>
        <w:tc>
          <w:tcPr>
            <w:tcW w:w="860" w:type="dxa"/>
            <w:vAlign w:val="bottom"/>
            <w:gridSpan w:val="2"/>
          </w:tcPr>
          <w:p>
            <w:pPr>
              <w:jc w:val="right"/>
              <w:ind w:right="340"/>
              <w:spacing w:after="0"/>
              <w:rPr>
                <w:sz w:val="20"/>
                <w:szCs w:val="20"/>
                <w:color w:val="auto"/>
              </w:rPr>
            </w:pPr>
            <w:r>
              <w:rPr>
                <w:rFonts w:ascii="Calibri" w:cs="Calibri" w:eastAsia="Calibri" w:hAnsi="Calibri"/>
                <w:sz w:val="14"/>
                <w:szCs w:val="14"/>
                <w:b w:val="1"/>
                <w:bCs w:val="1"/>
                <w:color w:val="auto"/>
                <w:w w:val="97"/>
              </w:rPr>
              <w:t>Interests</w:t>
            </w:r>
          </w:p>
        </w:tc>
        <w:tc>
          <w:tcPr>
            <w:tcW w:w="160" w:type="dxa"/>
            <w:vAlign w:val="bottom"/>
          </w:tcPr>
          <w:p>
            <w:pPr>
              <w:spacing w:after="0"/>
              <w:rPr>
                <w:sz w:val="15"/>
                <w:szCs w:val="15"/>
                <w:color w:val="auto"/>
              </w:rPr>
            </w:pPr>
          </w:p>
        </w:tc>
        <w:tc>
          <w:tcPr>
            <w:tcW w:w="720" w:type="dxa"/>
            <w:vAlign w:val="bottom"/>
            <w:gridSpan w:val="2"/>
          </w:tcPr>
          <w:p>
            <w:pPr>
              <w:jc w:val="center"/>
              <w:ind w:right="260"/>
              <w:spacing w:after="0"/>
              <w:rPr>
                <w:sz w:val="20"/>
                <w:szCs w:val="20"/>
                <w:color w:val="auto"/>
              </w:rPr>
            </w:pPr>
            <w:r>
              <w:rPr>
                <w:rFonts w:ascii="Calibri" w:cs="Calibri" w:eastAsia="Calibri" w:hAnsi="Calibri"/>
                <w:sz w:val="14"/>
                <w:szCs w:val="14"/>
                <w:b w:val="1"/>
                <w:bCs w:val="1"/>
                <w:color w:val="auto"/>
              </w:rPr>
              <w:t>Equity</w:t>
            </w:r>
          </w:p>
        </w:tc>
        <w:tc>
          <w:tcPr>
            <w:tcW w:w="0" w:type="dxa"/>
            <w:vAlign w:val="bottom"/>
          </w:tcPr>
          <w:p>
            <w:pPr>
              <w:spacing w:after="0"/>
              <w:rPr>
                <w:sz w:val="1"/>
                <w:szCs w:val="1"/>
                <w:color w:val="auto"/>
              </w:rPr>
            </w:pPr>
          </w:p>
        </w:tc>
      </w:tr>
      <w:tr>
        <w:trPr>
          <w:trHeight w:val="33"/>
        </w:trPr>
        <w:tc>
          <w:tcPr>
            <w:tcW w:w="38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3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right"/>
              <w:ind w:right="30"/>
              <w:spacing w:after="0" w:line="164" w:lineRule="exact"/>
              <w:rPr>
                <w:sz w:val="20"/>
                <w:szCs w:val="20"/>
                <w:color w:val="auto"/>
              </w:rPr>
            </w:pPr>
            <w:r>
              <w:rPr>
                <w:rFonts w:ascii="Calibri" w:cs="Calibri" w:eastAsia="Calibri" w:hAnsi="Calibri"/>
                <w:sz w:val="14"/>
                <w:szCs w:val="14"/>
                <w:b w:val="1"/>
                <w:bCs w:val="1"/>
                <w:color w:val="auto"/>
              </w:rPr>
              <w:t>(In millions,</w:t>
            </w:r>
          </w:p>
        </w:tc>
        <w:tc>
          <w:tcPr>
            <w:tcW w:w="1320" w:type="dxa"/>
            <w:vAlign w:val="bottom"/>
            <w:gridSpan w:val="5"/>
          </w:tcPr>
          <w:p>
            <w:pPr>
              <w:spacing w:after="0" w:line="164" w:lineRule="exact"/>
              <w:rPr>
                <w:sz w:val="20"/>
                <w:szCs w:val="20"/>
                <w:color w:val="auto"/>
              </w:rPr>
            </w:pPr>
            <w:r>
              <w:rPr>
                <w:rFonts w:ascii="Calibri" w:cs="Calibri" w:eastAsia="Calibri" w:hAnsi="Calibri"/>
                <w:sz w:val="14"/>
                <w:szCs w:val="14"/>
                <w:b w:val="1"/>
                <w:bCs w:val="1"/>
                <w:color w:val="auto"/>
                <w:w w:val="97"/>
              </w:rPr>
              <w:t>except share amounts)</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38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80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Balance at September 30, 2022</w:t>
            </w:r>
          </w:p>
        </w:tc>
        <w:tc>
          <w:tcPr>
            <w:tcW w:w="7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56,249</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44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52</w:t>
            </w:r>
          </w:p>
        </w:tc>
        <w:tc>
          <w:tcPr>
            <w:tcW w:w="360" w:type="dxa"/>
            <w:vAlign w:val="bottom"/>
            <w:tcBorders>
              <w:bottom w:val="single" w:sz="8" w:color="CFF0FC"/>
            </w:tcBorders>
            <w:gridSpan w:val="2"/>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w:t>
            </w:r>
          </w:p>
        </w:tc>
        <w:tc>
          <w:tcPr>
            <w:tcW w:w="6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w:t>
            </w:r>
          </w:p>
        </w:tc>
        <w:tc>
          <w:tcPr>
            <w:tcW w:w="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gridSpan w:val="2"/>
            <w:shd w:val="clear" w:color="auto" w:fill="CFF0FC"/>
          </w:tcPr>
          <w:p>
            <w:pPr>
              <w:jc w:val="right"/>
              <w:ind w:right="2"/>
              <w:spacing w:after="0" w:line="208" w:lineRule="exact"/>
              <w:rPr>
                <w:sz w:val="20"/>
                <w:szCs w:val="20"/>
                <w:color w:val="auto"/>
              </w:rPr>
            </w:pPr>
            <w:r>
              <w:rPr>
                <w:rFonts w:ascii="Calibri" w:cs="Calibri" w:eastAsia="Calibri" w:hAnsi="Calibri"/>
                <w:sz w:val="18"/>
                <w:szCs w:val="18"/>
                <w:color w:val="auto"/>
              </w:rPr>
              <w:t>$</w:t>
            </w:r>
          </w:p>
        </w:tc>
        <w:tc>
          <w:tcPr>
            <w:tcW w:w="5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1,284</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w:t>
            </w:r>
          </w:p>
        </w:tc>
        <w:tc>
          <w:tcPr>
            <w:tcW w:w="860" w:type="dxa"/>
            <w:vAlign w:val="bottom"/>
            <w:tcBorders>
              <w:bottom w:val="single" w:sz="8" w:color="CFF0FC"/>
            </w:tcBorders>
            <w:gridSpan w:val="2"/>
            <w:shd w:val="clear" w:color="auto" w:fill="CFF0FC"/>
          </w:tcPr>
          <w:p>
            <w:pPr>
              <w:jc w:val="right"/>
              <w:ind w:right="140"/>
              <w:spacing w:after="0" w:line="208" w:lineRule="exact"/>
              <w:rPr>
                <w:sz w:val="20"/>
                <w:szCs w:val="20"/>
                <w:color w:val="auto"/>
              </w:rPr>
            </w:pPr>
            <w:r>
              <w:rPr>
                <w:rFonts w:ascii="Calibri" w:cs="Calibri" w:eastAsia="Calibri" w:hAnsi="Calibri"/>
                <w:sz w:val="18"/>
                <w:szCs w:val="18"/>
                <w:color w:val="auto"/>
              </w:rPr>
              <w:t>(439 )</w:t>
            </w:r>
          </w:p>
        </w:tc>
        <w:tc>
          <w:tcPr>
            <w:tcW w:w="14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w:t>
            </w:r>
          </w:p>
        </w:tc>
        <w:tc>
          <w:tcPr>
            <w:tcW w:w="6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898</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w w:val="87"/>
              </w:rPr>
              <w:t>$</w:t>
            </w:r>
          </w:p>
        </w:tc>
        <w:tc>
          <w:tcPr>
            <w:tcW w:w="64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134</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6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1,032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00" w:type="dxa"/>
            <w:vAlign w:val="bottom"/>
          </w:tcPr>
          <w:p>
            <w:pPr>
              <w:ind w:left="20"/>
              <w:spacing w:after="0" w:line="215" w:lineRule="exact"/>
              <w:rPr>
                <w:sz w:val="20"/>
                <w:szCs w:val="20"/>
                <w:color w:val="auto"/>
              </w:rPr>
            </w:pPr>
            <w:r>
              <w:rPr>
                <w:rFonts w:ascii="Calibri" w:cs="Calibri" w:eastAsia="Calibri" w:hAnsi="Calibri"/>
                <w:sz w:val="18"/>
                <w:szCs w:val="18"/>
                <w:color w:val="auto"/>
              </w:rPr>
              <w:t>Net income (loss)</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line="215" w:lineRule="exact"/>
              <w:rPr>
                <w:sz w:val="20"/>
                <w:szCs w:val="20"/>
                <w:color w:val="auto"/>
              </w:rPr>
            </w:pPr>
            <w:r>
              <w:rPr>
                <w:rFonts w:ascii="Calibri" w:cs="Calibri" w:eastAsia="Calibri" w:hAnsi="Calibri"/>
                <w:sz w:val="18"/>
                <w:szCs w:val="18"/>
                <w:color w:val="auto"/>
              </w:rPr>
              <w:t>54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54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line="215" w:lineRule="exact"/>
              <w:rPr>
                <w:sz w:val="20"/>
                <w:szCs w:val="20"/>
                <w:color w:val="auto"/>
              </w:rPr>
            </w:pPr>
            <w:r>
              <w:rPr>
                <w:rFonts w:ascii="Calibri" w:cs="Calibri" w:eastAsia="Calibri" w:hAnsi="Calibri"/>
                <w:sz w:val="18"/>
                <w:szCs w:val="18"/>
                <w:color w:val="auto"/>
              </w:rPr>
              <w:t>12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3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8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Total other comprehensive income (loss)</w:t>
            </w:r>
          </w:p>
        </w:tc>
        <w:tc>
          <w:tcPr>
            <w:tcW w:w="7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81</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81</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800" w:type="dxa"/>
            <w:vAlign w:val="bottom"/>
          </w:tcPr>
          <w:p>
            <w:pPr>
              <w:ind w:left="20"/>
              <w:spacing w:after="0" w:line="215" w:lineRule="exact"/>
              <w:rPr>
                <w:sz w:val="20"/>
                <w:szCs w:val="20"/>
                <w:color w:val="auto"/>
              </w:rPr>
            </w:pPr>
            <w:r>
              <w:rPr>
                <w:rFonts w:ascii="Calibri" w:cs="Calibri" w:eastAsia="Calibri" w:hAnsi="Calibri"/>
                <w:sz w:val="18"/>
                <w:szCs w:val="18"/>
                <w:color w:val="auto"/>
              </w:rPr>
              <w:t>Cash dividends paid:</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3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80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Common stock, $0.37 per share</w:t>
            </w:r>
          </w:p>
        </w:tc>
        <w:tc>
          <w:tcPr>
            <w:tcW w:w="7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gridSpan w:val="2"/>
            <w:shd w:val="clear" w:color="auto" w:fill="CFF0FC"/>
          </w:tcPr>
          <w:p>
            <w:pPr>
              <w:jc w:val="right"/>
              <w:ind w:right="68"/>
              <w:spacing w:after="0" w:line="215" w:lineRule="exact"/>
              <w:rPr>
                <w:sz w:val="20"/>
                <w:szCs w:val="20"/>
                <w:color w:val="auto"/>
              </w:rPr>
            </w:pPr>
            <w:r>
              <w:rPr>
                <w:rFonts w:ascii="Calibri" w:cs="Calibri" w:eastAsia="Calibri" w:hAnsi="Calibri"/>
                <w:sz w:val="18"/>
                <w:szCs w:val="18"/>
                <w:color w:val="auto"/>
              </w:rPr>
              <w:t>(21 )</w:t>
            </w:r>
          </w:p>
        </w:tc>
        <w:tc>
          <w:tcPr>
            <w:tcW w:w="12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gridSpan w:val="2"/>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(21 )</w:t>
            </w:r>
          </w:p>
        </w:tc>
        <w:tc>
          <w:tcPr>
            <w:tcW w:w="10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(21 )</w:t>
            </w:r>
          </w:p>
        </w:tc>
        <w:tc>
          <w:tcPr>
            <w:tcW w:w="0" w:type="dxa"/>
            <w:vAlign w:val="bottom"/>
          </w:tcPr>
          <w:p>
            <w:pPr>
              <w:spacing w:after="0"/>
              <w:rPr>
                <w:sz w:val="1"/>
                <w:szCs w:val="1"/>
                <w:color w:val="auto"/>
              </w:rPr>
            </w:pPr>
          </w:p>
        </w:tc>
      </w:tr>
      <w:tr>
        <w:trPr>
          <w:trHeight w:val="215"/>
        </w:trPr>
        <w:tc>
          <w:tcPr>
            <w:tcW w:w="3800" w:type="dxa"/>
            <w:vAlign w:val="bottom"/>
          </w:tcPr>
          <w:p>
            <w:pPr>
              <w:ind w:left="20"/>
              <w:spacing w:after="0" w:line="215" w:lineRule="exact"/>
              <w:rPr>
                <w:sz w:val="20"/>
                <w:szCs w:val="20"/>
                <w:color w:val="auto"/>
              </w:rPr>
            </w:pPr>
            <w:r>
              <w:rPr>
                <w:rFonts w:ascii="Calibri" w:cs="Calibri" w:eastAsia="Calibri" w:hAnsi="Calibri"/>
                <w:sz w:val="18"/>
                <w:szCs w:val="18"/>
                <w:color w:val="auto"/>
              </w:rPr>
              <w:t>Cash dividends declared to noncontrolling interests</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(2 )</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(2 )</w:t>
            </w:r>
          </w:p>
        </w:tc>
        <w:tc>
          <w:tcPr>
            <w:tcW w:w="0" w:type="dxa"/>
            <w:vAlign w:val="bottom"/>
          </w:tcPr>
          <w:p>
            <w:pPr>
              <w:spacing w:after="0"/>
              <w:rPr>
                <w:sz w:val="1"/>
                <w:szCs w:val="1"/>
                <w:color w:val="auto"/>
              </w:rPr>
            </w:pPr>
          </w:p>
        </w:tc>
      </w:tr>
      <w:tr>
        <w:trPr>
          <w:trHeight w:val="28"/>
        </w:trPr>
        <w:tc>
          <w:tcPr>
            <w:tcW w:w="3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8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Issuance of stock under equity compensaton plans</w:t>
            </w:r>
          </w:p>
        </w:tc>
        <w:tc>
          <w:tcPr>
            <w:tcW w:w="7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309</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800" w:type="dxa"/>
            <w:vAlign w:val="bottom"/>
          </w:tcPr>
          <w:p>
            <w:pPr>
              <w:ind w:left="20"/>
              <w:spacing w:after="0" w:line="215" w:lineRule="exact"/>
              <w:rPr>
                <w:sz w:val="20"/>
                <w:szCs w:val="20"/>
                <w:color w:val="auto"/>
              </w:rPr>
            </w:pPr>
            <w:r>
              <w:rPr>
                <w:rFonts w:ascii="Calibri" w:cs="Calibri" w:eastAsia="Calibri" w:hAnsi="Calibri"/>
                <w:sz w:val="18"/>
                <w:szCs w:val="18"/>
                <w:color w:val="auto"/>
              </w:rPr>
              <w:t>Share-based compensaton</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11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11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3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80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Purchase and retrement of common stock</w:t>
            </w:r>
          </w:p>
        </w:tc>
        <w:tc>
          <w:tcPr>
            <w:tcW w:w="1000" w:type="dxa"/>
            <w:vAlign w:val="bottom"/>
            <w:tcBorders>
              <w:bottom w:val="single" w:sz="8" w:color="CFF0FC"/>
            </w:tcBorders>
            <w:gridSpan w:val="2"/>
            <w:shd w:val="clear" w:color="auto" w:fill="CFF0FC"/>
          </w:tcPr>
          <w:p>
            <w:pPr>
              <w:jc w:val="right"/>
              <w:ind w:right="180"/>
              <w:spacing w:after="0" w:line="215" w:lineRule="exact"/>
              <w:rPr>
                <w:sz w:val="20"/>
                <w:szCs w:val="20"/>
                <w:color w:val="auto"/>
              </w:rPr>
            </w:pPr>
            <w:r>
              <w:rPr>
                <w:rFonts w:ascii="Calibri" w:cs="Calibri" w:eastAsia="Calibri" w:hAnsi="Calibri"/>
                <w:sz w:val="18"/>
                <w:szCs w:val="18"/>
                <w:color w:val="auto"/>
              </w:rPr>
              <w:t>(242 )</w:t>
            </w:r>
          </w:p>
        </w:tc>
        <w:tc>
          <w:tcPr>
            <w:tcW w:w="1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CFF0FC"/>
            </w:tcBorders>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(14 )</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gridSpan w:val="2"/>
            <w:shd w:val="clear" w:color="auto" w:fill="CFF0FC"/>
          </w:tcPr>
          <w:p>
            <w:pPr>
              <w:jc w:val="right"/>
              <w:ind w:right="68"/>
              <w:spacing w:after="0" w:line="215" w:lineRule="exact"/>
              <w:rPr>
                <w:sz w:val="20"/>
                <w:szCs w:val="20"/>
                <w:color w:val="auto"/>
              </w:rPr>
            </w:pPr>
            <w:r>
              <w:rPr>
                <w:rFonts w:ascii="Calibri" w:cs="Calibri" w:eastAsia="Calibri" w:hAnsi="Calibri"/>
                <w:sz w:val="18"/>
                <w:szCs w:val="18"/>
                <w:color w:val="auto"/>
              </w:rPr>
              <w:t>(3 )</w:t>
            </w:r>
          </w:p>
        </w:tc>
        <w:tc>
          <w:tcPr>
            <w:tcW w:w="12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gridSpan w:val="2"/>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(17 )</w:t>
            </w:r>
          </w:p>
        </w:tc>
        <w:tc>
          <w:tcPr>
            <w:tcW w:w="10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(17 )</w:t>
            </w:r>
          </w:p>
        </w:tc>
        <w:tc>
          <w:tcPr>
            <w:tcW w:w="0" w:type="dxa"/>
            <w:vAlign w:val="bottom"/>
          </w:tcPr>
          <w:p>
            <w:pPr>
              <w:spacing w:after="0"/>
              <w:rPr>
                <w:sz w:val="1"/>
                <w:szCs w:val="1"/>
                <w:color w:val="auto"/>
              </w:rPr>
            </w:pPr>
          </w:p>
        </w:tc>
      </w:tr>
      <w:tr>
        <w:trPr>
          <w:trHeight w:val="20"/>
        </w:trPr>
        <w:tc>
          <w:tcPr>
            <w:tcW w:w="38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00" w:type="dxa"/>
            <w:vAlign w:val="bottom"/>
          </w:tcPr>
          <w:p>
            <w:pPr>
              <w:ind w:left="20"/>
              <w:spacing w:after="0"/>
              <w:rPr>
                <w:sz w:val="20"/>
                <w:szCs w:val="20"/>
                <w:color w:val="auto"/>
              </w:rPr>
            </w:pPr>
            <w:r>
              <w:rPr>
                <w:rFonts w:ascii="Calibri" w:cs="Calibri" w:eastAsia="Calibri" w:hAnsi="Calibri"/>
                <w:sz w:val="18"/>
                <w:szCs w:val="18"/>
                <w:color w:val="auto"/>
              </w:rPr>
              <w:t>Balance at December 31, 2022</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56,316</w:t>
            </w:r>
          </w:p>
        </w:tc>
        <w:tc>
          <w:tcPr>
            <w:tcW w:w="240" w:type="dxa"/>
            <w:vAlign w:val="bottom"/>
          </w:tcPr>
          <w:p>
            <w:pPr>
              <w:spacing w:after="0"/>
              <w:rPr>
                <w:sz w:val="20"/>
                <w:szCs w:val="20"/>
                <w:color w:val="auto"/>
              </w:rPr>
            </w:pPr>
          </w:p>
        </w:tc>
        <w:tc>
          <w:tcPr>
            <w:tcW w:w="12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440" w:type="dxa"/>
            <w:vAlign w:val="bottom"/>
          </w:tcPr>
          <w:p>
            <w:pPr>
              <w:jc w:val="right"/>
              <w:spacing w:after="0" w:line="215" w:lineRule="exact"/>
              <w:rPr>
                <w:sz w:val="20"/>
                <w:szCs w:val="20"/>
                <w:color w:val="auto"/>
              </w:rPr>
            </w:pPr>
            <w:r>
              <w:rPr>
                <w:rFonts w:ascii="Calibri" w:cs="Calibri" w:eastAsia="Calibri" w:hAnsi="Calibri"/>
                <w:sz w:val="18"/>
                <w:szCs w:val="18"/>
                <w:color w:val="auto"/>
              </w:rPr>
              <w:t>53</w:t>
            </w:r>
          </w:p>
        </w:tc>
        <w:tc>
          <w:tcPr>
            <w:tcW w:w="240" w:type="dxa"/>
            <w:vAlign w:val="bottom"/>
          </w:tcPr>
          <w:p>
            <w:pPr>
              <w:spacing w:after="0"/>
              <w:rPr>
                <w:sz w:val="20"/>
                <w:szCs w:val="20"/>
                <w:color w:val="auto"/>
              </w:rPr>
            </w:pPr>
          </w:p>
        </w:tc>
        <w:tc>
          <w:tcPr>
            <w:tcW w:w="12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jc w:val="right"/>
              <w:ind w:right="2"/>
              <w:spacing w:after="0" w:line="215" w:lineRule="exact"/>
              <w:rPr>
                <w:sz w:val="20"/>
                <w:szCs w:val="20"/>
                <w:color w:val="auto"/>
              </w:rPr>
            </w:pPr>
            <w:r>
              <w:rPr>
                <w:rFonts w:ascii="Calibri" w:cs="Calibri" w:eastAsia="Calibri" w:hAnsi="Calibri"/>
                <w:sz w:val="18"/>
                <w:szCs w:val="18"/>
                <w:color w:val="auto"/>
              </w:rPr>
              <w:t>$</w:t>
            </w:r>
          </w:p>
        </w:tc>
        <w:tc>
          <w:tcPr>
            <w:tcW w:w="520" w:type="dxa"/>
            <w:vAlign w:val="bottom"/>
          </w:tcPr>
          <w:p>
            <w:pPr>
              <w:jc w:val="right"/>
              <w:spacing w:after="0" w:line="215" w:lineRule="exact"/>
              <w:rPr>
                <w:sz w:val="20"/>
                <w:szCs w:val="20"/>
                <w:color w:val="auto"/>
              </w:rPr>
            </w:pPr>
            <w:r>
              <w:rPr>
                <w:rFonts w:ascii="Calibri" w:cs="Calibri" w:eastAsia="Calibri" w:hAnsi="Calibri"/>
                <w:sz w:val="18"/>
                <w:szCs w:val="18"/>
                <w:color w:val="auto"/>
              </w:rPr>
              <w:t>1,314</w:t>
            </w:r>
          </w:p>
        </w:tc>
        <w:tc>
          <w:tcPr>
            <w:tcW w:w="200" w:type="dxa"/>
            <w:vAlign w:val="bottom"/>
          </w:tcPr>
          <w:p>
            <w:pPr>
              <w:spacing w:after="0"/>
              <w:rPr>
                <w:sz w:val="20"/>
                <w:szCs w:val="20"/>
                <w:color w:val="auto"/>
              </w:rPr>
            </w:pPr>
          </w:p>
        </w:tc>
        <w:tc>
          <w:tcPr>
            <w:tcW w:w="1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86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(358 )</w:t>
            </w:r>
          </w:p>
        </w:tc>
        <w:tc>
          <w:tcPr>
            <w:tcW w:w="140" w:type="dxa"/>
            <w:vAlign w:val="bottom"/>
          </w:tcPr>
          <w:p>
            <w:pPr>
              <w:ind w:left="20"/>
              <w:spacing w:after="0" w:line="215" w:lineRule="exact"/>
              <w:rPr>
                <w:sz w:val="20"/>
                <w:szCs w:val="20"/>
                <w:color w:val="auto"/>
              </w:rPr>
            </w:pPr>
            <w:r>
              <w:rPr>
                <w:rFonts w:ascii="Calibri" w:cs="Calibri" w:eastAsia="Calibri" w:hAnsi="Calibri"/>
                <w:sz w:val="18"/>
                <w:szCs w:val="18"/>
                <w:color w:val="auto"/>
              </w:rPr>
              <w:t>$</w:t>
            </w: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1,009</w:t>
            </w:r>
          </w:p>
        </w:tc>
        <w:tc>
          <w:tcPr>
            <w:tcW w:w="220" w:type="dxa"/>
            <w:vAlign w:val="bottom"/>
          </w:tcPr>
          <w:p>
            <w:pPr>
              <w:spacing w:after="0"/>
              <w:rPr>
                <w:sz w:val="20"/>
                <w:szCs w:val="20"/>
                <w:color w:val="auto"/>
              </w:rPr>
            </w:pPr>
          </w:p>
        </w:tc>
        <w:tc>
          <w:tcPr>
            <w:tcW w:w="100" w:type="dxa"/>
            <w:vAlign w:val="bottom"/>
          </w:tcPr>
          <w:p>
            <w:pPr>
              <w:spacing w:after="0" w:line="215" w:lineRule="exact"/>
              <w:rPr>
                <w:sz w:val="20"/>
                <w:szCs w:val="20"/>
                <w:color w:val="auto"/>
              </w:rPr>
            </w:pPr>
            <w:r>
              <w:rPr>
                <w:rFonts w:ascii="Calibri" w:cs="Calibri" w:eastAsia="Calibri" w:hAnsi="Calibri"/>
                <w:sz w:val="18"/>
                <w:szCs w:val="18"/>
                <w:color w:val="auto"/>
                <w:w w:val="87"/>
              </w:rPr>
              <w:t>$</w:t>
            </w:r>
          </w:p>
        </w:tc>
        <w:tc>
          <w:tcPr>
            <w:tcW w:w="640" w:type="dxa"/>
            <w:vAlign w:val="bottom"/>
          </w:tcPr>
          <w:p>
            <w:pPr>
              <w:jc w:val="right"/>
              <w:spacing w:after="0" w:line="215" w:lineRule="exact"/>
              <w:rPr>
                <w:sz w:val="20"/>
                <w:szCs w:val="20"/>
                <w:color w:val="auto"/>
              </w:rPr>
            </w:pPr>
            <w:r>
              <w:rPr>
                <w:rFonts w:ascii="Calibri" w:cs="Calibri" w:eastAsia="Calibri" w:hAnsi="Calibri"/>
                <w:sz w:val="18"/>
                <w:szCs w:val="18"/>
                <w:color w:val="auto"/>
              </w:rPr>
              <w:t>150</w:t>
            </w:r>
          </w:p>
        </w:tc>
        <w:tc>
          <w:tcPr>
            <w:tcW w:w="220" w:type="dxa"/>
            <w:vAlign w:val="bottom"/>
          </w:tcPr>
          <w:p>
            <w:pPr>
              <w:spacing w:after="0"/>
              <w:rPr>
                <w:sz w:val="20"/>
                <w:szCs w:val="20"/>
                <w:color w:val="auto"/>
              </w:rPr>
            </w:pPr>
          </w:p>
        </w:tc>
        <w:tc>
          <w:tcPr>
            <w:tcW w:w="16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1,159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-187960</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-187960</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-187960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-187960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-187960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-187960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-187960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consolidated fnancial statements.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415925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9" w:name="page10"/>
    <w:bookmarkEnd w:id="9"/>
    <w:p>
      <w:pPr>
        <w:jc w:val="center"/>
        <w:ind w:right="-39"/>
        <w:spacing w:after="0"/>
        <w:rPr>
          <w:sz w:val="20"/>
          <w:szCs w:val="20"/>
          <w:color w:val="auto"/>
        </w:rPr>
      </w:pPr>
      <w:r>
        <w:rPr>
          <w:rFonts w:ascii="Calibri" w:cs="Calibri" w:eastAsia="Calibri" w:hAnsi="Calibri"/>
          <w:sz w:val="18"/>
          <w:szCs w:val="18"/>
          <w:b w:val="1"/>
          <w:bCs w:val="1"/>
          <w:color w:val="auto"/>
        </w:rPr>
        <w:t>CABOT CORPORATION</w:t>
      </w:r>
    </w:p>
    <w:p>
      <w:pPr>
        <w:jc w:val="center"/>
        <w:ind w:right="-39"/>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jc w:val="center"/>
        <w:ind w:right="-39"/>
        <w:spacing w:after="0" w:line="236" w:lineRule="auto"/>
        <w:rPr>
          <w:sz w:val="20"/>
          <w:szCs w:val="20"/>
          <w:color w:val="auto"/>
        </w:rPr>
      </w:pPr>
      <w:r>
        <w:rPr>
          <w:rFonts w:ascii="Calibri" w:cs="Calibri" w:eastAsia="Calibri" w:hAnsi="Calibri"/>
          <w:sz w:val="18"/>
          <w:szCs w:val="18"/>
          <w:b w:val="1"/>
          <w:bCs w:val="1"/>
          <w:color w:val="auto"/>
        </w:rPr>
        <w:t>December 31, 2023</w:t>
      </w:r>
    </w:p>
    <w:p>
      <w:pPr>
        <w:jc w:val="center"/>
        <w:ind w:right="-39"/>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 Basis of Presentaton</w:t>
      </w:r>
    </w:p>
    <w:p>
      <w:pPr>
        <w:spacing w:after="0" w:line="82"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The consolidated fnancial statements have been prepared in conformity with accountng principles generally accepted in the United States (“U.S.”) (“GAAP”) and include the accounts of Cabot Corporaton (“Cabot” or the “Company”) and its wholly-owned subsidiaries and majority-owned and controlled U.S. and non-U.S. subsidiaries. Additonally, Cabot considers consolidaton of enttes over which control is achieved through means other than votng rights. Intercompany transactons have been eliminated in consolidaton.</w:t>
      </w:r>
    </w:p>
    <w:p>
      <w:pPr>
        <w:spacing w:after="0" w:line="84"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The unaudited consolidated fnancial statements have been prepared in accordance with the requirements of Form 10-Q and consequently do not include all disclosures required by Form 10-K. Additonal informaton may be obtained by referring to Cabot’s Annual Report on Form 10-K for its fscal year ended September 30, 2023 (the “2023 10-K”).</w:t>
      </w:r>
    </w:p>
    <w:p>
      <w:pPr>
        <w:spacing w:after="0" w:line="84"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The fnancial informaton submited herewith is unaudited and refects all adjustments which are, in the opinion of management, necessary to provide a fair statement of the results for the interim periods ended December 31, 2023 and 2022. All such adjustments are of a normal recurring nature. The results for interim periods are not necessarily indicatve of the results to be expected for the fscal year.</w:t>
      </w:r>
    </w:p>
    <w:p>
      <w:pPr>
        <w:spacing w:after="0" w:line="9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B. Signifcant Accountng Policies</w:t>
      </w:r>
    </w:p>
    <w:p>
      <w:pPr>
        <w:spacing w:after="0" w:line="77" w:lineRule="exact"/>
        <w:rPr>
          <w:sz w:val="20"/>
          <w:szCs w:val="20"/>
          <w:color w:val="auto"/>
        </w:rPr>
      </w:pPr>
    </w:p>
    <w:p>
      <w:pPr>
        <w:ind w:left="760"/>
        <w:spacing w:after="0"/>
        <w:rPr>
          <w:sz w:val="20"/>
          <w:szCs w:val="20"/>
          <w:color w:val="auto"/>
        </w:rPr>
      </w:pPr>
      <w:r>
        <w:rPr>
          <w:rFonts w:ascii="Calibri" w:cs="Calibri" w:eastAsia="Calibri" w:hAnsi="Calibri"/>
          <w:sz w:val="18"/>
          <w:szCs w:val="18"/>
          <w:color w:val="auto"/>
        </w:rPr>
        <w:t>Full detail on the Company’s signifcant accountng policies may be obtained by referring to Note A in the 2023 10-K.</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Argentna Devaluaton</w:t>
      </w:r>
    </w:p>
    <w:p>
      <w:pPr>
        <w:spacing w:after="0" w:line="82" w:lineRule="exact"/>
        <w:rPr>
          <w:sz w:val="20"/>
          <w:szCs w:val="20"/>
          <w:color w:val="auto"/>
        </w:rPr>
      </w:pPr>
    </w:p>
    <w:p>
      <w:pPr>
        <w:ind w:firstLine="749"/>
        <w:spacing w:after="0" w:line="235" w:lineRule="auto"/>
        <w:rPr>
          <w:sz w:val="20"/>
          <w:szCs w:val="20"/>
          <w:color w:val="auto"/>
        </w:rPr>
      </w:pPr>
      <w:r>
        <w:rPr>
          <w:rFonts w:ascii="Calibri" w:cs="Calibri" w:eastAsia="Calibri" w:hAnsi="Calibri"/>
          <w:sz w:val="18"/>
          <w:szCs w:val="18"/>
          <w:color w:val="auto"/>
        </w:rPr>
        <w:t>The Company’s wholly-owned Argentnian subsidiary operates in a highly infatonary economy and, as a result, the functonal currency of the subsidiary is Cabot’s reportng currency, the U.S. dollar. During the three months ended December 31, 2023, the Company recorded foreign exchange losses of $40 million related to the revaluaton of non-functonal currency denominated monetary asset and liability balances, of which $33 million related to a single devaluaton acton by the newly elected Argentne government. The Company invests cash in money market funds and recorded investment income of $12 million for the three months ended December 31, 2023. The foreign exchange losses and investment gains are recorded in Other income (expense) in the Consolidated Statement of Operatons.</w:t>
      </w:r>
    </w:p>
    <w:p>
      <w:pPr>
        <w:spacing w:after="0" w:line="8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Recently Adopted Accountng Standards</w:t>
      </w:r>
    </w:p>
    <w:p>
      <w:pPr>
        <w:spacing w:after="0" w:line="82" w:lineRule="exact"/>
        <w:rPr>
          <w:sz w:val="20"/>
          <w:szCs w:val="20"/>
          <w:color w:val="auto"/>
        </w:rPr>
      </w:pPr>
    </w:p>
    <w:p>
      <w:pPr>
        <w:ind w:right="240" w:firstLine="509"/>
        <w:spacing w:after="0" w:line="235" w:lineRule="auto"/>
        <w:rPr>
          <w:sz w:val="20"/>
          <w:szCs w:val="20"/>
          <w:color w:val="auto"/>
        </w:rPr>
      </w:pPr>
      <w:r>
        <w:rPr>
          <w:rFonts w:ascii="Calibri" w:cs="Calibri" w:eastAsia="Calibri" w:hAnsi="Calibri"/>
          <w:sz w:val="18"/>
          <w:szCs w:val="18"/>
          <w:color w:val="auto"/>
        </w:rPr>
        <w:t>In November 2022, the FASB issued a new standard on the disclosure of supplier fnancing programs. The new standard requires qualitatve and quanttatve disclosures as to the nature and potental magnitude of such programs in additon to program actvity and changes for the periods presented. The Company adopted this standard on October 1, 2023. See Note J for disclosures related to the Company's supplier fnancing programs. The adopton of this standard did not have a material impact on the Company's Consolidated Financial Statements.</w:t>
      </w:r>
    </w:p>
    <w:p>
      <w:pPr>
        <w:spacing w:after="0" w:line="8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Recent Accountng Pronouncements</w:t>
      </w:r>
    </w:p>
    <w:p>
      <w:pPr>
        <w:spacing w:after="0" w:line="82"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In November 2023, the FASB issued a new standard, Improvement to Reportable Segment Disclosures. The new guidance enhances the disclosure of signifcant reportable segment expenses. The new standard is efectve for fscal years beginning afer December 15, 2023, and early adopton is permited. The Company is currently evaluatng the tming of adopton and the impact of the adopton of this standard on the Company’s Consolidated Financial Statements.</w:t>
      </w:r>
    </w:p>
    <w:p>
      <w:pPr>
        <w:spacing w:after="0" w:line="84" w:lineRule="exact"/>
        <w:rPr>
          <w:sz w:val="20"/>
          <w:szCs w:val="20"/>
          <w:color w:val="auto"/>
        </w:rPr>
      </w:pPr>
    </w:p>
    <w:p>
      <w:pPr>
        <w:ind w:right="240" w:firstLine="509"/>
        <w:spacing w:after="0" w:line="235" w:lineRule="auto"/>
        <w:rPr>
          <w:sz w:val="20"/>
          <w:szCs w:val="20"/>
          <w:color w:val="auto"/>
        </w:rPr>
      </w:pPr>
      <w:r>
        <w:rPr>
          <w:rFonts w:ascii="Calibri" w:cs="Calibri" w:eastAsia="Calibri" w:hAnsi="Calibri"/>
          <w:sz w:val="18"/>
          <w:szCs w:val="18"/>
          <w:color w:val="auto"/>
        </w:rPr>
        <w:t>In December 2023, the FASB issued a new standard, Improvements to Income Tax Disclosures. The new guidance requires additonal disclosures primarily related to the income tax rate reconciliaton and income taxes paid. The new standard is efectve for fscal years beginning afer December 15, 2024, and early adopton is permited. The Company is currently evaluatng the tming of adopton and the impact of the adopton of this standard on the Company’s Consolidated Financial Statements.</w:t>
      </w:r>
    </w:p>
    <w:p>
      <w:pPr>
        <w:spacing w:after="0" w:line="1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415925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10" w:name="page11"/>
    <w:bookmarkEnd w:id="10"/>
    <w:p>
      <w:pPr>
        <w:spacing w:after="0"/>
        <w:rPr>
          <w:sz w:val="20"/>
          <w:szCs w:val="20"/>
          <w:color w:val="auto"/>
        </w:rPr>
      </w:pPr>
      <w:r>
        <w:rPr>
          <w:rFonts w:ascii="Calibri" w:cs="Calibri" w:eastAsia="Calibri" w:hAnsi="Calibri"/>
          <w:sz w:val="18"/>
          <w:szCs w:val="18"/>
          <w:b w:val="1"/>
          <w:bCs w:val="1"/>
          <w:color w:val="auto"/>
        </w:rPr>
        <w:t>C. Goodwill and Intangible Assets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carrying amount of goodwill atributable to each reportable segment and the changes in those balances during the three months ended</w:t>
      </w:r>
    </w:p>
    <w:p>
      <w:pPr>
        <w:spacing w:after="0" w:line="235" w:lineRule="auto"/>
        <w:rPr>
          <w:sz w:val="20"/>
          <w:szCs w:val="20"/>
          <w:color w:val="auto"/>
        </w:rPr>
      </w:pPr>
      <w:r>
        <w:rPr>
          <w:rFonts w:ascii="Calibri" w:cs="Calibri" w:eastAsia="Calibri" w:hAnsi="Calibri"/>
          <w:sz w:val="18"/>
          <w:szCs w:val="18"/>
          <w:color w:val="auto"/>
        </w:rPr>
        <w:t>December 31, 2023 are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alibri" w:cs="Calibri" w:eastAsia="Calibri" w:hAnsi="Calibri"/>
                <w:sz w:val="14"/>
                <w:szCs w:val="14"/>
                <w:b w:val="1"/>
                <w:bCs w:val="1"/>
                <w:color w:val="auto"/>
              </w:rPr>
              <w:t>Reinforcement</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Calibri" w:cs="Calibri" w:eastAsia="Calibri" w:hAnsi="Calibri"/>
                <w:sz w:val="14"/>
                <w:szCs w:val="14"/>
                <w:b w:val="1"/>
                <w:bCs w:val="1"/>
                <w:color w:val="auto"/>
              </w:rPr>
              <w:t>Performance</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6640" w:type="dxa"/>
            <w:vAlign w:val="bottom"/>
          </w:tcPr>
          <w:p>
            <w:pPr>
              <w:spacing w:after="0"/>
              <w:rPr>
                <w:sz w:val="15"/>
                <w:szCs w:val="15"/>
                <w:color w:val="auto"/>
              </w:rPr>
            </w:pPr>
          </w:p>
        </w:tc>
        <w:tc>
          <w:tcPr>
            <w:tcW w:w="1120" w:type="dxa"/>
            <w:vAlign w:val="bottom"/>
          </w:tcPr>
          <w:p>
            <w:pPr>
              <w:jc w:val="right"/>
              <w:ind w:right="99"/>
              <w:spacing w:after="0"/>
              <w:rPr>
                <w:sz w:val="20"/>
                <w:szCs w:val="20"/>
                <w:color w:val="auto"/>
              </w:rPr>
            </w:pPr>
            <w:r>
              <w:rPr>
                <w:rFonts w:ascii="Calibri" w:cs="Calibri" w:eastAsia="Calibri" w:hAnsi="Calibri"/>
                <w:sz w:val="14"/>
                <w:szCs w:val="14"/>
                <w:b w:val="1"/>
                <w:bCs w:val="1"/>
                <w:color w:val="auto"/>
              </w:rPr>
              <w:t>Materials</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259"/>
              <w:spacing w:after="0"/>
              <w:rPr>
                <w:sz w:val="20"/>
                <w:szCs w:val="20"/>
                <w:color w:val="auto"/>
              </w:rPr>
            </w:pPr>
            <w:r>
              <w:rPr>
                <w:rFonts w:ascii="Calibri" w:cs="Calibri" w:eastAsia="Calibri" w:hAnsi="Calibri"/>
                <w:sz w:val="14"/>
                <w:szCs w:val="14"/>
                <w:b w:val="1"/>
                <w:bCs w:val="1"/>
                <w:color w:val="auto"/>
              </w:rPr>
              <w:t>Chemicals</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2"/>
          </w:tcPr>
          <w:p>
            <w:pPr>
              <w:ind w:left="220"/>
              <w:spacing w:after="0"/>
              <w:rPr>
                <w:sz w:val="20"/>
                <w:szCs w:val="20"/>
                <w:color w:val="auto"/>
              </w:rPr>
            </w:pPr>
            <w:r>
              <w:rPr>
                <w:rFonts w:ascii="Calibri" w:cs="Calibri" w:eastAsia="Calibri" w:hAnsi="Calibri"/>
                <w:sz w:val="14"/>
                <w:szCs w:val="14"/>
                <w:b w:val="1"/>
                <w:bCs w:val="1"/>
                <w:color w:val="auto"/>
              </w:rPr>
              <w:t>Total</w:t>
            </w:r>
          </w:p>
        </w:tc>
      </w:tr>
      <w:tr>
        <w:trPr>
          <w:trHeight w:val="33"/>
        </w:trPr>
        <w:tc>
          <w:tcPr>
            <w:tcW w:w="66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6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ind w:left="100"/>
              <w:spacing w:after="0" w:line="164" w:lineRule="exact"/>
              <w:rPr>
                <w:sz w:val="20"/>
                <w:szCs w:val="20"/>
                <w:color w:val="auto"/>
              </w:rPr>
            </w:pPr>
            <w:r>
              <w:rPr>
                <w:rFonts w:ascii="Calibri" w:cs="Calibri" w:eastAsia="Calibri" w:hAnsi="Calibri"/>
                <w:sz w:val="14"/>
                <w:szCs w:val="14"/>
                <w:b w:val="1"/>
                <w:bCs w:val="1"/>
                <w:color w:val="auto"/>
              </w:rPr>
              <w:t>(In millions)</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
        </w:trPr>
        <w:tc>
          <w:tcPr>
            <w:tcW w:w="6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664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Balance at September 30, 2023</w:t>
            </w:r>
          </w:p>
        </w:tc>
        <w:tc>
          <w:tcPr>
            <w:tcW w:w="1120" w:type="dxa"/>
            <w:vAlign w:val="bottom"/>
            <w:tcBorders>
              <w:bottom w:val="single" w:sz="8" w:color="CFF0FC"/>
            </w:tcBorders>
            <w:shd w:val="clear" w:color="auto" w:fill="CFF0FC"/>
          </w:tcPr>
          <w:p>
            <w:pPr>
              <w:jc w:val="right"/>
              <w:ind w:right="939"/>
              <w:spacing w:after="0" w:line="215" w:lineRule="exact"/>
              <w:rPr>
                <w:sz w:val="20"/>
                <w:szCs w:val="20"/>
                <w:color w:val="auto"/>
              </w:rPr>
            </w:pPr>
            <w:r>
              <w:rPr>
                <w:rFonts w:ascii="Calibri" w:cs="Calibri" w:eastAsia="Calibri" w:hAnsi="Calibri"/>
                <w:sz w:val="18"/>
                <w:szCs w:val="18"/>
                <w:color w:val="auto"/>
                <w:w w:val="87"/>
              </w:rPr>
              <w:t>$</w:t>
            </w:r>
          </w:p>
        </w:tc>
        <w:tc>
          <w:tcPr>
            <w:tcW w:w="2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98"/>
              </w:rPr>
              <w:t>51</w:t>
            </w:r>
          </w:p>
        </w:tc>
        <w:tc>
          <w:tcPr>
            <w:tcW w:w="46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83</w:t>
            </w:r>
          </w:p>
        </w:tc>
        <w:tc>
          <w:tcPr>
            <w:tcW w:w="560" w:type="dxa"/>
            <w:vAlign w:val="bottom"/>
            <w:tcBorders>
              <w:bottom w:val="single" w:sz="8" w:color="CFF0FC"/>
            </w:tcBorders>
            <w:gridSpan w:val="2"/>
            <w:shd w:val="clear" w:color="auto" w:fill="CFF0FC"/>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134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0"/>
        </w:trPr>
        <w:tc>
          <w:tcPr>
            <w:tcW w:w="6640" w:type="dxa"/>
            <w:vAlign w:val="bottom"/>
          </w:tcPr>
          <w:p>
            <w:pPr>
              <w:ind w:left="20"/>
              <w:spacing w:after="0"/>
              <w:rPr>
                <w:sz w:val="20"/>
                <w:szCs w:val="20"/>
                <w:color w:val="auto"/>
              </w:rPr>
            </w:pPr>
            <w:r>
              <w:rPr>
                <w:rFonts w:ascii="Calibri" w:cs="Calibri" w:eastAsia="Calibri" w:hAnsi="Calibri"/>
                <w:sz w:val="18"/>
                <w:szCs w:val="18"/>
                <w:color w:val="auto"/>
              </w:rPr>
              <w:t>Foreign currency impact</w:t>
            </w:r>
          </w:p>
        </w:tc>
        <w:tc>
          <w:tcPr>
            <w:tcW w:w="1120" w:type="dxa"/>
            <w:vAlign w:val="bottom"/>
          </w:tcPr>
          <w:p>
            <w:pPr>
              <w:spacing w:after="0"/>
              <w:rPr>
                <w:sz w:val="19"/>
                <w:szCs w:val="19"/>
                <w:color w:val="auto"/>
              </w:rPr>
            </w:pPr>
          </w:p>
        </w:tc>
        <w:tc>
          <w:tcPr>
            <w:tcW w:w="220" w:type="dxa"/>
            <w:vAlign w:val="bottom"/>
          </w:tcPr>
          <w:p>
            <w:pPr>
              <w:jc w:val="right"/>
              <w:spacing w:after="0" w:line="215" w:lineRule="exact"/>
              <w:rPr>
                <w:sz w:val="20"/>
                <w:szCs w:val="20"/>
                <w:color w:val="auto"/>
              </w:rPr>
            </w:pPr>
            <w:r>
              <w:rPr>
                <w:rFonts w:ascii="Calibri" w:cs="Calibri" w:eastAsia="Calibri" w:hAnsi="Calibri"/>
                <w:sz w:val="18"/>
                <w:szCs w:val="18"/>
                <w:color w:val="auto"/>
              </w:rPr>
              <w:t>2</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4</w:t>
            </w:r>
          </w:p>
        </w:tc>
        <w:tc>
          <w:tcPr>
            <w:tcW w:w="100" w:type="dxa"/>
            <w:vAlign w:val="bottom"/>
          </w:tcPr>
          <w:p>
            <w:pPr>
              <w:spacing w:after="0"/>
              <w:rPr>
                <w:sz w:val="19"/>
                <w:szCs w:val="19"/>
                <w:color w:val="auto"/>
              </w:rPr>
            </w:pPr>
          </w:p>
        </w:tc>
      </w:tr>
      <w:tr>
        <w:trPr>
          <w:trHeight w:val="23"/>
        </w:trPr>
        <w:tc>
          <w:tcPr>
            <w:tcW w:w="66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77"/>
        </w:trPr>
        <w:tc>
          <w:tcPr>
            <w:tcW w:w="664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Balance at December 31, 2023</w:t>
            </w:r>
          </w:p>
        </w:tc>
        <w:tc>
          <w:tcPr>
            <w:tcW w:w="1120" w:type="dxa"/>
            <w:vAlign w:val="bottom"/>
            <w:tcBorders>
              <w:bottom w:val="single" w:sz="8" w:color="auto"/>
            </w:tcBorders>
            <w:shd w:val="clear" w:color="auto" w:fill="CFF0FC"/>
          </w:tcPr>
          <w:p>
            <w:pPr>
              <w:jc w:val="right"/>
              <w:ind w:right="939"/>
              <w:spacing w:after="0" w:line="215" w:lineRule="exact"/>
              <w:rPr>
                <w:sz w:val="20"/>
                <w:szCs w:val="20"/>
                <w:color w:val="auto"/>
              </w:rPr>
            </w:pPr>
            <w:r>
              <w:rPr>
                <w:rFonts w:ascii="Calibri" w:cs="Calibri" w:eastAsia="Calibri" w:hAnsi="Calibri"/>
                <w:sz w:val="18"/>
                <w:szCs w:val="18"/>
                <w:color w:val="auto"/>
                <w:w w:val="87"/>
              </w:rPr>
              <w:t>$</w:t>
            </w:r>
          </w:p>
        </w:tc>
        <w:tc>
          <w:tcPr>
            <w:tcW w:w="22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98"/>
              </w:rPr>
              <w:t>53</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85</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138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-24765</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following table provides informaton regarding the Company’s intangible assets: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20" w:type="dxa"/>
            <w:vAlign w:val="bottom"/>
            <w:gridSpan w:val="5"/>
          </w:tcPr>
          <w:p>
            <w:pPr>
              <w:jc w:val="right"/>
              <w:ind w:right="240"/>
              <w:spacing w:after="0"/>
              <w:rPr>
                <w:sz w:val="20"/>
                <w:szCs w:val="20"/>
                <w:color w:val="auto"/>
              </w:rPr>
            </w:pPr>
            <w:r>
              <w:rPr>
                <w:rFonts w:ascii="Calibri" w:cs="Calibri" w:eastAsia="Calibri" w:hAnsi="Calibri"/>
                <w:sz w:val="14"/>
                <w:szCs w:val="14"/>
                <w:b w:val="1"/>
                <w:bCs w:val="1"/>
                <w:color w:val="auto"/>
              </w:rPr>
              <w:t>December 31, 2023</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20" w:type="dxa"/>
            <w:vAlign w:val="bottom"/>
            <w:gridSpan w:val="4"/>
          </w:tcPr>
          <w:p>
            <w:pPr>
              <w:jc w:val="right"/>
              <w:ind w:right="60"/>
              <w:spacing w:after="0"/>
              <w:rPr>
                <w:sz w:val="20"/>
                <w:szCs w:val="20"/>
                <w:color w:val="auto"/>
              </w:rPr>
            </w:pPr>
            <w:r>
              <w:rPr>
                <w:rFonts w:ascii="Calibri" w:cs="Calibri" w:eastAsia="Calibri" w:hAnsi="Calibri"/>
                <w:sz w:val="14"/>
                <w:szCs w:val="14"/>
                <w:b w:val="1"/>
                <w:bCs w:val="1"/>
                <w:color w:val="auto"/>
              </w:rPr>
              <w:t>September 30, 2023</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
        </w:trPr>
        <w:tc>
          <w:tcPr>
            <w:tcW w:w="4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center"/>
              <w:ind w:right="58"/>
              <w:spacing w:after="0" w:line="164" w:lineRule="exact"/>
              <w:rPr>
                <w:sz w:val="20"/>
                <w:szCs w:val="20"/>
                <w:color w:val="auto"/>
              </w:rPr>
            </w:pPr>
            <w:r>
              <w:rPr>
                <w:rFonts w:ascii="Calibri" w:cs="Calibri" w:eastAsia="Calibri" w:hAnsi="Calibri"/>
                <w:sz w:val="14"/>
                <w:szCs w:val="14"/>
                <w:b w:val="1"/>
                <w:bCs w:val="1"/>
                <w:color w:val="auto"/>
                <w:w w:val="98"/>
              </w:rPr>
              <w:t>Gross</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39"/>
              <w:spacing w:after="0" w:line="164" w:lineRule="exact"/>
              <w:rPr>
                <w:sz w:val="20"/>
                <w:szCs w:val="20"/>
                <w:color w:val="auto"/>
              </w:rPr>
            </w:pPr>
            <w:r>
              <w:rPr>
                <w:rFonts w:ascii="Calibri" w:cs="Calibri" w:eastAsia="Calibri" w:hAnsi="Calibri"/>
                <w:sz w:val="14"/>
                <w:szCs w:val="14"/>
                <w:b w:val="1"/>
                <w:bCs w:val="1"/>
                <w:color w:val="auto"/>
              </w:rPr>
              <w:t>Net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center"/>
              <w:ind w:right="98"/>
              <w:spacing w:after="0" w:line="164" w:lineRule="exact"/>
              <w:rPr>
                <w:sz w:val="20"/>
                <w:szCs w:val="20"/>
                <w:color w:val="auto"/>
              </w:rPr>
            </w:pPr>
            <w:r>
              <w:rPr>
                <w:rFonts w:ascii="Calibri" w:cs="Calibri" w:eastAsia="Calibri" w:hAnsi="Calibri"/>
                <w:sz w:val="14"/>
                <w:szCs w:val="14"/>
                <w:b w:val="1"/>
                <w:bCs w:val="1"/>
                <w:color w:val="auto"/>
              </w:rPr>
              <w:t>Gross</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58"/>
              <w:spacing w:after="0" w:line="164" w:lineRule="exact"/>
              <w:rPr>
                <w:sz w:val="20"/>
                <w:szCs w:val="20"/>
                <w:color w:val="auto"/>
              </w:rPr>
            </w:pPr>
            <w:r>
              <w:rPr>
                <w:rFonts w:ascii="Calibri" w:cs="Calibri" w:eastAsia="Calibri" w:hAnsi="Calibri"/>
                <w:sz w:val="14"/>
                <w:szCs w:val="14"/>
                <w:b w:val="1"/>
                <w:bCs w:val="1"/>
                <w:color w:val="auto"/>
              </w:rPr>
              <w:t>Net</w:t>
            </w:r>
          </w:p>
        </w:tc>
        <w:tc>
          <w:tcPr>
            <w:tcW w:w="100" w:type="dxa"/>
            <w:vAlign w:val="bottom"/>
          </w:tcPr>
          <w:p>
            <w:pPr>
              <w:spacing w:after="0"/>
              <w:rPr>
                <w:sz w:val="14"/>
                <w:szCs w:val="14"/>
                <w:color w:val="auto"/>
              </w:rPr>
            </w:pPr>
          </w:p>
        </w:tc>
      </w:tr>
      <w:tr>
        <w:trPr>
          <w:trHeight w:val="175"/>
        </w:trPr>
        <w:tc>
          <w:tcPr>
            <w:tcW w:w="4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center"/>
              <w:ind w:right="78"/>
              <w:spacing w:after="0"/>
              <w:rPr>
                <w:sz w:val="20"/>
                <w:szCs w:val="20"/>
                <w:color w:val="auto"/>
              </w:rPr>
            </w:pPr>
            <w:r>
              <w:rPr>
                <w:rFonts w:ascii="Calibri" w:cs="Calibri" w:eastAsia="Calibri" w:hAnsi="Calibri"/>
                <w:sz w:val="14"/>
                <w:szCs w:val="14"/>
                <w:b w:val="1"/>
                <w:bCs w:val="1"/>
                <w:color w:val="auto"/>
              </w:rPr>
              <w:t>Carrying</w:t>
            </w:r>
          </w:p>
        </w:tc>
        <w:tc>
          <w:tcPr>
            <w:tcW w:w="260" w:type="dxa"/>
            <w:vAlign w:val="bottom"/>
          </w:tcPr>
          <w:p>
            <w:pPr>
              <w:spacing w:after="0"/>
              <w:rPr>
                <w:sz w:val="15"/>
                <w:szCs w:val="15"/>
                <w:color w:val="auto"/>
              </w:rPr>
            </w:pPr>
          </w:p>
        </w:tc>
        <w:tc>
          <w:tcPr>
            <w:tcW w:w="1260" w:type="dxa"/>
            <w:vAlign w:val="bottom"/>
            <w:gridSpan w:val="4"/>
          </w:tcPr>
          <w:p>
            <w:pPr>
              <w:jc w:val="right"/>
              <w:ind w:right="420"/>
              <w:spacing w:after="0"/>
              <w:rPr>
                <w:sz w:val="20"/>
                <w:szCs w:val="20"/>
                <w:color w:val="auto"/>
              </w:rPr>
            </w:pPr>
            <w:r>
              <w:rPr>
                <w:rFonts w:ascii="Calibri" w:cs="Calibri" w:eastAsia="Calibri" w:hAnsi="Calibri"/>
                <w:sz w:val="14"/>
                <w:szCs w:val="14"/>
                <w:b w:val="1"/>
                <w:bCs w:val="1"/>
                <w:color w:val="auto"/>
              </w:rPr>
              <w:t>Accumulated</w:t>
            </w:r>
          </w:p>
        </w:tc>
        <w:tc>
          <w:tcPr>
            <w:tcW w:w="780" w:type="dxa"/>
            <w:vAlign w:val="bottom"/>
          </w:tcPr>
          <w:p>
            <w:pPr>
              <w:jc w:val="center"/>
              <w:ind w:right="59"/>
              <w:spacing w:after="0"/>
              <w:rPr>
                <w:sz w:val="20"/>
                <w:szCs w:val="20"/>
                <w:color w:val="auto"/>
              </w:rPr>
            </w:pPr>
            <w:r>
              <w:rPr>
                <w:rFonts w:ascii="Calibri" w:cs="Calibri" w:eastAsia="Calibri" w:hAnsi="Calibri"/>
                <w:sz w:val="14"/>
                <w:szCs w:val="14"/>
                <w:b w:val="1"/>
                <w:bCs w:val="1"/>
                <w:color w:val="auto"/>
              </w:rPr>
              <w:t>Intangible</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center"/>
              <w:ind w:right="98"/>
              <w:spacing w:after="0"/>
              <w:rPr>
                <w:sz w:val="20"/>
                <w:szCs w:val="20"/>
                <w:color w:val="auto"/>
              </w:rPr>
            </w:pPr>
            <w:r>
              <w:rPr>
                <w:rFonts w:ascii="Calibri" w:cs="Calibri" w:eastAsia="Calibri" w:hAnsi="Calibri"/>
                <w:sz w:val="14"/>
                <w:szCs w:val="14"/>
                <w:b w:val="1"/>
                <w:bCs w:val="1"/>
                <w:color w:val="auto"/>
              </w:rPr>
              <w:t>Carrying</w:t>
            </w:r>
          </w:p>
        </w:tc>
        <w:tc>
          <w:tcPr>
            <w:tcW w:w="220" w:type="dxa"/>
            <w:vAlign w:val="bottom"/>
          </w:tcPr>
          <w:p>
            <w:pPr>
              <w:spacing w:after="0"/>
              <w:rPr>
                <w:sz w:val="15"/>
                <w:szCs w:val="15"/>
                <w:color w:val="auto"/>
              </w:rPr>
            </w:pPr>
          </w:p>
        </w:tc>
        <w:tc>
          <w:tcPr>
            <w:tcW w:w="1100" w:type="dxa"/>
            <w:vAlign w:val="bottom"/>
            <w:gridSpan w:val="3"/>
          </w:tcPr>
          <w:p>
            <w:pPr>
              <w:jc w:val="right"/>
              <w:ind w:right="260"/>
              <w:spacing w:after="0"/>
              <w:rPr>
                <w:sz w:val="20"/>
                <w:szCs w:val="20"/>
                <w:color w:val="auto"/>
              </w:rPr>
            </w:pPr>
            <w:r>
              <w:rPr>
                <w:rFonts w:ascii="Calibri" w:cs="Calibri" w:eastAsia="Calibri" w:hAnsi="Calibri"/>
                <w:sz w:val="14"/>
                <w:szCs w:val="14"/>
                <w:b w:val="1"/>
                <w:bCs w:val="1"/>
                <w:color w:val="auto"/>
              </w:rPr>
              <w:t>Accumulated</w:t>
            </w:r>
          </w:p>
        </w:tc>
        <w:tc>
          <w:tcPr>
            <w:tcW w:w="12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Calibri" w:cs="Calibri" w:eastAsia="Calibri" w:hAnsi="Calibri"/>
                <w:sz w:val="14"/>
                <w:szCs w:val="14"/>
                <w:b w:val="1"/>
                <w:bCs w:val="1"/>
                <w:color w:val="auto"/>
              </w:rPr>
              <w:t>Intangible</w:t>
            </w:r>
          </w:p>
        </w:tc>
      </w:tr>
      <w:tr>
        <w:trPr>
          <w:trHeight w:val="175"/>
        </w:trPr>
        <w:tc>
          <w:tcPr>
            <w:tcW w:w="4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center"/>
              <w:ind w:right="58"/>
              <w:spacing w:after="0"/>
              <w:rPr>
                <w:sz w:val="20"/>
                <w:szCs w:val="20"/>
                <w:color w:val="auto"/>
              </w:rPr>
            </w:pPr>
            <w:r>
              <w:rPr>
                <w:rFonts w:ascii="Calibri" w:cs="Calibri" w:eastAsia="Calibri" w:hAnsi="Calibri"/>
                <w:sz w:val="14"/>
                <w:szCs w:val="14"/>
                <w:b w:val="1"/>
                <w:bCs w:val="1"/>
                <w:color w:val="auto"/>
                <w:w w:val="96"/>
              </w:rPr>
              <w:t>Value</w:t>
            </w:r>
          </w:p>
        </w:tc>
        <w:tc>
          <w:tcPr>
            <w:tcW w:w="260" w:type="dxa"/>
            <w:vAlign w:val="bottom"/>
          </w:tcPr>
          <w:p>
            <w:pPr>
              <w:spacing w:after="0"/>
              <w:rPr>
                <w:sz w:val="15"/>
                <w:szCs w:val="15"/>
                <w:color w:val="auto"/>
              </w:rPr>
            </w:pPr>
          </w:p>
        </w:tc>
        <w:tc>
          <w:tcPr>
            <w:tcW w:w="1260" w:type="dxa"/>
            <w:vAlign w:val="bottom"/>
            <w:gridSpan w:val="4"/>
          </w:tcPr>
          <w:p>
            <w:pPr>
              <w:jc w:val="right"/>
              <w:ind w:right="420"/>
              <w:spacing w:after="0"/>
              <w:rPr>
                <w:sz w:val="20"/>
                <w:szCs w:val="20"/>
                <w:color w:val="auto"/>
              </w:rPr>
            </w:pPr>
            <w:r>
              <w:rPr>
                <w:rFonts w:ascii="Calibri" w:cs="Calibri" w:eastAsia="Calibri" w:hAnsi="Calibri"/>
                <w:sz w:val="14"/>
                <w:szCs w:val="14"/>
                <w:b w:val="1"/>
                <w:bCs w:val="1"/>
                <w:color w:val="auto"/>
              </w:rPr>
              <w:t>Amortzaton</w:t>
            </w:r>
          </w:p>
        </w:tc>
        <w:tc>
          <w:tcPr>
            <w:tcW w:w="780" w:type="dxa"/>
            <w:vAlign w:val="bottom"/>
          </w:tcPr>
          <w:p>
            <w:pPr>
              <w:jc w:val="center"/>
              <w:ind w:right="39"/>
              <w:spacing w:after="0"/>
              <w:rPr>
                <w:sz w:val="20"/>
                <w:szCs w:val="20"/>
                <w:color w:val="auto"/>
              </w:rPr>
            </w:pPr>
            <w:r>
              <w:rPr>
                <w:rFonts w:ascii="Calibri" w:cs="Calibri" w:eastAsia="Calibri" w:hAnsi="Calibri"/>
                <w:sz w:val="14"/>
                <w:szCs w:val="14"/>
                <w:b w:val="1"/>
                <w:bCs w:val="1"/>
                <w:color w:val="auto"/>
              </w:rPr>
              <w:t>Assets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center"/>
              <w:ind w:right="98"/>
              <w:spacing w:after="0"/>
              <w:rPr>
                <w:sz w:val="20"/>
                <w:szCs w:val="20"/>
                <w:color w:val="auto"/>
              </w:rPr>
            </w:pPr>
            <w:r>
              <w:rPr>
                <w:rFonts w:ascii="Calibri" w:cs="Calibri" w:eastAsia="Calibri" w:hAnsi="Calibri"/>
                <w:sz w:val="14"/>
                <w:szCs w:val="14"/>
                <w:b w:val="1"/>
                <w:bCs w:val="1"/>
                <w:color w:val="auto"/>
              </w:rPr>
              <w:t>Value</w:t>
            </w:r>
          </w:p>
        </w:tc>
        <w:tc>
          <w:tcPr>
            <w:tcW w:w="220" w:type="dxa"/>
            <w:vAlign w:val="bottom"/>
          </w:tcPr>
          <w:p>
            <w:pPr>
              <w:spacing w:after="0"/>
              <w:rPr>
                <w:sz w:val="15"/>
                <w:szCs w:val="15"/>
                <w:color w:val="auto"/>
              </w:rPr>
            </w:pPr>
          </w:p>
        </w:tc>
        <w:tc>
          <w:tcPr>
            <w:tcW w:w="1100" w:type="dxa"/>
            <w:vAlign w:val="bottom"/>
            <w:gridSpan w:val="3"/>
          </w:tcPr>
          <w:p>
            <w:pPr>
              <w:jc w:val="right"/>
              <w:ind w:right="260"/>
              <w:spacing w:after="0"/>
              <w:rPr>
                <w:sz w:val="20"/>
                <w:szCs w:val="20"/>
                <w:color w:val="auto"/>
              </w:rPr>
            </w:pPr>
            <w:r>
              <w:rPr>
                <w:rFonts w:ascii="Calibri" w:cs="Calibri" w:eastAsia="Calibri" w:hAnsi="Calibri"/>
                <w:sz w:val="14"/>
                <w:szCs w:val="14"/>
                <w:b w:val="1"/>
                <w:bCs w:val="1"/>
                <w:color w:val="auto"/>
              </w:rPr>
              <w:t>Amortzaton</w:t>
            </w:r>
          </w:p>
        </w:tc>
        <w:tc>
          <w:tcPr>
            <w:tcW w:w="12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Calibri" w:cs="Calibri" w:eastAsia="Calibri" w:hAnsi="Calibri"/>
                <w:sz w:val="14"/>
                <w:szCs w:val="14"/>
                <w:b w:val="1"/>
                <w:bCs w:val="1"/>
                <w:color w:val="auto"/>
              </w:rPr>
              <w:t>Assets</w:t>
            </w:r>
          </w:p>
        </w:tc>
      </w:tr>
      <w:tr>
        <w:trPr>
          <w:trHeight w:val="33"/>
        </w:trPr>
        <w:tc>
          <w:tcPr>
            <w:tcW w:w="4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79"/>
              <w:spacing w:after="0" w:line="164" w:lineRule="exact"/>
              <w:rPr>
                <w:sz w:val="20"/>
                <w:szCs w:val="20"/>
                <w:color w:val="auto"/>
              </w:rPr>
            </w:pPr>
            <w:r>
              <w:rPr>
                <w:rFonts w:ascii="Calibri" w:cs="Calibri" w:eastAsia="Calibri" w:hAnsi="Calibri"/>
                <w:sz w:val="14"/>
                <w:szCs w:val="14"/>
                <w:b w:val="1"/>
                <w:bCs w:val="1"/>
                <w:color w:val="auto"/>
              </w:rPr>
              <w:t>(In</w:t>
            </w:r>
          </w:p>
        </w:tc>
        <w:tc>
          <w:tcPr>
            <w:tcW w:w="400" w:type="dxa"/>
            <w:vAlign w:val="bottom"/>
            <w:gridSpan w:val="2"/>
          </w:tcPr>
          <w:p>
            <w:pPr>
              <w:jc w:val="right"/>
              <w:spacing w:after="0" w:line="164" w:lineRule="exact"/>
              <w:rPr>
                <w:sz w:val="20"/>
                <w:szCs w:val="20"/>
                <w:color w:val="auto"/>
              </w:rPr>
            </w:pPr>
            <w:r>
              <w:rPr>
                <w:rFonts w:ascii="Calibri" w:cs="Calibri" w:eastAsia="Calibri" w:hAnsi="Calibri"/>
                <w:sz w:val="14"/>
                <w:szCs w:val="14"/>
                <w:b w:val="1"/>
                <w:bCs w:val="1"/>
                <w:color w:val="auto"/>
                <w:w w:val="75"/>
              </w:rPr>
              <w:t>millions)</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
        </w:trPr>
        <w:tc>
          <w:tcPr>
            <w:tcW w:w="4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466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Intangible assets with fnite lives</w:t>
            </w:r>
          </w:p>
        </w:tc>
        <w:tc>
          <w:tcPr>
            <w:tcW w:w="16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4660" w:type="dxa"/>
            <w:vAlign w:val="bottom"/>
          </w:tcPr>
          <w:p>
            <w:pPr>
              <w:ind w:left="200"/>
              <w:spacing w:after="0" w:line="215" w:lineRule="exact"/>
              <w:rPr>
                <w:sz w:val="20"/>
                <w:szCs w:val="20"/>
                <w:color w:val="auto"/>
              </w:rPr>
            </w:pPr>
            <w:r>
              <w:rPr>
                <w:rFonts w:ascii="Calibri" w:cs="Calibri" w:eastAsia="Calibri" w:hAnsi="Calibri"/>
                <w:sz w:val="18"/>
                <w:szCs w:val="18"/>
                <w:color w:val="auto"/>
              </w:rPr>
              <w:t>Developed technologies</w:t>
            </w:r>
          </w:p>
        </w:tc>
        <w:tc>
          <w:tcPr>
            <w:tcW w:w="1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740" w:type="dxa"/>
            <w:vAlign w:val="bottom"/>
          </w:tcPr>
          <w:p>
            <w:pPr>
              <w:jc w:val="right"/>
              <w:spacing w:after="0" w:line="215" w:lineRule="exact"/>
              <w:rPr>
                <w:sz w:val="20"/>
                <w:szCs w:val="20"/>
                <w:color w:val="auto"/>
              </w:rPr>
            </w:pPr>
            <w:r>
              <w:rPr>
                <w:rFonts w:ascii="Calibri" w:cs="Calibri" w:eastAsia="Calibri" w:hAnsi="Calibri"/>
                <w:sz w:val="18"/>
                <w:szCs w:val="18"/>
                <w:color w:val="auto"/>
              </w:rPr>
              <w:t>35</w:t>
            </w:r>
          </w:p>
        </w:tc>
        <w:tc>
          <w:tcPr>
            <w:tcW w:w="640" w:type="dxa"/>
            <w:vAlign w:val="bottom"/>
            <w:gridSpan w:val="2"/>
          </w:tcPr>
          <w:p>
            <w:pPr>
              <w:jc w:val="right"/>
              <w:ind w:right="202"/>
              <w:spacing w:after="0" w:line="215" w:lineRule="exact"/>
              <w:rPr>
                <w:sz w:val="20"/>
                <w:szCs w:val="20"/>
                <w:color w:val="auto"/>
              </w:rPr>
            </w:pPr>
            <w:r>
              <w:rPr>
                <w:rFonts w:ascii="Calibri" w:cs="Calibri" w:eastAsia="Calibri" w:hAnsi="Calibri"/>
                <w:sz w:val="18"/>
                <w:szCs w:val="18"/>
                <w:color w:val="auto"/>
              </w:rPr>
              <w:t>$</w:t>
            </w:r>
          </w:p>
        </w:tc>
        <w:tc>
          <w:tcPr>
            <w:tcW w:w="76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(11 )</w:t>
            </w:r>
          </w:p>
        </w:tc>
        <w:tc>
          <w:tcPr>
            <w:tcW w:w="120" w:type="dxa"/>
            <w:vAlign w:val="bottom"/>
          </w:tcPr>
          <w:p>
            <w:pPr>
              <w:spacing w:after="0"/>
              <w:rPr>
                <w:sz w:val="18"/>
                <w:szCs w:val="18"/>
                <w:color w:val="auto"/>
              </w:rPr>
            </w:pP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24</w:t>
            </w:r>
          </w:p>
        </w:tc>
        <w:tc>
          <w:tcPr>
            <w:tcW w:w="40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w:t>
            </w:r>
          </w:p>
        </w:tc>
        <w:tc>
          <w:tcPr>
            <w:tcW w:w="680" w:type="dxa"/>
            <w:vAlign w:val="bottom"/>
          </w:tcPr>
          <w:p>
            <w:pPr>
              <w:jc w:val="right"/>
              <w:spacing w:after="0" w:line="215" w:lineRule="exact"/>
              <w:rPr>
                <w:sz w:val="20"/>
                <w:szCs w:val="20"/>
                <w:color w:val="auto"/>
              </w:rPr>
            </w:pPr>
            <w:r>
              <w:rPr>
                <w:rFonts w:ascii="Calibri" w:cs="Calibri" w:eastAsia="Calibri" w:hAnsi="Calibri"/>
                <w:sz w:val="18"/>
                <w:szCs w:val="18"/>
                <w:color w:val="auto"/>
              </w:rPr>
              <w:t>34</w:t>
            </w:r>
          </w:p>
        </w:tc>
        <w:tc>
          <w:tcPr>
            <w:tcW w:w="580" w:type="dxa"/>
            <w:vAlign w:val="bottom"/>
            <w:gridSpan w:val="2"/>
          </w:tcPr>
          <w:p>
            <w:pPr>
              <w:jc w:val="right"/>
              <w:ind w:right="188"/>
              <w:spacing w:after="0" w:line="215" w:lineRule="exact"/>
              <w:rPr>
                <w:sz w:val="20"/>
                <w:szCs w:val="20"/>
                <w:color w:val="auto"/>
              </w:rPr>
            </w:pPr>
            <w:r>
              <w:rPr>
                <w:rFonts w:ascii="Calibri" w:cs="Calibri" w:eastAsia="Calibri" w:hAnsi="Calibri"/>
                <w:sz w:val="18"/>
                <w:szCs w:val="18"/>
                <w:color w:val="auto"/>
              </w:rPr>
              <w:t>$</w:t>
            </w:r>
          </w:p>
        </w:tc>
        <w:tc>
          <w:tcPr>
            <w:tcW w:w="74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(10 )</w:t>
            </w:r>
          </w:p>
        </w:tc>
        <w:tc>
          <w:tcPr>
            <w:tcW w:w="12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24</w:t>
            </w:r>
          </w:p>
        </w:tc>
        <w:tc>
          <w:tcPr>
            <w:tcW w:w="100" w:type="dxa"/>
            <w:vAlign w:val="bottom"/>
          </w:tcPr>
          <w:p>
            <w:pPr>
              <w:spacing w:after="0"/>
              <w:rPr>
                <w:sz w:val="18"/>
                <w:szCs w:val="18"/>
                <w:color w:val="auto"/>
              </w:rPr>
            </w:pPr>
          </w:p>
        </w:tc>
      </w:tr>
      <w:tr>
        <w:trPr>
          <w:trHeight w:val="28"/>
        </w:trPr>
        <w:tc>
          <w:tcPr>
            <w:tcW w:w="4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466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Trademarks</w:t>
            </w:r>
          </w:p>
        </w:tc>
        <w:tc>
          <w:tcPr>
            <w:tcW w:w="16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2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gridSpan w:val="2"/>
            <w:shd w:val="clear" w:color="auto" w:fill="CFF0FC"/>
          </w:tcPr>
          <w:p>
            <w:pPr>
              <w:jc w:val="right"/>
              <w:ind w:right="180"/>
              <w:spacing w:after="0" w:line="215" w:lineRule="exact"/>
              <w:rPr>
                <w:sz w:val="20"/>
                <w:szCs w:val="20"/>
                <w:color w:val="auto"/>
              </w:rPr>
            </w:pPr>
            <w:r>
              <w:rPr>
                <w:rFonts w:ascii="Calibri" w:cs="Calibri" w:eastAsia="Calibri" w:hAnsi="Calibri"/>
                <w:sz w:val="18"/>
                <w:szCs w:val="18"/>
                <w:color w:val="auto"/>
              </w:rPr>
              <w:t>(1 )</w:t>
            </w:r>
          </w:p>
        </w:tc>
        <w:tc>
          <w:tcPr>
            <w:tcW w:w="12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2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gridSpan w:val="2"/>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(1 )</w:t>
            </w:r>
          </w:p>
        </w:tc>
        <w:tc>
          <w:tcPr>
            <w:tcW w:w="1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0"/>
        </w:trPr>
        <w:tc>
          <w:tcPr>
            <w:tcW w:w="4660" w:type="dxa"/>
            <w:vAlign w:val="bottom"/>
          </w:tcPr>
          <w:p>
            <w:pPr>
              <w:ind w:left="200"/>
              <w:spacing w:after="0"/>
              <w:rPr>
                <w:sz w:val="20"/>
                <w:szCs w:val="20"/>
                <w:color w:val="auto"/>
              </w:rPr>
            </w:pPr>
            <w:r>
              <w:rPr>
                <w:rFonts w:ascii="Calibri" w:cs="Calibri" w:eastAsia="Calibri" w:hAnsi="Calibri"/>
                <w:sz w:val="18"/>
                <w:szCs w:val="18"/>
                <w:color w:val="auto"/>
              </w:rPr>
              <w:t>Customer relatonships</w:t>
            </w:r>
          </w:p>
        </w:tc>
        <w:tc>
          <w:tcPr>
            <w:tcW w:w="160" w:type="dxa"/>
            <w:vAlign w:val="bottom"/>
          </w:tcPr>
          <w:p>
            <w:pPr>
              <w:spacing w:after="0"/>
              <w:rPr>
                <w:sz w:val="19"/>
                <w:szCs w:val="19"/>
                <w:color w:val="auto"/>
              </w:rPr>
            </w:pPr>
          </w:p>
        </w:tc>
        <w:tc>
          <w:tcPr>
            <w:tcW w:w="740" w:type="dxa"/>
            <w:vAlign w:val="bottom"/>
          </w:tcPr>
          <w:p>
            <w:pPr>
              <w:jc w:val="right"/>
              <w:spacing w:after="0" w:line="215" w:lineRule="exact"/>
              <w:rPr>
                <w:sz w:val="20"/>
                <w:szCs w:val="20"/>
                <w:color w:val="auto"/>
              </w:rPr>
            </w:pPr>
            <w:r>
              <w:rPr>
                <w:rFonts w:ascii="Calibri" w:cs="Calibri" w:eastAsia="Calibri" w:hAnsi="Calibri"/>
                <w:sz w:val="18"/>
                <w:szCs w:val="18"/>
                <w:color w:val="auto"/>
              </w:rPr>
              <w:t>67</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(31 )</w:t>
            </w:r>
          </w:p>
        </w:tc>
        <w:tc>
          <w:tcPr>
            <w:tcW w:w="120" w:type="dxa"/>
            <w:vAlign w:val="bottom"/>
          </w:tcPr>
          <w:p>
            <w:pPr>
              <w:spacing w:after="0"/>
              <w:rPr>
                <w:sz w:val="19"/>
                <w:szCs w:val="19"/>
                <w:color w:val="auto"/>
              </w:rPr>
            </w:pP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36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line="215" w:lineRule="exact"/>
              <w:rPr>
                <w:sz w:val="20"/>
                <w:szCs w:val="20"/>
                <w:color w:val="auto"/>
              </w:rPr>
            </w:pPr>
            <w:r>
              <w:rPr>
                <w:rFonts w:ascii="Calibri" w:cs="Calibri" w:eastAsia="Calibri" w:hAnsi="Calibri"/>
                <w:sz w:val="18"/>
                <w:szCs w:val="18"/>
                <w:color w:val="auto"/>
              </w:rPr>
              <w:t>65</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(30 )</w:t>
            </w:r>
          </w:p>
        </w:tc>
        <w:tc>
          <w:tcPr>
            <w:tcW w:w="120" w:type="dxa"/>
            <w:vAlign w:val="bottom"/>
          </w:tcPr>
          <w:p>
            <w:pPr>
              <w:spacing w:after="0"/>
              <w:rPr>
                <w:sz w:val="19"/>
                <w:szCs w:val="19"/>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35</w:t>
            </w:r>
          </w:p>
        </w:tc>
        <w:tc>
          <w:tcPr>
            <w:tcW w:w="100" w:type="dxa"/>
            <w:vAlign w:val="bottom"/>
          </w:tcPr>
          <w:p>
            <w:pPr>
              <w:spacing w:after="0"/>
              <w:rPr>
                <w:sz w:val="19"/>
                <w:szCs w:val="19"/>
                <w:color w:val="auto"/>
              </w:rPr>
            </w:pPr>
          </w:p>
        </w:tc>
      </w:tr>
      <w:tr>
        <w:trPr>
          <w:trHeight w:val="23"/>
        </w:trPr>
        <w:tc>
          <w:tcPr>
            <w:tcW w:w="4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56"/>
        </w:trPr>
        <w:tc>
          <w:tcPr>
            <w:tcW w:w="4660" w:type="dxa"/>
            <w:vAlign w:val="bottom"/>
            <w:shd w:val="clear" w:color="auto" w:fill="CFF0FC"/>
          </w:tcPr>
          <w:p>
            <w:pPr>
              <w:ind w:left="20"/>
              <w:spacing w:after="0"/>
              <w:rPr>
                <w:sz w:val="20"/>
                <w:szCs w:val="20"/>
                <w:color w:val="auto"/>
              </w:rPr>
            </w:pPr>
            <w:r>
              <w:rPr>
                <w:rFonts w:ascii="Calibri" w:cs="Calibri" w:eastAsia="Calibri" w:hAnsi="Calibri"/>
                <w:sz w:val="18"/>
                <w:szCs w:val="18"/>
                <w:color w:val="auto"/>
              </w:rPr>
              <w:t>Total intangible assets</w:t>
            </w:r>
          </w:p>
        </w:tc>
        <w:tc>
          <w:tcPr>
            <w:tcW w:w="1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7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104</w:t>
            </w:r>
          </w:p>
        </w:tc>
        <w:tc>
          <w:tcPr>
            <w:tcW w:w="260" w:type="dxa"/>
            <w:vAlign w:val="bottom"/>
            <w:shd w:val="clear" w:color="auto" w:fill="CFF0FC"/>
          </w:tcPr>
          <w:p>
            <w:pPr>
              <w:spacing w:after="0"/>
              <w:rPr>
                <w:sz w:val="22"/>
                <w:szCs w:val="22"/>
                <w:color w:val="auto"/>
              </w:rPr>
            </w:pPr>
          </w:p>
        </w:tc>
        <w:tc>
          <w:tcPr>
            <w:tcW w:w="380" w:type="dxa"/>
            <w:vAlign w:val="bottom"/>
            <w:shd w:val="clear" w:color="auto" w:fill="CFF0FC"/>
          </w:tcPr>
          <w:p>
            <w:pPr>
              <w:jc w:val="right"/>
              <w:ind w:right="202"/>
              <w:spacing w:after="0" w:line="215" w:lineRule="exact"/>
              <w:rPr>
                <w:sz w:val="20"/>
                <w:szCs w:val="20"/>
                <w:color w:val="auto"/>
              </w:rPr>
            </w:pPr>
            <w:r>
              <w:rPr>
                <w:rFonts w:ascii="Calibri" w:cs="Calibri" w:eastAsia="Calibri" w:hAnsi="Calibri"/>
                <w:sz w:val="18"/>
                <w:szCs w:val="18"/>
                <w:color w:val="auto"/>
                <w:w w:val="87"/>
              </w:rPr>
              <w:t>$</w:t>
            </w:r>
          </w:p>
        </w:tc>
        <w:tc>
          <w:tcPr>
            <w:tcW w:w="880" w:type="dxa"/>
            <w:vAlign w:val="bottom"/>
            <w:gridSpan w:val="3"/>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(43 )  $</w:t>
            </w:r>
          </w:p>
        </w:tc>
        <w:tc>
          <w:tcPr>
            <w:tcW w:w="7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61</w:t>
            </w:r>
          </w:p>
        </w:tc>
        <w:tc>
          <w:tcPr>
            <w:tcW w:w="400" w:type="dxa"/>
            <w:vAlign w:val="bottom"/>
            <w:gridSpan w:val="2"/>
            <w:shd w:val="clear" w:color="auto" w:fill="CFF0FC"/>
          </w:tcPr>
          <w:p>
            <w:pPr>
              <w:jc w:val="right"/>
              <w:ind w:right="80"/>
              <w:spacing w:after="0" w:line="215" w:lineRule="exact"/>
              <w:rPr>
                <w:sz w:val="20"/>
                <w:szCs w:val="20"/>
                <w:color w:val="auto"/>
              </w:rPr>
            </w:pPr>
            <w:r>
              <w:rPr>
                <w:rFonts w:ascii="Calibri" w:cs="Calibri" w:eastAsia="Calibri" w:hAnsi="Calibri"/>
                <w:sz w:val="18"/>
                <w:szCs w:val="18"/>
                <w:color w:val="auto"/>
              </w:rPr>
              <w:t>$</w:t>
            </w:r>
          </w:p>
        </w:tc>
        <w:tc>
          <w:tcPr>
            <w:tcW w:w="6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101</w:t>
            </w:r>
          </w:p>
        </w:tc>
        <w:tc>
          <w:tcPr>
            <w:tcW w:w="580" w:type="dxa"/>
            <w:vAlign w:val="bottom"/>
            <w:gridSpan w:val="2"/>
            <w:shd w:val="clear" w:color="auto" w:fill="CFF0FC"/>
          </w:tcPr>
          <w:p>
            <w:pPr>
              <w:jc w:val="right"/>
              <w:ind w:right="188"/>
              <w:spacing w:after="0" w:line="215" w:lineRule="exact"/>
              <w:rPr>
                <w:sz w:val="20"/>
                <w:szCs w:val="20"/>
                <w:color w:val="auto"/>
              </w:rPr>
            </w:pPr>
            <w:r>
              <w:rPr>
                <w:rFonts w:ascii="Calibri" w:cs="Calibri" w:eastAsia="Calibri" w:hAnsi="Calibri"/>
                <w:sz w:val="18"/>
                <w:szCs w:val="18"/>
                <w:color w:val="auto"/>
              </w:rPr>
              <w:t>$</w:t>
            </w:r>
          </w:p>
        </w:tc>
        <w:tc>
          <w:tcPr>
            <w:tcW w:w="740" w:type="dxa"/>
            <w:vAlign w:val="bottom"/>
            <w:gridSpan w:val="2"/>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(41 )</w:t>
            </w:r>
          </w:p>
        </w:tc>
        <w:tc>
          <w:tcPr>
            <w:tcW w:w="1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7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60</w:t>
            </w:r>
          </w:p>
        </w:tc>
        <w:tc>
          <w:tcPr>
            <w:tcW w:w="100" w:type="dxa"/>
            <w:vAlign w:val="bottom"/>
            <w:shd w:val="clear" w:color="auto" w:fill="CFF0FC"/>
          </w:tcPr>
          <w:p>
            <w:pPr>
              <w:spacing w:after="0"/>
              <w:rPr>
                <w:sz w:val="22"/>
                <w:szCs w:val="22"/>
                <w:color w:val="auto"/>
              </w:rPr>
            </w:pPr>
          </w:p>
        </w:tc>
      </w:tr>
      <w:tr>
        <w:trPr>
          <w:trHeight w:val="20"/>
        </w:trPr>
        <w:tc>
          <w:tcPr>
            <w:tcW w:w="46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-25400</wp:posOffset>
            </wp:positionV>
            <wp:extent cx="7747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-7620</wp:posOffset>
            </wp:positionV>
            <wp:extent cx="774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-25400</wp:posOffset>
            </wp:positionV>
            <wp:extent cx="7683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-7620</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-25400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-7620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-25400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7"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Intangible assets are amortzed over their estmated useful lives, which range between ten and twenty-fve years, with a weighted average amortzaton period of approximately seventeen years. Amortzaton expense was $1 million for both the three months ended December 31, 2023 and 2022. Amortzaton expense is included in Cost of sales, Selling and administratve expenses and Research and technical expenses in the Consolidated Statements of Operatons. Total amortzaton expense is estmated to be approximately $6 million each year for the next fve fscal years.</w:t>
      </w:r>
    </w:p>
    <w:p>
      <w:pPr>
        <w:spacing w:after="0" w:line="8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D. Accumulated Other Comprehensive Income (Loss) (“AOCI”)</w:t>
      </w:r>
    </w:p>
    <w:p>
      <w:pPr>
        <w:spacing w:after="0" w:line="82" w:lineRule="exact"/>
        <w:rPr>
          <w:sz w:val="20"/>
          <w:szCs w:val="20"/>
          <w:color w:val="auto"/>
        </w:rPr>
      </w:pPr>
    </w:p>
    <w:p>
      <w:pPr>
        <w:ind w:right="460" w:firstLine="509"/>
        <w:spacing w:after="0" w:line="235" w:lineRule="auto"/>
        <w:rPr>
          <w:sz w:val="20"/>
          <w:szCs w:val="20"/>
          <w:color w:val="auto"/>
        </w:rPr>
      </w:pPr>
      <w:r>
        <w:rPr>
          <w:rFonts w:ascii="Calibri" w:cs="Calibri" w:eastAsia="Calibri" w:hAnsi="Calibri"/>
          <w:sz w:val="18"/>
          <w:szCs w:val="18"/>
          <w:color w:val="auto"/>
        </w:rPr>
        <w:t>Comprehensive income combines net income (loss) and other comprehensive income items, which are reported as components of stockholders’ equity in the accompanying Consolidated Balance Sheets.</w:t>
      </w:r>
    </w:p>
    <w:p>
      <w:pPr>
        <w:spacing w:after="0" w:line="78"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Changes in each component of AOCI, net of tax,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3"/>
          </w:tcPr>
          <w:p>
            <w:pPr>
              <w:jc w:val="center"/>
              <w:ind w:right="260"/>
              <w:spacing w:after="0"/>
              <w:rPr>
                <w:sz w:val="20"/>
                <w:szCs w:val="20"/>
                <w:color w:val="auto"/>
              </w:rPr>
            </w:pPr>
            <w:r>
              <w:rPr>
                <w:rFonts w:ascii="Calibri" w:cs="Calibri" w:eastAsia="Calibri" w:hAnsi="Calibri"/>
                <w:sz w:val="14"/>
                <w:szCs w:val="14"/>
                <w:b w:val="1"/>
                <w:bCs w:val="1"/>
                <w:color w:val="auto"/>
              </w:rPr>
              <w:t>Pension and Other</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center"/>
              <w:ind w:right="480"/>
              <w:spacing w:after="0"/>
              <w:rPr>
                <w:sz w:val="20"/>
                <w:szCs w:val="20"/>
                <w:color w:val="auto"/>
              </w:rPr>
            </w:pPr>
            <w:r>
              <w:rPr>
                <w:rFonts w:ascii="Calibri" w:cs="Calibri" w:eastAsia="Calibri" w:hAnsi="Calibri"/>
                <w:sz w:val="14"/>
                <w:szCs w:val="14"/>
                <w:b w:val="1"/>
                <w:bCs w:val="1"/>
                <w:color w:val="auto"/>
              </w:rPr>
              <w:t>Currency</w:t>
            </w:r>
          </w:p>
        </w:tc>
        <w:tc>
          <w:tcPr>
            <w:tcW w:w="140" w:type="dxa"/>
            <w:vAlign w:val="bottom"/>
          </w:tcPr>
          <w:p>
            <w:pPr>
              <w:spacing w:after="0"/>
              <w:rPr>
                <w:sz w:val="15"/>
                <w:szCs w:val="15"/>
                <w:color w:val="auto"/>
              </w:rPr>
            </w:pPr>
          </w:p>
        </w:tc>
        <w:tc>
          <w:tcPr>
            <w:tcW w:w="1420" w:type="dxa"/>
            <w:vAlign w:val="bottom"/>
            <w:gridSpan w:val="2"/>
          </w:tcPr>
          <w:p>
            <w:pPr>
              <w:jc w:val="center"/>
              <w:ind w:right="400"/>
              <w:spacing w:after="0"/>
              <w:rPr>
                <w:sz w:val="20"/>
                <w:szCs w:val="20"/>
                <w:color w:val="auto"/>
              </w:rPr>
            </w:pPr>
            <w:r>
              <w:rPr>
                <w:rFonts w:ascii="Calibri" w:cs="Calibri" w:eastAsia="Calibri" w:hAnsi="Calibri"/>
                <w:sz w:val="14"/>
                <w:szCs w:val="14"/>
                <w:b w:val="1"/>
                <w:bCs w:val="1"/>
                <w:color w:val="auto"/>
              </w:rPr>
              <w:t>Postretrement</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center"/>
              <w:ind w:right="480"/>
              <w:spacing w:after="0"/>
              <w:rPr>
                <w:sz w:val="20"/>
                <w:szCs w:val="20"/>
                <w:color w:val="auto"/>
              </w:rPr>
            </w:pPr>
            <w:r>
              <w:rPr>
                <w:rFonts w:ascii="Calibri" w:cs="Calibri" w:eastAsia="Calibri" w:hAnsi="Calibri"/>
                <w:sz w:val="14"/>
                <w:szCs w:val="14"/>
                <w:b w:val="1"/>
                <w:bCs w:val="1"/>
                <w:color w:val="auto"/>
              </w:rPr>
              <w:t>Translaton</w:t>
            </w:r>
          </w:p>
        </w:tc>
        <w:tc>
          <w:tcPr>
            <w:tcW w:w="140" w:type="dxa"/>
            <w:vAlign w:val="bottom"/>
          </w:tcPr>
          <w:p>
            <w:pPr>
              <w:spacing w:after="0"/>
              <w:rPr>
                <w:sz w:val="15"/>
                <w:szCs w:val="15"/>
                <w:color w:val="auto"/>
              </w:rPr>
            </w:pPr>
          </w:p>
        </w:tc>
        <w:tc>
          <w:tcPr>
            <w:tcW w:w="1420" w:type="dxa"/>
            <w:vAlign w:val="bottom"/>
            <w:gridSpan w:val="2"/>
          </w:tcPr>
          <w:p>
            <w:pPr>
              <w:jc w:val="center"/>
              <w:ind w:right="400"/>
              <w:spacing w:after="0"/>
              <w:rPr>
                <w:sz w:val="20"/>
                <w:szCs w:val="20"/>
                <w:color w:val="auto"/>
              </w:rPr>
            </w:pPr>
            <w:r>
              <w:rPr>
                <w:rFonts w:ascii="Calibri" w:cs="Calibri" w:eastAsia="Calibri" w:hAnsi="Calibri"/>
                <w:sz w:val="14"/>
                <w:szCs w:val="14"/>
                <w:b w:val="1"/>
                <w:bCs w:val="1"/>
                <w:color w:val="auto"/>
              </w:rPr>
              <w:t>Beneft Liability</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center"/>
              <w:ind w:right="480"/>
              <w:spacing w:after="0"/>
              <w:rPr>
                <w:sz w:val="20"/>
                <w:szCs w:val="20"/>
                <w:color w:val="auto"/>
              </w:rPr>
            </w:pPr>
            <w:r>
              <w:rPr>
                <w:rFonts w:ascii="Calibri" w:cs="Calibri" w:eastAsia="Calibri" w:hAnsi="Calibri"/>
                <w:sz w:val="14"/>
                <w:szCs w:val="14"/>
                <w:b w:val="1"/>
                <w:bCs w:val="1"/>
                <w:color w:val="auto"/>
              </w:rPr>
              <w:t>Adjustment</w:t>
            </w:r>
          </w:p>
        </w:tc>
        <w:tc>
          <w:tcPr>
            <w:tcW w:w="140" w:type="dxa"/>
            <w:vAlign w:val="bottom"/>
          </w:tcPr>
          <w:p>
            <w:pPr>
              <w:spacing w:after="0"/>
              <w:rPr>
                <w:sz w:val="15"/>
                <w:szCs w:val="15"/>
                <w:color w:val="auto"/>
              </w:rPr>
            </w:pPr>
          </w:p>
        </w:tc>
        <w:tc>
          <w:tcPr>
            <w:tcW w:w="1420" w:type="dxa"/>
            <w:vAlign w:val="bottom"/>
            <w:gridSpan w:val="2"/>
          </w:tcPr>
          <w:p>
            <w:pPr>
              <w:jc w:val="center"/>
              <w:ind w:right="400"/>
              <w:spacing w:after="0"/>
              <w:rPr>
                <w:sz w:val="20"/>
                <w:szCs w:val="20"/>
                <w:color w:val="auto"/>
              </w:rPr>
            </w:pPr>
            <w:r>
              <w:rPr>
                <w:rFonts w:ascii="Calibri" w:cs="Calibri" w:eastAsia="Calibri" w:hAnsi="Calibri"/>
                <w:sz w:val="14"/>
                <w:szCs w:val="14"/>
                <w:b w:val="1"/>
                <w:bCs w:val="1"/>
                <w:color w:val="auto"/>
              </w:rPr>
              <w:t>Adjustments</w:t>
            </w:r>
          </w:p>
        </w:tc>
        <w:tc>
          <w:tcPr>
            <w:tcW w:w="300" w:type="dxa"/>
            <w:vAlign w:val="bottom"/>
          </w:tcPr>
          <w:p>
            <w:pPr>
              <w:spacing w:after="0"/>
              <w:rPr>
                <w:sz w:val="15"/>
                <w:szCs w:val="15"/>
                <w:color w:val="auto"/>
              </w:rPr>
            </w:pPr>
          </w:p>
        </w:tc>
        <w:tc>
          <w:tcPr>
            <w:tcW w:w="1120" w:type="dxa"/>
            <w:vAlign w:val="bottom"/>
            <w:gridSpan w:val="2"/>
          </w:tcPr>
          <w:p>
            <w:pPr>
              <w:jc w:val="right"/>
              <w:ind w:right="620"/>
              <w:spacing w:after="0"/>
              <w:rPr>
                <w:sz w:val="20"/>
                <w:szCs w:val="20"/>
                <w:color w:val="auto"/>
              </w:rPr>
            </w:pPr>
            <w:r>
              <w:rPr>
                <w:rFonts w:ascii="Calibri" w:cs="Calibri" w:eastAsia="Calibri" w:hAnsi="Calibri"/>
                <w:sz w:val="14"/>
                <w:szCs w:val="14"/>
                <w:b w:val="1"/>
                <w:bCs w:val="1"/>
                <w:color w:val="auto"/>
              </w:rPr>
              <w:t>Total</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6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238"/>
              <w:spacing w:after="0" w:line="164" w:lineRule="exact"/>
              <w:rPr>
                <w:sz w:val="20"/>
                <w:szCs w:val="20"/>
                <w:color w:val="auto"/>
              </w:rPr>
            </w:pPr>
            <w:r>
              <w:rPr>
                <w:rFonts w:ascii="Calibri" w:cs="Calibri" w:eastAsia="Calibri" w:hAnsi="Calibri"/>
                <w:sz w:val="14"/>
                <w:szCs w:val="14"/>
                <w:b w:val="1"/>
                <w:bCs w:val="1"/>
                <w:color w:val="auto"/>
              </w:rPr>
              <w:t>(In millions)</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64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Balance at September 30, 2023, atributable to Cabot Corporaton</w:t>
            </w:r>
          </w:p>
        </w:tc>
        <w:tc>
          <w:tcPr>
            <w:tcW w:w="200" w:type="dxa"/>
            <w:vAlign w:val="bottom"/>
            <w:tcBorders>
              <w:bottom w:val="single" w:sz="8" w:color="CFF0FC"/>
            </w:tcBorders>
            <w:shd w:val="clear" w:color="auto" w:fill="CFF0FC"/>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1420" w:type="dxa"/>
            <w:vAlign w:val="bottom"/>
            <w:tcBorders>
              <w:bottom w:val="single" w:sz="8" w:color="CFF0FC"/>
            </w:tcBorders>
            <w:gridSpan w:val="2"/>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(353 )</w:t>
            </w:r>
          </w:p>
        </w:tc>
        <w:tc>
          <w:tcPr>
            <w:tcW w:w="1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420" w:type="dxa"/>
            <w:vAlign w:val="bottom"/>
            <w:tcBorders>
              <w:bottom w:val="single" w:sz="8" w:color="CFF0FC"/>
            </w:tcBorders>
            <w:gridSpan w:val="2"/>
            <w:shd w:val="clear" w:color="auto" w:fill="CFF0FC"/>
          </w:tcPr>
          <w:p>
            <w:pPr>
              <w:jc w:val="right"/>
              <w:ind w:right="180"/>
              <w:spacing w:after="0" w:line="215" w:lineRule="exact"/>
              <w:rPr>
                <w:sz w:val="20"/>
                <w:szCs w:val="20"/>
                <w:color w:val="auto"/>
              </w:rPr>
            </w:pPr>
            <w:r>
              <w:rPr>
                <w:rFonts w:ascii="Calibri" w:cs="Calibri" w:eastAsia="Calibri" w:hAnsi="Calibri"/>
                <w:sz w:val="18"/>
                <w:szCs w:val="18"/>
                <w:color w:val="auto"/>
              </w:rPr>
              <w:t>(9 )</w:t>
            </w:r>
          </w:p>
        </w:tc>
        <w:tc>
          <w:tcPr>
            <w:tcW w:w="300" w:type="dxa"/>
            <w:vAlign w:val="bottom"/>
            <w:tcBorders>
              <w:bottom w:val="single" w:sz="8" w:color="CFF0FC"/>
            </w:tcBorders>
            <w:shd w:val="clear" w:color="auto" w:fill="CFF0FC"/>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(362 )</w:t>
            </w:r>
          </w:p>
        </w:tc>
        <w:tc>
          <w:tcPr>
            <w:tcW w:w="0" w:type="dxa"/>
            <w:vAlign w:val="bottom"/>
          </w:tcPr>
          <w:p>
            <w:pPr>
              <w:spacing w:after="0"/>
              <w:rPr>
                <w:sz w:val="1"/>
                <w:szCs w:val="1"/>
                <w:color w:val="auto"/>
              </w:rPr>
            </w:pPr>
          </w:p>
        </w:tc>
      </w:tr>
      <w:tr>
        <w:trPr>
          <w:trHeight w:val="215"/>
        </w:trPr>
        <w:tc>
          <w:tcPr>
            <w:tcW w:w="6640" w:type="dxa"/>
            <w:vAlign w:val="bottom"/>
          </w:tcPr>
          <w:p>
            <w:pPr>
              <w:ind w:left="20"/>
              <w:spacing w:after="0" w:line="215" w:lineRule="exact"/>
              <w:rPr>
                <w:sz w:val="20"/>
                <w:szCs w:val="20"/>
                <w:color w:val="auto"/>
              </w:rPr>
            </w:pPr>
            <w:r>
              <w:rPr>
                <w:rFonts w:ascii="Calibri" w:cs="Calibri" w:eastAsia="Calibri" w:hAnsi="Calibri"/>
                <w:sz w:val="18"/>
                <w:szCs w:val="18"/>
                <w:color w:val="auto"/>
              </w:rPr>
              <w:t>Other comprehensive income (loss) before reclassifcatons</w:t>
            </w:r>
          </w:p>
        </w:tc>
        <w:tc>
          <w:tcPr>
            <w:tcW w:w="200" w:type="dxa"/>
            <w:vAlign w:val="bottom"/>
          </w:tcPr>
          <w:p>
            <w:pPr>
              <w:spacing w:after="0"/>
              <w:rPr>
                <w:sz w:val="18"/>
                <w:szCs w:val="18"/>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62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60"/>
              <w:spacing w:after="0" w:line="215" w:lineRule="exact"/>
              <w:rPr>
                <w:sz w:val="20"/>
                <w:szCs w:val="20"/>
                <w:color w:val="auto"/>
              </w:rPr>
            </w:pPr>
            <w:r>
              <w:rPr>
                <w:rFonts w:ascii="Calibri" w:cs="Calibri" w:eastAsia="Calibri" w:hAnsi="Calibri"/>
                <w:sz w:val="18"/>
                <w:szCs w:val="18"/>
                <w:color w:val="auto"/>
              </w:rPr>
              <w:t>—</w:t>
            </w:r>
          </w:p>
        </w:tc>
        <w:tc>
          <w:tcPr>
            <w:tcW w:w="300" w:type="dxa"/>
            <w:vAlign w:val="bottom"/>
          </w:tcPr>
          <w:p>
            <w:pPr>
              <w:spacing w:after="0"/>
              <w:rPr>
                <w:sz w:val="18"/>
                <w:szCs w:val="18"/>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64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Amounts reclassifed from AOCI</w:t>
            </w:r>
          </w:p>
        </w:tc>
        <w:tc>
          <w:tcPr>
            <w:tcW w:w="20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gridSpan w:val="2"/>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(1 )</w:t>
            </w:r>
          </w:p>
        </w:tc>
        <w:tc>
          <w:tcPr>
            <w:tcW w:w="14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gridSpan w:val="2"/>
            <w:shd w:val="clear" w:color="auto" w:fill="CFF0FC"/>
          </w:tcPr>
          <w:p>
            <w:pPr>
              <w:jc w:val="right"/>
              <w:ind w:right="260"/>
              <w:spacing w:after="0" w:line="215" w:lineRule="exact"/>
              <w:rPr>
                <w:sz w:val="20"/>
                <w:szCs w:val="20"/>
                <w:color w:val="auto"/>
              </w:rPr>
            </w:pPr>
            <w:r>
              <w:rPr>
                <w:rFonts w:ascii="Calibri" w:cs="Calibri" w:eastAsia="Calibri" w:hAnsi="Calibri"/>
                <w:sz w:val="18"/>
                <w:szCs w:val="18"/>
                <w:color w:val="auto"/>
              </w:rPr>
              <w:t>—</w:t>
            </w:r>
          </w:p>
        </w:tc>
        <w:tc>
          <w:tcPr>
            <w:tcW w:w="30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(1 )</w:t>
            </w:r>
          </w:p>
        </w:tc>
        <w:tc>
          <w:tcPr>
            <w:tcW w:w="0" w:type="dxa"/>
            <w:vAlign w:val="bottom"/>
          </w:tcPr>
          <w:p>
            <w:pPr>
              <w:spacing w:after="0"/>
              <w:rPr>
                <w:sz w:val="1"/>
                <w:szCs w:val="1"/>
                <w:color w:val="auto"/>
              </w:rPr>
            </w:pPr>
          </w:p>
        </w:tc>
      </w:tr>
      <w:tr>
        <w:trPr>
          <w:trHeight w:val="207"/>
        </w:trPr>
        <w:tc>
          <w:tcPr>
            <w:tcW w:w="6640" w:type="dxa"/>
            <w:vAlign w:val="bottom"/>
          </w:tcPr>
          <w:p>
            <w:pPr>
              <w:ind w:left="20"/>
              <w:spacing w:after="0" w:line="207" w:lineRule="exact"/>
              <w:rPr>
                <w:sz w:val="20"/>
                <w:szCs w:val="20"/>
                <w:color w:val="auto"/>
              </w:rPr>
            </w:pPr>
            <w:r>
              <w:rPr>
                <w:rFonts w:ascii="Calibri" w:cs="Calibri" w:eastAsia="Calibri" w:hAnsi="Calibri"/>
                <w:sz w:val="18"/>
                <w:szCs w:val="18"/>
                <w:color w:val="auto"/>
              </w:rPr>
              <w:t>Less: Other comprehensive income (loss) atributable to</w:t>
            </w:r>
          </w:p>
        </w:tc>
        <w:tc>
          <w:tcPr>
            <w:tcW w:w="2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Calibri" w:cs="Calibri" w:eastAsia="Calibri" w:hAnsi="Calibri"/>
                <w:sz w:val="18"/>
                <w:szCs w:val="18"/>
                <w:color w:val="auto"/>
              </w:rPr>
              <w:t>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restart"/>
          </w:tcPr>
          <w:p>
            <w:pPr>
              <w:jc w:val="right"/>
              <w:ind w:right="260"/>
              <w:spacing w:after="0"/>
              <w:rPr>
                <w:sz w:val="20"/>
                <w:szCs w:val="20"/>
                <w:color w:val="auto"/>
              </w:rPr>
            </w:pPr>
            <w:r>
              <w:rPr>
                <w:rFonts w:ascii="Calibri" w:cs="Calibri" w:eastAsia="Calibri" w:hAnsi="Calibri"/>
                <w:sz w:val="18"/>
                <w:szCs w:val="18"/>
                <w:color w:val="auto"/>
              </w:rPr>
              <w:t>—</w:t>
            </w:r>
          </w:p>
        </w:tc>
        <w:tc>
          <w:tcPr>
            <w:tcW w:w="30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Calibri" w:cs="Calibri" w:eastAsia="Calibri" w:hAnsi="Calibri"/>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40" w:type="dxa"/>
            <w:vAlign w:val="bottom"/>
          </w:tcPr>
          <w:p>
            <w:pPr>
              <w:ind w:left="140"/>
              <w:spacing w:after="0" w:line="215" w:lineRule="exact"/>
              <w:rPr>
                <w:sz w:val="20"/>
                <w:szCs w:val="20"/>
                <w:color w:val="auto"/>
              </w:rPr>
            </w:pPr>
            <w:r>
              <w:rPr>
                <w:rFonts w:ascii="Calibri" w:cs="Calibri" w:eastAsia="Calibri" w:hAnsi="Calibri"/>
                <w:sz w:val="18"/>
                <w:szCs w:val="18"/>
                <w:color w:val="auto"/>
              </w:rPr>
              <w:t>noncontrolling interests</w:t>
            </w:r>
          </w:p>
        </w:tc>
        <w:tc>
          <w:tcPr>
            <w:tcW w:w="2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40" w:type="dxa"/>
            <w:vAlign w:val="bottom"/>
            <w:shd w:val="clear" w:color="auto" w:fill="CFF0FC"/>
          </w:tcPr>
          <w:p>
            <w:pPr>
              <w:ind w:left="20"/>
              <w:spacing w:after="0"/>
              <w:rPr>
                <w:sz w:val="20"/>
                <w:szCs w:val="20"/>
                <w:color w:val="auto"/>
              </w:rPr>
            </w:pPr>
            <w:r>
              <w:rPr>
                <w:rFonts w:ascii="Calibri" w:cs="Calibri" w:eastAsia="Calibri" w:hAnsi="Calibri"/>
                <w:sz w:val="18"/>
                <w:szCs w:val="18"/>
                <w:color w:val="auto"/>
              </w:rPr>
              <w:t>Balance at December 31, 2023, atributable to Cabot Corporaton</w:t>
            </w:r>
          </w:p>
        </w:tc>
        <w:tc>
          <w:tcPr>
            <w:tcW w:w="200" w:type="dxa"/>
            <w:vAlign w:val="bottom"/>
            <w:shd w:val="clear" w:color="auto" w:fill="CFF0FC"/>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1420" w:type="dxa"/>
            <w:vAlign w:val="bottom"/>
            <w:gridSpan w:val="2"/>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(296 )</w:t>
            </w:r>
          </w:p>
        </w:tc>
        <w:tc>
          <w:tcPr>
            <w:tcW w:w="1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420" w:type="dxa"/>
            <w:vAlign w:val="bottom"/>
            <w:gridSpan w:val="2"/>
            <w:shd w:val="clear" w:color="auto" w:fill="CFF0FC"/>
          </w:tcPr>
          <w:p>
            <w:pPr>
              <w:jc w:val="right"/>
              <w:ind w:right="180"/>
              <w:spacing w:after="0" w:line="215" w:lineRule="exact"/>
              <w:rPr>
                <w:sz w:val="20"/>
                <w:szCs w:val="20"/>
                <w:color w:val="auto"/>
              </w:rPr>
            </w:pPr>
            <w:r>
              <w:rPr>
                <w:rFonts w:ascii="Calibri" w:cs="Calibri" w:eastAsia="Calibri" w:hAnsi="Calibri"/>
                <w:sz w:val="18"/>
                <w:szCs w:val="18"/>
                <w:color w:val="auto"/>
              </w:rPr>
              <w:t>(9 )</w:t>
            </w:r>
          </w:p>
        </w:tc>
        <w:tc>
          <w:tcPr>
            <w:tcW w:w="300" w:type="dxa"/>
            <w:vAlign w:val="bottom"/>
            <w:shd w:val="clear" w:color="auto" w:fill="CFF0FC"/>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(305 )</w:t>
            </w:r>
          </w:p>
        </w:tc>
        <w:tc>
          <w:tcPr>
            <w:tcW w:w="0" w:type="dxa"/>
            <w:vAlign w:val="bottom"/>
          </w:tcPr>
          <w:p>
            <w:pPr>
              <w:spacing w:after="0"/>
              <w:rPr>
                <w:sz w:val="1"/>
                <w:szCs w:val="1"/>
                <w:color w:val="auto"/>
              </w:rPr>
            </w:pPr>
          </w:p>
        </w:tc>
      </w:tr>
      <w:tr>
        <w:trPr>
          <w:trHeight w:val="20"/>
        </w:trPr>
        <w:tc>
          <w:tcPr>
            <w:tcW w:w="66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-24765</wp:posOffset>
            </wp:positionV>
            <wp:extent cx="768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76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415925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3"/>
          </w:tcPr>
          <w:p>
            <w:pPr>
              <w:jc w:val="center"/>
              <w:ind w:right="260"/>
              <w:spacing w:after="0"/>
              <w:rPr>
                <w:sz w:val="20"/>
                <w:szCs w:val="20"/>
                <w:color w:val="auto"/>
              </w:rPr>
            </w:pPr>
            <w:r>
              <w:rPr>
                <w:rFonts w:ascii="Calibri" w:cs="Calibri" w:eastAsia="Calibri" w:hAnsi="Calibri"/>
                <w:sz w:val="14"/>
                <w:szCs w:val="14"/>
                <w:b w:val="1"/>
                <w:bCs w:val="1"/>
                <w:color w:val="auto"/>
              </w:rPr>
              <w:t>Pension and Other</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center"/>
              <w:ind w:right="480"/>
              <w:spacing w:after="0"/>
              <w:rPr>
                <w:sz w:val="20"/>
                <w:szCs w:val="20"/>
                <w:color w:val="auto"/>
              </w:rPr>
            </w:pPr>
            <w:r>
              <w:rPr>
                <w:rFonts w:ascii="Calibri" w:cs="Calibri" w:eastAsia="Calibri" w:hAnsi="Calibri"/>
                <w:sz w:val="14"/>
                <w:szCs w:val="14"/>
                <w:b w:val="1"/>
                <w:bCs w:val="1"/>
                <w:color w:val="auto"/>
              </w:rPr>
              <w:t>Currency</w:t>
            </w:r>
          </w:p>
        </w:tc>
        <w:tc>
          <w:tcPr>
            <w:tcW w:w="140" w:type="dxa"/>
            <w:vAlign w:val="bottom"/>
          </w:tcPr>
          <w:p>
            <w:pPr>
              <w:spacing w:after="0"/>
              <w:rPr>
                <w:sz w:val="15"/>
                <w:szCs w:val="15"/>
                <w:color w:val="auto"/>
              </w:rPr>
            </w:pPr>
          </w:p>
        </w:tc>
        <w:tc>
          <w:tcPr>
            <w:tcW w:w="1420" w:type="dxa"/>
            <w:vAlign w:val="bottom"/>
            <w:gridSpan w:val="2"/>
          </w:tcPr>
          <w:p>
            <w:pPr>
              <w:jc w:val="center"/>
              <w:ind w:right="400"/>
              <w:spacing w:after="0"/>
              <w:rPr>
                <w:sz w:val="20"/>
                <w:szCs w:val="20"/>
                <w:color w:val="auto"/>
              </w:rPr>
            </w:pPr>
            <w:r>
              <w:rPr>
                <w:rFonts w:ascii="Calibri" w:cs="Calibri" w:eastAsia="Calibri" w:hAnsi="Calibri"/>
                <w:sz w:val="14"/>
                <w:szCs w:val="14"/>
                <w:b w:val="1"/>
                <w:bCs w:val="1"/>
                <w:color w:val="auto"/>
              </w:rPr>
              <w:t>Postretrement</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center"/>
              <w:ind w:right="480"/>
              <w:spacing w:after="0"/>
              <w:rPr>
                <w:sz w:val="20"/>
                <w:szCs w:val="20"/>
                <w:color w:val="auto"/>
              </w:rPr>
            </w:pPr>
            <w:r>
              <w:rPr>
                <w:rFonts w:ascii="Calibri" w:cs="Calibri" w:eastAsia="Calibri" w:hAnsi="Calibri"/>
                <w:sz w:val="14"/>
                <w:szCs w:val="14"/>
                <w:b w:val="1"/>
                <w:bCs w:val="1"/>
                <w:color w:val="auto"/>
              </w:rPr>
              <w:t>Translaton</w:t>
            </w:r>
          </w:p>
        </w:tc>
        <w:tc>
          <w:tcPr>
            <w:tcW w:w="140" w:type="dxa"/>
            <w:vAlign w:val="bottom"/>
          </w:tcPr>
          <w:p>
            <w:pPr>
              <w:spacing w:after="0"/>
              <w:rPr>
                <w:sz w:val="15"/>
                <w:szCs w:val="15"/>
                <w:color w:val="auto"/>
              </w:rPr>
            </w:pPr>
          </w:p>
        </w:tc>
        <w:tc>
          <w:tcPr>
            <w:tcW w:w="1420" w:type="dxa"/>
            <w:vAlign w:val="bottom"/>
            <w:gridSpan w:val="2"/>
          </w:tcPr>
          <w:p>
            <w:pPr>
              <w:jc w:val="center"/>
              <w:ind w:right="400"/>
              <w:spacing w:after="0"/>
              <w:rPr>
                <w:sz w:val="20"/>
                <w:szCs w:val="20"/>
                <w:color w:val="auto"/>
              </w:rPr>
            </w:pPr>
            <w:r>
              <w:rPr>
                <w:rFonts w:ascii="Calibri" w:cs="Calibri" w:eastAsia="Calibri" w:hAnsi="Calibri"/>
                <w:sz w:val="14"/>
                <w:szCs w:val="14"/>
                <w:b w:val="1"/>
                <w:bCs w:val="1"/>
                <w:color w:val="auto"/>
              </w:rPr>
              <w:t>Beneft Liability</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center"/>
              <w:ind w:right="480"/>
              <w:spacing w:after="0"/>
              <w:rPr>
                <w:sz w:val="20"/>
                <w:szCs w:val="20"/>
                <w:color w:val="auto"/>
              </w:rPr>
            </w:pPr>
            <w:r>
              <w:rPr>
                <w:rFonts w:ascii="Calibri" w:cs="Calibri" w:eastAsia="Calibri" w:hAnsi="Calibri"/>
                <w:sz w:val="14"/>
                <w:szCs w:val="14"/>
                <w:b w:val="1"/>
                <w:bCs w:val="1"/>
                <w:color w:val="auto"/>
              </w:rPr>
              <w:t>Adjustment</w:t>
            </w:r>
          </w:p>
        </w:tc>
        <w:tc>
          <w:tcPr>
            <w:tcW w:w="140" w:type="dxa"/>
            <w:vAlign w:val="bottom"/>
          </w:tcPr>
          <w:p>
            <w:pPr>
              <w:spacing w:after="0"/>
              <w:rPr>
                <w:sz w:val="15"/>
                <w:szCs w:val="15"/>
                <w:color w:val="auto"/>
              </w:rPr>
            </w:pPr>
          </w:p>
        </w:tc>
        <w:tc>
          <w:tcPr>
            <w:tcW w:w="1420" w:type="dxa"/>
            <w:vAlign w:val="bottom"/>
            <w:gridSpan w:val="2"/>
          </w:tcPr>
          <w:p>
            <w:pPr>
              <w:jc w:val="center"/>
              <w:ind w:right="400"/>
              <w:spacing w:after="0"/>
              <w:rPr>
                <w:sz w:val="20"/>
                <w:szCs w:val="20"/>
                <w:color w:val="auto"/>
              </w:rPr>
            </w:pPr>
            <w:r>
              <w:rPr>
                <w:rFonts w:ascii="Calibri" w:cs="Calibri" w:eastAsia="Calibri" w:hAnsi="Calibri"/>
                <w:sz w:val="14"/>
                <w:szCs w:val="14"/>
                <w:b w:val="1"/>
                <w:bCs w:val="1"/>
                <w:color w:val="auto"/>
              </w:rPr>
              <w:t>Adjustments</w:t>
            </w:r>
          </w:p>
        </w:tc>
        <w:tc>
          <w:tcPr>
            <w:tcW w:w="300" w:type="dxa"/>
            <w:vAlign w:val="bottom"/>
          </w:tcPr>
          <w:p>
            <w:pPr>
              <w:spacing w:after="0"/>
              <w:rPr>
                <w:sz w:val="15"/>
                <w:szCs w:val="15"/>
                <w:color w:val="auto"/>
              </w:rPr>
            </w:pPr>
          </w:p>
        </w:tc>
        <w:tc>
          <w:tcPr>
            <w:tcW w:w="1120" w:type="dxa"/>
            <w:vAlign w:val="bottom"/>
            <w:gridSpan w:val="2"/>
          </w:tcPr>
          <w:p>
            <w:pPr>
              <w:jc w:val="right"/>
              <w:ind w:right="620"/>
              <w:spacing w:after="0"/>
              <w:rPr>
                <w:sz w:val="20"/>
                <w:szCs w:val="20"/>
                <w:color w:val="auto"/>
              </w:rPr>
            </w:pPr>
            <w:r>
              <w:rPr>
                <w:rFonts w:ascii="Calibri" w:cs="Calibri" w:eastAsia="Calibri" w:hAnsi="Calibri"/>
                <w:sz w:val="14"/>
                <w:szCs w:val="14"/>
                <w:b w:val="1"/>
                <w:bCs w:val="1"/>
                <w:color w:val="auto"/>
              </w:rPr>
              <w:t>Total</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6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238"/>
              <w:spacing w:after="0" w:line="164" w:lineRule="exact"/>
              <w:rPr>
                <w:sz w:val="20"/>
                <w:szCs w:val="20"/>
                <w:color w:val="auto"/>
              </w:rPr>
            </w:pPr>
            <w:r>
              <w:rPr>
                <w:rFonts w:ascii="Calibri" w:cs="Calibri" w:eastAsia="Calibri" w:hAnsi="Calibri"/>
                <w:sz w:val="14"/>
                <w:szCs w:val="14"/>
                <w:b w:val="1"/>
                <w:bCs w:val="1"/>
                <w:color w:val="auto"/>
              </w:rPr>
              <w:t>(In millions)</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64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Balance at September 30, 2022, atributable to Cabot Corporaton</w:t>
            </w:r>
          </w:p>
        </w:tc>
        <w:tc>
          <w:tcPr>
            <w:tcW w:w="200" w:type="dxa"/>
            <w:vAlign w:val="bottom"/>
            <w:tcBorders>
              <w:bottom w:val="single" w:sz="8" w:color="CFF0FC"/>
            </w:tcBorders>
            <w:shd w:val="clear" w:color="auto" w:fill="CFF0FC"/>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1420" w:type="dxa"/>
            <w:vAlign w:val="bottom"/>
            <w:tcBorders>
              <w:bottom w:val="single" w:sz="8" w:color="CFF0FC"/>
            </w:tcBorders>
            <w:gridSpan w:val="2"/>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(429 )</w:t>
            </w:r>
          </w:p>
        </w:tc>
        <w:tc>
          <w:tcPr>
            <w:tcW w:w="1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420" w:type="dxa"/>
            <w:vAlign w:val="bottom"/>
            <w:tcBorders>
              <w:bottom w:val="single" w:sz="8" w:color="CFF0FC"/>
            </w:tcBorders>
            <w:gridSpan w:val="2"/>
            <w:shd w:val="clear" w:color="auto" w:fill="CFF0FC"/>
          </w:tcPr>
          <w:p>
            <w:pPr>
              <w:jc w:val="right"/>
              <w:ind w:right="180"/>
              <w:spacing w:after="0" w:line="215" w:lineRule="exact"/>
              <w:rPr>
                <w:sz w:val="20"/>
                <w:szCs w:val="20"/>
                <w:color w:val="auto"/>
              </w:rPr>
            </w:pPr>
            <w:r>
              <w:rPr>
                <w:rFonts w:ascii="Calibri" w:cs="Calibri" w:eastAsia="Calibri" w:hAnsi="Calibri"/>
                <w:sz w:val="18"/>
                <w:szCs w:val="18"/>
                <w:color w:val="auto"/>
              </w:rPr>
              <w:t>(10 )</w:t>
            </w:r>
          </w:p>
        </w:tc>
        <w:tc>
          <w:tcPr>
            <w:tcW w:w="300" w:type="dxa"/>
            <w:vAlign w:val="bottom"/>
            <w:tcBorders>
              <w:bottom w:val="single" w:sz="8" w:color="CFF0FC"/>
            </w:tcBorders>
            <w:shd w:val="clear" w:color="auto" w:fill="CFF0FC"/>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(439 )</w:t>
            </w:r>
          </w:p>
        </w:tc>
        <w:tc>
          <w:tcPr>
            <w:tcW w:w="0" w:type="dxa"/>
            <w:vAlign w:val="bottom"/>
          </w:tcPr>
          <w:p>
            <w:pPr>
              <w:spacing w:after="0"/>
              <w:rPr>
                <w:sz w:val="1"/>
                <w:szCs w:val="1"/>
                <w:color w:val="auto"/>
              </w:rPr>
            </w:pPr>
          </w:p>
        </w:tc>
      </w:tr>
      <w:tr>
        <w:trPr>
          <w:trHeight w:val="215"/>
        </w:trPr>
        <w:tc>
          <w:tcPr>
            <w:tcW w:w="6640" w:type="dxa"/>
            <w:vAlign w:val="bottom"/>
          </w:tcPr>
          <w:p>
            <w:pPr>
              <w:ind w:left="20"/>
              <w:spacing w:after="0" w:line="215" w:lineRule="exact"/>
              <w:rPr>
                <w:sz w:val="20"/>
                <w:szCs w:val="20"/>
                <w:color w:val="auto"/>
              </w:rPr>
            </w:pPr>
            <w:r>
              <w:rPr>
                <w:rFonts w:ascii="Calibri" w:cs="Calibri" w:eastAsia="Calibri" w:hAnsi="Calibri"/>
                <w:sz w:val="18"/>
                <w:szCs w:val="18"/>
                <w:color w:val="auto"/>
              </w:rPr>
              <w:t>Other comprehensive income (loss) before reclassifcatons</w:t>
            </w:r>
          </w:p>
        </w:tc>
        <w:tc>
          <w:tcPr>
            <w:tcW w:w="200" w:type="dxa"/>
            <w:vAlign w:val="bottom"/>
          </w:tcPr>
          <w:p>
            <w:pPr>
              <w:spacing w:after="0"/>
              <w:rPr>
                <w:sz w:val="18"/>
                <w:szCs w:val="18"/>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88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60"/>
              <w:spacing w:after="0" w:line="215" w:lineRule="exact"/>
              <w:rPr>
                <w:sz w:val="20"/>
                <w:szCs w:val="20"/>
                <w:color w:val="auto"/>
              </w:rPr>
            </w:pPr>
            <w:r>
              <w:rPr>
                <w:rFonts w:ascii="Calibri" w:cs="Calibri" w:eastAsia="Calibri" w:hAnsi="Calibri"/>
                <w:sz w:val="18"/>
                <w:szCs w:val="18"/>
                <w:color w:val="auto"/>
              </w:rPr>
              <w:t>—</w:t>
            </w:r>
          </w:p>
        </w:tc>
        <w:tc>
          <w:tcPr>
            <w:tcW w:w="300" w:type="dxa"/>
            <w:vAlign w:val="bottom"/>
          </w:tcPr>
          <w:p>
            <w:pPr>
              <w:spacing w:after="0"/>
              <w:rPr>
                <w:sz w:val="18"/>
                <w:szCs w:val="18"/>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64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Amounts reclassifed from AOCI</w:t>
            </w:r>
          </w:p>
        </w:tc>
        <w:tc>
          <w:tcPr>
            <w:tcW w:w="20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gridSpan w:val="2"/>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(1 )</w:t>
            </w:r>
          </w:p>
        </w:tc>
        <w:tc>
          <w:tcPr>
            <w:tcW w:w="14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gridSpan w:val="2"/>
            <w:shd w:val="clear" w:color="auto" w:fill="CFF0FC"/>
          </w:tcPr>
          <w:p>
            <w:pPr>
              <w:jc w:val="right"/>
              <w:ind w:right="260"/>
              <w:spacing w:after="0" w:line="215" w:lineRule="exact"/>
              <w:rPr>
                <w:sz w:val="20"/>
                <w:szCs w:val="20"/>
                <w:color w:val="auto"/>
              </w:rPr>
            </w:pPr>
            <w:r>
              <w:rPr>
                <w:rFonts w:ascii="Calibri" w:cs="Calibri" w:eastAsia="Calibri" w:hAnsi="Calibri"/>
                <w:sz w:val="18"/>
                <w:szCs w:val="18"/>
                <w:color w:val="auto"/>
              </w:rPr>
              <w:t>—</w:t>
            </w:r>
          </w:p>
        </w:tc>
        <w:tc>
          <w:tcPr>
            <w:tcW w:w="30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(1 )</w:t>
            </w:r>
          </w:p>
        </w:tc>
        <w:tc>
          <w:tcPr>
            <w:tcW w:w="0" w:type="dxa"/>
            <w:vAlign w:val="bottom"/>
          </w:tcPr>
          <w:p>
            <w:pPr>
              <w:spacing w:after="0"/>
              <w:rPr>
                <w:sz w:val="1"/>
                <w:szCs w:val="1"/>
                <w:color w:val="auto"/>
              </w:rPr>
            </w:pPr>
          </w:p>
        </w:tc>
      </w:tr>
      <w:tr>
        <w:trPr>
          <w:trHeight w:val="207"/>
        </w:trPr>
        <w:tc>
          <w:tcPr>
            <w:tcW w:w="6640" w:type="dxa"/>
            <w:vAlign w:val="bottom"/>
          </w:tcPr>
          <w:p>
            <w:pPr>
              <w:ind w:left="20"/>
              <w:spacing w:after="0" w:line="207" w:lineRule="exact"/>
              <w:rPr>
                <w:sz w:val="20"/>
                <w:szCs w:val="20"/>
                <w:color w:val="auto"/>
              </w:rPr>
            </w:pPr>
            <w:r>
              <w:rPr>
                <w:rFonts w:ascii="Calibri" w:cs="Calibri" w:eastAsia="Calibri" w:hAnsi="Calibri"/>
                <w:sz w:val="18"/>
                <w:szCs w:val="18"/>
                <w:color w:val="auto"/>
              </w:rPr>
              <w:t>Less: Other comprehensive income (loss) atributable to</w:t>
            </w:r>
          </w:p>
        </w:tc>
        <w:tc>
          <w:tcPr>
            <w:tcW w:w="2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Calibri" w:cs="Calibri" w:eastAsia="Calibri" w:hAnsi="Calibri"/>
                <w:sz w:val="18"/>
                <w:szCs w:val="18"/>
                <w:color w:val="auto"/>
              </w:rPr>
              <w:t>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restart"/>
          </w:tcPr>
          <w:p>
            <w:pPr>
              <w:jc w:val="right"/>
              <w:ind w:right="260"/>
              <w:spacing w:after="0"/>
              <w:rPr>
                <w:sz w:val="20"/>
                <w:szCs w:val="20"/>
                <w:color w:val="auto"/>
              </w:rPr>
            </w:pPr>
            <w:r>
              <w:rPr>
                <w:rFonts w:ascii="Calibri" w:cs="Calibri" w:eastAsia="Calibri" w:hAnsi="Calibri"/>
                <w:sz w:val="18"/>
                <w:szCs w:val="18"/>
                <w:color w:val="auto"/>
              </w:rPr>
              <w:t>—</w:t>
            </w:r>
          </w:p>
        </w:tc>
        <w:tc>
          <w:tcPr>
            <w:tcW w:w="30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Calibri" w:cs="Calibri" w:eastAsia="Calibri" w:hAnsi="Calibri"/>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40" w:type="dxa"/>
            <w:vAlign w:val="bottom"/>
          </w:tcPr>
          <w:p>
            <w:pPr>
              <w:ind w:left="140"/>
              <w:spacing w:after="0" w:line="215" w:lineRule="exact"/>
              <w:rPr>
                <w:sz w:val="20"/>
                <w:szCs w:val="20"/>
                <w:color w:val="auto"/>
              </w:rPr>
            </w:pPr>
            <w:r>
              <w:rPr>
                <w:rFonts w:ascii="Calibri" w:cs="Calibri" w:eastAsia="Calibri" w:hAnsi="Calibri"/>
                <w:sz w:val="18"/>
                <w:szCs w:val="18"/>
                <w:color w:val="auto"/>
              </w:rPr>
              <w:t>noncontrolling interests</w:t>
            </w:r>
          </w:p>
        </w:tc>
        <w:tc>
          <w:tcPr>
            <w:tcW w:w="2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40" w:type="dxa"/>
            <w:vAlign w:val="bottom"/>
            <w:shd w:val="clear" w:color="auto" w:fill="CFF0FC"/>
          </w:tcPr>
          <w:p>
            <w:pPr>
              <w:ind w:left="20"/>
              <w:spacing w:after="0"/>
              <w:rPr>
                <w:sz w:val="20"/>
                <w:szCs w:val="20"/>
                <w:color w:val="auto"/>
              </w:rPr>
            </w:pPr>
            <w:r>
              <w:rPr>
                <w:rFonts w:ascii="Calibri" w:cs="Calibri" w:eastAsia="Calibri" w:hAnsi="Calibri"/>
                <w:sz w:val="18"/>
                <w:szCs w:val="18"/>
                <w:color w:val="auto"/>
              </w:rPr>
              <w:t>Balance at December 31, 2022, atributable to Cabot Corporaton</w:t>
            </w:r>
          </w:p>
        </w:tc>
        <w:tc>
          <w:tcPr>
            <w:tcW w:w="200" w:type="dxa"/>
            <w:vAlign w:val="bottom"/>
            <w:shd w:val="clear" w:color="auto" w:fill="CFF0FC"/>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1420" w:type="dxa"/>
            <w:vAlign w:val="bottom"/>
            <w:gridSpan w:val="2"/>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(348 )</w:t>
            </w:r>
          </w:p>
        </w:tc>
        <w:tc>
          <w:tcPr>
            <w:tcW w:w="1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420" w:type="dxa"/>
            <w:vAlign w:val="bottom"/>
            <w:gridSpan w:val="2"/>
            <w:shd w:val="clear" w:color="auto" w:fill="CFF0FC"/>
          </w:tcPr>
          <w:p>
            <w:pPr>
              <w:jc w:val="right"/>
              <w:ind w:right="180"/>
              <w:spacing w:after="0" w:line="215" w:lineRule="exact"/>
              <w:rPr>
                <w:sz w:val="20"/>
                <w:szCs w:val="20"/>
                <w:color w:val="auto"/>
              </w:rPr>
            </w:pPr>
            <w:r>
              <w:rPr>
                <w:rFonts w:ascii="Calibri" w:cs="Calibri" w:eastAsia="Calibri" w:hAnsi="Calibri"/>
                <w:sz w:val="18"/>
                <w:szCs w:val="18"/>
                <w:color w:val="auto"/>
              </w:rPr>
              <w:t>(10 )</w:t>
            </w:r>
          </w:p>
        </w:tc>
        <w:tc>
          <w:tcPr>
            <w:tcW w:w="300" w:type="dxa"/>
            <w:vAlign w:val="bottom"/>
            <w:shd w:val="clear" w:color="auto" w:fill="CFF0FC"/>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(358 )</w:t>
            </w:r>
          </w:p>
        </w:tc>
        <w:tc>
          <w:tcPr>
            <w:tcW w:w="0" w:type="dxa"/>
            <w:vAlign w:val="bottom"/>
          </w:tcPr>
          <w:p>
            <w:pPr>
              <w:spacing w:after="0"/>
              <w:rPr>
                <w:sz w:val="1"/>
                <w:szCs w:val="1"/>
                <w:color w:val="auto"/>
              </w:rPr>
            </w:pPr>
          </w:p>
        </w:tc>
      </w:tr>
      <w:tr>
        <w:trPr>
          <w:trHeight w:val="20"/>
        </w:trPr>
        <w:tc>
          <w:tcPr>
            <w:tcW w:w="66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-24765</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right="260" w:firstLine="509"/>
        <w:spacing w:after="0" w:line="235" w:lineRule="auto"/>
        <w:rPr>
          <w:sz w:val="20"/>
          <w:szCs w:val="20"/>
          <w:color w:val="auto"/>
        </w:rPr>
      </w:pPr>
      <w:r>
        <w:rPr>
          <w:rFonts w:ascii="Calibri" w:cs="Calibri" w:eastAsia="Calibri" w:hAnsi="Calibri"/>
          <w:sz w:val="18"/>
          <w:szCs w:val="18"/>
          <w:color w:val="auto"/>
        </w:rPr>
        <w:t>For both the three months ended December 31, 2023 and 2022, the Company reclassifed $1 million of gain associated with net investment hedges out of AOCI and into interest expense on the Consolidated Statements of Operatons.</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 Contngencies</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Respirator Liabilites</w:t>
      </w:r>
    </w:p>
    <w:p>
      <w:pPr>
        <w:spacing w:after="0" w:line="82" w:lineRule="exact"/>
        <w:rPr>
          <w:sz w:val="20"/>
          <w:szCs w:val="20"/>
          <w:color w:val="auto"/>
        </w:rPr>
      </w:pPr>
    </w:p>
    <w:p>
      <w:pPr>
        <w:ind w:right="40" w:firstLine="509"/>
        <w:spacing w:after="0" w:line="250" w:lineRule="auto"/>
        <w:rPr>
          <w:sz w:val="20"/>
          <w:szCs w:val="20"/>
          <w:color w:val="auto"/>
        </w:rPr>
      </w:pPr>
      <w:r>
        <w:rPr>
          <w:rFonts w:ascii="Calibri" w:cs="Calibri" w:eastAsia="Calibri" w:hAnsi="Calibri"/>
          <w:sz w:val="17"/>
          <w:szCs w:val="17"/>
          <w:color w:val="auto"/>
        </w:rPr>
        <w:t>Cabot has exposure in connecton with a safety respiratory products business that a subsidiary acquired from American Optcal Corporaton (“AO”) in an April 1990 asset purchase transacton. The subsidiary manufactured respirators under the AO brand and disposed of that business in July 1995. In connecton with its acquisiton of the business, the subsidiary agreed, in certain circumstances, to assume a porton of AO’s liabilites, including costs of legal fees together with amounts paid in setlements and judgments, allocable to AO respiratory products used prior to the 1990 purchase by the Cabot subsidiary. In exchange for the subsidiary’s assumpton of certain of AO’s respirator liabilites, AO agreed to provide to the subsidiary the benefts of: (i) AO’s insurance coverage for the period prior to the 1990 acquisiton and (ii) a former owner’s indemnity of AO holding it harmless from any liability allocable to AO respiratory products used prior to May 1982. As more fully described in the 2023 10-K, the respirator liabilites generally involve claims for personal injury, including asbestosis, silicosis and coal worker’s pneumoconiosis, allegedly resultng from the use of respirators that are alleged to have been negligently designed and/or labeled. At no tme did this respiratory product line represent a signifcant porton of the respirator market. In additon to Cabot’s subsidiary, other partes are responsible for signifcant portons of the costs of these respirator liabilites (as defned in the 2023 10-K, the “Payor Group”).</w:t>
      </w:r>
    </w:p>
    <w:p>
      <w:pPr>
        <w:spacing w:after="0" w:line="79" w:lineRule="exact"/>
        <w:rPr>
          <w:sz w:val="20"/>
          <w:szCs w:val="20"/>
          <w:color w:val="auto"/>
        </w:rPr>
      </w:pPr>
    </w:p>
    <w:p>
      <w:pPr>
        <w:ind w:right="180" w:firstLine="509"/>
        <w:spacing w:after="0"/>
        <w:rPr>
          <w:sz w:val="20"/>
          <w:szCs w:val="20"/>
          <w:color w:val="auto"/>
        </w:rPr>
      </w:pPr>
      <w:r>
        <w:rPr>
          <w:rFonts w:ascii="Calibri" w:cs="Calibri" w:eastAsia="Calibri" w:hAnsi="Calibri"/>
          <w:sz w:val="18"/>
          <w:szCs w:val="18"/>
          <w:color w:val="auto"/>
        </w:rPr>
        <w:t>Cabot has a reserve to cover its expected share of liabilites for pending and future respirator liability claims, which is included in Other liabilites and Accounts payable and accrued liabilites on the Consolidated Balance Sheets. The Company expects these liabilites to be incurred over a number of years. The reserve balance was $38 million at both December 31, 2023 and September 30, 2023.</w:t>
      </w:r>
    </w:p>
    <w:p>
      <w:pPr>
        <w:spacing w:after="0" w:line="8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Company’s current estmate of the cost of its share of pending and future respirator liability claims is based on facts and circumstances existng at this tme, including the number and nature of the remaining claims. Developments that could afect the Company’s estmate include, but are not limited to, (i) signifcant changes in the number of future claims, (ii) changes in the rate of dismissals without payment of pending claims, (iii) signifcant changes in the average cost of resolving claims, including potental setlements of groups of claims, (iv) signifcant changes in the legal costs of defending these claims, (v) changes in the nature of claims received or changes in our assessment of the viability of these claims, (vi) trial and appellate outcomes, (vii) changes in the law and procedure applicable to these claims, (viii) the fnancial viability of the partes that contribute to the payment of respirator claims, (ix) exhauston or changes in the recoverability of the insurance coverage maintained by certain members of the Payor Group, or a change in the availability of the indemnity provided by a former owner of AO, (x) changes in the allocaton of costs among the various partes paying legal and setlement costs, and (xi) a determinaton that the assumptons that were used to estmate Cabot’s share of liability are no longer reasonable. The Company cannot determine the impact of these potental developments on its current estmate of its share of liability for existng and future claims. Because reserves are limited to amounts that are probable and estmable as of a relevant measurement date, and there is inherent difculty in projectng the impact of potental developments on Cabot’s share of liability for these existng and future claims, it is reasonably possible that the liabilites for existng and future claims could change in the near term and that change could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415925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12" w:name="page13"/>
    <w:bookmarkEnd w:id="12"/>
    <w:p>
      <w:pPr>
        <w:spacing w:after="0"/>
        <w:rPr>
          <w:sz w:val="20"/>
          <w:szCs w:val="20"/>
          <w:color w:val="auto"/>
        </w:rPr>
      </w:pPr>
      <w:r>
        <w:rPr>
          <w:rFonts w:ascii="Calibri" w:cs="Calibri" w:eastAsia="Calibri" w:hAnsi="Calibri"/>
          <w:sz w:val="18"/>
          <w:szCs w:val="18"/>
          <w:b w:val="1"/>
          <w:bCs w:val="1"/>
          <w:i w:val="1"/>
          <w:iCs w:val="1"/>
          <w:color w:val="auto"/>
        </w:rPr>
        <w:t>Other Maters</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Company has various other lawsuits, claims and contngent liabilites arising in the ordinary course of its business and with respect to its divested businesses. The Company does not believe that any of these maters will have a material adverse efect on its fnancial positon; however, litgaton is inherently unpredictable. Cabot could incur judgments, enter into setlements or revise its expectatons regarding the outcome of certain maters, and such developments could have a material impact on its results of operatons in the period in which the amounts are accrued or its cash fows in the period in which the amounts are paid.</w:t>
      </w:r>
    </w:p>
    <w:p>
      <w:pPr>
        <w:spacing w:after="0" w:line="8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F. Income Tax</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Efectve Tax Rate</w:t>
      </w:r>
    </w:p>
    <w:p>
      <w:pPr>
        <w:spacing w:after="0" w:line="1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2360" w:type="dxa"/>
            <w:vAlign w:val="bottom"/>
            <w:gridSpan w:val="4"/>
          </w:tcPr>
          <w:p>
            <w:pPr>
              <w:jc w:val="right"/>
              <w:spacing w:after="0"/>
              <w:rPr>
                <w:sz w:val="20"/>
                <w:szCs w:val="20"/>
                <w:color w:val="auto"/>
              </w:rPr>
            </w:pPr>
            <w:r>
              <w:rPr>
                <w:rFonts w:ascii="Calibri" w:cs="Calibri" w:eastAsia="Calibri" w:hAnsi="Calibri"/>
                <w:sz w:val="14"/>
                <w:szCs w:val="14"/>
                <w:b w:val="1"/>
                <w:bCs w:val="1"/>
                <w:color w:val="auto"/>
              </w:rPr>
              <w:t>Three Months Ended December 31</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33"/>
        </w:trPr>
        <w:tc>
          <w:tcPr>
            <w:tcW w:w="62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63"/>
        </w:trPr>
        <w:tc>
          <w:tcPr>
            <w:tcW w:w="6260" w:type="dxa"/>
            <w:vAlign w:val="bottom"/>
          </w:tcPr>
          <w:p>
            <w:pPr>
              <w:spacing w:after="0"/>
              <w:rPr>
                <w:sz w:val="14"/>
                <w:szCs w:val="14"/>
                <w:color w:val="auto"/>
              </w:rPr>
            </w:pPr>
          </w:p>
        </w:tc>
        <w:tc>
          <w:tcPr>
            <w:tcW w:w="72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2023</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ind w:right="82"/>
              <w:spacing w:after="0" w:line="164" w:lineRule="exact"/>
              <w:rPr>
                <w:sz w:val="20"/>
                <w:szCs w:val="20"/>
                <w:color w:val="auto"/>
              </w:rPr>
            </w:pPr>
            <w:r>
              <w:rPr>
                <w:rFonts w:ascii="Calibri" w:cs="Calibri" w:eastAsia="Calibri" w:hAnsi="Calibri"/>
                <w:sz w:val="14"/>
                <w:szCs w:val="14"/>
                <w:b w:val="1"/>
                <w:bCs w:val="1"/>
                <w:color w:val="auto"/>
              </w:rPr>
              <w:t>2022</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33"/>
        </w:trPr>
        <w:tc>
          <w:tcPr>
            <w:tcW w:w="6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40" w:type="dxa"/>
            <w:vAlign w:val="bottom"/>
            <w:gridSpan w:val="3"/>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63"/>
        </w:trPr>
        <w:tc>
          <w:tcPr>
            <w:tcW w:w="626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ind w:left="20"/>
              <w:spacing w:after="0" w:line="164" w:lineRule="exact"/>
              <w:rPr>
                <w:sz w:val="20"/>
                <w:szCs w:val="20"/>
                <w:color w:val="auto"/>
              </w:rPr>
            </w:pPr>
            <w:r>
              <w:rPr>
                <w:rFonts w:ascii="Calibri" w:cs="Calibri" w:eastAsia="Calibri" w:hAnsi="Calibri"/>
                <w:sz w:val="14"/>
                <w:szCs w:val="14"/>
                <w:b w:val="1"/>
                <w:bCs w:val="1"/>
                <w:color w:val="auto"/>
                <w:w w:val="88"/>
              </w:rPr>
              <w:t>(Dollars</w:t>
            </w:r>
          </w:p>
        </w:tc>
        <w:tc>
          <w:tcPr>
            <w:tcW w:w="340" w:type="dxa"/>
            <w:vAlign w:val="bottom"/>
          </w:tcPr>
          <w:p>
            <w:pPr>
              <w:jc w:val="right"/>
              <w:ind w:right="88"/>
              <w:spacing w:after="0" w:line="163" w:lineRule="exact"/>
              <w:rPr>
                <w:sz w:val="20"/>
                <w:szCs w:val="20"/>
                <w:color w:val="auto"/>
              </w:rPr>
            </w:pPr>
            <w:r>
              <w:rPr>
                <w:rFonts w:ascii="Calibri" w:cs="Calibri" w:eastAsia="Calibri" w:hAnsi="Calibri"/>
                <w:sz w:val="14"/>
                <w:szCs w:val="14"/>
                <w:b w:val="1"/>
                <w:bCs w:val="1"/>
                <w:color w:val="auto"/>
              </w:rPr>
              <w:t>in</w:t>
            </w:r>
          </w:p>
        </w:tc>
        <w:tc>
          <w:tcPr>
            <w:tcW w:w="860" w:type="dxa"/>
            <w:vAlign w:val="bottom"/>
            <w:tcBorders>
              <w:top w:val="single" w:sz="8" w:color="auto"/>
            </w:tcBorders>
          </w:tcPr>
          <w:p>
            <w:pPr>
              <w:spacing w:after="0" w:line="164" w:lineRule="exact"/>
              <w:rPr>
                <w:sz w:val="20"/>
                <w:szCs w:val="20"/>
                <w:color w:val="auto"/>
              </w:rPr>
            </w:pPr>
            <w:r>
              <w:rPr>
                <w:rFonts w:ascii="Calibri" w:cs="Calibri" w:eastAsia="Calibri" w:hAnsi="Calibri"/>
                <w:sz w:val="14"/>
                <w:szCs w:val="14"/>
                <w:b w:val="1"/>
                <w:bCs w:val="1"/>
                <w:color w:val="auto"/>
              </w:rPr>
              <w:t>millions)</w:t>
            </w:r>
          </w:p>
        </w:tc>
        <w:tc>
          <w:tcPr>
            <w:tcW w:w="2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33"/>
        </w:trPr>
        <w:tc>
          <w:tcPr>
            <w:tcW w:w="6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23"/>
        </w:trPr>
        <w:tc>
          <w:tcPr>
            <w:tcW w:w="626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(Provision) beneft for income taxes</w:t>
            </w:r>
          </w:p>
        </w:tc>
        <w:tc>
          <w:tcPr>
            <w:tcW w:w="720" w:type="dxa"/>
            <w:vAlign w:val="bottom"/>
            <w:tcBorders>
              <w:bottom w:val="single" w:sz="8" w:color="CFF0FC"/>
            </w:tcBorders>
            <w:shd w:val="clear" w:color="auto" w:fill="CFF0FC"/>
          </w:tcPr>
          <w:p>
            <w:pPr>
              <w:jc w:val="right"/>
              <w:ind w:right="542"/>
              <w:spacing w:after="0" w:line="215" w:lineRule="exact"/>
              <w:rPr>
                <w:sz w:val="20"/>
                <w:szCs w:val="20"/>
                <w:color w:val="auto"/>
              </w:rPr>
            </w:pPr>
            <w:r>
              <w:rPr>
                <w:rFonts w:ascii="Calibri" w:cs="Calibri" w:eastAsia="Calibri" w:hAnsi="Calibri"/>
                <w:sz w:val="18"/>
                <w:szCs w:val="18"/>
                <w:color w:val="auto"/>
                <w:w w:val="87"/>
              </w:rPr>
              <w:t>$</w:t>
            </w:r>
          </w:p>
        </w:tc>
        <w:tc>
          <w:tcPr>
            <w:tcW w:w="780" w:type="dxa"/>
            <w:vAlign w:val="bottom"/>
            <w:tcBorders>
              <w:bottom w:val="single" w:sz="8" w:color="CFF0FC"/>
            </w:tcBorders>
            <w:gridSpan w:val="2"/>
            <w:shd w:val="clear" w:color="auto" w:fill="CFF0FC"/>
          </w:tcPr>
          <w:p>
            <w:pPr>
              <w:jc w:val="right"/>
              <w:ind w:right="208"/>
              <w:spacing w:after="0" w:line="215" w:lineRule="exact"/>
              <w:rPr>
                <w:sz w:val="20"/>
                <w:szCs w:val="20"/>
                <w:color w:val="auto"/>
              </w:rPr>
            </w:pPr>
            <w:r>
              <w:rPr>
                <w:rFonts w:ascii="Calibri" w:cs="Calibri" w:eastAsia="Calibri" w:hAnsi="Calibri"/>
                <w:sz w:val="18"/>
                <w:szCs w:val="18"/>
                <w:color w:val="auto"/>
              </w:rPr>
              <w:t>(34 )</w:t>
            </w:r>
          </w:p>
        </w:tc>
        <w:tc>
          <w:tcPr>
            <w:tcW w:w="86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w:t>
            </w:r>
          </w:p>
        </w:tc>
        <w:tc>
          <w:tcPr>
            <w:tcW w:w="360" w:type="dxa"/>
            <w:vAlign w:val="bottom"/>
            <w:tcBorders>
              <w:bottom w:val="single" w:sz="8" w:color="CFF0FC"/>
            </w:tcBorders>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w w:val="96"/>
              </w:rPr>
              <w:t>(20 )</w:t>
            </w:r>
          </w:p>
        </w:tc>
        <w:tc>
          <w:tcPr>
            <w:tcW w:w="60" w:type="dxa"/>
            <w:vAlign w:val="bottom"/>
          </w:tcPr>
          <w:p>
            <w:pPr>
              <w:spacing w:after="0"/>
              <w:rPr>
                <w:sz w:val="19"/>
                <w:szCs w:val="19"/>
                <w:color w:val="auto"/>
              </w:rPr>
            </w:pPr>
          </w:p>
        </w:tc>
      </w:tr>
      <w:tr>
        <w:trPr>
          <w:trHeight w:val="215"/>
        </w:trPr>
        <w:tc>
          <w:tcPr>
            <w:tcW w:w="6260" w:type="dxa"/>
            <w:vAlign w:val="bottom"/>
          </w:tcPr>
          <w:p>
            <w:pPr>
              <w:spacing w:after="0" w:line="215" w:lineRule="exact"/>
              <w:rPr>
                <w:sz w:val="20"/>
                <w:szCs w:val="20"/>
                <w:color w:val="auto"/>
              </w:rPr>
            </w:pPr>
            <w:r>
              <w:rPr>
                <w:rFonts w:ascii="Calibri" w:cs="Calibri" w:eastAsia="Calibri" w:hAnsi="Calibri"/>
                <w:sz w:val="18"/>
                <w:szCs w:val="18"/>
                <w:color w:val="auto"/>
              </w:rPr>
              <w:t>Efectve tax rate</w:t>
            </w:r>
          </w:p>
        </w:tc>
        <w:tc>
          <w:tcPr>
            <w:tcW w:w="720" w:type="dxa"/>
            <w:vAlign w:val="bottom"/>
          </w:tcPr>
          <w:p>
            <w:pPr>
              <w:spacing w:after="0"/>
              <w:rPr>
                <w:sz w:val="18"/>
                <w:szCs w:val="18"/>
                <w:color w:val="auto"/>
              </w:rPr>
            </w:pPr>
          </w:p>
        </w:tc>
        <w:tc>
          <w:tcPr>
            <w:tcW w:w="780" w:type="dxa"/>
            <w:vAlign w:val="bottom"/>
            <w:gridSpan w:val="2"/>
          </w:tcPr>
          <w:p>
            <w:pPr>
              <w:jc w:val="right"/>
              <w:ind w:right="128"/>
              <w:spacing w:after="0" w:line="215" w:lineRule="exact"/>
              <w:rPr>
                <w:sz w:val="20"/>
                <w:szCs w:val="20"/>
                <w:color w:val="auto"/>
              </w:rPr>
            </w:pPr>
            <w:r>
              <w:rPr>
                <w:rFonts w:ascii="Calibri" w:cs="Calibri" w:eastAsia="Calibri" w:hAnsi="Calibri"/>
                <w:sz w:val="18"/>
                <w:szCs w:val="18"/>
                <w:color w:val="auto"/>
              </w:rPr>
              <w:t>36 %</w:t>
            </w:r>
          </w:p>
        </w:tc>
        <w:tc>
          <w:tcPr>
            <w:tcW w:w="860" w:type="dxa"/>
            <w:vAlign w:val="bottom"/>
          </w:tcPr>
          <w:p>
            <w:pPr>
              <w:spacing w:after="0"/>
              <w:rPr>
                <w:sz w:val="18"/>
                <w:szCs w:val="18"/>
                <w:color w:val="auto"/>
              </w:rPr>
            </w:pPr>
          </w:p>
        </w:tc>
        <w:tc>
          <w:tcPr>
            <w:tcW w:w="420" w:type="dxa"/>
            <w:vAlign w:val="bottom"/>
            <w:gridSpan w:val="3"/>
          </w:tcPr>
          <w:p>
            <w:pPr>
              <w:jc w:val="right"/>
              <w:spacing w:after="0" w:line="215" w:lineRule="exact"/>
              <w:rPr>
                <w:sz w:val="20"/>
                <w:szCs w:val="20"/>
                <w:color w:val="auto"/>
              </w:rPr>
            </w:pPr>
            <w:r>
              <w:rPr>
                <w:rFonts w:ascii="Calibri" w:cs="Calibri" w:eastAsia="Calibri" w:hAnsi="Calibri"/>
                <w:sz w:val="18"/>
                <w:szCs w:val="18"/>
                <w:color w:val="auto"/>
              </w:rPr>
              <w:t>24 %</w:t>
            </w:r>
          </w:p>
        </w:tc>
      </w:tr>
    </w:tbl>
    <w:p>
      <w:pPr>
        <w:spacing w:after="0" w:line="195" w:lineRule="exact"/>
        <w:rPr>
          <w:sz w:val="20"/>
          <w:szCs w:val="20"/>
          <w:color w:val="auto"/>
        </w:rPr>
      </w:pPr>
    </w:p>
    <w:p>
      <w:pPr>
        <w:ind w:right="220" w:firstLine="509"/>
        <w:spacing w:after="0" w:line="235" w:lineRule="auto"/>
        <w:rPr>
          <w:sz w:val="20"/>
          <w:szCs w:val="20"/>
          <w:color w:val="auto"/>
        </w:rPr>
      </w:pPr>
      <w:r>
        <w:rPr>
          <w:rFonts w:ascii="Calibri" w:cs="Calibri" w:eastAsia="Calibri" w:hAnsi="Calibri"/>
          <w:sz w:val="18"/>
          <w:szCs w:val="18"/>
          <w:color w:val="auto"/>
        </w:rPr>
        <w:t>For the three months ended December 31, 2023 and 2022, the (Provision) beneft for income taxes included a net discrete tax expense of $7 million and $3 million, respectvely.</w:t>
      </w:r>
    </w:p>
    <w:p>
      <w:pPr>
        <w:spacing w:after="0" w:line="7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Income tax in Interim Periods</w:t>
      </w:r>
    </w:p>
    <w:p>
      <w:pPr>
        <w:spacing w:after="0" w:line="82" w:lineRule="exact"/>
        <w:rPr>
          <w:sz w:val="20"/>
          <w:szCs w:val="20"/>
          <w:color w:val="auto"/>
        </w:rPr>
      </w:pPr>
    </w:p>
    <w:p>
      <w:pPr>
        <w:ind w:right="240" w:firstLine="509"/>
        <w:spacing w:after="0" w:line="235" w:lineRule="auto"/>
        <w:rPr>
          <w:sz w:val="20"/>
          <w:szCs w:val="20"/>
          <w:color w:val="auto"/>
        </w:rPr>
      </w:pPr>
      <w:r>
        <w:rPr>
          <w:rFonts w:ascii="Calibri" w:cs="Calibri" w:eastAsia="Calibri" w:hAnsi="Calibri"/>
          <w:sz w:val="18"/>
          <w:szCs w:val="18"/>
          <w:color w:val="auto"/>
        </w:rPr>
        <w:t>The Company records its tax provision or beneft on an interim basis using an estmated annual efectve tax rate. This rate is applied to the current period ordinary income or loss to determine the income tax provision or beneft allocated to the interim period. The income tax efects of unusual or infrequent items are excluded from the estmated annual efectve tax rate and are recognized in the impacted interim period. Losses from jurisdictons for which no beneft can be recognized are excluded from the overall computatons of the estmated annual efectve tax rate and a separate estmated annual efectve tax rate is computed and applied to ordinary income or loss in the loss jurisdicton.</w:t>
      </w:r>
    </w:p>
    <w:p>
      <w:pPr>
        <w:spacing w:after="0" w:line="85"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Valuaton allowances are provided against the future tax benefts that arise from the deferred tax assets in jurisdictons for which the Company expects that no beneft can be recognized. The estmated annual efectve tax rate may be signifcantly impacted by nondeductble expenses and the Company’s projected earnings mix by tax jurisdicton. Adjustments to the estmated annual efectve income tax rate are recognized in the period when such estmates are revised.</w:t>
      </w:r>
    </w:p>
    <w:p>
      <w:pPr>
        <w:spacing w:after="0" w:line="8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Uncertaintes</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Cabot and certain subsidiaries are under audit in a number of jurisdictons. In additon, certain statutes of limitatons are scheduled to expire in the near future. It is reasonably possible that a change in the unrecognized tax benefts may also occur within the next twelve months related to the setlement of one or more of these audits or the lapse of applicable statutes of limitatons. However, an estmated range of the impact on the unrecognized tax benefts cannot be quantfed at this tme.</w:t>
      </w:r>
    </w:p>
    <w:p>
      <w:pPr>
        <w:spacing w:after="0" w:line="84"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Cabot fles U.S. federal and state and non-U.S. income tax returns in jurisdictons with varying statutes of limitatons. The 2020 through 2022 tax years generally remain subject to examinaton by the IRS and various tax years from 2016 through 2022 remain subject to examinaton by the respectve state tax authorites. In foreign jurisdictons, various tax years from 2006 through 2022 remain subject to examinaton by their respectve tax authorites.</w:t>
      </w:r>
    </w:p>
    <w:p>
      <w:pPr>
        <w:spacing w:after="0" w:line="84" w:lineRule="exact"/>
        <w:rPr>
          <w:sz w:val="20"/>
          <w:szCs w:val="20"/>
          <w:color w:val="auto"/>
        </w:rPr>
      </w:pPr>
    </w:p>
    <w:p>
      <w:pPr>
        <w:ind w:right="320" w:firstLine="509"/>
        <w:spacing w:after="0" w:line="235" w:lineRule="auto"/>
        <w:rPr>
          <w:sz w:val="20"/>
          <w:szCs w:val="20"/>
          <w:color w:val="auto"/>
        </w:rPr>
      </w:pPr>
      <w:r>
        <w:rPr>
          <w:rFonts w:ascii="Calibri" w:cs="Calibri" w:eastAsia="Calibri" w:hAnsi="Calibri"/>
          <w:sz w:val="18"/>
          <w:szCs w:val="18"/>
          <w:color w:val="auto"/>
        </w:rPr>
        <w:t>During each of the three months ended December 31, 2023 and 2022, Cabot released uncertain tax positons of $1 million due to the expiraton of statutes of limitatons in various jurisdictons.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415925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3" w:name="page14"/>
    <w:bookmarkEnd w:id="13"/>
    <w:p>
      <w:pPr>
        <w:spacing w:after="0"/>
        <w:rPr>
          <w:sz w:val="20"/>
          <w:szCs w:val="20"/>
          <w:color w:val="auto"/>
        </w:rPr>
      </w:pPr>
      <w:r>
        <w:rPr>
          <w:rFonts w:ascii="Calibri" w:cs="Calibri" w:eastAsia="Calibri" w:hAnsi="Calibri"/>
          <w:sz w:val="18"/>
          <w:szCs w:val="18"/>
          <w:b w:val="1"/>
          <w:bCs w:val="1"/>
          <w:color w:val="auto"/>
        </w:rPr>
        <w:t>G. Earnings Per Share</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following tables summarize the components of the basic and diluted earnings (loss) per common share (“EPS”) computatons: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80" w:type="dxa"/>
            <w:vAlign w:val="bottom"/>
          </w:tcPr>
          <w:p>
            <w:pPr>
              <w:spacing w:after="0"/>
              <w:rPr>
                <w:sz w:val="14"/>
                <w:szCs w:val="14"/>
                <w:color w:val="auto"/>
              </w:rPr>
            </w:pPr>
          </w:p>
        </w:tc>
        <w:tc>
          <w:tcPr>
            <w:tcW w:w="2620" w:type="dxa"/>
            <w:vAlign w:val="bottom"/>
            <w:gridSpan w:val="4"/>
          </w:tcPr>
          <w:p>
            <w:pPr>
              <w:jc w:val="right"/>
              <w:ind w:right="70"/>
              <w:spacing w:after="0"/>
              <w:rPr>
                <w:sz w:val="20"/>
                <w:szCs w:val="20"/>
                <w:color w:val="auto"/>
              </w:rPr>
            </w:pPr>
            <w:r>
              <w:rPr>
                <w:rFonts w:ascii="Calibri" w:cs="Calibri" w:eastAsia="Calibri" w:hAnsi="Calibri"/>
                <w:sz w:val="14"/>
                <w:szCs w:val="14"/>
                <w:b w:val="1"/>
                <w:bCs w:val="1"/>
                <w:color w:val="auto"/>
              </w:rPr>
              <w:t>Three Months Ended December 31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82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8280" w:type="dxa"/>
            <w:vAlign w:val="bottom"/>
          </w:tcPr>
          <w:p>
            <w:pPr>
              <w:spacing w:after="0"/>
              <w:rPr>
                <w:sz w:val="14"/>
                <w:szCs w:val="14"/>
                <w:color w:val="auto"/>
              </w:rPr>
            </w:pPr>
          </w:p>
        </w:tc>
        <w:tc>
          <w:tcPr>
            <w:tcW w:w="940" w:type="dxa"/>
            <w:vAlign w:val="bottom"/>
          </w:tcPr>
          <w:p>
            <w:pPr>
              <w:jc w:val="right"/>
              <w:ind w:right="61"/>
              <w:spacing w:after="0" w:line="164" w:lineRule="exact"/>
              <w:rPr>
                <w:sz w:val="20"/>
                <w:szCs w:val="20"/>
                <w:color w:val="auto"/>
              </w:rPr>
            </w:pPr>
            <w:r>
              <w:rPr>
                <w:rFonts w:ascii="Calibri" w:cs="Calibri" w:eastAsia="Calibri" w:hAnsi="Calibri"/>
                <w:sz w:val="14"/>
                <w:szCs w:val="14"/>
                <w:b w:val="1"/>
                <w:bCs w:val="1"/>
                <w:color w:val="auto"/>
              </w:rPr>
              <w:t>2023</w:t>
            </w:r>
          </w:p>
        </w:tc>
        <w:tc>
          <w:tcPr>
            <w:tcW w:w="340" w:type="dxa"/>
            <w:vAlign w:val="bottom"/>
          </w:tcPr>
          <w:p>
            <w:pPr>
              <w:spacing w:after="0"/>
              <w:rPr>
                <w:sz w:val="14"/>
                <w:szCs w:val="14"/>
                <w:color w:val="auto"/>
              </w:rPr>
            </w:pPr>
          </w:p>
        </w:tc>
        <w:tc>
          <w:tcPr>
            <w:tcW w:w="1340" w:type="dxa"/>
            <w:vAlign w:val="bottom"/>
            <w:gridSpan w:val="2"/>
          </w:tcPr>
          <w:p>
            <w:pPr>
              <w:jc w:val="right"/>
              <w:ind w:right="150"/>
              <w:spacing w:after="0" w:line="164" w:lineRule="exact"/>
              <w:rPr>
                <w:sz w:val="20"/>
                <w:szCs w:val="20"/>
                <w:color w:val="auto"/>
              </w:rPr>
            </w:pPr>
            <w:r>
              <w:rPr>
                <w:rFonts w:ascii="Calibri" w:cs="Calibri" w:eastAsia="Calibri" w:hAnsi="Calibri"/>
                <w:sz w:val="14"/>
                <w:szCs w:val="14"/>
                <w:b w:val="1"/>
                <w:bCs w:val="1"/>
                <w:color w:val="auto"/>
              </w:rPr>
              <w:t>2022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8280" w:type="dxa"/>
            <w:vAlign w:val="bottom"/>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8280" w:type="dxa"/>
            <w:vAlign w:val="bottom"/>
          </w:tcPr>
          <w:p>
            <w:pPr>
              <w:spacing w:after="0"/>
              <w:rPr>
                <w:sz w:val="14"/>
                <w:szCs w:val="14"/>
                <w:color w:val="auto"/>
              </w:rPr>
            </w:pPr>
          </w:p>
        </w:tc>
        <w:tc>
          <w:tcPr>
            <w:tcW w:w="2620" w:type="dxa"/>
            <w:vAlign w:val="bottom"/>
            <w:gridSpan w:val="4"/>
          </w:tcPr>
          <w:p>
            <w:pPr>
              <w:jc w:val="right"/>
              <w:spacing w:after="0" w:line="164" w:lineRule="exact"/>
              <w:rPr>
                <w:sz w:val="20"/>
                <w:szCs w:val="20"/>
                <w:color w:val="auto"/>
              </w:rPr>
            </w:pPr>
            <w:r>
              <w:rPr>
                <w:rFonts w:ascii="Calibri" w:cs="Calibri" w:eastAsia="Calibri" w:hAnsi="Calibri"/>
                <w:sz w:val="14"/>
                <w:szCs w:val="14"/>
                <w:b w:val="1"/>
                <w:bCs w:val="1"/>
                <w:color w:val="auto"/>
              </w:rPr>
              <w:t>(In millions, except per share amounts)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8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2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b w:val="1"/>
                <w:bCs w:val="1"/>
                <w:color w:val="auto"/>
              </w:rPr>
              <w:t>Basic EPS:</w:t>
            </w:r>
          </w:p>
        </w:tc>
        <w:tc>
          <w:tcPr>
            <w:tcW w:w="9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8280" w:type="dxa"/>
            <w:vAlign w:val="bottom"/>
          </w:tcPr>
          <w:p>
            <w:pPr>
              <w:ind w:left="200"/>
              <w:spacing w:after="0" w:line="207" w:lineRule="exact"/>
              <w:rPr>
                <w:sz w:val="20"/>
                <w:szCs w:val="20"/>
                <w:color w:val="auto"/>
              </w:rPr>
            </w:pPr>
            <w:r>
              <w:rPr>
                <w:rFonts w:ascii="Calibri" w:cs="Calibri" w:eastAsia="Calibri" w:hAnsi="Calibri"/>
                <w:sz w:val="18"/>
                <w:szCs w:val="18"/>
                <w:color w:val="auto"/>
              </w:rPr>
              <w:t>Net income (loss) atributable to Cabot</w:t>
            </w: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80" w:type="dxa"/>
            <w:vAlign w:val="bottom"/>
          </w:tcPr>
          <w:p>
            <w:pPr>
              <w:ind w:left="320"/>
              <w:spacing w:after="0" w:line="215" w:lineRule="exact"/>
              <w:rPr>
                <w:sz w:val="20"/>
                <w:szCs w:val="20"/>
                <w:color w:val="auto"/>
              </w:rPr>
            </w:pPr>
            <w:r>
              <w:rPr>
                <w:rFonts w:ascii="Calibri" w:cs="Calibri" w:eastAsia="Calibri" w:hAnsi="Calibri"/>
                <w:sz w:val="18"/>
                <w:szCs w:val="18"/>
                <w:color w:val="auto"/>
              </w:rPr>
              <w:t>Corporaton</w:t>
            </w:r>
          </w:p>
        </w:tc>
        <w:tc>
          <w:tcPr>
            <w:tcW w:w="940" w:type="dxa"/>
            <w:vAlign w:val="bottom"/>
          </w:tcPr>
          <w:p>
            <w:pPr>
              <w:jc w:val="right"/>
              <w:ind w:right="761"/>
              <w:spacing w:after="0" w:line="215" w:lineRule="exact"/>
              <w:rPr>
                <w:sz w:val="20"/>
                <w:szCs w:val="20"/>
                <w:color w:val="auto"/>
              </w:rPr>
            </w:pPr>
            <w:r>
              <w:rPr>
                <w:rFonts w:ascii="Calibri" w:cs="Calibri" w:eastAsia="Calibri" w:hAnsi="Calibri"/>
                <w:sz w:val="18"/>
                <w:szCs w:val="18"/>
                <w:color w:val="auto"/>
                <w:w w:val="87"/>
              </w:rPr>
              <w:t>$</w:t>
            </w:r>
          </w:p>
        </w:tc>
        <w:tc>
          <w:tcPr>
            <w:tcW w:w="340" w:type="dxa"/>
            <w:vAlign w:val="bottom"/>
          </w:tcPr>
          <w:p>
            <w:pPr>
              <w:jc w:val="right"/>
              <w:spacing w:after="0" w:line="215" w:lineRule="exact"/>
              <w:rPr>
                <w:sz w:val="20"/>
                <w:szCs w:val="20"/>
                <w:color w:val="auto"/>
              </w:rPr>
            </w:pPr>
            <w:r>
              <w:rPr>
                <w:rFonts w:ascii="Calibri" w:cs="Calibri" w:eastAsia="Calibri" w:hAnsi="Calibri"/>
                <w:sz w:val="18"/>
                <w:szCs w:val="18"/>
                <w:color w:val="auto"/>
              </w:rPr>
              <w:t>50</w:t>
            </w:r>
          </w:p>
        </w:tc>
        <w:tc>
          <w:tcPr>
            <w:tcW w:w="1340" w:type="dxa"/>
            <w:vAlign w:val="bottom"/>
            <w:gridSpan w:val="2"/>
          </w:tcPr>
          <w:p>
            <w:pPr>
              <w:jc w:val="right"/>
              <w:ind w:right="83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jc w:val="right"/>
              <w:spacing w:after="0" w:line="215" w:lineRule="exact"/>
              <w:rPr>
                <w:sz w:val="20"/>
                <w:szCs w:val="20"/>
                <w:color w:val="auto"/>
              </w:rPr>
            </w:pPr>
            <w:r>
              <w:rPr>
                <w:rFonts w:ascii="Calibri" w:cs="Calibri" w:eastAsia="Calibri" w:hAnsi="Calibri"/>
                <w:sz w:val="18"/>
                <w:szCs w:val="18"/>
                <w:color w:val="auto"/>
              </w:rPr>
              <w:t>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7"/>
        </w:trPr>
        <w:tc>
          <w:tcPr>
            <w:tcW w:w="8280" w:type="dxa"/>
            <w:vAlign w:val="bottom"/>
            <w:shd w:val="clear" w:color="auto" w:fill="CFF0FC"/>
          </w:tcPr>
          <w:p>
            <w:pPr>
              <w:ind w:left="200"/>
              <w:spacing w:after="0" w:line="207" w:lineRule="exact"/>
              <w:rPr>
                <w:sz w:val="20"/>
                <w:szCs w:val="20"/>
                <w:color w:val="auto"/>
              </w:rPr>
            </w:pPr>
            <w:r>
              <w:rPr>
                <w:rFonts w:ascii="Calibri" w:cs="Calibri" w:eastAsia="Calibri" w:hAnsi="Calibri"/>
                <w:sz w:val="18"/>
                <w:szCs w:val="18"/>
                <w:color w:val="auto"/>
              </w:rPr>
              <w:t>Less: Dividends and dividend equivalents</w:t>
            </w:r>
          </w:p>
        </w:tc>
        <w:tc>
          <w:tcPr>
            <w:tcW w:w="9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8280" w:type="dxa"/>
            <w:vAlign w:val="bottom"/>
            <w:tcBorders>
              <w:bottom w:val="single" w:sz="8" w:color="CFF0FC"/>
            </w:tcBorders>
            <w:shd w:val="clear" w:color="auto" w:fill="CFF0FC"/>
          </w:tcPr>
          <w:p>
            <w:pPr>
              <w:ind w:left="320"/>
              <w:spacing w:after="0" w:line="215" w:lineRule="exact"/>
              <w:rPr>
                <w:sz w:val="20"/>
                <w:szCs w:val="20"/>
                <w:color w:val="auto"/>
              </w:rPr>
            </w:pPr>
            <w:r>
              <w:rPr>
                <w:rFonts w:ascii="Calibri" w:cs="Calibri" w:eastAsia="Calibri" w:hAnsi="Calibri"/>
                <w:sz w:val="18"/>
                <w:szCs w:val="18"/>
                <w:color w:val="auto"/>
              </w:rPr>
              <w:t>to partcipatng securites</w:t>
            </w:r>
          </w:p>
        </w:tc>
        <w:tc>
          <w:tcPr>
            <w:tcW w:w="9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32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183"/>
        </w:trPr>
        <w:tc>
          <w:tcPr>
            <w:tcW w:w="8280" w:type="dxa"/>
            <w:vAlign w:val="bottom"/>
          </w:tcPr>
          <w:p>
            <w:pPr>
              <w:ind w:left="200"/>
              <w:spacing w:after="0" w:line="183" w:lineRule="exact"/>
              <w:rPr>
                <w:sz w:val="20"/>
                <w:szCs w:val="20"/>
                <w:color w:val="auto"/>
              </w:rPr>
            </w:pPr>
            <w:r>
              <w:rPr>
                <w:rFonts w:ascii="Calibri" w:cs="Calibri" w:eastAsia="Calibri" w:hAnsi="Calibri"/>
                <w:sz w:val="18"/>
                <w:szCs w:val="18"/>
                <w:color w:val="auto"/>
              </w:rPr>
              <w:t>Less: Undistributed earnings allocated to</w:t>
            </w: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8280" w:type="dxa"/>
            <w:vAlign w:val="bottom"/>
          </w:tcPr>
          <w:p>
            <w:pPr>
              <w:ind w:left="320"/>
              <w:spacing w:after="0" w:line="263" w:lineRule="exact"/>
              <w:rPr>
                <w:sz w:val="20"/>
                <w:szCs w:val="20"/>
                <w:color w:val="auto"/>
              </w:rPr>
            </w:pPr>
            <w:r>
              <w:rPr>
                <w:rFonts w:ascii="Calibri" w:cs="Calibri" w:eastAsia="Calibri" w:hAnsi="Calibri"/>
                <w:sz w:val="18"/>
                <w:szCs w:val="18"/>
                <w:color w:val="auto"/>
              </w:rPr>
              <w:t>partcipatng securites</w:t>
            </w:r>
            <w:r>
              <w:rPr>
                <w:rFonts w:ascii="Calibri" w:cs="Calibri" w:eastAsia="Calibri" w:hAnsi="Calibri"/>
                <w:sz w:val="24"/>
                <w:szCs w:val="24"/>
                <w:color w:val="auto"/>
                <w:vertAlign w:val="superscript"/>
              </w:rPr>
              <w:t>(1)</w:t>
            </w:r>
          </w:p>
        </w:tc>
        <w:tc>
          <w:tcPr>
            <w:tcW w:w="9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1</w:t>
            </w:r>
          </w:p>
        </w:tc>
        <w:tc>
          <w:tcPr>
            <w:tcW w:w="32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8280" w:type="dxa"/>
            <w:vAlign w:val="bottom"/>
            <w:shd w:val="clear" w:color="auto" w:fill="CFF0FC"/>
          </w:tcPr>
          <w:p>
            <w:pPr>
              <w:ind w:left="480"/>
              <w:spacing w:after="0" w:line="201" w:lineRule="exact"/>
              <w:rPr>
                <w:sz w:val="20"/>
                <w:szCs w:val="20"/>
                <w:color w:val="auto"/>
              </w:rPr>
            </w:pPr>
            <w:r>
              <w:rPr>
                <w:rFonts w:ascii="Calibri" w:cs="Calibri" w:eastAsia="Calibri" w:hAnsi="Calibri"/>
                <w:sz w:val="18"/>
                <w:szCs w:val="18"/>
                <w:color w:val="auto"/>
              </w:rPr>
              <w:t>Earnings (loss) allocated to common</w:t>
            </w:r>
          </w:p>
        </w:tc>
        <w:tc>
          <w:tcPr>
            <w:tcW w:w="940" w:type="dxa"/>
            <w:vAlign w:val="bottom"/>
            <w:vMerge w:val="restart"/>
            <w:shd w:val="clear" w:color="auto" w:fill="CFF0FC"/>
          </w:tcPr>
          <w:p>
            <w:pPr>
              <w:jc w:val="right"/>
              <w:ind w:right="761"/>
              <w:spacing w:after="0"/>
              <w:rPr>
                <w:sz w:val="20"/>
                <w:szCs w:val="20"/>
                <w:color w:val="auto"/>
              </w:rPr>
            </w:pPr>
            <w:r>
              <w:rPr>
                <w:rFonts w:ascii="Calibri" w:cs="Calibri" w:eastAsia="Calibri" w:hAnsi="Calibri"/>
                <w:sz w:val="18"/>
                <w:szCs w:val="18"/>
                <w:color w:val="auto"/>
                <w:w w:val="87"/>
              </w:rPr>
              <w:t>$</w:t>
            </w:r>
          </w:p>
        </w:tc>
        <w:tc>
          <w:tcPr>
            <w:tcW w:w="34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49</w:t>
            </w:r>
          </w:p>
        </w:tc>
        <w:tc>
          <w:tcPr>
            <w:tcW w:w="320" w:type="dxa"/>
            <w:vAlign w:val="bottom"/>
            <w:vMerge w:val="restart"/>
            <w:shd w:val="clear" w:color="auto" w:fill="CFF0FC"/>
          </w:tcPr>
          <w:p>
            <w:pPr>
              <w:spacing w:after="0"/>
              <w:rPr>
                <w:sz w:val="17"/>
                <w:szCs w:val="17"/>
                <w:color w:val="auto"/>
              </w:rPr>
            </w:pPr>
          </w:p>
        </w:tc>
        <w:tc>
          <w:tcPr>
            <w:tcW w:w="1020" w:type="dxa"/>
            <w:vAlign w:val="bottom"/>
            <w:vMerge w:val="restart"/>
            <w:shd w:val="clear" w:color="auto" w:fill="CFF0FC"/>
          </w:tcPr>
          <w:p>
            <w:pPr>
              <w:jc w:val="right"/>
              <w:ind w:right="830"/>
              <w:spacing w:after="0"/>
              <w:rPr>
                <w:sz w:val="20"/>
                <w:szCs w:val="20"/>
                <w:color w:val="auto"/>
              </w:rPr>
            </w:pPr>
            <w:r>
              <w:rPr>
                <w:rFonts w:ascii="Calibri" w:cs="Calibri" w:eastAsia="Calibri" w:hAnsi="Calibri"/>
                <w:sz w:val="18"/>
                <w:szCs w:val="18"/>
                <w:color w:val="auto"/>
                <w:w w:val="87"/>
              </w:rPr>
              <w:t>$</w:t>
            </w:r>
          </w:p>
        </w:tc>
        <w:tc>
          <w:tcPr>
            <w:tcW w:w="24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53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8280" w:type="dxa"/>
            <w:vAlign w:val="bottom"/>
            <w:tcBorders>
              <w:bottom w:val="single" w:sz="8" w:color="CFF0FC"/>
            </w:tcBorders>
            <w:shd w:val="clear" w:color="auto" w:fill="CFF0FC"/>
          </w:tcPr>
          <w:p>
            <w:pPr>
              <w:ind w:left="600"/>
              <w:spacing w:after="0" w:line="211" w:lineRule="exact"/>
              <w:rPr>
                <w:sz w:val="20"/>
                <w:szCs w:val="20"/>
                <w:color w:val="auto"/>
              </w:rPr>
            </w:pPr>
            <w:r>
              <w:rPr>
                <w:rFonts w:ascii="Calibri" w:cs="Calibri" w:eastAsia="Calibri" w:hAnsi="Calibri"/>
                <w:sz w:val="18"/>
                <w:szCs w:val="18"/>
                <w:color w:val="auto"/>
              </w:rPr>
              <w:t>stockholders (numerator)</w:t>
            </w:r>
          </w:p>
        </w:tc>
        <w:tc>
          <w:tcPr>
            <w:tcW w:w="940" w:type="dxa"/>
            <w:vAlign w:val="bottom"/>
            <w:tcBorders>
              <w:bottom w:val="single" w:sz="8" w:color="auto"/>
            </w:tcBorders>
            <w:vMerge w:val="continue"/>
            <w:shd w:val="clear" w:color="auto" w:fill="CFF0FC"/>
          </w:tcPr>
          <w:p>
            <w:pPr>
              <w:spacing w:after="0"/>
              <w:rPr>
                <w:sz w:val="21"/>
                <w:szCs w:val="21"/>
                <w:color w:val="auto"/>
              </w:rPr>
            </w:pPr>
          </w:p>
        </w:tc>
        <w:tc>
          <w:tcPr>
            <w:tcW w:w="340" w:type="dxa"/>
            <w:vAlign w:val="bottom"/>
            <w:tcBorders>
              <w:bottom w:val="single" w:sz="8" w:color="auto"/>
            </w:tcBorders>
            <w:vMerge w:val="continue"/>
            <w:shd w:val="clear" w:color="auto" w:fill="CFF0FC"/>
          </w:tcPr>
          <w:p>
            <w:pPr>
              <w:spacing w:after="0"/>
              <w:rPr>
                <w:sz w:val="21"/>
                <w:szCs w:val="21"/>
                <w:color w:val="auto"/>
              </w:rPr>
            </w:pPr>
          </w:p>
        </w:tc>
        <w:tc>
          <w:tcPr>
            <w:tcW w:w="320" w:type="dxa"/>
            <w:vAlign w:val="bottom"/>
            <w:tcBorders>
              <w:bottom w:val="single" w:sz="8" w:color="CFF0FC"/>
            </w:tcBorders>
            <w:vMerge w:val="continue"/>
            <w:shd w:val="clear" w:color="auto" w:fill="CFF0FC"/>
          </w:tcPr>
          <w:p>
            <w:pPr>
              <w:spacing w:after="0"/>
              <w:rPr>
                <w:sz w:val="21"/>
                <w:szCs w:val="21"/>
                <w:color w:val="auto"/>
              </w:rPr>
            </w:pPr>
          </w:p>
        </w:tc>
        <w:tc>
          <w:tcPr>
            <w:tcW w:w="102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-25400</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p>
      <w:pPr>
        <w:spacing w:after="0" w:line="229"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Weighted average common shares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2914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left="320"/>
        <w:spacing w:after="0" w:line="235" w:lineRule="auto"/>
        <w:rPr>
          <w:sz w:val="20"/>
          <w:szCs w:val="20"/>
          <w:color w:val="auto"/>
        </w:rPr>
      </w:pPr>
      <w:r>
        <w:rPr>
          <w:rFonts w:ascii="Calibri" w:cs="Calibri" w:eastAsia="Calibri" w:hAnsi="Calibri"/>
          <w:sz w:val="18"/>
          <w:szCs w:val="18"/>
          <w:color w:val="auto"/>
        </w:rPr>
        <w:t>partcipatng securites outstanding</w:t>
      </w:r>
    </w:p>
    <w:p>
      <w:pPr>
        <w:spacing w:after="0" w:line="5"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Less: Partcipatng securites</w:t>
      </w:r>
      <w:r>
        <w:rPr>
          <w:rFonts w:ascii="Calibri" w:cs="Calibri" w:eastAsia="Calibri" w:hAnsi="Calibri"/>
          <w:sz w:val="24"/>
          <w:szCs w:val="24"/>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2914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left="480"/>
        <w:spacing w:after="0" w:line="234" w:lineRule="auto"/>
        <w:rPr>
          <w:sz w:val="20"/>
          <w:szCs w:val="20"/>
          <w:color w:val="auto"/>
        </w:rPr>
      </w:pPr>
      <w:r>
        <w:rPr>
          <w:rFonts w:ascii="Calibri" w:cs="Calibri" w:eastAsia="Calibri" w:hAnsi="Calibri"/>
          <w:sz w:val="17"/>
          <w:szCs w:val="17"/>
          <w:color w:val="auto"/>
        </w:rPr>
        <w:t>Adjusted weighted average common</w:t>
      </w:r>
    </w:p>
    <w:p>
      <w:pPr>
        <w:ind w:left="600"/>
        <w:spacing w:after="0" w:line="235" w:lineRule="auto"/>
        <w:rPr>
          <w:sz w:val="20"/>
          <w:szCs w:val="20"/>
          <w:color w:val="auto"/>
        </w:rPr>
      </w:pPr>
      <w:r>
        <w:rPr>
          <w:rFonts w:ascii="Calibri" w:cs="Calibri" w:eastAsia="Calibri" w:hAnsi="Calibri"/>
          <w:sz w:val="18"/>
          <w:szCs w:val="18"/>
          <w:color w:val="auto"/>
        </w:rPr>
        <w:t>shares (denominator)</w:t>
      </w:r>
    </w:p>
    <w:p>
      <w:pPr>
        <w:spacing w:after="0" w:line="272" w:lineRule="exact"/>
        <w:rPr>
          <w:sz w:val="20"/>
          <w:szCs w:val="20"/>
          <w:color w:val="auto"/>
        </w:rPr>
      </w:pPr>
    </w:p>
    <w:p>
      <w:pPr>
        <w:ind w:left="200"/>
        <w:spacing w:after="0"/>
        <w:rPr>
          <w:sz w:val="20"/>
          <w:szCs w:val="20"/>
          <w:color w:val="auto"/>
        </w:rPr>
      </w:pPr>
      <w:r>
        <w:rPr>
          <w:rFonts w:ascii="Calibri" w:cs="Calibri" w:eastAsia="Calibri" w:hAnsi="Calibri"/>
          <w:sz w:val="17"/>
          <w:szCs w:val="17"/>
          <w:color w:val="auto"/>
        </w:rPr>
        <w:t>Earnings (loss) per common share -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543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5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Calibri" w:cs="Calibri" w:eastAsia="Calibri" w:hAnsi="Calibri"/>
                <w:sz w:val="18"/>
                <w:szCs w:val="18"/>
                <w:color w:val="auto"/>
              </w:rPr>
              <w:t>56.4</w:t>
            </w: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Calibri" w:cs="Calibri" w:eastAsia="Calibri" w:hAnsi="Calibri"/>
                <w:sz w:val="18"/>
                <w:szCs w:val="18"/>
                <w:color w:val="auto"/>
              </w:rPr>
              <w:t>57.6</w:t>
            </w:r>
          </w:p>
        </w:tc>
      </w:tr>
      <w:tr>
        <w:trPr>
          <w:trHeight w:val="243"/>
        </w:trPr>
        <w:tc>
          <w:tcPr>
            <w:tcW w:w="5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Calibri" w:cs="Calibri" w:eastAsia="Calibri" w:hAnsi="Calibri"/>
                <w:sz w:val="18"/>
                <w:szCs w:val="18"/>
                <w:color w:val="auto"/>
              </w:rPr>
              <w:t>1.1</w:t>
            </w: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Calibri" w:cs="Calibri" w:eastAsia="Calibri" w:hAnsi="Calibri"/>
                <w:sz w:val="18"/>
                <w:szCs w:val="18"/>
                <w:color w:val="auto"/>
              </w:rPr>
              <w:t>1.3</w:t>
            </w:r>
          </w:p>
        </w:tc>
      </w:tr>
      <w:tr>
        <w:trPr>
          <w:trHeight w:val="37"/>
        </w:trPr>
        <w:tc>
          <w:tcPr>
            <w:tcW w:w="5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375"/>
        </w:trPr>
        <w:tc>
          <w:tcPr>
            <w:tcW w:w="5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alibri" w:cs="Calibri" w:eastAsia="Calibri" w:hAnsi="Calibri"/>
                <w:sz w:val="18"/>
                <w:szCs w:val="18"/>
                <w:color w:val="auto"/>
              </w:rPr>
              <w:t>55.3</w:t>
            </w: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alibri" w:cs="Calibri" w:eastAsia="Calibri" w:hAnsi="Calibri"/>
                <w:sz w:val="18"/>
                <w:szCs w:val="18"/>
                <w:color w:val="auto"/>
              </w:rPr>
              <w:t>56.3</w:t>
            </w:r>
          </w:p>
        </w:tc>
      </w:tr>
      <w:tr>
        <w:trPr>
          <w:trHeight w:val="37"/>
        </w:trPr>
        <w:tc>
          <w:tcPr>
            <w:tcW w:w="5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430"/>
        </w:trPr>
        <w:tc>
          <w:tcPr>
            <w:tcW w:w="540" w:type="dxa"/>
            <w:vAlign w:val="bottom"/>
          </w:tcPr>
          <w:p>
            <w:pPr>
              <w:jc w:val="right"/>
              <w:ind w:right="350"/>
              <w:spacing w:after="0"/>
              <w:rPr>
                <w:sz w:val="20"/>
                <w:szCs w:val="20"/>
                <w:color w:val="auto"/>
              </w:rPr>
            </w:pPr>
            <w:r>
              <w:rPr>
                <w:rFonts w:ascii="Calibri" w:cs="Calibri" w:eastAsia="Calibri" w:hAnsi="Calibri"/>
                <w:sz w:val="18"/>
                <w:szCs w:val="18"/>
                <w:color w:val="auto"/>
                <w:w w:val="87"/>
              </w:rPr>
              <w:t>$</w:t>
            </w:r>
          </w:p>
        </w:tc>
        <w:tc>
          <w:tcPr>
            <w:tcW w:w="740" w:type="dxa"/>
            <w:vAlign w:val="bottom"/>
          </w:tcPr>
          <w:p>
            <w:pPr>
              <w:jc w:val="right"/>
              <w:spacing w:after="0"/>
              <w:rPr>
                <w:sz w:val="20"/>
                <w:szCs w:val="20"/>
                <w:color w:val="auto"/>
              </w:rPr>
            </w:pPr>
            <w:r>
              <w:rPr>
                <w:rFonts w:ascii="Calibri" w:cs="Calibri" w:eastAsia="Calibri" w:hAnsi="Calibri"/>
                <w:sz w:val="18"/>
                <w:szCs w:val="18"/>
                <w:color w:val="auto"/>
              </w:rPr>
              <w:t>0.88</w:t>
            </w:r>
          </w:p>
        </w:tc>
        <w:tc>
          <w:tcPr>
            <w:tcW w:w="840" w:type="dxa"/>
            <w:vAlign w:val="bottom"/>
            <w:gridSpan w:val="2"/>
          </w:tcPr>
          <w:p>
            <w:pPr>
              <w:jc w:val="right"/>
              <w:ind w:right="420"/>
              <w:spacing w:after="0"/>
              <w:rPr>
                <w:sz w:val="20"/>
                <w:szCs w:val="20"/>
                <w:color w:val="auto"/>
              </w:rPr>
            </w:pPr>
            <w:r>
              <w:rPr>
                <w:rFonts w:ascii="Calibri" w:cs="Calibri" w:eastAsia="Calibri" w:hAnsi="Calibri"/>
                <w:sz w:val="18"/>
                <w:szCs w:val="18"/>
                <w:color w:val="auto"/>
              </w:rPr>
              <w:t>$</w:t>
            </w:r>
          </w:p>
        </w:tc>
        <w:tc>
          <w:tcPr>
            <w:tcW w:w="740" w:type="dxa"/>
            <w:vAlign w:val="bottom"/>
          </w:tcPr>
          <w:p>
            <w:pPr>
              <w:jc w:val="right"/>
              <w:spacing w:after="0"/>
              <w:rPr>
                <w:sz w:val="20"/>
                <w:szCs w:val="20"/>
                <w:color w:val="auto"/>
              </w:rPr>
            </w:pPr>
            <w:r>
              <w:rPr>
                <w:rFonts w:ascii="Calibri" w:cs="Calibri" w:eastAsia="Calibri" w:hAnsi="Calibri"/>
                <w:sz w:val="18"/>
                <w:szCs w:val="18"/>
                <w:color w:val="auto"/>
              </w:rPr>
              <w:t>0.94</w:t>
            </w:r>
          </w:p>
        </w:tc>
      </w:tr>
    </w:tbl>
    <w:p>
      <w:pPr>
        <w:spacing w:after="0" w:line="200" w:lineRule="exact"/>
        <w:rPr>
          <w:sz w:val="20"/>
          <w:szCs w:val="20"/>
          <w:color w:val="auto"/>
        </w:rPr>
      </w:pPr>
    </w:p>
    <w:p>
      <w:pPr>
        <w:sectPr>
          <w:pgSz w:w="11900" w:h="16838" w:orient="portrait"/>
          <w:cols w:equalWidth="0" w:num="2">
            <w:col w:w="7560" w:space="720"/>
            <w:col w:w="2960"/>
          </w:cols>
          <w:pgMar w:left="320" w:top="409" w:right="339" w:bottom="1440" w:gutter="0" w:footer="0" w:header="0"/>
          <w:type w:val="continuous"/>
        </w:sectPr>
      </w:pP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280" w:type="dxa"/>
            <w:vAlign w:val="bottom"/>
            <w:shd w:val="clear" w:color="auto" w:fill="CFF0FC"/>
          </w:tcPr>
          <w:p>
            <w:pPr>
              <w:ind w:left="20"/>
              <w:spacing w:after="0"/>
              <w:rPr>
                <w:sz w:val="20"/>
                <w:szCs w:val="20"/>
                <w:color w:val="auto"/>
              </w:rPr>
            </w:pPr>
            <w:r>
              <w:rPr>
                <w:rFonts w:ascii="Calibri" w:cs="Calibri" w:eastAsia="Calibri" w:hAnsi="Calibri"/>
                <w:sz w:val="18"/>
                <w:szCs w:val="18"/>
                <w:b w:val="1"/>
                <w:bCs w:val="1"/>
                <w:color w:val="auto"/>
              </w:rPr>
              <w:t>Diluted EPS:</w:t>
            </w:r>
          </w:p>
        </w:tc>
        <w:tc>
          <w:tcPr>
            <w:tcW w:w="6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8280" w:type="dxa"/>
            <w:vAlign w:val="bottom"/>
          </w:tcPr>
          <w:p>
            <w:pPr>
              <w:ind w:left="200"/>
              <w:spacing w:after="0" w:line="207" w:lineRule="exact"/>
              <w:rPr>
                <w:sz w:val="20"/>
                <w:szCs w:val="20"/>
                <w:color w:val="auto"/>
              </w:rPr>
            </w:pPr>
            <w:r>
              <w:rPr>
                <w:rFonts w:ascii="Calibri" w:cs="Calibri" w:eastAsia="Calibri" w:hAnsi="Calibri"/>
                <w:sz w:val="18"/>
                <w:szCs w:val="18"/>
                <w:color w:val="auto"/>
              </w:rPr>
              <w:t>Earnings (loss) allocated to common</w:t>
            </w: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80" w:type="dxa"/>
            <w:vAlign w:val="bottom"/>
          </w:tcPr>
          <w:p>
            <w:pPr>
              <w:ind w:left="320"/>
              <w:spacing w:after="0" w:line="215" w:lineRule="exact"/>
              <w:rPr>
                <w:sz w:val="20"/>
                <w:szCs w:val="20"/>
                <w:color w:val="auto"/>
              </w:rPr>
            </w:pPr>
            <w:r>
              <w:rPr>
                <w:rFonts w:ascii="Calibri" w:cs="Calibri" w:eastAsia="Calibri" w:hAnsi="Calibri"/>
                <w:sz w:val="18"/>
                <w:szCs w:val="18"/>
                <w:color w:val="auto"/>
              </w:rPr>
              <w:t>stockholders</w:t>
            </w:r>
          </w:p>
        </w:tc>
        <w:tc>
          <w:tcPr>
            <w:tcW w:w="600" w:type="dxa"/>
            <w:vAlign w:val="bottom"/>
          </w:tcPr>
          <w:p>
            <w:pPr>
              <w:jc w:val="right"/>
              <w:ind w:right="410"/>
              <w:spacing w:after="0" w:line="215" w:lineRule="exact"/>
              <w:rPr>
                <w:sz w:val="20"/>
                <w:szCs w:val="20"/>
                <w:color w:val="auto"/>
              </w:rPr>
            </w:pPr>
            <w:r>
              <w:rPr>
                <w:rFonts w:ascii="Calibri" w:cs="Calibri" w:eastAsia="Calibri" w:hAnsi="Calibri"/>
                <w:sz w:val="18"/>
                <w:szCs w:val="18"/>
                <w:color w:val="auto"/>
                <w:w w:val="87"/>
              </w:rPr>
              <w:t>$</w:t>
            </w:r>
          </w:p>
        </w:tc>
        <w:tc>
          <w:tcPr>
            <w:tcW w:w="680" w:type="dxa"/>
            <w:vAlign w:val="bottom"/>
          </w:tcPr>
          <w:p>
            <w:pPr>
              <w:jc w:val="right"/>
              <w:spacing w:after="0" w:line="215" w:lineRule="exact"/>
              <w:rPr>
                <w:sz w:val="20"/>
                <w:szCs w:val="20"/>
                <w:color w:val="auto"/>
              </w:rPr>
            </w:pPr>
            <w:r>
              <w:rPr>
                <w:rFonts w:ascii="Calibri" w:cs="Calibri" w:eastAsia="Calibri" w:hAnsi="Calibri"/>
                <w:sz w:val="18"/>
                <w:szCs w:val="18"/>
                <w:color w:val="auto"/>
              </w:rPr>
              <w:t>49</w:t>
            </w:r>
          </w:p>
        </w:tc>
        <w:tc>
          <w:tcPr>
            <w:tcW w:w="900" w:type="dxa"/>
            <w:vAlign w:val="bottom"/>
            <w:gridSpan w:val="2"/>
          </w:tcPr>
          <w:p>
            <w:pPr>
              <w:jc w:val="right"/>
              <w:ind w:right="390"/>
              <w:spacing w:after="0" w:line="215" w:lineRule="exact"/>
              <w:rPr>
                <w:sz w:val="20"/>
                <w:szCs w:val="20"/>
                <w:color w:val="auto"/>
              </w:rPr>
            </w:pPr>
            <w:r>
              <w:rPr>
                <w:rFonts w:ascii="Calibri" w:cs="Calibri" w:eastAsia="Calibri" w:hAnsi="Calibri"/>
                <w:sz w:val="18"/>
                <w:szCs w:val="18"/>
                <w:color w:val="auto"/>
              </w:rPr>
              <w:t>$</w:t>
            </w:r>
          </w:p>
        </w:tc>
        <w:tc>
          <w:tcPr>
            <w:tcW w:w="680" w:type="dxa"/>
            <w:vAlign w:val="bottom"/>
          </w:tcPr>
          <w:p>
            <w:pPr>
              <w:jc w:val="right"/>
              <w:spacing w:after="0" w:line="215" w:lineRule="exact"/>
              <w:rPr>
                <w:sz w:val="20"/>
                <w:szCs w:val="20"/>
                <w:color w:val="auto"/>
              </w:rPr>
            </w:pPr>
            <w:r>
              <w:rPr>
                <w:rFonts w:ascii="Calibri" w:cs="Calibri" w:eastAsia="Calibri" w:hAnsi="Calibri"/>
                <w:sz w:val="18"/>
                <w:szCs w:val="18"/>
                <w:color w:val="auto"/>
              </w:rPr>
              <w:t>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7"/>
        </w:trPr>
        <w:tc>
          <w:tcPr>
            <w:tcW w:w="8280" w:type="dxa"/>
            <w:vAlign w:val="bottom"/>
            <w:shd w:val="clear" w:color="auto" w:fill="CFF0FC"/>
          </w:tcPr>
          <w:p>
            <w:pPr>
              <w:ind w:left="200"/>
              <w:spacing w:after="0" w:line="207" w:lineRule="exact"/>
              <w:rPr>
                <w:sz w:val="20"/>
                <w:szCs w:val="20"/>
                <w:color w:val="auto"/>
              </w:rPr>
            </w:pPr>
            <w:r>
              <w:rPr>
                <w:rFonts w:ascii="Calibri" w:cs="Calibri" w:eastAsia="Calibri" w:hAnsi="Calibri"/>
                <w:sz w:val="18"/>
                <w:szCs w:val="18"/>
                <w:color w:val="auto"/>
              </w:rPr>
              <w:t>Plus: Earnings allocated to</w:t>
            </w:r>
          </w:p>
        </w:tc>
        <w:tc>
          <w:tcPr>
            <w:tcW w:w="6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8280" w:type="dxa"/>
            <w:vAlign w:val="bottom"/>
            <w:tcBorders>
              <w:bottom w:val="single" w:sz="8" w:color="CFF0FC"/>
            </w:tcBorders>
            <w:shd w:val="clear" w:color="auto" w:fill="CFF0FC"/>
          </w:tcPr>
          <w:p>
            <w:pPr>
              <w:ind w:left="320"/>
              <w:spacing w:after="0" w:line="215" w:lineRule="exact"/>
              <w:rPr>
                <w:sz w:val="20"/>
                <w:szCs w:val="20"/>
                <w:color w:val="auto"/>
              </w:rPr>
            </w:pPr>
            <w:r>
              <w:rPr>
                <w:rFonts w:ascii="Calibri" w:cs="Calibri" w:eastAsia="Calibri" w:hAnsi="Calibri"/>
                <w:sz w:val="18"/>
                <w:szCs w:val="18"/>
                <w:color w:val="auto"/>
              </w:rPr>
              <w:t>partcipatng securites</w:t>
            </w:r>
          </w:p>
        </w:tc>
        <w:tc>
          <w:tcPr>
            <w:tcW w:w="60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32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8280" w:type="dxa"/>
            <w:vAlign w:val="bottom"/>
          </w:tcPr>
          <w:p>
            <w:pPr>
              <w:ind w:left="200"/>
              <w:spacing w:after="0" w:line="183" w:lineRule="exact"/>
              <w:rPr>
                <w:sz w:val="20"/>
                <w:szCs w:val="20"/>
                <w:color w:val="auto"/>
              </w:rPr>
            </w:pPr>
            <w:r>
              <w:rPr>
                <w:rFonts w:ascii="Calibri" w:cs="Calibri" w:eastAsia="Calibri" w:hAnsi="Calibri"/>
                <w:sz w:val="18"/>
                <w:szCs w:val="18"/>
                <w:color w:val="auto"/>
              </w:rPr>
              <w:t>Less: Adjusted earnings allocated to</w:t>
            </w: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8280" w:type="dxa"/>
            <w:vAlign w:val="bottom"/>
          </w:tcPr>
          <w:p>
            <w:pPr>
              <w:ind w:left="320"/>
              <w:spacing w:after="0" w:line="263" w:lineRule="exact"/>
              <w:rPr>
                <w:sz w:val="20"/>
                <w:szCs w:val="20"/>
                <w:color w:val="auto"/>
              </w:rPr>
            </w:pPr>
            <w:r>
              <w:rPr>
                <w:rFonts w:ascii="Calibri" w:cs="Calibri" w:eastAsia="Calibri" w:hAnsi="Calibri"/>
                <w:sz w:val="18"/>
                <w:szCs w:val="18"/>
                <w:color w:val="auto"/>
              </w:rPr>
              <w:t>partcipatng securites</w:t>
            </w:r>
            <w:r>
              <w:rPr>
                <w:rFonts w:ascii="Calibri" w:cs="Calibri" w:eastAsia="Calibri" w:hAnsi="Calibri"/>
                <w:sz w:val="24"/>
                <w:szCs w:val="24"/>
                <w:color w:val="auto"/>
                <w:vertAlign w:val="superscript"/>
              </w:rPr>
              <w:t>(2)</w:t>
            </w:r>
          </w:p>
        </w:tc>
        <w:tc>
          <w:tcPr>
            <w:tcW w:w="6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1</w:t>
            </w:r>
          </w:p>
        </w:tc>
        <w:tc>
          <w:tcPr>
            <w:tcW w:w="32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8280" w:type="dxa"/>
            <w:vAlign w:val="bottom"/>
            <w:shd w:val="clear" w:color="auto" w:fill="CFF0FC"/>
          </w:tcPr>
          <w:p>
            <w:pPr>
              <w:ind w:left="480"/>
              <w:spacing w:after="0" w:line="201" w:lineRule="exact"/>
              <w:rPr>
                <w:sz w:val="20"/>
                <w:szCs w:val="20"/>
                <w:color w:val="auto"/>
              </w:rPr>
            </w:pPr>
            <w:r>
              <w:rPr>
                <w:rFonts w:ascii="Calibri" w:cs="Calibri" w:eastAsia="Calibri" w:hAnsi="Calibri"/>
                <w:sz w:val="18"/>
                <w:szCs w:val="18"/>
                <w:color w:val="auto"/>
              </w:rPr>
              <w:t>Earnings (loss) allocated to common</w:t>
            </w:r>
          </w:p>
        </w:tc>
        <w:tc>
          <w:tcPr>
            <w:tcW w:w="600" w:type="dxa"/>
            <w:vAlign w:val="bottom"/>
            <w:vMerge w:val="restart"/>
            <w:shd w:val="clear" w:color="auto" w:fill="CFF0FC"/>
          </w:tcPr>
          <w:p>
            <w:pPr>
              <w:jc w:val="right"/>
              <w:ind w:right="410"/>
              <w:spacing w:after="0"/>
              <w:rPr>
                <w:sz w:val="20"/>
                <w:szCs w:val="20"/>
                <w:color w:val="auto"/>
              </w:rPr>
            </w:pPr>
            <w:r>
              <w:rPr>
                <w:rFonts w:ascii="Calibri" w:cs="Calibri" w:eastAsia="Calibri" w:hAnsi="Calibri"/>
                <w:sz w:val="18"/>
                <w:szCs w:val="18"/>
                <w:color w:val="auto"/>
                <w:w w:val="87"/>
              </w:rPr>
              <w:t>$</w:t>
            </w:r>
          </w:p>
        </w:tc>
        <w:tc>
          <w:tcPr>
            <w:tcW w:w="68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49</w:t>
            </w:r>
          </w:p>
        </w:tc>
        <w:tc>
          <w:tcPr>
            <w:tcW w:w="320" w:type="dxa"/>
            <w:vAlign w:val="bottom"/>
            <w:vMerge w:val="restart"/>
            <w:shd w:val="clear" w:color="auto" w:fill="CFF0FC"/>
          </w:tcPr>
          <w:p>
            <w:pPr>
              <w:spacing w:after="0"/>
              <w:rPr>
                <w:sz w:val="17"/>
                <w:szCs w:val="17"/>
                <w:color w:val="auto"/>
              </w:rPr>
            </w:pPr>
          </w:p>
        </w:tc>
        <w:tc>
          <w:tcPr>
            <w:tcW w:w="580" w:type="dxa"/>
            <w:vAlign w:val="bottom"/>
            <w:vMerge w:val="restart"/>
            <w:shd w:val="clear" w:color="auto" w:fill="CFF0FC"/>
          </w:tcPr>
          <w:p>
            <w:pPr>
              <w:jc w:val="right"/>
              <w:ind w:right="390"/>
              <w:spacing w:after="0"/>
              <w:rPr>
                <w:sz w:val="20"/>
                <w:szCs w:val="20"/>
                <w:color w:val="auto"/>
              </w:rPr>
            </w:pPr>
            <w:r>
              <w:rPr>
                <w:rFonts w:ascii="Calibri" w:cs="Calibri" w:eastAsia="Calibri" w:hAnsi="Calibri"/>
                <w:sz w:val="18"/>
                <w:szCs w:val="18"/>
                <w:color w:val="auto"/>
                <w:w w:val="87"/>
              </w:rPr>
              <w:t>$</w:t>
            </w:r>
          </w:p>
        </w:tc>
        <w:tc>
          <w:tcPr>
            <w:tcW w:w="68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53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8280" w:type="dxa"/>
            <w:vAlign w:val="bottom"/>
            <w:tcBorders>
              <w:bottom w:val="single" w:sz="8" w:color="CFF0FC"/>
            </w:tcBorders>
            <w:shd w:val="clear" w:color="auto" w:fill="CFF0FC"/>
          </w:tcPr>
          <w:p>
            <w:pPr>
              <w:ind w:left="600"/>
              <w:spacing w:after="0" w:line="211" w:lineRule="exact"/>
              <w:rPr>
                <w:sz w:val="20"/>
                <w:szCs w:val="20"/>
                <w:color w:val="auto"/>
              </w:rPr>
            </w:pPr>
            <w:r>
              <w:rPr>
                <w:rFonts w:ascii="Calibri" w:cs="Calibri" w:eastAsia="Calibri" w:hAnsi="Calibri"/>
                <w:sz w:val="18"/>
                <w:szCs w:val="18"/>
                <w:color w:val="auto"/>
              </w:rPr>
              <w:t>stockholders (numerator)</w:t>
            </w:r>
          </w:p>
        </w:tc>
        <w:tc>
          <w:tcPr>
            <w:tcW w:w="600" w:type="dxa"/>
            <w:vAlign w:val="bottom"/>
            <w:tcBorders>
              <w:bottom w:val="single" w:sz="8" w:color="auto"/>
            </w:tcBorders>
            <w:vMerge w:val="continue"/>
            <w:shd w:val="clear" w:color="auto" w:fill="CFF0FC"/>
          </w:tcPr>
          <w:p>
            <w:pPr>
              <w:spacing w:after="0"/>
              <w:rPr>
                <w:sz w:val="21"/>
                <w:szCs w:val="21"/>
                <w:color w:val="auto"/>
              </w:rPr>
            </w:pPr>
          </w:p>
        </w:tc>
        <w:tc>
          <w:tcPr>
            <w:tcW w:w="680" w:type="dxa"/>
            <w:vAlign w:val="bottom"/>
            <w:tcBorders>
              <w:bottom w:val="single" w:sz="8" w:color="auto"/>
            </w:tcBorders>
            <w:vMerge w:val="continue"/>
            <w:shd w:val="clear" w:color="auto" w:fill="CFF0FC"/>
          </w:tcPr>
          <w:p>
            <w:pPr>
              <w:spacing w:after="0"/>
              <w:rPr>
                <w:sz w:val="21"/>
                <w:szCs w:val="21"/>
                <w:color w:val="auto"/>
              </w:rPr>
            </w:pPr>
          </w:p>
        </w:tc>
        <w:tc>
          <w:tcPr>
            <w:tcW w:w="320" w:type="dxa"/>
            <w:vAlign w:val="bottom"/>
            <w:tcBorders>
              <w:bottom w:val="single" w:sz="8" w:color="CFF0FC"/>
            </w:tcBorders>
            <w:vMerge w:val="continue"/>
            <w:shd w:val="clear" w:color="auto" w:fill="CFF0FC"/>
          </w:tcPr>
          <w:p>
            <w:pPr>
              <w:spacing w:after="0"/>
              <w:rPr>
                <w:sz w:val="21"/>
                <w:szCs w:val="21"/>
                <w:color w:val="auto"/>
              </w:rPr>
            </w:pPr>
          </w:p>
        </w:tc>
        <w:tc>
          <w:tcPr>
            <w:tcW w:w="580" w:type="dxa"/>
            <w:vAlign w:val="bottom"/>
            <w:tcBorders>
              <w:bottom w:val="single" w:sz="8" w:color="auto"/>
            </w:tcBorders>
            <w:vMerge w:val="continue"/>
            <w:shd w:val="clear" w:color="auto" w:fill="CFF0FC"/>
          </w:tcPr>
          <w:p>
            <w:pPr>
              <w:spacing w:after="0"/>
              <w:rPr>
                <w:sz w:val="21"/>
                <w:szCs w:val="21"/>
                <w:color w:val="auto"/>
              </w:rPr>
            </w:pPr>
          </w:p>
        </w:tc>
        <w:tc>
          <w:tcPr>
            <w:tcW w:w="68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type w:val="continuous"/>
        </w:sectPr>
      </w:pPr>
    </w:p>
    <w:p>
      <w:pPr>
        <w:spacing w:after="0" w:line="229"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Adjusted weighted average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2914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left="320"/>
        <w:spacing w:after="0" w:line="235" w:lineRule="auto"/>
        <w:rPr>
          <w:sz w:val="20"/>
          <w:szCs w:val="20"/>
          <w:color w:val="auto"/>
        </w:rPr>
      </w:pPr>
      <w:r>
        <w:rPr>
          <w:rFonts w:ascii="Calibri" w:cs="Calibri" w:eastAsia="Calibri" w:hAnsi="Calibri"/>
          <w:sz w:val="18"/>
          <w:szCs w:val="18"/>
          <w:color w:val="auto"/>
        </w:rPr>
        <w:t>shares outstanding</w:t>
      </w:r>
    </w:p>
    <w:p>
      <w:pPr>
        <w:spacing w:after="0" w:line="24"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Efect of dilutve securites:</w:t>
      </w:r>
    </w:p>
    <w:p>
      <w:pPr>
        <w:spacing w:after="0" w:line="4" w:lineRule="exact"/>
        <w:rPr>
          <w:sz w:val="20"/>
          <w:szCs w:val="20"/>
          <w:color w:val="auto"/>
        </w:rPr>
      </w:pPr>
    </w:p>
    <w:p>
      <w:pPr>
        <w:ind w:left="380"/>
        <w:spacing w:after="0"/>
        <w:rPr>
          <w:sz w:val="20"/>
          <w:szCs w:val="20"/>
          <w:color w:val="auto"/>
        </w:rPr>
      </w:pPr>
      <w:r>
        <w:rPr>
          <w:rFonts w:ascii="Calibri" w:cs="Calibri" w:eastAsia="Calibri" w:hAnsi="Calibri"/>
          <w:sz w:val="18"/>
          <w:szCs w:val="18"/>
          <w:color w:val="auto"/>
        </w:rPr>
        <w:t>Common shares issuable</w:t>
      </w:r>
      <w:r>
        <w:rPr>
          <w:rFonts w:ascii="Calibri" w:cs="Calibri" w:eastAsia="Calibri" w:hAnsi="Calibri"/>
          <w:sz w:val="24"/>
          <w:szCs w:val="24"/>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1631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480"/>
        <w:spacing w:after="0" w:line="221" w:lineRule="auto"/>
        <w:rPr>
          <w:sz w:val="20"/>
          <w:szCs w:val="20"/>
          <w:color w:val="auto"/>
        </w:rPr>
      </w:pPr>
      <w:r>
        <w:rPr>
          <w:rFonts w:ascii="Calibri" w:cs="Calibri" w:eastAsia="Calibri" w:hAnsi="Calibri"/>
          <w:sz w:val="18"/>
          <w:szCs w:val="18"/>
          <w:color w:val="auto"/>
        </w:rPr>
        <w:t>Adjusted weighted average common</w:t>
      </w:r>
    </w:p>
    <w:p>
      <w:pPr>
        <w:ind w:left="600"/>
        <w:spacing w:after="0" w:line="235" w:lineRule="auto"/>
        <w:rPr>
          <w:sz w:val="20"/>
          <w:szCs w:val="20"/>
          <w:color w:val="auto"/>
        </w:rPr>
      </w:pPr>
      <w:r>
        <w:rPr>
          <w:rFonts w:ascii="Calibri" w:cs="Calibri" w:eastAsia="Calibri" w:hAnsi="Calibri"/>
          <w:sz w:val="18"/>
          <w:szCs w:val="18"/>
          <w:color w:val="auto"/>
        </w:rPr>
        <w:t>shares (denominator)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543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2" w:lineRule="exact"/>
        <w:rPr>
          <w:sz w:val="20"/>
          <w:szCs w:val="20"/>
          <w:color w:val="auto"/>
        </w:rPr>
      </w:pPr>
    </w:p>
    <w:p>
      <w:pPr>
        <w:ind w:left="200"/>
        <w:spacing w:after="0"/>
        <w:rPr>
          <w:sz w:val="20"/>
          <w:szCs w:val="20"/>
          <w:color w:val="auto"/>
        </w:rPr>
      </w:pPr>
      <w:r>
        <w:rPr>
          <w:rFonts w:ascii="Calibri" w:cs="Calibri" w:eastAsia="Calibri" w:hAnsi="Calibri"/>
          <w:sz w:val="17"/>
          <w:szCs w:val="17"/>
          <w:color w:val="auto"/>
        </w:rPr>
        <w:t>Earnings (loss) per common share - 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5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Calibri" w:cs="Calibri" w:eastAsia="Calibri" w:hAnsi="Calibri"/>
                <w:sz w:val="18"/>
                <w:szCs w:val="18"/>
                <w:color w:val="auto"/>
              </w:rPr>
              <w:t>55.3</w:t>
            </w: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Calibri" w:cs="Calibri" w:eastAsia="Calibri" w:hAnsi="Calibri"/>
                <w:sz w:val="18"/>
                <w:szCs w:val="18"/>
                <w:color w:val="auto"/>
              </w:rPr>
              <w:t>56.3</w:t>
            </w:r>
          </w:p>
        </w:tc>
      </w:tr>
      <w:tr>
        <w:trPr>
          <w:trHeight w:val="486"/>
        </w:trPr>
        <w:tc>
          <w:tcPr>
            <w:tcW w:w="5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alibri" w:cs="Calibri" w:eastAsia="Calibri" w:hAnsi="Calibri"/>
                <w:sz w:val="18"/>
                <w:szCs w:val="18"/>
                <w:color w:val="auto"/>
              </w:rPr>
              <w:t>0.5</w:t>
            </w: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alibri" w:cs="Calibri" w:eastAsia="Calibri" w:hAnsi="Calibri"/>
                <w:sz w:val="18"/>
                <w:szCs w:val="18"/>
                <w:color w:val="auto"/>
              </w:rPr>
              <w:t>0.4</w:t>
            </w:r>
          </w:p>
        </w:tc>
      </w:tr>
      <w:tr>
        <w:trPr>
          <w:trHeight w:val="37"/>
        </w:trPr>
        <w:tc>
          <w:tcPr>
            <w:tcW w:w="5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375"/>
        </w:trPr>
        <w:tc>
          <w:tcPr>
            <w:tcW w:w="5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alibri" w:cs="Calibri" w:eastAsia="Calibri" w:hAnsi="Calibri"/>
                <w:sz w:val="18"/>
                <w:szCs w:val="18"/>
                <w:color w:val="auto"/>
              </w:rPr>
              <w:t>55.8</w:t>
            </w: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alibri" w:cs="Calibri" w:eastAsia="Calibri" w:hAnsi="Calibri"/>
                <w:sz w:val="18"/>
                <w:szCs w:val="18"/>
                <w:color w:val="auto"/>
              </w:rPr>
              <w:t>56.7</w:t>
            </w:r>
          </w:p>
        </w:tc>
      </w:tr>
      <w:tr>
        <w:trPr>
          <w:trHeight w:val="37"/>
        </w:trPr>
        <w:tc>
          <w:tcPr>
            <w:tcW w:w="5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430"/>
        </w:trPr>
        <w:tc>
          <w:tcPr>
            <w:tcW w:w="540" w:type="dxa"/>
            <w:vAlign w:val="bottom"/>
          </w:tcPr>
          <w:p>
            <w:pPr>
              <w:jc w:val="right"/>
              <w:ind w:right="350"/>
              <w:spacing w:after="0"/>
              <w:rPr>
                <w:sz w:val="20"/>
                <w:szCs w:val="20"/>
                <w:color w:val="auto"/>
              </w:rPr>
            </w:pPr>
            <w:r>
              <w:rPr>
                <w:rFonts w:ascii="Calibri" w:cs="Calibri" w:eastAsia="Calibri" w:hAnsi="Calibri"/>
                <w:sz w:val="18"/>
                <w:szCs w:val="18"/>
                <w:color w:val="auto"/>
                <w:w w:val="87"/>
              </w:rPr>
              <w:t>$</w:t>
            </w:r>
          </w:p>
        </w:tc>
        <w:tc>
          <w:tcPr>
            <w:tcW w:w="740" w:type="dxa"/>
            <w:vAlign w:val="bottom"/>
          </w:tcPr>
          <w:p>
            <w:pPr>
              <w:jc w:val="right"/>
              <w:spacing w:after="0"/>
              <w:rPr>
                <w:sz w:val="20"/>
                <w:szCs w:val="20"/>
                <w:color w:val="auto"/>
              </w:rPr>
            </w:pPr>
            <w:r>
              <w:rPr>
                <w:rFonts w:ascii="Calibri" w:cs="Calibri" w:eastAsia="Calibri" w:hAnsi="Calibri"/>
                <w:sz w:val="18"/>
                <w:szCs w:val="18"/>
                <w:color w:val="auto"/>
              </w:rPr>
              <w:t>0.88</w:t>
            </w:r>
          </w:p>
        </w:tc>
        <w:tc>
          <w:tcPr>
            <w:tcW w:w="840" w:type="dxa"/>
            <w:vAlign w:val="bottom"/>
            <w:gridSpan w:val="2"/>
          </w:tcPr>
          <w:p>
            <w:pPr>
              <w:jc w:val="right"/>
              <w:ind w:right="420"/>
              <w:spacing w:after="0"/>
              <w:rPr>
                <w:sz w:val="20"/>
                <w:szCs w:val="20"/>
                <w:color w:val="auto"/>
              </w:rPr>
            </w:pPr>
            <w:r>
              <w:rPr>
                <w:rFonts w:ascii="Calibri" w:cs="Calibri" w:eastAsia="Calibri" w:hAnsi="Calibri"/>
                <w:sz w:val="18"/>
                <w:szCs w:val="18"/>
                <w:color w:val="auto"/>
              </w:rPr>
              <w:t>$</w:t>
            </w:r>
          </w:p>
        </w:tc>
        <w:tc>
          <w:tcPr>
            <w:tcW w:w="740" w:type="dxa"/>
            <w:vAlign w:val="bottom"/>
          </w:tcPr>
          <w:p>
            <w:pPr>
              <w:jc w:val="right"/>
              <w:spacing w:after="0"/>
              <w:rPr>
                <w:sz w:val="20"/>
                <w:szCs w:val="20"/>
                <w:color w:val="auto"/>
              </w:rPr>
            </w:pPr>
            <w:r>
              <w:rPr>
                <w:rFonts w:ascii="Calibri" w:cs="Calibri" w:eastAsia="Calibri" w:hAnsi="Calibri"/>
                <w:sz w:val="18"/>
                <w:szCs w:val="18"/>
                <w:color w:val="auto"/>
              </w:rPr>
              <w:t>0.93</w:t>
            </w:r>
          </w:p>
        </w:tc>
      </w:tr>
    </w:tbl>
    <w:p>
      <w:pPr>
        <w:spacing w:after="0" w:line="163" w:lineRule="exact"/>
        <w:rPr>
          <w:sz w:val="20"/>
          <w:szCs w:val="20"/>
          <w:color w:val="auto"/>
        </w:rPr>
      </w:pPr>
    </w:p>
    <w:p>
      <w:pPr>
        <w:sectPr>
          <w:pgSz w:w="11900" w:h="16838" w:orient="portrait"/>
          <w:cols w:equalWidth="0" w:num="2">
            <w:col w:w="7560" w:space="720"/>
            <w:col w:w="2960"/>
          </w:cols>
          <w:pgMar w:left="320" w:top="409" w:right="339" w:bottom="1440" w:gutter="0" w:footer="0" w:header="0"/>
          <w:type w:val="continuous"/>
        </w:sectPr>
      </w:pPr>
    </w:p>
    <w:p>
      <w:pPr>
        <w:ind w:left="520" w:right="100" w:hanging="512"/>
        <w:spacing w:after="0" w:line="225" w:lineRule="auto"/>
        <w:tabs>
          <w:tab w:leader="none" w:pos="520" w:val="left"/>
        </w:tabs>
        <w:numPr>
          <w:ilvl w:val="0"/>
          <w:numId w:val="3"/>
        </w:numPr>
        <w:rPr>
          <w:rFonts w:ascii="Calibri" w:cs="Calibri" w:eastAsia="Calibri" w:hAnsi="Calibri"/>
          <w:sz w:val="24"/>
          <w:szCs w:val="24"/>
          <w:color w:val="auto"/>
          <w:vertAlign w:val="superscript"/>
        </w:rPr>
      </w:pPr>
      <w:r>
        <w:rPr>
          <w:rFonts w:ascii="Calibri" w:cs="Calibri" w:eastAsia="Calibri" w:hAnsi="Calibri"/>
          <w:sz w:val="18"/>
          <w:szCs w:val="18"/>
          <w:color w:val="auto"/>
        </w:rPr>
        <w:t>Partcipatng securites consist of shares underlying unvested tme-based restricted stock units (the "TSUs"), earned and unvested performance-based restricted stock units (the "PSUs", and referred to in this note collectvely with the TSUs as the "RSUs"), stock units accounted for under the Supplemental 401(k) Plan porton of the Company’s Deferred Compensaton and Supplemental Retrement Plan, and stock units and phantom stock units accounted for under the Company’s Non-Employee Directors’ Deferral Plan. The holders of RSUs are enttled to receive dividend equivalents, payable in cash, to the extent dividends are paid on the outstanding shares of Common Stock, and equal in value to the dividends that would have been paid in respect of the Common Stock underlying the RSU. The accounts of holders of stock units and phantom stock units are credited with dividend equivalents, which are payable, in stock or cash, as the case may be, with the distributon of account balances.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415925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type w:val="continuous"/>
        </w:sectPr>
      </w:pPr>
    </w:p>
    <w:bookmarkStart w:id="14" w:name="page15"/>
    <w:bookmarkEnd w:id="14"/>
    <w:p>
      <w:pPr>
        <w:ind w:left="520" w:right="20"/>
        <w:spacing w:after="0" w:line="235" w:lineRule="auto"/>
        <w:rPr>
          <w:sz w:val="20"/>
          <w:szCs w:val="20"/>
          <w:color w:val="auto"/>
        </w:rPr>
      </w:pPr>
      <w:r>
        <w:rPr>
          <w:rFonts w:ascii="Calibri" w:cs="Calibri" w:eastAsia="Calibri" w:hAnsi="Calibri"/>
          <w:sz w:val="18"/>
          <w:szCs w:val="18"/>
          <w:color w:val="auto"/>
        </w:rPr>
        <w:t>Undistributed earnings are the earnings which remain afer dividends declared during the period are assumed to be distributed to the common and partcipatng stockholders. Undistributed earnings are allocated to common and partcipatng stockholders on the same basis as dividend distributons. The calculaton of undistributed earnings is as follows:</w:t>
      </w:r>
    </w:p>
    <w:p>
      <w:pPr>
        <w:spacing w:after="0" w:line="13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2460" w:type="dxa"/>
            <w:vAlign w:val="bottom"/>
            <w:gridSpan w:val="4"/>
          </w:tcPr>
          <w:p>
            <w:pPr>
              <w:jc w:val="right"/>
              <w:spacing w:after="0"/>
              <w:rPr>
                <w:sz w:val="20"/>
                <w:szCs w:val="20"/>
                <w:color w:val="auto"/>
              </w:rPr>
            </w:pPr>
            <w:r>
              <w:rPr>
                <w:rFonts w:ascii="Calibri" w:cs="Calibri" w:eastAsia="Calibri" w:hAnsi="Calibri"/>
                <w:sz w:val="14"/>
                <w:szCs w:val="14"/>
                <w:b w:val="1"/>
                <w:bCs w:val="1"/>
                <w:color w:val="auto"/>
              </w:rPr>
              <w:t>Three Months Ended December 31</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1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6180" w:type="dxa"/>
            <w:vAlign w:val="bottom"/>
          </w:tcPr>
          <w:p>
            <w:pPr>
              <w:spacing w:after="0"/>
              <w:rPr>
                <w:sz w:val="14"/>
                <w:szCs w:val="14"/>
                <w:color w:val="auto"/>
              </w:rPr>
            </w:pPr>
          </w:p>
        </w:tc>
        <w:tc>
          <w:tcPr>
            <w:tcW w:w="880" w:type="dxa"/>
            <w:vAlign w:val="bottom"/>
          </w:tcPr>
          <w:p>
            <w:pPr>
              <w:jc w:val="right"/>
              <w:ind w:right="44"/>
              <w:spacing w:after="0" w:line="164" w:lineRule="exact"/>
              <w:rPr>
                <w:sz w:val="20"/>
                <w:szCs w:val="20"/>
                <w:color w:val="auto"/>
              </w:rPr>
            </w:pPr>
            <w:r>
              <w:rPr>
                <w:rFonts w:ascii="Calibri" w:cs="Calibri" w:eastAsia="Calibri" w:hAnsi="Calibri"/>
                <w:sz w:val="14"/>
                <w:szCs w:val="14"/>
                <w:b w:val="1"/>
                <w:bCs w:val="1"/>
                <w:color w:val="auto"/>
              </w:rPr>
              <w:t>2023</w:t>
            </w:r>
          </w:p>
        </w:tc>
        <w:tc>
          <w:tcPr>
            <w:tcW w:w="360" w:type="dxa"/>
            <w:vAlign w:val="bottom"/>
          </w:tcPr>
          <w:p>
            <w:pPr>
              <w:spacing w:after="0"/>
              <w:rPr>
                <w:sz w:val="14"/>
                <w:szCs w:val="14"/>
                <w:color w:val="auto"/>
              </w:rPr>
            </w:pPr>
          </w:p>
        </w:tc>
        <w:tc>
          <w:tcPr>
            <w:tcW w:w="1220" w:type="dxa"/>
            <w:vAlign w:val="bottom"/>
            <w:gridSpan w:val="2"/>
          </w:tcPr>
          <w:p>
            <w:pPr>
              <w:jc w:val="right"/>
              <w:ind w:right="130"/>
              <w:spacing w:after="0" w:line="164" w:lineRule="exact"/>
              <w:rPr>
                <w:sz w:val="20"/>
                <w:szCs w:val="20"/>
                <w:color w:val="auto"/>
              </w:rPr>
            </w:pPr>
            <w:r>
              <w:rPr>
                <w:rFonts w:ascii="Calibri" w:cs="Calibri" w:eastAsia="Calibri" w:hAnsi="Calibri"/>
                <w:sz w:val="14"/>
                <w:szCs w:val="14"/>
                <w:b w:val="1"/>
                <w:bCs w:val="1"/>
                <w:color w:val="auto"/>
              </w:rPr>
              <w:t>2022</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1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6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(In</w:t>
            </w:r>
          </w:p>
        </w:tc>
        <w:tc>
          <w:tcPr>
            <w:tcW w:w="1220" w:type="dxa"/>
            <w:vAlign w:val="bottom"/>
            <w:gridSpan w:val="2"/>
          </w:tcPr>
          <w:p>
            <w:pPr>
              <w:jc w:val="right"/>
              <w:ind w:right="670"/>
              <w:spacing w:after="0" w:line="164" w:lineRule="exact"/>
              <w:rPr>
                <w:sz w:val="20"/>
                <w:szCs w:val="20"/>
                <w:color w:val="auto"/>
              </w:rPr>
            </w:pPr>
            <w:r>
              <w:rPr>
                <w:rFonts w:ascii="Calibri" w:cs="Calibri" w:eastAsia="Calibri" w:hAnsi="Calibri"/>
                <w:sz w:val="14"/>
                <w:szCs w:val="14"/>
                <w:b w:val="1"/>
                <w:bCs w:val="1"/>
                <w:color w:val="auto"/>
                <w:w w:val="87"/>
              </w:rPr>
              <w:t>millions)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18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b w:val="1"/>
                <w:bCs w:val="1"/>
                <w:color w:val="auto"/>
              </w:rPr>
              <w:t>Calculaton of undistributed earnings (loss):</w:t>
            </w:r>
          </w:p>
        </w:tc>
        <w:tc>
          <w:tcPr>
            <w:tcW w:w="8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180" w:type="dxa"/>
            <w:vAlign w:val="bottom"/>
          </w:tcPr>
          <w:p>
            <w:pPr>
              <w:ind w:left="180"/>
              <w:spacing w:after="0" w:line="215" w:lineRule="exact"/>
              <w:rPr>
                <w:sz w:val="20"/>
                <w:szCs w:val="20"/>
                <w:color w:val="auto"/>
              </w:rPr>
            </w:pPr>
            <w:r>
              <w:rPr>
                <w:rFonts w:ascii="Calibri" w:cs="Calibri" w:eastAsia="Calibri" w:hAnsi="Calibri"/>
                <w:sz w:val="18"/>
                <w:szCs w:val="18"/>
                <w:color w:val="auto"/>
              </w:rPr>
              <w:t>Net income (loss) atributable to Cabot Corporaton</w:t>
            </w:r>
          </w:p>
        </w:tc>
        <w:tc>
          <w:tcPr>
            <w:tcW w:w="880" w:type="dxa"/>
            <w:vAlign w:val="bottom"/>
          </w:tcPr>
          <w:p>
            <w:pPr>
              <w:jc w:val="right"/>
              <w:ind w:right="724"/>
              <w:spacing w:after="0"/>
              <w:rPr>
                <w:sz w:val="20"/>
                <w:szCs w:val="20"/>
                <w:color w:val="auto"/>
              </w:rPr>
            </w:pPr>
            <w:r>
              <w:rPr>
                <w:rFonts w:ascii="Calibri" w:cs="Calibri" w:eastAsia="Calibri" w:hAnsi="Calibri"/>
                <w:sz w:val="16"/>
                <w:szCs w:val="16"/>
                <w:color w:val="auto"/>
                <w:w w:val="73"/>
              </w:rPr>
              <w:t>$</w:t>
            </w:r>
          </w:p>
        </w:tc>
        <w:tc>
          <w:tcPr>
            <w:tcW w:w="360" w:type="dxa"/>
            <w:vAlign w:val="bottom"/>
          </w:tcPr>
          <w:p>
            <w:pPr>
              <w:jc w:val="right"/>
              <w:spacing w:after="0" w:line="215" w:lineRule="exact"/>
              <w:rPr>
                <w:sz w:val="20"/>
                <w:szCs w:val="20"/>
                <w:color w:val="auto"/>
              </w:rPr>
            </w:pPr>
            <w:r>
              <w:rPr>
                <w:rFonts w:ascii="Calibri" w:cs="Calibri" w:eastAsia="Calibri" w:hAnsi="Calibri"/>
                <w:sz w:val="18"/>
                <w:szCs w:val="18"/>
                <w:color w:val="auto"/>
              </w:rPr>
              <w:t>50</w:t>
            </w:r>
          </w:p>
        </w:tc>
        <w:tc>
          <w:tcPr>
            <w:tcW w:w="1220" w:type="dxa"/>
            <w:vAlign w:val="bottom"/>
            <w:gridSpan w:val="2"/>
          </w:tcPr>
          <w:p>
            <w:pPr>
              <w:jc w:val="right"/>
              <w:ind w:right="790"/>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Pr>
          <w:p>
            <w:pPr>
              <w:jc w:val="right"/>
              <w:spacing w:after="0" w:line="215" w:lineRule="exact"/>
              <w:rPr>
                <w:sz w:val="20"/>
                <w:szCs w:val="20"/>
                <w:color w:val="auto"/>
              </w:rPr>
            </w:pPr>
            <w:r>
              <w:rPr>
                <w:rFonts w:ascii="Calibri" w:cs="Calibri" w:eastAsia="Calibri" w:hAnsi="Calibri"/>
                <w:sz w:val="18"/>
                <w:szCs w:val="18"/>
                <w:color w:val="auto"/>
              </w:rPr>
              <w:t>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180" w:type="dxa"/>
            <w:vAlign w:val="bottom"/>
            <w:tcBorders>
              <w:bottom w:val="single" w:sz="8" w:color="CFF0FC"/>
            </w:tcBorders>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Less: Dividends declared on common stock</w:t>
            </w:r>
          </w:p>
        </w:tc>
        <w:tc>
          <w:tcPr>
            <w:tcW w:w="8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22</w:t>
            </w:r>
          </w:p>
        </w:tc>
        <w:tc>
          <w:tcPr>
            <w:tcW w:w="24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21</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180" w:type="dxa"/>
            <w:vAlign w:val="bottom"/>
          </w:tcPr>
          <w:p>
            <w:pPr>
              <w:ind w:left="180"/>
              <w:spacing w:after="0" w:line="207" w:lineRule="exact"/>
              <w:rPr>
                <w:sz w:val="20"/>
                <w:szCs w:val="20"/>
                <w:color w:val="auto"/>
              </w:rPr>
            </w:pPr>
            <w:r>
              <w:rPr>
                <w:rFonts w:ascii="Calibri" w:cs="Calibri" w:eastAsia="Calibri" w:hAnsi="Calibri"/>
                <w:sz w:val="18"/>
                <w:szCs w:val="18"/>
                <w:color w:val="auto"/>
              </w:rPr>
              <w:t>Less: Dividends declared on partcipatng</w:t>
            </w:r>
          </w:p>
        </w:tc>
        <w:tc>
          <w:tcPr>
            <w:tcW w:w="880" w:type="dxa"/>
            <w:vAlign w:val="bottom"/>
          </w:tcPr>
          <w:p>
            <w:pPr>
              <w:spacing w:after="0"/>
              <w:rPr>
                <w:sz w:val="18"/>
                <w:szCs w:val="18"/>
                <w:color w:val="auto"/>
              </w:rPr>
            </w:pPr>
          </w:p>
        </w:tc>
        <w:tc>
          <w:tcPr>
            <w:tcW w:w="360" w:type="dxa"/>
            <w:vAlign w:val="bottom"/>
            <w:vMerge w:val="restart"/>
          </w:tcPr>
          <w:p>
            <w:pPr>
              <w:jc w:val="right"/>
              <w:spacing w:after="0"/>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gridSpan w:val="2"/>
            <w:vMerge w:val="restart"/>
          </w:tcPr>
          <w:p>
            <w:pPr>
              <w:jc w:val="right"/>
              <w:ind w:right="100"/>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15"/>
        </w:trPr>
        <w:tc>
          <w:tcPr>
            <w:tcW w:w="6180" w:type="dxa"/>
            <w:vAlign w:val="bottom"/>
          </w:tcPr>
          <w:p>
            <w:pPr>
              <w:ind w:left="300"/>
              <w:spacing w:after="0" w:line="215" w:lineRule="exact"/>
              <w:rPr>
                <w:sz w:val="20"/>
                <w:szCs w:val="20"/>
                <w:color w:val="auto"/>
              </w:rPr>
            </w:pPr>
            <w:r>
              <w:rPr>
                <w:rFonts w:ascii="Calibri" w:cs="Calibri" w:eastAsia="Calibri" w:hAnsi="Calibri"/>
                <w:sz w:val="18"/>
                <w:szCs w:val="18"/>
                <w:color w:val="auto"/>
              </w:rPr>
              <w:t>securites</w:t>
            </w:r>
          </w:p>
        </w:tc>
        <w:tc>
          <w:tcPr>
            <w:tcW w:w="88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1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6180" w:type="dxa"/>
            <w:vAlign w:val="bottom"/>
            <w:shd w:val="clear" w:color="auto" w:fill="CFF0FC"/>
          </w:tcPr>
          <w:p>
            <w:pPr>
              <w:ind w:left="360"/>
              <w:spacing w:after="0"/>
              <w:rPr>
                <w:sz w:val="20"/>
                <w:szCs w:val="20"/>
                <w:color w:val="auto"/>
              </w:rPr>
            </w:pPr>
            <w:r>
              <w:rPr>
                <w:rFonts w:ascii="Calibri" w:cs="Calibri" w:eastAsia="Calibri" w:hAnsi="Calibri"/>
                <w:sz w:val="18"/>
                <w:szCs w:val="18"/>
                <w:color w:val="auto"/>
              </w:rPr>
              <w:t>Undistributed earnings (loss)</w:t>
            </w:r>
          </w:p>
        </w:tc>
        <w:tc>
          <w:tcPr>
            <w:tcW w:w="880" w:type="dxa"/>
            <w:vAlign w:val="bottom"/>
            <w:shd w:val="clear" w:color="auto" w:fill="CFF0FC"/>
          </w:tcPr>
          <w:p>
            <w:pPr>
              <w:jc w:val="right"/>
              <w:ind w:right="724"/>
              <w:spacing w:after="0"/>
              <w:rPr>
                <w:sz w:val="20"/>
                <w:szCs w:val="20"/>
                <w:color w:val="auto"/>
              </w:rPr>
            </w:pPr>
            <w:r>
              <w:rPr>
                <w:rFonts w:ascii="Calibri" w:cs="Calibri" w:eastAsia="Calibri" w:hAnsi="Calibri"/>
                <w:sz w:val="16"/>
                <w:szCs w:val="16"/>
                <w:color w:val="auto"/>
                <w:w w:val="73"/>
              </w:rPr>
              <w:t>$</w:t>
            </w:r>
          </w:p>
        </w:tc>
        <w:tc>
          <w:tcPr>
            <w:tcW w:w="3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28</w:t>
            </w:r>
          </w:p>
        </w:tc>
        <w:tc>
          <w:tcPr>
            <w:tcW w:w="1220" w:type="dxa"/>
            <w:vAlign w:val="bottom"/>
            <w:gridSpan w:val="2"/>
            <w:shd w:val="clear" w:color="auto" w:fill="CFF0FC"/>
          </w:tcPr>
          <w:p>
            <w:pPr>
              <w:jc w:val="right"/>
              <w:ind w:right="790"/>
              <w:spacing w:after="0" w:line="215" w:lineRule="exact"/>
              <w:rPr>
                <w:sz w:val="20"/>
                <w:szCs w:val="20"/>
                <w:color w:val="auto"/>
              </w:rPr>
            </w:pPr>
            <w:r>
              <w:rPr>
                <w:rFonts w:ascii="Calibri" w:cs="Calibri" w:eastAsia="Calibri" w:hAnsi="Calibri"/>
                <w:sz w:val="18"/>
                <w:szCs w:val="18"/>
                <w:color w:val="auto"/>
              </w:rPr>
              <w:t>$</w:t>
            </w:r>
          </w:p>
        </w:tc>
        <w:tc>
          <w:tcPr>
            <w:tcW w:w="2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33</w:t>
            </w:r>
          </w:p>
        </w:tc>
        <w:tc>
          <w:tcPr>
            <w:tcW w:w="8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180" w:type="dxa"/>
            <w:vAlign w:val="bottom"/>
            <w:tcBorders>
              <w:top w:val="single" w:sz="8" w:color="CFF0FC"/>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8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b w:val="1"/>
                <w:bCs w:val="1"/>
                <w:color w:val="auto"/>
              </w:rPr>
              <w:t>Allocaton of undistributed earnings (loss):</w:t>
            </w:r>
          </w:p>
        </w:tc>
        <w:tc>
          <w:tcPr>
            <w:tcW w:w="8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180" w:type="dxa"/>
            <w:vAlign w:val="bottom"/>
          </w:tcPr>
          <w:p>
            <w:pPr>
              <w:ind w:left="180"/>
              <w:spacing w:after="0" w:line="207" w:lineRule="exact"/>
              <w:rPr>
                <w:sz w:val="20"/>
                <w:szCs w:val="20"/>
                <w:color w:val="auto"/>
              </w:rPr>
            </w:pPr>
            <w:r>
              <w:rPr>
                <w:rFonts w:ascii="Calibri" w:cs="Calibri" w:eastAsia="Calibri" w:hAnsi="Calibri"/>
                <w:sz w:val="18"/>
                <w:szCs w:val="18"/>
                <w:color w:val="auto"/>
              </w:rPr>
              <w:t>Undistributed earnings (loss) allocated to</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80" w:type="dxa"/>
            <w:vAlign w:val="bottom"/>
          </w:tcPr>
          <w:p>
            <w:pPr>
              <w:ind w:left="300"/>
              <w:spacing w:after="0" w:line="215" w:lineRule="exact"/>
              <w:rPr>
                <w:sz w:val="20"/>
                <w:szCs w:val="20"/>
                <w:color w:val="auto"/>
              </w:rPr>
            </w:pPr>
            <w:r>
              <w:rPr>
                <w:rFonts w:ascii="Calibri" w:cs="Calibri" w:eastAsia="Calibri" w:hAnsi="Calibri"/>
                <w:sz w:val="18"/>
                <w:szCs w:val="18"/>
                <w:color w:val="auto"/>
              </w:rPr>
              <w:t>common stockholders</w:t>
            </w:r>
          </w:p>
        </w:tc>
        <w:tc>
          <w:tcPr>
            <w:tcW w:w="880" w:type="dxa"/>
            <w:vAlign w:val="bottom"/>
          </w:tcPr>
          <w:p>
            <w:pPr>
              <w:jc w:val="right"/>
              <w:ind w:right="724"/>
              <w:spacing w:after="0"/>
              <w:rPr>
                <w:sz w:val="20"/>
                <w:szCs w:val="20"/>
                <w:color w:val="auto"/>
              </w:rPr>
            </w:pPr>
            <w:r>
              <w:rPr>
                <w:rFonts w:ascii="Calibri" w:cs="Calibri" w:eastAsia="Calibri" w:hAnsi="Calibri"/>
                <w:sz w:val="16"/>
                <w:szCs w:val="16"/>
                <w:color w:val="auto"/>
                <w:w w:val="73"/>
              </w:rPr>
              <w:t>$</w:t>
            </w:r>
          </w:p>
        </w:tc>
        <w:tc>
          <w:tcPr>
            <w:tcW w:w="360" w:type="dxa"/>
            <w:vAlign w:val="bottom"/>
          </w:tcPr>
          <w:p>
            <w:pPr>
              <w:jc w:val="right"/>
              <w:spacing w:after="0" w:line="215" w:lineRule="exact"/>
              <w:rPr>
                <w:sz w:val="20"/>
                <w:szCs w:val="20"/>
                <w:color w:val="auto"/>
              </w:rPr>
            </w:pPr>
            <w:r>
              <w:rPr>
                <w:rFonts w:ascii="Calibri" w:cs="Calibri" w:eastAsia="Calibri" w:hAnsi="Calibri"/>
                <w:sz w:val="18"/>
                <w:szCs w:val="18"/>
                <w:color w:val="auto"/>
              </w:rPr>
              <w:t>27</w:t>
            </w:r>
          </w:p>
        </w:tc>
        <w:tc>
          <w:tcPr>
            <w:tcW w:w="1220" w:type="dxa"/>
            <w:vAlign w:val="bottom"/>
            <w:gridSpan w:val="2"/>
          </w:tcPr>
          <w:p>
            <w:pPr>
              <w:jc w:val="right"/>
              <w:ind w:right="790"/>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Pr>
          <w:p>
            <w:pPr>
              <w:jc w:val="right"/>
              <w:spacing w:after="0" w:line="215" w:lineRule="exact"/>
              <w:rPr>
                <w:sz w:val="20"/>
                <w:szCs w:val="20"/>
                <w:color w:val="auto"/>
              </w:rPr>
            </w:pPr>
            <w:r>
              <w:rPr>
                <w:rFonts w:ascii="Calibri" w:cs="Calibri" w:eastAsia="Calibri" w:hAnsi="Calibri"/>
                <w:sz w:val="18"/>
                <w:szCs w:val="18"/>
                <w:color w:val="auto"/>
              </w:rPr>
              <w:t>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6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7"/>
        </w:trPr>
        <w:tc>
          <w:tcPr>
            <w:tcW w:w="6180" w:type="dxa"/>
            <w:vAlign w:val="bottom"/>
            <w:shd w:val="clear" w:color="auto" w:fill="CFF0FC"/>
          </w:tcPr>
          <w:p>
            <w:pPr>
              <w:ind w:left="180"/>
              <w:spacing w:after="0" w:line="207" w:lineRule="exact"/>
              <w:rPr>
                <w:sz w:val="20"/>
                <w:szCs w:val="20"/>
                <w:color w:val="auto"/>
              </w:rPr>
            </w:pPr>
            <w:r>
              <w:rPr>
                <w:rFonts w:ascii="Calibri" w:cs="Calibri" w:eastAsia="Calibri" w:hAnsi="Calibri"/>
                <w:sz w:val="18"/>
                <w:szCs w:val="18"/>
                <w:color w:val="auto"/>
              </w:rPr>
              <w:t>Undistributed earnings allocated to</w:t>
            </w:r>
          </w:p>
        </w:tc>
        <w:tc>
          <w:tcPr>
            <w:tcW w:w="880" w:type="dxa"/>
            <w:vAlign w:val="bottom"/>
            <w:shd w:val="clear" w:color="auto" w:fill="CFF0FC"/>
          </w:tcPr>
          <w:p>
            <w:pPr>
              <w:spacing w:after="0"/>
              <w:rPr>
                <w:sz w:val="18"/>
                <w:szCs w:val="18"/>
                <w:color w:val="auto"/>
              </w:rPr>
            </w:pPr>
          </w:p>
        </w:tc>
        <w:tc>
          <w:tcPr>
            <w:tcW w:w="36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1</w:t>
            </w: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180" w:type="dxa"/>
            <w:vAlign w:val="bottom"/>
            <w:tcBorders>
              <w:bottom w:val="single" w:sz="8" w:color="CFF0FC"/>
            </w:tcBorders>
            <w:shd w:val="clear" w:color="auto" w:fill="CFF0FC"/>
          </w:tcPr>
          <w:p>
            <w:pPr>
              <w:ind w:left="300"/>
              <w:spacing w:after="0" w:line="215" w:lineRule="exact"/>
              <w:rPr>
                <w:sz w:val="20"/>
                <w:szCs w:val="20"/>
                <w:color w:val="auto"/>
              </w:rPr>
            </w:pPr>
            <w:r>
              <w:rPr>
                <w:rFonts w:ascii="Calibri" w:cs="Calibri" w:eastAsia="Calibri" w:hAnsi="Calibri"/>
                <w:sz w:val="18"/>
                <w:szCs w:val="18"/>
                <w:color w:val="auto"/>
              </w:rPr>
              <w:t>partcipatng stockholders</w:t>
            </w:r>
          </w:p>
        </w:tc>
        <w:tc>
          <w:tcPr>
            <w:tcW w:w="8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vMerge w:val="continue"/>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180" w:type="dxa"/>
            <w:vAlign w:val="bottom"/>
            <w:tcBorders>
              <w:top w:val="single" w:sz="8" w:color="CFF0FC"/>
            </w:tcBorders>
          </w:tcPr>
          <w:p>
            <w:pPr>
              <w:ind w:left="360"/>
              <w:spacing w:after="0"/>
              <w:rPr>
                <w:sz w:val="20"/>
                <w:szCs w:val="20"/>
                <w:color w:val="auto"/>
              </w:rPr>
            </w:pPr>
            <w:r>
              <w:rPr>
                <w:rFonts w:ascii="Calibri" w:cs="Calibri" w:eastAsia="Calibri" w:hAnsi="Calibri"/>
                <w:sz w:val="18"/>
                <w:szCs w:val="18"/>
                <w:color w:val="auto"/>
              </w:rPr>
              <w:t>Undistributed earnings (loss)</w:t>
            </w:r>
          </w:p>
        </w:tc>
        <w:tc>
          <w:tcPr>
            <w:tcW w:w="880" w:type="dxa"/>
            <w:vAlign w:val="bottom"/>
            <w:tcBorders>
              <w:top w:val="single" w:sz="8" w:color="auto"/>
              <w:bottom w:val="single" w:sz="8" w:color="auto"/>
            </w:tcBorders>
          </w:tcPr>
          <w:p>
            <w:pPr>
              <w:jc w:val="right"/>
              <w:ind w:right="724"/>
              <w:spacing w:after="0"/>
              <w:rPr>
                <w:sz w:val="20"/>
                <w:szCs w:val="20"/>
                <w:color w:val="auto"/>
              </w:rPr>
            </w:pPr>
            <w:r>
              <w:rPr>
                <w:rFonts w:ascii="Calibri" w:cs="Calibri" w:eastAsia="Calibri" w:hAnsi="Calibri"/>
                <w:sz w:val="16"/>
                <w:szCs w:val="16"/>
                <w:color w:val="auto"/>
                <w:w w:val="73"/>
              </w:rPr>
              <w:t>$</w:t>
            </w:r>
          </w:p>
        </w:tc>
        <w:tc>
          <w:tcPr>
            <w:tcW w:w="36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28</w:t>
            </w:r>
          </w:p>
        </w:tc>
        <w:tc>
          <w:tcPr>
            <w:tcW w:w="240" w:type="dxa"/>
            <w:vAlign w:val="bottom"/>
            <w:tcBorders>
              <w:top w:val="single" w:sz="8" w:color="CFF0FC"/>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790"/>
              <w:spacing w:after="0" w:line="215" w:lineRule="exact"/>
              <w:rPr>
                <w:sz w:val="20"/>
                <w:szCs w:val="20"/>
                <w:color w:val="auto"/>
              </w:rPr>
            </w:pPr>
            <w:r>
              <w:rPr>
                <w:rFonts w:ascii="Calibri" w:cs="Calibri" w:eastAsia="Calibri" w:hAnsi="Calibri"/>
                <w:sz w:val="18"/>
                <w:szCs w:val="18"/>
                <w:color w:val="auto"/>
                <w:w w:val="87"/>
              </w:rPr>
              <w:t>$</w:t>
            </w:r>
          </w:p>
        </w:tc>
        <w:tc>
          <w:tcPr>
            <w:tcW w:w="26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33</w:t>
            </w:r>
          </w:p>
        </w:tc>
        <w:tc>
          <w:tcPr>
            <w:tcW w:w="8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-1096645</wp:posOffset>
            </wp:positionV>
            <wp:extent cx="603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-1079500</wp:posOffset>
            </wp:positionV>
            <wp:extent cx="603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-1096645</wp:posOffset>
            </wp:positionV>
            <wp:extent cx="514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-1079500</wp:posOffset>
            </wp:positionV>
            <wp:extent cx="514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-187960</wp:posOffset>
            </wp:positionV>
            <wp:extent cx="603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93" w:lineRule="exact"/>
        <w:rPr>
          <w:sz w:val="20"/>
          <w:szCs w:val="20"/>
          <w:color w:val="auto"/>
        </w:rPr>
      </w:pPr>
    </w:p>
    <w:p>
      <w:pPr>
        <w:ind w:left="520" w:right="340" w:hanging="512"/>
        <w:spacing w:after="0" w:line="201" w:lineRule="auto"/>
        <w:tabs>
          <w:tab w:leader="none" w:pos="520" w:val="left"/>
        </w:tabs>
        <w:numPr>
          <w:ilvl w:val="0"/>
          <w:numId w:val="4"/>
        </w:numPr>
        <w:rPr>
          <w:rFonts w:ascii="Calibri" w:cs="Calibri" w:eastAsia="Calibri" w:hAnsi="Calibri"/>
          <w:sz w:val="24"/>
          <w:szCs w:val="24"/>
          <w:color w:val="auto"/>
          <w:vertAlign w:val="superscript"/>
        </w:rPr>
      </w:pPr>
      <w:r>
        <w:rPr>
          <w:rFonts w:ascii="Calibri" w:cs="Calibri" w:eastAsia="Calibri" w:hAnsi="Calibri"/>
          <w:sz w:val="18"/>
          <w:szCs w:val="18"/>
          <w:color w:val="auto"/>
        </w:rPr>
        <w:t>Undistributed earnings are adjusted for the assumed distributon of dividends to the dilutve securites, which are described in (3) below, and then reallocated to partcipatng securites.</w:t>
      </w:r>
    </w:p>
    <w:p>
      <w:pPr>
        <w:spacing w:after="0" w:line="43" w:lineRule="exact"/>
        <w:rPr>
          <w:rFonts w:ascii="Calibri" w:cs="Calibri" w:eastAsia="Calibri" w:hAnsi="Calibri"/>
          <w:sz w:val="24"/>
          <w:szCs w:val="24"/>
          <w:color w:val="auto"/>
          <w:vertAlign w:val="superscript"/>
        </w:rPr>
      </w:pPr>
    </w:p>
    <w:p>
      <w:pPr>
        <w:ind w:left="520" w:right="20" w:hanging="512"/>
        <w:spacing w:after="0" w:line="211" w:lineRule="auto"/>
        <w:tabs>
          <w:tab w:leader="none" w:pos="520" w:val="left"/>
        </w:tabs>
        <w:numPr>
          <w:ilvl w:val="0"/>
          <w:numId w:val="4"/>
        </w:numPr>
        <w:rPr>
          <w:rFonts w:ascii="Calibri" w:cs="Calibri" w:eastAsia="Calibri" w:hAnsi="Calibri"/>
          <w:sz w:val="24"/>
          <w:szCs w:val="24"/>
          <w:color w:val="auto"/>
          <w:vertAlign w:val="superscript"/>
        </w:rPr>
      </w:pPr>
      <w:r>
        <w:rPr>
          <w:rFonts w:ascii="Calibri" w:cs="Calibri" w:eastAsia="Calibri" w:hAnsi="Calibri"/>
          <w:sz w:val="18"/>
          <w:szCs w:val="18"/>
          <w:color w:val="auto"/>
        </w:rPr>
        <w:t>Represents incremental shares of common stock from the assumed exercise of stock optons issued under Cabot’s equity incentve plans. For the three months ended December 31, 2023 and 2022, 330,331 and 86,782 incremental shares of common stock, respectvely, were excluded from the calculaton of diluted earnings per share because the inclusion of these shares would have been antdilutve.</w:t>
      </w:r>
    </w:p>
    <w:p>
      <w:pPr>
        <w:spacing w:after="0" w:line="8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H. Restructuring</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2024 Reorganizatons</w:t>
      </w:r>
    </w:p>
    <w:p>
      <w:pPr>
        <w:spacing w:after="0" w:line="69" w:lineRule="exact"/>
        <w:rPr>
          <w:sz w:val="20"/>
          <w:szCs w:val="20"/>
          <w:color w:val="auto"/>
        </w:rPr>
      </w:pPr>
    </w:p>
    <w:p>
      <w:pPr>
        <w:ind w:right="160" w:firstLine="749"/>
        <w:spacing w:after="0" w:line="235" w:lineRule="auto"/>
        <w:rPr>
          <w:sz w:val="20"/>
          <w:szCs w:val="20"/>
          <w:color w:val="auto"/>
        </w:rPr>
      </w:pPr>
      <w:r>
        <w:rPr>
          <w:rFonts w:ascii="Calibri" w:cs="Calibri" w:eastAsia="Calibri" w:hAnsi="Calibri"/>
          <w:sz w:val="18"/>
          <w:szCs w:val="18"/>
          <w:color w:val="auto"/>
        </w:rPr>
        <w:t>During the frst quarter of fscal 2024, the Company initated restructuring actvites in both its Reinforcement Materials segment (“RM Plan”) and its Performance Chemicals segment (“PC Plan”).</w:t>
      </w:r>
    </w:p>
    <w:p>
      <w:pPr>
        <w:spacing w:after="0" w:line="83" w:lineRule="exact"/>
        <w:rPr>
          <w:sz w:val="20"/>
          <w:szCs w:val="20"/>
          <w:color w:val="auto"/>
        </w:rPr>
      </w:pPr>
    </w:p>
    <w:p>
      <w:pPr>
        <w:jc w:val="both"/>
        <w:ind w:firstLine="749"/>
        <w:spacing w:after="0" w:line="252" w:lineRule="auto"/>
        <w:rPr>
          <w:sz w:val="20"/>
          <w:szCs w:val="20"/>
          <w:color w:val="auto"/>
        </w:rPr>
      </w:pPr>
      <w:r>
        <w:rPr>
          <w:rFonts w:ascii="Calibri" w:cs="Calibri" w:eastAsia="Calibri" w:hAnsi="Calibri"/>
          <w:sz w:val="17"/>
          <w:szCs w:val="17"/>
          <w:color w:val="auto"/>
        </w:rPr>
        <w:t>Under the RM Plan, the Company will close its reinforcing carbons unit at the facility in Tianjin, China that the Company acquired from Tokai Carbon Group in February 2022. The Company expects to consolidate reinforcing carbons operatons and reduce ongoing operatonal costs. During the three months ended December 31, 2023, the Company recorded charges of $2 million for severance related costs and $6 million for accelerated depreciaton as part of the RM Plan. The Company expects to record additonal restructuring charges of $1 million related to the RM Plan during the remainder of fscal 2024.</w:t>
      </w:r>
    </w:p>
    <w:p>
      <w:pPr>
        <w:spacing w:after="0" w:line="60" w:lineRule="exact"/>
        <w:rPr>
          <w:sz w:val="20"/>
          <w:szCs w:val="20"/>
          <w:color w:val="auto"/>
        </w:rPr>
      </w:pPr>
    </w:p>
    <w:p>
      <w:pPr>
        <w:ind w:right="20" w:firstLine="749"/>
        <w:spacing w:after="0" w:line="235" w:lineRule="auto"/>
        <w:rPr>
          <w:sz w:val="20"/>
          <w:szCs w:val="20"/>
          <w:color w:val="auto"/>
        </w:rPr>
      </w:pPr>
      <w:r>
        <w:rPr>
          <w:rFonts w:ascii="Calibri" w:cs="Calibri" w:eastAsia="Calibri" w:hAnsi="Calibri"/>
          <w:sz w:val="18"/>
          <w:szCs w:val="18"/>
          <w:color w:val="auto"/>
        </w:rPr>
        <w:t>Under the PC Plan, the Company will temporarily idle its aerogel manufacturing plant in Frankfurt, Germany and reorganize certain positons within the Performance Chemicals segment to reduce operatng costs. While the Frankfurt facility is idled, the Company expects to reduce inventory levels at that facility as the Company contnues its eforts to commercialize aerogel for use in thermal insulaton for electric vehicles. During the three months ended December 31, 2023, the Company recorded charges of $1 million for severance related costs as part of the PC Plan. The Company expects to record additonal restructuring charges of $3 million related to the PC Plan during the remainder of fscal 2024.</w:t>
      </w:r>
    </w:p>
    <w:p>
      <w:pPr>
        <w:spacing w:after="0" w:line="72" w:lineRule="exact"/>
        <w:rPr>
          <w:sz w:val="20"/>
          <w:szCs w:val="20"/>
          <w:color w:val="auto"/>
        </w:rPr>
      </w:pPr>
    </w:p>
    <w:p>
      <w:pPr>
        <w:ind w:right="200" w:firstLine="749"/>
        <w:spacing w:after="0" w:line="235" w:lineRule="auto"/>
        <w:rPr>
          <w:sz w:val="20"/>
          <w:szCs w:val="20"/>
          <w:color w:val="auto"/>
        </w:rPr>
      </w:pPr>
      <w:r>
        <w:rPr>
          <w:rFonts w:ascii="Calibri" w:cs="Calibri" w:eastAsia="Calibri" w:hAnsi="Calibri"/>
          <w:sz w:val="18"/>
          <w:szCs w:val="18"/>
          <w:color w:val="auto"/>
        </w:rPr>
        <w:t>Cabot’s restructuring actvites were recorded in the Consolidated Statements of Operatons for the three months ended December 31, 2023 and 2022 as follows:</w:t>
      </w:r>
    </w:p>
    <w:p>
      <w:pPr>
        <w:spacing w:after="0" w:line="1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3140" w:type="dxa"/>
            <w:vAlign w:val="bottom"/>
            <w:gridSpan w:val="4"/>
          </w:tcPr>
          <w:p>
            <w:pPr>
              <w:jc w:val="right"/>
              <w:ind w:right="230"/>
              <w:spacing w:after="0"/>
              <w:rPr>
                <w:sz w:val="20"/>
                <w:szCs w:val="20"/>
                <w:color w:val="auto"/>
              </w:rPr>
            </w:pPr>
            <w:r>
              <w:rPr>
                <w:rFonts w:ascii="Calibri" w:cs="Calibri" w:eastAsia="Calibri" w:hAnsi="Calibri"/>
                <w:sz w:val="14"/>
                <w:szCs w:val="14"/>
                <w:b w:val="1"/>
                <w:bCs w:val="1"/>
                <w:color w:val="auto"/>
              </w:rPr>
              <w:t>Three Months Ended December 31</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3"/>
        </w:trPr>
        <w:tc>
          <w:tcPr>
            <w:tcW w:w="53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3"/>
        </w:trPr>
        <w:tc>
          <w:tcPr>
            <w:tcW w:w="5340" w:type="dxa"/>
            <w:vAlign w:val="bottom"/>
          </w:tcPr>
          <w:p>
            <w:pPr>
              <w:spacing w:after="0"/>
              <w:rPr>
                <w:sz w:val="14"/>
                <w:szCs w:val="14"/>
                <w:color w:val="auto"/>
              </w:rPr>
            </w:pPr>
          </w:p>
        </w:tc>
        <w:tc>
          <w:tcPr>
            <w:tcW w:w="1200" w:type="dxa"/>
            <w:vAlign w:val="bottom"/>
          </w:tcPr>
          <w:p>
            <w:pPr>
              <w:jc w:val="right"/>
              <w:ind w:right="139"/>
              <w:spacing w:after="0" w:line="164" w:lineRule="exact"/>
              <w:rPr>
                <w:sz w:val="20"/>
                <w:szCs w:val="20"/>
                <w:color w:val="auto"/>
              </w:rPr>
            </w:pPr>
            <w:r>
              <w:rPr>
                <w:rFonts w:ascii="Calibri" w:cs="Calibri" w:eastAsia="Calibri" w:hAnsi="Calibri"/>
                <w:sz w:val="14"/>
                <w:szCs w:val="14"/>
                <w:b w:val="1"/>
                <w:bCs w:val="1"/>
                <w:color w:val="auto"/>
              </w:rPr>
              <w:t>2023</w:t>
            </w:r>
          </w:p>
        </w:tc>
        <w:tc>
          <w:tcPr>
            <w:tcW w:w="480" w:type="dxa"/>
            <w:vAlign w:val="bottom"/>
          </w:tcPr>
          <w:p>
            <w:pPr>
              <w:spacing w:after="0"/>
              <w:rPr>
                <w:sz w:val="14"/>
                <w:szCs w:val="14"/>
                <w:color w:val="auto"/>
              </w:rPr>
            </w:pPr>
          </w:p>
        </w:tc>
        <w:tc>
          <w:tcPr>
            <w:tcW w:w="1460" w:type="dxa"/>
            <w:vAlign w:val="bottom"/>
            <w:gridSpan w:val="2"/>
          </w:tcPr>
          <w:p>
            <w:pPr>
              <w:jc w:val="right"/>
              <w:ind w:right="150"/>
              <w:spacing w:after="0" w:line="164" w:lineRule="exact"/>
              <w:rPr>
                <w:sz w:val="20"/>
                <w:szCs w:val="20"/>
                <w:color w:val="auto"/>
              </w:rPr>
            </w:pPr>
            <w:r>
              <w:rPr>
                <w:rFonts w:ascii="Calibri" w:cs="Calibri" w:eastAsia="Calibri" w:hAnsi="Calibri"/>
                <w:sz w:val="14"/>
                <w:szCs w:val="14"/>
                <w:b w:val="1"/>
                <w:bCs w:val="1"/>
                <w:color w:val="auto"/>
              </w:rPr>
              <w:t>2022</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3"/>
        </w:trPr>
        <w:tc>
          <w:tcPr>
            <w:tcW w:w="53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3"/>
        </w:trPr>
        <w:tc>
          <w:tcPr>
            <w:tcW w:w="5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jc w:val="right"/>
              <w:ind w:right="16"/>
              <w:spacing w:after="0" w:line="164" w:lineRule="exact"/>
              <w:rPr>
                <w:sz w:val="20"/>
                <w:szCs w:val="20"/>
                <w:color w:val="auto"/>
              </w:rPr>
            </w:pPr>
            <w:r>
              <w:rPr>
                <w:rFonts w:ascii="Calibri" w:cs="Calibri" w:eastAsia="Calibri" w:hAnsi="Calibri"/>
                <w:sz w:val="14"/>
                <w:szCs w:val="14"/>
                <w:b w:val="1"/>
                <w:bCs w:val="1"/>
                <w:color w:val="auto"/>
              </w:rPr>
              <w:t>(In</w:t>
            </w:r>
          </w:p>
        </w:tc>
        <w:tc>
          <w:tcPr>
            <w:tcW w:w="1460" w:type="dxa"/>
            <w:vAlign w:val="bottom"/>
            <w:gridSpan w:val="2"/>
          </w:tcPr>
          <w:p>
            <w:pPr>
              <w:jc w:val="right"/>
              <w:ind w:right="910"/>
              <w:spacing w:after="0" w:line="164" w:lineRule="exact"/>
              <w:rPr>
                <w:sz w:val="20"/>
                <w:szCs w:val="20"/>
                <w:color w:val="auto"/>
              </w:rPr>
            </w:pPr>
            <w:r>
              <w:rPr>
                <w:rFonts w:ascii="Calibri" w:cs="Calibri" w:eastAsia="Calibri" w:hAnsi="Calibri"/>
                <w:sz w:val="14"/>
                <w:szCs w:val="14"/>
                <w:b w:val="1"/>
                <w:bCs w:val="1"/>
                <w:color w:val="auto"/>
                <w:w w:val="87"/>
              </w:rPr>
              <w:t>millions)</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3"/>
        </w:trPr>
        <w:tc>
          <w:tcPr>
            <w:tcW w:w="5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43"/>
        </w:trPr>
        <w:tc>
          <w:tcPr>
            <w:tcW w:w="534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Cost of sales</w:t>
            </w:r>
          </w:p>
        </w:tc>
        <w:tc>
          <w:tcPr>
            <w:tcW w:w="1200" w:type="dxa"/>
            <w:vAlign w:val="bottom"/>
            <w:tcBorders>
              <w:bottom w:val="single" w:sz="8" w:color="CFF0FC"/>
            </w:tcBorders>
            <w:shd w:val="clear" w:color="auto" w:fill="CFF0FC"/>
          </w:tcPr>
          <w:p>
            <w:pPr>
              <w:jc w:val="right"/>
              <w:ind w:right="1019"/>
              <w:spacing w:after="0" w:line="215" w:lineRule="exact"/>
              <w:rPr>
                <w:sz w:val="20"/>
                <w:szCs w:val="20"/>
                <w:color w:val="auto"/>
              </w:rPr>
            </w:pPr>
            <w:r>
              <w:rPr>
                <w:rFonts w:ascii="Calibri" w:cs="Calibri" w:eastAsia="Calibri" w:hAnsi="Calibri"/>
                <w:sz w:val="18"/>
                <w:szCs w:val="18"/>
                <w:color w:val="auto"/>
                <w:w w:val="87"/>
              </w:rPr>
              <w:t>$</w:t>
            </w:r>
          </w:p>
        </w:tc>
        <w:tc>
          <w:tcPr>
            <w:tcW w:w="4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w:t>
            </w:r>
          </w:p>
        </w:tc>
        <w:tc>
          <w:tcPr>
            <w:tcW w:w="1460" w:type="dxa"/>
            <w:vAlign w:val="bottom"/>
            <w:tcBorders>
              <w:bottom w:val="single" w:sz="8" w:color="CFF0FC"/>
            </w:tcBorders>
            <w:gridSpan w:val="2"/>
            <w:shd w:val="clear" w:color="auto" w:fill="CFF0FC"/>
          </w:tcPr>
          <w:p>
            <w:pPr>
              <w:jc w:val="right"/>
              <w:ind w:right="990"/>
              <w:spacing w:after="0" w:line="215" w:lineRule="exact"/>
              <w:rPr>
                <w:sz w:val="20"/>
                <w:szCs w:val="20"/>
                <w:color w:val="auto"/>
              </w:rPr>
            </w:pPr>
            <w:r>
              <w:rPr>
                <w:rFonts w:ascii="Calibri" w:cs="Calibri" w:eastAsia="Calibri" w:hAnsi="Calibri"/>
                <w:sz w:val="18"/>
                <w:szCs w:val="18"/>
                <w:color w:val="auto"/>
              </w:rPr>
              <w:t>$</w:t>
            </w:r>
          </w:p>
        </w:tc>
        <w:tc>
          <w:tcPr>
            <w:tcW w:w="500" w:type="dxa"/>
            <w:vAlign w:val="bottom"/>
            <w:tcBorders>
              <w:bottom w:val="single" w:sz="8" w:color="CFF0FC"/>
            </w:tcBorders>
            <w:gridSpan w:val="2"/>
            <w:shd w:val="clear" w:color="auto" w:fill="CFF0FC"/>
          </w:tcPr>
          <w:p>
            <w:pPr>
              <w:ind w:left="240"/>
              <w:spacing w:after="0" w:line="215" w:lineRule="exact"/>
              <w:rPr>
                <w:sz w:val="20"/>
                <w:szCs w:val="20"/>
                <w:color w:val="auto"/>
              </w:rPr>
            </w:pPr>
            <w:r>
              <w:rPr>
                <w:rFonts w:ascii="Calibri" w:cs="Calibri" w:eastAsia="Calibri" w:hAnsi="Calibri"/>
                <w:sz w:val="18"/>
                <w:szCs w:val="18"/>
                <w:color w:val="auto"/>
              </w:rPr>
              <w:t>—</w:t>
            </w:r>
          </w:p>
        </w:tc>
      </w:tr>
      <w:tr>
        <w:trPr>
          <w:trHeight w:val="237"/>
        </w:trPr>
        <w:tc>
          <w:tcPr>
            <w:tcW w:w="5340" w:type="dxa"/>
            <w:vAlign w:val="bottom"/>
          </w:tcPr>
          <w:p>
            <w:pPr>
              <w:spacing w:after="0"/>
              <w:rPr>
                <w:sz w:val="20"/>
                <w:szCs w:val="20"/>
                <w:color w:val="auto"/>
              </w:rPr>
            </w:pPr>
            <w:r>
              <w:rPr>
                <w:rFonts w:ascii="Calibri" w:cs="Calibri" w:eastAsia="Calibri" w:hAnsi="Calibri"/>
                <w:sz w:val="18"/>
                <w:szCs w:val="18"/>
                <w:color w:val="auto"/>
              </w:rPr>
              <w:t>Total</w:t>
            </w:r>
          </w:p>
        </w:tc>
        <w:tc>
          <w:tcPr>
            <w:tcW w:w="1200" w:type="dxa"/>
            <w:vAlign w:val="bottom"/>
            <w:tcBorders>
              <w:top w:val="single" w:sz="8" w:color="auto"/>
              <w:bottom w:val="single" w:sz="8" w:color="auto"/>
            </w:tcBorders>
          </w:tcPr>
          <w:p>
            <w:pPr>
              <w:jc w:val="right"/>
              <w:ind w:right="1019"/>
              <w:spacing w:after="0" w:line="215" w:lineRule="exact"/>
              <w:rPr>
                <w:sz w:val="20"/>
                <w:szCs w:val="20"/>
                <w:color w:val="auto"/>
              </w:rPr>
            </w:pPr>
            <w:r>
              <w:rPr>
                <w:rFonts w:ascii="Calibri" w:cs="Calibri" w:eastAsia="Calibri" w:hAnsi="Calibri"/>
                <w:sz w:val="18"/>
                <w:szCs w:val="18"/>
                <w:color w:val="auto"/>
                <w:w w:val="87"/>
              </w:rPr>
              <w:t>$</w:t>
            </w:r>
          </w:p>
        </w:tc>
        <w:tc>
          <w:tcPr>
            <w:tcW w:w="48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w:t>
            </w:r>
          </w:p>
        </w:tc>
        <w:tc>
          <w:tcPr>
            <w:tcW w:w="280" w:type="dxa"/>
            <w:vAlign w:val="bottom"/>
          </w:tcPr>
          <w:p>
            <w:pPr>
              <w:spacing w:after="0"/>
              <w:rPr>
                <w:sz w:val="20"/>
                <w:szCs w:val="20"/>
                <w:color w:val="auto"/>
              </w:rPr>
            </w:pPr>
          </w:p>
        </w:tc>
        <w:tc>
          <w:tcPr>
            <w:tcW w:w="1180" w:type="dxa"/>
            <w:vAlign w:val="bottom"/>
            <w:tcBorders>
              <w:top w:val="single" w:sz="8" w:color="auto"/>
              <w:bottom w:val="single" w:sz="8" w:color="auto"/>
            </w:tcBorders>
          </w:tcPr>
          <w:p>
            <w:pPr>
              <w:jc w:val="right"/>
              <w:ind w:right="990"/>
              <w:spacing w:after="0" w:line="215" w:lineRule="exact"/>
              <w:rPr>
                <w:sz w:val="20"/>
                <w:szCs w:val="20"/>
                <w:color w:val="auto"/>
              </w:rPr>
            </w:pPr>
            <w:r>
              <w:rPr>
                <w:rFonts w:ascii="Calibri" w:cs="Calibri" w:eastAsia="Calibri" w:hAnsi="Calibri"/>
                <w:sz w:val="18"/>
                <w:szCs w:val="18"/>
                <w:color w:val="auto"/>
                <w:w w:val="87"/>
              </w:rPr>
              <w:t>$</w:t>
            </w:r>
          </w:p>
        </w:tc>
        <w:tc>
          <w:tcPr>
            <w:tcW w:w="420" w:type="dxa"/>
            <w:vAlign w:val="bottom"/>
            <w:tcBorders>
              <w:top w:val="single" w:sz="8" w:color="auto"/>
              <w:bottom w:val="single" w:sz="8" w:color="auto"/>
            </w:tcBorders>
          </w:tcPr>
          <w:p>
            <w:pPr>
              <w:ind w:left="240"/>
              <w:spacing w:after="0" w:line="215" w:lineRule="exact"/>
              <w:rPr>
                <w:sz w:val="20"/>
                <w:szCs w:val="20"/>
                <w:color w:val="auto"/>
              </w:rPr>
            </w:pPr>
            <w:r>
              <w:rPr>
                <w:rFonts w:ascii="Calibri" w:cs="Calibri" w:eastAsia="Calibri" w:hAnsi="Calibri"/>
                <w:sz w:val="18"/>
                <w:szCs w:val="18"/>
                <w:color w:val="auto"/>
                <w:w w:val="97"/>
              </w:rPr>
              <w:t>—</w:t>
            </w:r>
          </w:p>
        </w:tc>
        <w:tc>
          <w:tcPr>
            <w:tcW w:w="80" w:type="dxa"/>
            <w:vAlign w:val="bottom"/>
          </w:tcPr>
          <w:p>
            <w:pPr>
              <w:spacing w:after="0"/>
              <w:rPr>
                <w:sz w:val="20"/>
                <w:szCs w:val="20"/>
                <w:color w:val="auto"/>
              </w:rPr>
            </w:pPr>
          </w:p>
        </w:tc>
      </w:tr>
      <w:tr>
        <w:trPr>
          <w:trHeight w:val="20"/>
        </w:trPr>
        <w:tc>
          <w:tcPr>
            <w:tcW w:w="53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415925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4" w:right="339" w:bottom="1440" w:gutter="0" w:footer="0" w:header="0"/>
        </w:sectPr>
      </w:pPr>
    </w:p>
    <w:bookmarkStart w:id="15" w:name="page16"/>
    <w:bookmarkEnd w:id="15"/>
    <w:p>
      <w:pPr>
        <w:ind w:left="760"/>
        <w:spacing w:after="0"/>
        <w:rPr>
          <w:sz w:val="20"/>
          <w:szCs w:val="20"/>
          <w:color w:val="auto"/>
        </w:rPr>
      </w:pPr>
      <w:r>
        <w:rPr>
          <w:rFonts w:ascii="Calibri" w:cs="Calibri" w:eastAsia="Calibri" w:hAnsi="Calibri"/>
          <w:sz w:val="18"/>
          <w:szCs w:val="18"/>
          <w:color w:val="auto"/>
        </w:rPr>
        <w:t>Details of all restructuring actvites and the related reserves during the three months ended December 31, 2023 were as follows:</w:t>
      </w:r>
    </w:p>
    <w:p>
      <w:pPr>
        <w:spacing w:after="0" w:line="1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1180" w:type="dxa"/>
            <w:vAlign w:val="bottom"/>
          </w:tcPr>
          <w:p>
            <w:pPr>
              <w:jc w:val="center"/>
              <w:ind w:left="141"/>
              <w:spacing w:after="0"/>
              <w:rPr>
                <w:sz w:val="20"/>
                <w:szCs w:val="20"/>
                <w:color w:val="auto"/>
              </w:rPr>
            </w:pPr>
            <w:r>
              <w:rPr>
                <w:rFonts w:ascii="Calibri" w:cs="Calibri" w:eastAsia="Calibri" w:hAnsi="Calibri"/>
                <w:sz w:val="14"/>
                <w:szCs w:val="14"/>
                <w:b w:val="1"/>
                <w:bCs w:val="1"/>
                <w:color w:val="auto"/>
              </w:rPr>
              <w:t>Severance</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5"/>
        </w:trPr>
        <w:tc>
          <w:tcPr>
            <w:tcW w:w="4220" w:type="dxa"/>
            <w:vAlign w:val="bottom"/>
          </w:tcPr>
          <w:p>
            <w:pPr>
              <w:spacing w:after="0"/>
              <w:rPr>
                <w:sz w:val="15"/>
                <w:szCs w:val="15"/>
                <w:color w:val="auto"/>
              </w:rPr>
            </w:pPr>
          </w:p>
        </w:tc>
        <w:tc>
          <w:tcPr>
            <w:tcW w:w="1180" w:type="dxa"/>
            <w:vAlign w:val="bottom"/>
          </w:tcPr>
          <w:p>
            <w:pPr>
              <w:jc w:val="center"/>
              <w:ind w:left="141"/>
              <w:spacing w:after="0"/>
              <w:rPr>
                <w:sz w:val="20"/>
                <w:szCs w:val="20"/>
                <w:color w:val="auto"/>
              </w:rPr>
            </w:pPr>
            <w:r>
              <w:rPr>
                <w:rFonts w:ascii="Calibri" w:cs="Calibri" w:eastAsia="Calibri" w:hAnsi="Calibri"/>
                <w:sz w:val="14"/>
                <w:szCs w:val="14"/>
                <w:b w:val="1"/>
                <w:bCs w:val="1"/>
                <w:color w:val="auto"/>
              </w:rPr>
              <w:t>and Employee</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right"/>
              <w:ind w:right="600"/>
              <w:spacing w:after="0"/>
              <w:rPr>
                <w:sz w:val="20"/>
                <w:szCs w:val="20"/>
                <w:color w:val="auto"/>
              </w:rPr>
            </w:pPr>
            <w:r>
              <w:rPr>
                <w:rFonts w:ascii="Calibri" w:cs="Calibri" w:eastAsia="Calibri" w:hAnsi="Calibri"/>
                <w:sz w:val="14"/>
                <w:szCs w:val="14"/>
                <w:b w:val="1"/>
                <w:bCs w:val="1"/>
                <w:color w:val="auto"/>
              </w:rPr>
              <w:t>Accelerated</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4220" w:type="dxa"/>
            <w:vAlign w:val="bottom"/>
          </w:tcPr>
          <w:p>
            <w:pPr>
              <w:spacing w:after="0"/>
              <w:rPr>
                <w:sz w:val="15"/>
                <w:szCs w:val="15"/>
                <w:color w:val="auto"/>
              </w:rPr>
            </w:pPr>
          </w:p>
        </w:tc>
        <w:tc>
          <w:tcPr>
            <w:tcW w:w="1180" w:type="dxa"/>
            <w:vAlign w:val="bottom"/>
          </w:tcPr>
          <w:p>
            <w:pPr>
              <w:jc w:val="center"/>
              <w:ind w:left="141"/>
              <w:spacing w:after="0"/>
              <w:rPr>
                <w:sz w:val="20"/>
                <w:szCs w:val="20"/>
                <w:color w:val="auto"/>
              </w:rPr>
            </w:pPr>
            <w:r>
              <w:rPr>
                <w:rFonts w:ascii="Calibri" w:cs="Calibri" w:eastAsia="Calibri" w:hAnsi="Calibri"/>
                <w:sz w:val="14"/>
                <w:szCs w:val="14"/>
                <w:b w:val="1"/>
                <w:bCs w:val="1"/>
                <w:color w:val="auto"/>
              </w:rPr>
              <w:t>Benefts</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3"/>
          </w:tcPr>
          <w:p>
            <w:pPr>
              <w:ind w:left="20"/>
              <w:spacing w:after="0"/>
              <w:rPr>
                <w:sz w:val="20"/>
                <w:szCs w:val="20"/>
                <w:color w:val="auto"/>
              </w:rPr>
            </w:pPr>
            <w:r>
              <w:rPr>
                <w:rFonts w:ascii="Calibri" w:cs="Calibri" w:eastAsia="Calibri" w:hAnsi="Calibri"/>
                <w:sz w:val="14"/>
                <w:szCs w:val="14"/>
                <w:b w:val="1"/>
                <w:bCs w:val="1"/>
                <w:color w:val="auto"/>
              </w:rPr>
              <w:t>Depreciaton on Assets</w:t>
            </w:r>
          </w:p>
        </w:tc>
        <w:tc>
          <w:tcPr>
            <w:tcW w:w="320" w:type="dxa"/>
            <w:vAlign w:val="bottom"/>
          </w:tcPr>
          <w:p>
            <w:pPr>
              <w:spacing w:after="0"/>
              <w:rPr>
                <w:sz w:val="15"/>
                <w:szCs w:val="15"/>
                <w:color w:val="auto"/>
              </w:rPr>
            </w:pPr>
          </w:p>
        </w:tc>
        <w:tc>
          <w:tcPr>
            <w:tcW w:w="1140" w:type="dxa"/>
            <w:vAlign w:val="bottom"/>
            <w:gridSpan w:val="2"/>
          </w:tcPr>
          <w:p>
            <w:pPr>
              <w:jc w:val="right"/>
              <w:ind w:right="640"/>
              <w:spacing w:after="0"/>
              <w:rPr>
                <w:sz w:val="20"/>
                <w:szCs w:val="20"/>
                <w:color w:val="auto"/>
              </w:rPr>
            </w:pPr>
            <w:r>
              <w:rPr>
                <w:rFonts w:ascii="Calibri" w:cs="Calibri" w:eastAsia="Calibri" w:hAnsi="Calibri"/>
                <w:sz w:val="14"/>
                <w:szCs w:val="14"/>
                <w:b w:val="1"/>
                <w:bCs w:val="1"/>
                <w:color w:val="auto"/>
              </w:rPr>
              <w:t>Total</w:t>
            </w:r>
          </w:p>
        </w:tc>
      </w:tr>
      <w:tr>
        <w:trPr>
          <w:trHeight w:val="33"/>
        </w:trPr>
        <w:tc>
          <w:tcPr>
            <w:tcW w:w="42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3"/>
        </w:trPr>
        <w:tc>
          <w:tcPr>
            <w:tcW w:w="4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ind w:right="315"/>
              <w:spacing w:after="0" w:line="164" w:lineRule="exact"/>
              <w:rPr>
                <w:sz w:val="20"/>
                <w:szCs w:val="20"/>
                <w:color w:val="auto"/>
              </w:rPr>
            </w:pPr>
            <w:r>
              <w:rPr>
                <w:rFonts w:ascii="Calibri" w:cs="Calibri" w:eastAsia="Calibri" w:hAnsi="Calibri"/>
                <w:sz w:val="14"/>
                <w:szCs w:val="14"/>
                <w:b w:val="1"/>
                <w:bCs w:val="1"/>
                <w:color w:val="auto"/>
              </w:rPr>
              <w:t>(In millions)</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3"/>
        </w:trPr>
        <w:tc>
          <w:tcPr>
            <w:tcW w:w="4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422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Reserve at September 30, 2023</w:t>
            </w:r>
          </w:p>
        </w:tc>
        <w:tc>
          <w:tcPr>
            <w:tcW w:w="1180" w:type="dxa"/>
            <w:vAlign w:val="bottom"/>
            <w:tcBorders>
              <w:bottom w:val="single" w:sz="8" w:color="CFF0FC"/>
            </w:tcBorders>
            <w:shd w:val="clear" w:color="auto" w:fill="CFF0FC"/>
          </w:tcPr>
          <w:p>
            <w:pPr>
              <w:jc w:val="right"/>
              <w:ind w:right="1001"/>
              <w:spacing w:after="0" w:line="215" w:lineRule="exact"/>
              <w:rPr>
                <w:sz w:val="20"/>
                <w:szCs w:val="20"/>
                <w:color w:val="auto"/>
              </w:rPr>
            </w:pPr>
            <w:r>
              <w:rPr>
                <w:rFonts w:ascii="Calibri" w:cs="Calibri" w:eastAsia="Calibri" w:hAnsi="Calibri"/>
                <w:sz w:val="18"/>
                <w:szCs w:val="18"/>
                <w:color w:val="auto"/>
                <w:w w:val="87"/>
              </w:rPr>
              <w:t>$</w:t>
            </w:r>
          </w:p>
        </w:tc>
        <w:tc>
          <w:tcPr>
            <w:tcW w:w="480" w:type="dxa"/>
            <w:vAlign w:val="bottom"/>
            <w:tcBorders>
              <w:bottom w:val="single" w:sz="8" w:color="CFF0FC"/>
            </w:tcBorders>
            <w:gridSpan w:val="2"/>
            <w:shd w:val="clear" w:color="auto" w:fill="CFF0FC"/>
          </w:tcPr>
          <w:p>
            <w:pPr>
              <w:jc w:val="right"/>
              <w:ind w:right="260"/>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w:t>
            </w:r>
          </w:p>
        </w:tc>
        <w:tc>
          <w:tcPr>
            <w:tcW w:w="1420" w:type="dxa"/>
            <w:vAlign w:val="bottom"/>
            <w:tcBorders>
              <w:bottom w:val="single" w:sz="8" w:color="CFF0FC"/>
            </w:tcBorders>
            <w:gridSpan w:val="2"/>
            <w:shd w:val="clear" w:color="auto" w:fill="CFF0FC"/>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320" w:type="dxa"/>
            <w:vAlign w:val="bottom"/>
            <w:tcBorders>
              <w:bottom w:val="single" w:sz="8" w:color="CFF0FC"/>
            </w:tcBorders>
            <w:shd w:val="clear" w:color="auto" w:fill="CFF0FC"/>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tcBorders>
              <w:bottom w:val="single" w:sz="8" w:color="CFF0FC"/>
            </w:tcBorders>
            <w:gridSpan w:val="2"/>
            <w:shd w:val="clear" w:color="auto" w:fill="CFF0FC"/>
          </w:tcPr>
          <w:p>
            <w:pPr>
              <w:jc w:val="right"/>
              <w:ind w:right="100"/>
              <w:spacing w:after="0" w:line="215" w:lineRule="exact"/>
              <w:rPr>
                <w:sz w:val="20"/>
                <w:szCs w:val="20"/>
                <w:color w:val="auto"/>
              </w:rPr>
            </w:pPr>
            <w:r>
              <w:rPr>
                <w:rFonts w:ascii="Calibri" w:cs="Calibri" w:eastAsia="Calibri" w:hAnsi="Calibri"/>
                <w:sz w:val="18"/>
                <w:szCs w:val="18"/>
                <w:color w:val="auto"/>
              </w:rPr>
              <w:t>—</w:t>
            </w:r>
          </w:p>
        </w:tc>
      </w:tr>
      <w:tr>
        <w:trPr>
          <w:trHeight w:val="215"/>
        </w:trPr>
        <w:tc>
          <w:tcPr>
            <w:tcW w:w="4220" w:type="dxa"/>
            <w:vAlign w:val="bottom"/>
          </w:tcPr>
          <w:p>
            <w:pPr>
              <w:ind w:left="180"/>
              <w:spacing w:after="0" w:line="215" w:lineRule="exact"/>
              <w:rPr>
                <w:sz w:val="20"/>
                <w:szCs w:val="20"/>
                <w:color w:val="auto"/>
              </w:rPr>
            </w:pPr>
            <w:r>
              <w:rPr>
                <w:rFonts w:ascii="Calibri" w:cs="Calibri" w:eastAsia="Calibri" w:hAnsi="Calibri"/>
                <w:sz w:val="18"/>
                <w:szCs w:val="18"/>
                <w:color w:val="auto"/>
              </w:rPr>
              <w:t>Charges</w:t>
            </w:r>
          </w:p>
        </w:tc>
        <w:tc>
          <w:tcPr>
            <w:tcW w:w="1180" w:type="dxa"/>
            <w:vAlign w:val="bottom"/>
          </w:tcPr>
          <w:p>
            <w:pPr>
              <w:spacing w:after="0"/>
              <w:rPr>
                <w:sz w:val="18"/>
                <w:szCs w:val="18"/>
                <w:color w:val="auto"/>
              </w:rPr>
            </w:pPr>
          </w:p>
        </w:tc>
        <w:tc>
          <w:tcPr>
            <w:tcW w:w="240" w:type="dxa"/>
            <w:vAlign w:val="bottom"/>
          </w:tcPr>
          <w:p>
            <w:pPr>
              <w:jc w:val="right"/>
              <w:spacing w:after="0" w:line="215" w:lineRule="exact"/>
              <w:rPr>
                <w:sz w:val="20"/>
                <w:szCs w:val="20"/>
                <w:color w:val="auto"/>
              </w:rPr>
            </w:pPr>
            <w:r>
              <w:rPr>
                <w:rFonts w:ascii="Calibri" w:cs="Calibri" w:eastAsia="Calibri" w:hAnsi="Calibri"/>
                <w:sz w:val="18"/>
                <w:szCs w:val="18"/>
                <w:color w:val="auto"/>
              </w:rPr>
              <w:t>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9</w:t>
            </w:r>
          </w:p>
        </w:tc>
        <w:tc>
          <w:tcPr>
            <w:tcW w:w="80" w:type="dxa"/>
            <w:vAlign w:val="bottom"/>
          </w:tcPr>
          <w:p>
            <w:pPr>
              <w:spacing w:after="0"/>
              <w:rPr>
                <w:sz w:val="18"/>
                <w:szCs w:val="18"/>
                <w:color w:val="auto"/>
              </w:rPr>
            </w:pPr>
          </w:p>
        </w:tc>
      </w:tr>
      <w:tr>
        <w:trPr>
          <w:trHeight w:val="28"/>
        </w:trPr>
        <w:tc>
          <w:tcPr>
            <w:tcW w:w="4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4220" w:type="dxa"/>
            <w:vAlign w:val="bottom"/>
            <w:tcBorders>
              <w:bottom w:val="single" w:sz="8" w:color="CFF0FC"/>
            </w:tcBorders>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Cost charged against assets</w:t>
            </w:r>
          </w:p>
        </w:tc>
        <w:tc>
          <w:tcPr>
            <w:tcW w:w="118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gridSpan w:val="2"/>
            <w:shd w:val="clear" w:color="auto" w:fill="CFF0FC"/>
          </w:tcPr>
          <w:p>
            <w:pPr>
              <w:jc w:val="right"/>
              <w:ind w:right="260"/>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gridSpan w:val="2"/>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(6 )</w:t>
            </w:r>
          </w:p>
        </w:tc>
        <w:tc>
          <w:tcPr>
            <w:tcW w:w="32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(6 )</w:t>
            </w:r>
          </w:p>
        </w:tc>
      </w:tr>
      <w:tr>
        <w:trPr>
          <w:trHeight w:val="219"/>
        </w:trPr>
        <w:tc>
          <w:tcPr>
            <w:tcW w:w="4220" w:type="dxa"/>
            <w:vAlign w:val="bottom"/>
          </w:tcPr>
          <w:p>
            <w:pPr>
              <w:ind w:left="180"/>
              <w:spacing w:after="0"/>
              <w:rPr>
                <w:sz w:val="20"/>
                <w:szCs w:val="20"/>
                <w:color w:val="auto"/>
              </w:rPr>
            </w:pPr>
            <w:r>
              <w:rPr>
                <w:rFonts w:ascii="Calibri" w:cs="Calibri" w:eastAsia="Calibri" w:hAnsi="Calibri"/>
                <w:sz w:val="18"/>
                <w:szCs w:val="18"/>
                <w:color w:val="auto"/>
              </w:rPr>
              <w:t>Cash paid</w:t>
            </w:r>
          </w:p>
        </w:tc>
        <w:tc>
          <w:tcPr>
            <w:tcW w:w="1180" w:type="dxa"/>
            <w:vAlign w:val="bottom"/>
          </w:tcPr>
          <w:p>
            <w:pPr>
              <w:spacing w:after="0"/>
              <w:rPr>
                <w:sz w:val="19"/>
                <w:szCs w:val="19"/>
                <w:color w:val="auto"/>
              </w:rPr>
            </w:pPr>
          </w:p>
        </w:tc>
        <w:tc>
          <w:tcPr>
            <w:tcW w:w="48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(1 )</w:t>
            </w:r>
          </w:p>
        </w:tc>
        <w:tc>
          <w:tcPr>
            <w:tcW w:w="220" w:type="dxa"/>
            <w:vAlign w:val="bottom"/>
          </w:tcPr>
          <w:p>
            <w:pPr>
              <w:spacing w:after="0"/>
              <w:rPr>
                <w:sz w:val="19"/>
                <w:szCs w:val="19"/>
                <w:color w:val="auto"/>
              </w:rPr>
            </w:pPr>
          </w:p>
        </w:tc>
        <w:tc>
          <w:tcPr>
            <w:tcW w:w="142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320" w:type="dxa"/>
            <w:vAlign w:val="bottom"/>
          </w:tcPr>
          <w:p>
            <w:pPr>
              <w:spacing w:after="0"/>
              <w:rPr>
                <w:sz w:val="19"/>
                <w:szCs w:val="19"/>
                <w:color w:val="auto"/>
              </w:rPr>
            </w:pPr>
          </w:p>
        </w:tc>
        <w:tc>
          <w:tcPr>
            <w:tcW w:w="114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(1 )</w:t>
            </w:r>
          </w:p>
        </w:tc>
      </w:tr>
      <w:tr>
        <w:trPr>
          <w:trHeight w:val="23"/>
        </w:trPr>
        <w:tc>
          <w:tcPr>
            <w:tcW w:w="42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77"/>
        </w:trPr>
        <w:tc>
          <w:tcPr>
            <w:tcW w:w="422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8"/>
                <w:szCs w:val="18"/>
                <w:color w:val="auto"/>
              </w:rPr>
              <w:t>Reserve at December 31, 2023</w:t>
            </w:r>
          </w:p>
        </w:tc>
        <w:tc>
          <w:tcPr>
            <w:tcW w:w="1180" w:type="dxa"/>
            <w:vAlign w:val="bottom"/>
            <w:tcBorders>
              <w:bottom w:val="single" w:sz="8" w:color="auto"/>
            </w:tcBorders>
            <w:shd w:val="clear" w:color="auto" w:fill="CFF0FC"/>
          </w:tcPr>
          <w:p>
            <w:pPr>
              <w:jc w:val="right"/>
              <w:ind w:right="1001"/>
              <w:spacing w:after="0" w:line="215" w:lineRule="exact"/>
              <w:rPr>
                <w:sz w:val="20"/>
                <w:szCs w:val="20"/>
                <w:color w:val="auto"/>
              </w:rPr>
            </w:pPr>
            <w:r>
              <w:rPr>
                <w:rFonts w:ascii="Calibri" w:cs="Calibri" w:eastAsia="Calibri" w:hAnsi="Calibri"/>
                <w:sz w:val="18"/>
                <w:szCs w:val="18"/>
                <w:color w:val="auto"/>
                <w:w w:val="87"/>
              </w:rPr>
              <w:t>$</w:t>
            </w:r>
          </w:p>
        </w:tc>
        <w:tc>
          <w:tcPr>
            <w:tcW w:w="24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w:t>
            </w:r>
          </w:p>
        </w:tc>
        <w:tc>
          <w:tcPr>
            <w:tcW w:w="120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06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-25400</wp:posOffset>
            </wp:positionV>
            <wp:extent cx="60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-8255</wp:posOffset>
            </wp:positionV>
            <wp:extent cx="603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-25400</wp:posOffset>
            </wp:positionV>
            <wp:extent cx="514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-8255</wp:posOffset>
            </wp:positionV>
            <wp:extent cx="5143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47" w:lineRule="exact"/>
        <w:rPr>
          <w:sz w:val="20"/>
          <w:szCs w:val="20"/>
          <w:color w:val="auto"/>
        </w:rPr>
      </w:pPr>
    </w:p>
    <w:p>
      <w:pPr>
        <w:ind w:left="760"/>
        <w:spacing w:after="0"/>
        <w:rPr>
          <w:sz w:val="20"/>
          <w:szCs w:val="20"/>
          <w:color w:val="auto"/>
        </w:rPr>
      </w:pPr>
      <w:r>
        <w:rPr>
          <w:rFonts w:ascii="Calibri" w:cs="Calibri" w:eastAsia="Calibri" w:hAnsi="Calibri"/>
          <w:sz w:val="17"/>
          <w:szCs w:val="17"/>
          <w:color w:val="auto"/>
        </w:rPr>
        <w:t>Cabot’s severance and employee beneft reserves are refected in Accounts payable and accrued liabilites on the Company’s Consolidated Balance</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Sheets.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 Financial Instruments and Fair Value Measurements</w:t>
      </w:r>
    </w:p>
    <w:p>
      <w:pPr>
        <w:spacing w:after="0" w:line="82" w:lineRule="exact"/>
        <w:rPr>
          <w:sz w:val="20"/>
          <w:szCs w:val="20"/>
          <w:color w:val="auto"/>
        </w:rPr>
      </w:pPr>
    </w:p>
    <w:p>
      <w:pPr>
        <w:jc w:val="both"/>
        <w:ind w:right="180" w:firstLine="509"/>
        <w:spacing w:after="0" w:line="235" w:lineRule="auto"/>
        <w:rPr>
          <w:sz w:val="20"/>
          <w:szCs w:val="20"/>
          <w:color w:val="auto"/>
        </w:rPr>
      </w:pPr>
      <w:r>
        <w:rPr>
          <w:rFonts w:ascii="Calibri" w:cs="Calibri" w:eastAsia="Calibri" w:hAnsi="Calibri"/>
          <w:sz w:val="18"/>
          <w:szCs w:val="18"/>
          <w:color w:val="auto"/>
        </w:rPr>
        <w:t>The FASB authoritatve guidance on fair value measurements defnes fair value, provides a framework for measuring fair value, and requires certain disclosures about fair value measurements. The required disclosures focus on the inputs used to measure fair value. The guidance establishes the following hierarchy for categorizing these inputs:</w:t>
      </w:r>
    </w:p>
    <w:p>
      <w:pPr>
        <w:spacing w:after="0" w:line="119" w:lineRule="exact"/>
        <w:rPr>
          <w:sz w:val="20"/>
          <w:szCs w:val="20"/>
          <w:color w:val="auto"/>
        </w:rPr>
      </w:pPr>
    </w:p>
    <w:p>
      <w:pPr>
        <w:ind w:left="20"/>
        <w:spacing w:after="0"/>
        <w:tabs>
          <w:tab w:leader="none" w:pos="920" w:val="left"/>
          <w:tab w:leader="none" w:pos="1300" w:val="left"/>
        </w:tabs>
        <w:rPr>
          <w:sz w:val="20"/>
          <w:szCs w:val="20"/>
          <w:color w:val="auto"/>
        </w:rPr>
      </w:pPr>
      <w:r>
        <w:rPr>
          <w:rFonts w:ascii="Calibri" w:cs="Calibri" w:eastAsia="Calibri" w:hAnsi="Calibri"/>
          <w:sz w:val="18"/>
          <w:szCs w:val="18"/>
          <w:color w:val="auto"/>
        </w:rPr>
        <w:t>Level 1</w:t>
      </w:r>
      <w:r>
        <w:rPr>
          <w:sz w:val="20"/>
          <w:szCs w:val="20"/>
          <w:color w:val="auto"/>
        </w:rPr>
        <w:tab/>
      </w:r>
      <w:r>
        <w:rPr>
          <w:rFonts w:ascii="Calibri" w:cs="Calibri" w:eastAsia="Calibri" w:hAnsi="Calibri"/>
          <w:sz w:val="18"/>
          <w:szCs w:val="18"/>
          <w:color w:val="auto"/>
        </w:rPr>
        <w:t>—</w:t>
      </w:r>
      <w:r>
        <w:rPr>
          <w:sz w:val="20"/>
          <w:szCs w:val="20"/>
          <w:color w:val="auto"/>
        </w:rPr>
        <w:tab/>
      </w:r>
      <w:r>
        <w:rPr>
          <w:rFonts w:ascii="Calibri" w:cs="Calibri" w:eastAsia="Calibri" w:hAnsi="Calibri"/>
          <w:sz w:val="17"/>
          <w:szCs w:val="17"/>
          <w:color w:val="auto"/>
        </w:rPr>
        <w:t>Quoted market prices in actve markets for identcal assets or liabilites</w:t>
      </w:r>
    </w:p>
    <w:p>
      <w:pPr>
        <w:spacing w:after="0" w:line="190" w:lineRule="exact"/>
        <w:rPr>
          <w:sz w:val="20"/>
          <w:szCs w:val="20"/>
          <w:color w:val="auto"/>
        </w:rPr>
      </w:pPr>
    </w:p>
    <w:p>
      <w:pPr>
        <w:ind w:left="940" w:right="320" w:hanging="1295"/>
        <w:spacing w:after="0" w:line="235" w:lineRule="auto"/>
        <w:tabs>
          <w:tab w:leader="none" w:pos="920" w:val="left"/>
        </w:tabs>
        <w:rPr>
          <w:sz w:val="20"/>
          <w:szCs w:val="20"/>
          <w:color w:val="auto"/>
        </w:rPr>
      </w:pPr>
      <w:r>
        <w:rPr>
          <w:rFonts w:ascii="Calibri" w:cs="Calibri" w:eastAsia="Calibri" w:hAnsi="Calibri"/>
          <w:sz w:val="18"/>
          <w:szCs w:val="18"/>
          <w:color w:val="auto"/>
        </w:rPr>
        <w:t>Level 2</w:t>
      </w:r>
      <w:r>
        <w:rPr>
          <w:sz w:val="20"/>
          <w:szCs w:val="20"/>
          <w:color w:val="auto"/>
        </w:rPr>
        <w:tab/>
      </w:r>
      <w:r>
        <w:rPr>
          <w:rFonts w:ascii="Calibri" w:cs="Calibri" w:eastAsia="Calibri" w:hAnsi="Calibri"/>
          <w:sz w:val="18"/>
          <w:szCs w:val="18"/>
          <w:color w:val="auto"/>
        </w:rPr>
        <w:t>— Signifcant other observable inputs (e.g., quoted prices for similar items in actve markets, quoted prices for identcal or similar items in markets that are not actve, inputs other than quoted prices that are observable such as interest rate and yield curves, and market-corroborated inputs)</w:t>
      </w:r>
    </w:p>
    <w:p>
      <w:pPr>
        <w:spacing w:after="0" w:line="187" w:lineRule="exact"/>
        <w:rPr>
          <w:sz w:val="20"/>
          <w:szCs w:val="20"/>
          <w:color w:val="auto"/>
        </w:rPr>
      </w:pPr>
    </w:p>
    <w:p>
      <w:pPr>
        <w:ind w:left="20"/>
        <w:spacing w:after="0"/>
        <w:tabs>
          <w:tab w:leader="none" w:pos="920" w:val="left"/>
          <w:tab w:leader="none" w:pos="1300" w:val="left"/>
        </w:tabs>
        <w:rPr>
          <w:sz w:val="20"/>
          <w:szCs w:val="20"/>
          <w:color w:val="auto"/>
        </w:rPr>
      </w:pPr>
      <w:r>
        <w:rPr>
          <w:rFonts w:ascii="Calibri" w:cs="Calibri" w:eastAsia="Calibri" w:hAnsi="Calibri"/>
          <w:sz w:val="18"/>
          <w:szCs w:val="18"/>
          <w:color w:val="auto"/>
        </w:rPr>
        <w:t>Level 3</w:t>
      </w:r>
      <w:r>
        <w:rPr>
          <w:sz w:val="20"/>
          <w:szCs w:val="20"/>
          <w:color w:val="auto"/>
        </w:rPr>
        <w:tab/>
      </w:r>
      <w:r>
        <w:rPr>
          <w:rFonts w:ascii="Calibri" w:cs="Calibri" w:eastAsia="Calibri" w:hAnsi="Calibri"/>
          <w:sz w:val="18"/>
          <w:szCs w:val="18"/>
          <w:color w:val="auto"/>
        </w:rPr>
        <w:t>—</w:t>
      </w:r>
      <w:r>
        <w:rPr>
          <w:sz w:val="20"/>
          <w:szCs w:val="20"/>
          <w:color w:val="auto"/>
        </w:rPr>
        <w:tab/>
      </w:r>
      <w:r>
        <w:rPr>
          <w:rFonts w:ascii="Calibri" w:cs="Calibri" w:eastAsia="Calibri" w:hAnsi="Calibri"/>
          <w:sz w:val="17"/>
          <w:szCs w:val="17"/>
          <w:color w:val="auto"/>
        </w:rPr>
        <w:t>Signifcant unobservable inputs</w:t>
      </w:r>
    </w:p>
    <w:p>
      <w:pPr>
        <w:spacing w:after="0" w:line="204" w:lineRule="exact"/>
        <w:rPr>
          <w:sz w:val="20"/>
          <w:szCs w:val="20"/>
          <w:color w:val="auto"/>
        </w:rPr>
      </w:pPr>
    </w:p>
    <w:p>
      <w:pPr>
        <w:ind w:right="380" w:firstLine="509"/>
        <w:spacing w:after="0" w:line="235" w:lineRule="auto"/>
        <w:rPr>
          <w:sz w:val="20"/>
          <w:szCs w:val="20"/>
          <w:color w:val="auto"/>
        </w:rPr>
      </w:pPr>
      <w:r>
        <w:rPr>
          <w:rFonts w:ascii="Calibri" w:cs="Calibri" w:eastAsia="Calibri" w:hAnsi="Calibri"/>
          <w:sz w:val="18"/>
          <w:szCs w:val="18"/>
          <w:color w:val="auto"/>
        </w:rPr>
        <w:t>There were no transfers of fnancial assets or liabilites measured at fair value between Level 1 and Level 2 and there were no Level 3 investments during the frst three months of either fscal 2024 or 2023.</w:t>
      </w:r>
    </w:p>
    <w:p>
      <w:pPr>
        <w:spacing w:after="0" w:line="83"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At December 31, 2023 and September 30, 2023, the fair values of cash and cash equivalents, accounts and notes receivable, accounts payable and accrued liabilites, and short-term borrowings and variable rate debt approximated their carrying values due to the short-term nature of these instruments. Cash and cash equivalents are classifed as Level 1 within the fair value hierarchy.</w:t>
      </w:r>
    </w:p>
    <w:p>
      <w:pPr>
        <w:spacing w:after="0" w:line="84"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At December 31, 2023 and September 30, 2023, Cabot had derivatves relatng to foreign currency risks, including a net investment hedge and forward foreign currency contracts, carried at fair value. At December 31, 2023 the fair value of these derivatves was a net asset of $4 million and was included in Prepaid expenses and other current assets, Accounts payable and accrued liabilites, and Other assets on the Consolidated Balance Sheets. At September 30, 2023, the fair value of these derivatves was an asset of $12 million and was included in Prepaid expenses and other current assets and Other assets on the Consolidated Balance Sheets. These derivatves are classifed as Level 2 instruments within the fair value hierarchy as the fair value determinaton was based on observable inputs.</w:t>
      </w:r>
    </w:p>
    <w:p>
      <w:pPr>
        <w:spacing w:after="0" w:line="86" w:lineRule="exact"/>
        <w:rPr>
          <w:sz w:val="20"/>
          <w:szCs w:val="20"/>
          <w:color w:val="auto"/>
        </w:rPr>
      </w:pPr>
    </w:p>
    <w:p>
      <w:pPr>
        <w:jc w:val="both"/>
        <w:ind w:right="480" w:firstLine="509"/>
        <w:spacing w:after="0" w:line="235" w:lineRule="auto"/>
        <w:rPr>
          <w:sz w:val="20"/>
          <w:szCs w:val="20"/>
          <w:color w:val="auto"/>
        </w:rPr>
      </w:pPr>
      <w:r>
        <w:rPr>
          <w:rFonts w:ascii="Calibri" w:cs="Calibri" w:eastAsia="Calibri" w:hAnsi="Calibri"/>
          <w:sz w:val="18"/>
          <w:szCs w:val="18"/>
          <w:color w:val="auto"/>
        </w:rPr>
        <w:t>At December 31, 2023 and September 30, 2023, the fair value of guaranteed investment contracts included in Other assets on the Consolidated Balance Sheets was $9 million and $8 million, respectvely. Guaranteed investment contracts were classifed as Level 2 instruments within the fair value hierarchy as the fair value determinaton was based on other observable inputs.</w:t>
      </w:r>
    </w:p>
    <w:p>
      <w:pPr>
        <w:spacing w:after="0" w:line="84"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The carrying value and fair value of the long-term fxed rate debt were $1.09 billion and $1.08 billion, respectvely, as of December 31, 2023 and 1.08 billion and 1.04 billion, respectvely, as of September 30, 2023. The fair values of Cabot’s fxed rate long-term debt are estmated based on comparable quoted market prices at the respectve period ends. The carrying amounts of Cabot’s foatng rate long-term debt and fnance and operatng lease obligatons approximate their fair values. All such measurements are based on observable inputs and are classifed as Level 2 within the fair value hierarchy. The valuaton technique used is the discounted cash fow model.</w:t>
      </w:r>
    </w:p>
    <w:p>
      <w:pPr>
        <w:spacing w:after="0" w:line="8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J. Supplier Financing Programs</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Company maintains supply chain fnance agreements with third-party fnancial insttutons. These agreements allow the Company’s partcipatng suppliers to sell their receivables to such third-party fnancial insttutons to receive payment earlier than the negotated commercial terms between the supplier and the Company. Such sales are at the sole discreton of the supplier, and on terms and conditons that are negotated between the supplier and the respectve fnancial insttuton. The terms and conditons of the supplier invoice, including payment terms and amounts due, are not impacted by a supplier’s partcipaton in the program. Pursuant to the supply chain fnance agreements, the Company has agreed to pay fnancial insttutons on the original due date of the applicable invoice. There are no guarantees associated with these programs. The Company's outstanding payment obligatons to</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415925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7" w:right="359" w:bottom="1440" w:gutter="0" w:footer="0" w:header="0"/>
        </w:sectPr>
      </w:pPr>
    </w:p>
    <w:bookmarkStart w:id="16" w:name="page17"/>
    <w:bookmarkEnd w:id="16"/>
    <w:p>
      <w:pPr>
        <w:ind w:right="320"/>
        <w:spacing w:after="0" w:line="235" w:lineRule="auto"/>
        <w:rPr>
          <w:sz w:val="20"/>
          <w:szCs w:val="20"/>
          <w:color w:val="auto"/>
        </w:rPr>
      </w:pPr>
      <w:r>
        <w:rPr>
          <w:rFonts w:ascii="Calibri" w:cs="Calibri" w:eastAsia="Calibri" w:hAnsi="Calibri"/>
          <w:sz w:val="18"/>
          <w:szCs w:val="18"/>
          <w:color w:val="auto"/>
        </w:rPr>
        <w:t>fnancial insttutons related to supplier fnancing programs were $17 million at both December 31, 2023 and September 30, 2023 and are included within Accounts payable and accrued liabilites on the Consolidated Balance Sheets.</w:t>
      </w:r>
    </w:p>
    <w:p>
      <w:pPr>
        <w:spacing w:after="0" w:line="7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K. Financial Informaton by Segment</w:t>
      </w:r>
    </w:p>
    <w:p>
      <w:pPr>
        <w:spacing w:after="0" w:line="82" w:lineRule="exact"/>
        <w:rPr>
          <w:sz w:val="20"/>
          <w:szCs w:val="20"/>
          <w:color w:val="auto"/>
        </w:rPr>
      </w:pPr>
    </w:p>
    <w:p>
      <w:pPr>
        <w:ind w:right="220" w:firstLine="509"/>
        <w:spacing w:after="0" w:line="235" w:lineRule="auto"/>
        <w:rPr>
          <w:sz w:val="20"/>
          <w:szCs w:val="20"/>
          <w:color w:val="auto"/>
        </w:rPr>
      </w:pPr>
      <w:r>
        <w:rPr>
          <w:rFonts w:ascii="Calibri" w:cs="Calibri" w:eastAsia="Calibri" w:hAnsi="Calibri"/>
          <w:sz w:val="18"/>
          <w:szCs w:val="18"/>
          <w:color w:val="auto"/>
        </w:rPr>
        <w:t>The Company identfes a product line as an operatng segment if: i) it engages in business actvites from which it may earn revenues and incur expenses; ii) its operatng results are regularly reviewed by the Chief Operatng Decision Maker (“CODM”), who is Cabot’s President and Chief Executve Ofcer, to make decisions about resources to be allocated to the segment and assess its performance; and iii) it has available discrete fnancial informaton. The CODM reviews fnancial informaton at the operatng segment level to allocate resources and to assess the operatng results and fnancial performance for each operatng segment. Operatng segments are aggregated into a reportable segment if the operatng segments are determined to have similar economic characteristcs and if the operatng segments are similar in the following areas: i) nature of products and services; ii) nature of producton processes; iii) type or class of customer for their products and services; iv) methods used to distribute the products or provide services; and v) if applicable, the nature of the regulatory environment.</w:t>
      </w:r>
    </w:p>
    <w:p>
      <w:pPr>
        <w:spacing w:after="0" w:line="88"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The Company has two reportable segments: Reinforcement Materials and Performance Chemicals. The Reinforcement Materials segment combines the reinforcing carbons and engineered elastomer composites product lines. The Performance Chemicals segment aggregates the specialty carbons, specialty compounds, fumed metal oxides, batery materials, inkjet colorants and aerogel product lines.</w:t>
      </w:r>
    </w:p>
    <w:p>
      <w:pPr>
        <w:spacing w:after="0" w:line="84"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Income (loss) before income taxes (“Segment EBIT”) is presented for each reportable segment in the table below. Segment EBIT excludes Interest expense, General unallocated income (expense), Unallocated corporate costs and Certain items, meaning items management does not consider representatve of on-going operatng segment results. In additon, Segment EBIT includes Equity in earnings of afliated companies, net of tax, royaltes, Net income atributable to noncontrolling interests, net of tax, and discountng charges for certain Notes receivable.</w:t>
      </w:r>
    </w:p>
    <w:p>
      <w:pPr>
        <w:spacing w:after="0" w:line="80"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Financial informaton by reportable segment is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Calibri" w:cs="Calibri" w:eastAsia="Calibri" w:hAnsi="Calibri"/>
                <w:sz w:val="14"/>
                <w:szCs w:val="14"/>
                <w:b w:val="1"/>
                <w:bCs w:val="1"/>
                <w:color w:val="auto"/>
              </w:rPr>
              <w:t>Reinforcement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36"/>
              <w:spacing w:after="0"/>
              <w:rPr>
                <w:sz w:val="20"/>
                <w:szCs w:val="20"/>
                <w:color w:val="auto"/>
              </w:rPr>
            </w:pPr>
            <w:r>
              <w:rPr>
                <w:rFonts w:ascii="Calibri" w:cs="Calibri" w:eastAsia="Calibri" w:hAnsi="Calibri"/>
                <w:sz w:val="14"/>
                <w:szCs w:val="14"/>
                <w:b w:val="1"/>
                <w:bCs w:val="1"/>
                <w:color w:val="auto"/>
              </w:rPr>
              <w:t>Performance</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156"/>
              <w:spacing w:after="0"/>
              <w:rPr>
                <w:sz w:val="20"/>
                <w:szCs w:val="20"/>
                <w:color w:val="auto"/>
              </w:rPr>
            </w:pPr>
            <w:r>
              <w:rPr>
                <w:rFonts w:ascii="Calibri" w:cs="Calibri" w:eastAsia="Calibri" w:hAnsi="Calibri"/>
                <w:sz w:val="14"/>
                <w:szCs w:val="14"/>
                <w:b w:val="1"/>
                <w:bCs w:val="1"/>
                <w:color w:val="auto"/>
              </w:rPr>
              <w:t>Segment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Calibri" w:cs="Calibri" w:eastAsia="Calibri" w:hAnsi="Calibri"/>
                <w:sz w:val="14"/>
                <w:szCs w:val="14"/>
                <w:b w:val="1"/>
                <w:bCs w:val="1"/>
                <w:color w:val="auto"/>
              </w:rPr>
              <w:t>Unallocated</w:t>
            </w:r>
          </w:p>
        </w:tc>
        <w:tc>
          <w:tcPr>
            <w:tcW w:w="10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Calibri" w:cs="Calibri" w:eastAsia="Calibri" w:hAnsi="Calibri"/>
                <w:sz w:val="14"/>
                <w:szCs w:val="14"/>
                <w:b w:val="1"/>
                <w:bCs w:val="1"/>
                <w:color w:val="auto"/>
              </w:rPr>
              <w:t>Consolidated</w:t>
            </w:r>
          </w:p>
        </w:tc>
      </w:tr>
      <w:tr>
        <w:trPr>
          <w:trHeight w:val="224"/>
        </w:trPr>
        <w:tc>
          <w:tcPr>
            <w:tcW w:w="5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154"/>
              <w:spacing w:after="0"/>
              <w:rPr>
                <w:sz w:val="20"/>
                <w:szCs w:val="20"/>
                <w:color w:val="auto"/>
              </w:rPr>
            </w:pPr>
            <w:r>
              <w:rPr>
                <w:rFonts w:ascii="Calibri" w:cs="Calibri" w:eastAsia="Calibri" w:hAnsi="Calibri"/>
                <w:sz w:val="14"/>
                <w:szCs w:val="14"/>
                <w:b w:val="1"/>
                <w:bCs w:val="1"/>
                <w:color w:val="auto"/>
              </w:rPr>
              <w:t>Materials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136"/>
              <w:spacing w:after="0"/>
              <w:rPr>
                <w:sz w:val="20"/>
                <w:szCs w:val="20"/>
                <w:color w:val="auto"/>
              </w:rPr>
            </w:pPr>
            <w:r>
              <w:rPr>
                <w:rFonts w:ascii="Calibri" w:cs="Calibri" w:eastAsia="Calibri" w:hAnsi="Calibri"/>
                <w:sz w:val="14"/>
                <w:szCs w:val="14"/>
                <w:b w:val="1"/>
                <w:bCs w:val="1"/>
                <w:color w:val="auto"/>
              </w:rPr>
              <w:t>Chemicals</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276"/>
              <w:spacing w:after="0"/>
              <w:rPr>
                <w:sz w:val="20"/>
                <w:szCs w:val="20"/>
                <w:color w:val="auto"/>
              </w:rPr>
            </w:pPr>
            <w:r>
              <w:rPr>
                <w:rFonts w:ascii="Calibri" w:cs="Calibri" w:eastAsia="Calibri" w:hAnsi="Calibri"/>
                <w:sz w:val="14"/>
                <w:szCs w:val="14"/>
                <w:b w:val="1"/>
                <w:bCs w:val="1"/>
                <w:color w:val="auto"/>
              </w:rPr>
              <w:t>Total</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360"/>
              <w:spacing w:after="0" w:line="223" w:lineRule="exact"/>
              <w:rPr>
                <w:sz w:val="20"/>
                <w:szCs w:val="20"/>
                <w:color w:val="auto"/>
              </w:rPr>
            </w:pPr>
            <w:r>
              <w:rPr>
                <w:rFonts w:ascii="Calibri" w:cs="Calibri" w:eastAsia="Calibri" w:hAnsi="Calibri"/>
                <w:sz w:val="14"/>
                <w:szCs w:val="14"/>
                <w:b w:val="1"/>
                <w:bCs w:val="1"/>
                <w:color w:val="auto"/>
                <w:w w:val="98"/>
              </w:rPr>
              <w:t>and Other</w:t>
            </w:r>
            <w:r>
              <w:rPr>
                <w:rFonts w:ascii="Calibri" w:cs="Calibri" w:eastAsia="Calibri" w:hAnsi="Calibri"/>
                <w:sz w:val="19"/>
                <w:szCs w:val="19"/>
                <w:b w:val="1"/>
                <w:bCs w:val="1"/>
                <w:color w:val="auto"/>
                <w:w w:val="98"/>
                <w:vertAlign w:val="superscript"/>
              </w:rPr>
              <w:t>(1)</w:t>
            </w:r>
          </w:p>
        </w:tc>
        <w:tc>
          <w:tcPr>
            <w:tcW w:w="100" w:type="dxa"/>
            <w:vAlign w:val="bottom"/>
          </w:tcPr>
          <w:p>
            <w:pPr>
              <w:spacing w:after="0"/>
              <w:rPr>
                <w:sz w:val="19"/>
                <w:szCs w:val="19"/>
                <w:color w:val="auto"/>
              </w:rPr>
            </w:pPr>
          </w:p>
        </w:tc>
        <w:tc>
          <w:tcPr>
            <w:tcW w:w="1000" w:type="dxa"/>
            <w:vAlign w:val="bottom"/>
            <w:gridSpan w:val="2"/>
          </w:tcPr>
          <w:p>
            <w:pPr>
              <w:jc w:val="center"/>
              <w:ind w:right="220"/>
              <w:spacing w:after="0"/>
              <w:rPr>
                <w:sz w:val="20"/>
                <w:szCs w:val="20"/>
                <w:color w:val="auto"/>
              </w:rPr>
            </w:pPr>
            <w:r>
              <w:rPr>
                <w:rFonts w:ascii="Calibri" w:cs="Calibri" w:eastAsia="Calibri" w:hAnsi="Calibri"/>
                <w:sz w:val="14"/>
                <w:szCs w:val="14"/>
                <w:b w:val="1"/>
                <w:bCs w:val="1"/>
                <w:color w:val="auto"/>
              </w:rPr>
              <w:t>Total</w:t>
            </w:r>
          </w:p>
        </w:tc>
      </w:tr>
      <w:tr>
        <w:trPr>
          <w:trHeight w:val="165"/>
        </w:trPr>
        <w:tc>
          <w:tcPr>
            <w:tcW w:w="51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Borders>
              <w:top w:val="single" w:sz="8" w:color="auto"/>
            </w:tcBorders>
            <w:gridSpan w:val="2"/>
          </w:tcPr>
          <w:p>
            <w:pPr>
              <w:jc w:val="right"/>
              <w:ind w:right="116"/>
              <w:spacing w:after="0" w:line="165" w:lineRule="exact"/>
              <w:rPr>
                <w:sz w:val="20"/>
                <w:szCs w:val="20"/>
                <w:color w:val="auto"/>
              </w:rPr>
            </w:pPr>
            <w:r>
              <w:rPr>
                <w:rFonts w:ascii="Calibri" w:cs="Calibri" w:eastAsia="Calibri" w:hAnsi="Calibri"/>
                <w:sz w:val="14"/>
                <w:szCs w:val="14"/>
                <w:b w:val="1"/>
                <w:bCs w:val="1"/>
                <w:color w:val="auto"/>
              </w:rPr>
              <w:t>(In millions)</w:t>
            </w: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33"/>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516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b w:val="1"/>
                <w:bCs w:val="1"/>
                <w:color w:val="auto"/>
              </w:rPr>
              <w:t>Three Months Ended December 31, 2023</w:t>
            </w:r>
          </w:p>
        </w:tc>
        <w:tc>
          <w:tcPr>
            <w:tcW w:w="18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43"/>
        </w:trPr>
        <w:tc>
          <w:tcPr>
            <w:tcW w:w="5160" w:type="dxa"/>
            <w:vAlign w:val="bottom"/>
          </w:tcPr>
          <w:p>
            <w:pPr>
              <w:ind w:left="20"/>
              <w:spacing w:after="0" w:line="243" w:lineRule="exact"/>
              <w:rPr>
                <w:sz w:val="20"/>
                <w:szCs w:val="20"/>
                <w:color w:val="auto"/>
              </w:rPr>
            </w:pPr>
            <w:r>
              <w:rPr>
                <w:rFonts w:ascii="Calibri" w:cs="Calibri" w:eastAsia="Calibri" w:hAnsi="Calibri"/>
                <w:sz w:val="18"/>
                <w:szCs w:val="18"/>
                <w:color w:val="auto"/>
              </w:rPr>
              <w:t>Revenues from external customers</w:t>
            </w:r>
            <w:r>
              <w:rPr>
                <w:rFonts w:ascii="Calibri" w:cs="Calibri" w:eastAsia="Calibri" w:hAnsi="Calibri"/>
                <w:sz w:val="24"/>
                <w:szCs w:val="24"/>
                <w:color w:val="auto"/>
                <w:vertAlign w:val="superscript"/>
              </w:rPr>
              <w:t>(2)</w:t>
            </w: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641</w:t>
            </w:r>
          </w:p>
        </w:tc>
        <w:tc>
          <w:tcPr>
            <w:tcW w:w="36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w:t>
            </w: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285</w:t>
            </w:r>
          </w:p>
        </w:tc>
        <w:tc>
          <w:tcPr>
            <w:tcW w:w="420" w:type="dxa"/>
            <w:vAlign w:val="bottom"/>
            <w:gridSpan w:val="2"/>
          </w:tcPr>
          <w:p>
            <w:pPr>
              <w:jc w:val="right"/>
              <w:ind w:right="8"/>
              <w:spacing w:after="0" w:line="215" w:lineRule="exact"/>
              <w:rPr>
                <w:sz w:val="20"/>
                <w:szCs w:val="20"/>
                <w:color w:val="auto"/>
              </w:rPr>
            </w:pPr>
            <w:r>
              <w:rPr>
                <w:rFonts w:ascii="Calibri" w:cs="Calibri" w:eastAsia="Calibri" w:hAnsi="Calibri"/>
                <w:sz w:val="18"/>
                <w:szCs w:val="18"/>
                <w:color w:val="auto"/>
              </w:rPr>
              <w:t>$</w:t>
            </w: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926</w:t>
            </w:r>
          </w:p>
        </w:tc>
        <w:tc>
          <w:tcPr>
            <w:tcW w:w="34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w:t>
            </w: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32</w:t>
            </w:r>
          </w:p>
        </w:tc>
        <w:tc>
          <w:tcPr>
            <w:tcW w:w="220" w:type="dxa"/>
            <w:vAlign w:val="bottom"/>
          </w:tcPr>
          <w:p>
            <w:pPr>
              <w:spacing w:after="0"/>
              <w:rPr>
                <w:sz w:val="21"/>
                <w:szCs w:val="21"/>
                <w:color w:val="auto"/>
              </w:rPr>
            </w:pPr>
          </w:p>
        </w:tc>
        <w:tc>
          <w:tcPr>
            <w:tcW w:w="10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958</w:t>
            </w:r>
          </w:p>
        </w:tc>
        <w:tc>
          <w:tcPr>
            <w:tcW w:w="100" w:type="dxa"/>
            <w:vAlign w:val="bottom"/>
          </w:tcPr>
          <w:p>
            <w:pPr>
              <w:spacing w:after="0"/>
              <w:rPr>
                <w:sz w:val="21"/>
                <w:szCs w:val="21"/>
                <w:color w:val="auto"/>
              </w:rPr>
            </w:pPr>
          </w:p>
        </w:tc>
      </w:tr>
      <w:tr>
        <w:trPr>
          <w:trHeight w:val="243"/>
        </w:trPr>
        <w:tc>
          <w:tcPr>
            <w:tcW w:w="5160" w:type="dxa"/>
            <w:vAlign w:val="bottom"/>
            <w:shd w:val="clear" w:color="auto" w:fill="CFF0FC"/>
          </w:tcPr>
          <w:p>
            <w:pPr>
              <w:ind w:left="20"/>
              <w:spacing w:after="0" w:line="243" w:lineRule="exact"/>
              <w:rPr>
                <w:sz w:val="20"/>
                <w:szCs w:val="20"/>
                <w:color w:val="auto"/>
              </w:rPr>
            </w:pPr>
            <w:r>
              <w:rPr>
                <w:rFonts w:ascii="Calibri" w:cs="Calibri" w:eastAsia="Calibri" w:hAnsi="Calibri"/>
                <w:sz w:val="18"/>
                <w:szCs w:val="18"/>
                <w:color w:val="auto"/>
              </w:rPr>
              <w:t>Income (loss) before income taxes</w:t>
            </w:r>
            <w:r>
              <w:rPr>
                <w:rFonts w:ascii="Calibri" w:cs="Calibri" w:eastAsia="Calibri" w:hAnsi="Calibri"/>
                <w:sz w:val="24"/>
                <w:szCs w:val="24"/>
                <w:color w:val="auto"/>
                <w:vertAlign w:val="superscript"/>
              </w:rPr>
              <w:t>(3)</w:t>
            </w:r>
          </w:p>
        </w:tc>
        <w:tc>
          <w:tcPr>
            <w:tcW w:w="1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8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129</w:t>
            </w:r>
          </w:p>
        </w:tc>
        <w:tc>
          <w:tcPr>
            <w:tcW w:w="360" w:type="dxa"/>
            <w:vAlign w:val="bottom"/>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w:t>
            </w:r>
          </w:p>
        </w:tc>
        <w:tc>
          <w:tcPr>
            <w:tcW w:w="9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34</w:t>
            </w:r>
          </w:p>
        </w:tc>
        <w:tc>
          <w:tcPr>
            <w:tcW w:w="420" w:type="dxa"/>
            <w:vAlign w:val="bottom"/>
            <w:gridSpan w:val="2"/>
            <w:shd w:val="clear" w:color="auto" w:fill="CFF0FC"/>
          </w:tcPr>
          <w:p>
            <w:pPr>
              <w:jc w:val="right"/>
              <w:ind w:right="8"/>
              <w:spacing w:after="0" w:line="215" w:lineRule="exact"/>
              <w:rPr>
                <w:sz w:val="20"/>
                <w:szCs w:val="20"/>
                <w:color w:val="auto"/>
              </w:rPr>
            </w:pPr>
            <w:r>
              <w:rPr>
                <w:rFonts w:ascii="Calibri" w:cs="Calibri" w:eastAsia="Calibri" w:hAnsi="Calibri"/>
                <w:sz w:val="18"/>
                <w:szCs w:val="18"/>
                <w:color w:val="auto"/>
              </w:rPr>
              <w:t>$</w:t>
            </w:r>
          </w:p>
        </w:tc>
        <w:tc>
          <w:tcPr>
            <w:tcW w:w="8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163</w:t>
            </w:r>
          </w:p>
        </w:tc>
        <w:tc>
          <w:tcPr>
            <w:tcW w:w="340" w:type="dxa"/>
            <w:vAlign w:val="bottom"/>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gridSpan w:val="2"/>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(69 )</w:t>
            </w:r>
          </w:p>
        </w:tc>
        <w:tc>
          <w:tcPr>
            <w:tcW w:w="1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94</w:t>
            </w:r>
          </w:p>
        </w:tc>
        <w:tc>
          <w:tcPr>
            <w:tcW w:w="100" w:type="dxa"/>
            <w:vAlign w:val="bottom"/>
            <w:shd w:val="clear" w:color="auto" w:fill="CFF0FC"/>
          </w:tcPr>
          <w:p>
            <w:pPr>
              <w:spacing w:after="0"/>
              <w:rPr>
                <w:sz w:val="21"/>
                <w:szCs w:val="21"/>
                <w:color w:val="auto"/>
              </w:rPr>
            </w:pPr>
          </w:p>
        </w:tc>
      </w:tr>
      <w:tr>
        <w:trPr>
          <w:trHeight w:val="243"/>
        </w:trPr>
        <w:tc>
          <w:tcPr>
            <w:tcW w:w="5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516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b w:val="1"/>
                <w:bCs w:val="1"/>
                <w:color w:val="auto"/>
              </w:rPr>
              <w:t>Three Months Ended December 31, 2022</w:t>
            </w:r>
          </w:p>
        </w:tc>
        <w:tc>
          <w:tcPr>
            <w:tcW w:w="18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43"/>
        </w:trPr>
        <w:tc>
          <w:tcPr>
            <w:tcW w:w="5160" w:type="dxa"/>
            <w:vAlign w:val="bottom"/>
          </w:tcPr>
          <w:p>
            <w:pPr>
              <w:ind w:left="20"/>
              <w:spacing w:after="0" w:line="243" w:lineRule="exact"/>
              <w:rPr>
                <w:sz w:val="20"/>
                <w:szCs w:val="20"/>
                <w:color w:val="auto"/>
              </w:rPr>
            </w:pPr>
            <w:r>
              <w:rPr>
                <w:rFonts w:ascii="Calibri" w:cs="Calibri" w:eastAsia="Calibri" w:hAnsi="Calibri"/>
                <w:sz w:val="18"/>
                <w:szCs w:val="18"/>
                <w:color w:val="auto"/>
              </w:rPr>
              <w:t>Revenues from external customers</w:t>
            </w:r>
            <w:r>
              <w:rPr>
                <w:rFonts w:ascii="Calibri" w:cs="Calibri" w:eastAsia="Calibri" w:hAnsi="Calibri"/>
                <w:sz w:val="24"/>
                <w:szCs w:val="24"/>
                <w:color w:val="auto"/>
                <w:vertAlign w:val="superscript"/>
              </w:rPr>
              <w:t>(2)</w:t>
            </w: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643</w:t>
            </w:r>
          </w:p>
        </w:tc>
        <w:tc>
          <w:tcPr>
            <w:tcW w:w="36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w:t>
            </w: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286</w:t>
            </w:r>
          </w:p>
        </w:tc>
        <w:tc>
          <w:tcPr>
            <w:tcW w:w="420" w:type="dxa"/>
            <w:vAlign w:val="bottom"/>
            <w:gridSpan w:val="2"/>
          </w:tcPr>
          <w:p>
            <w:pPr>
              <w:jc w:val="right"/>
              <w:ind w:right="8"/>
              <w:spacing w:after="0" w:line="215" w:lineRule="exact"/>
              <w:rPr>
                <w:sz w:val="20"/>
                <w:szCs w:val="20"/>
                <w:color w:val="auto"/>
              </w:rPr>
            </w:pPr>
            <w:r>
              <w:rPr>
                <w:rFonts w:ascii="Calibri" w:cs="Calibri" w:eastAsia="Calibri" w:hAnsi="Calibri"/>
                <w:sz w:val="18"/>
                <w:szCs w:val="18"/>
                <w:color w:val="auto"/>
              </w:rPr>
              <w:t>$</w:t>
            </w: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929</w:t>
            </w:r>
          </w:p>
        </w:tc>
        <w:tc>
          <w:tcPr>
            <w:tcW w:w="34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w:t>
            </w: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36</w:t>
            </w:r>
          </w:p>
        </w:tc>
        <w:tc>
          <w:tcPr>
            <w:tcW w:w="220" w:type="dxa"/>
            <w:vAlign w:val="bottom"/>
          </w:tcPr>
          <w:p>
            <w:pPr>
              <w:spacing w:after="0"/>
              <w:rPr>
                <w:sz w:val="21"/>
                <w:szCs w:val="21"/>
                <w:color w:val="auto"/>
              </w:rPr>
            </w:pPr>
          </w:p>
        </w:tc>
        <w:tc>
          <w:tcPr>
            <w:tcW w:w="10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965</w:t>
            </w:r>
          </w:p>
        </w:tc>
        <w:tc>
          <w:tcPr>
            <w:tcW w:w="100" w:type="dxa"/>
            <w:vAlign w:val="bottom"/>
          </w:tcPr>
          <w:p>
            <w:pPr>
              <w:spacing w:after="0"/>
              <w:rPr>
                <w:sz w:val="21"/>
                <w:szCs w:val="21"/>
                <w:color w:val="auto"/>
              </w:rPr>
            </w:pPr>
          </w:p>
        </w:tc>
      </w:tr>
      <w:tr>
        <w:trPr>
          <w:trHeight w:val="243"/>
        </w:trPr>
        <w:tc>
          <w:tcPr>
            <w:tcW w:w="5160" w:type="dxa"/>
            <w:vAlign w:val="bottom"/>
            <w:shd w:val="clear" w:color="auto" w:fill="CFF0FC"/>
          </w:tcPr>
          <w:p>
            <w:pPr>
              <w:ind w:left="20"/>
              <w:spacing w:after="0" w:line="243" w:lineRule="exact"/>
              <w:rPr>
                <w:sz w:val="20"/>
                <w:szCs w:val="20"/>
                <w:color w:val="auto"/>
              </w:rPr>
            </w:pPr>
            <w:r>
              <w:rPr>
                <w:rFonts w:ascii="Calibri" w:cs="Calibri" w:eastAsia="Calibri" w:hAnsi="Calibri"/>
                <w:sz w:val="18"/>
                <w:szCs w:val="18"/>
                <w:color w:val="auto"/>
              </w:rPr>
              <w:t>Income (loss) before income taxes</w:t>
            </w:r>
            <w:r>
              <w:rPr>
                <w:rFonts w:ascii="Calibri" w:cs="Calibri" w:eastAsia="Calibri" w:hAnsi="Calibri"/>
                <w:sz w:val="24"/>
                <w:szCs w:val="24"/>
                <w:color w:val="auto"/>
                <w:vertAlign w:val="superscript"/>
              </w:rPr>
              <w:t>(3)</w:t>
            </w:r>
          </w:p>
        </w:tc>
        <w:tc>
          <w:tcPr>
            <w:tcW w:w="1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8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94</w:t>
            </w:r>
          </w:p>
        </w:tc>
        <w:tc>
          <w:tcPr>
            <w:tcW w:w="360" w:type="dxa"/>
            <w:vAlign w:val="bottom"/>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w:t>
            </w:r>
          </w:p>
        </w:tc>
        <w:tc>
          <w:tcPr>
            <w:tcW w:w="9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29</w:t>
            </w:r>
          </w:p>
        </w:tc>
        <w:tc>
          <w:tcPr>
            <w:tcW w:w="420" w:type="dxa"/>
            <w:vAlign w:val="bottom"/>
            <w:gridSpan w:val="2"/>
            <w:shd w:val="clear" w:color="auto" w:fill="CFF0FC"/>
          </w:tcPr>
          <w:p>
            <w:pPr>
              <w:jc w:val="right"/>
              <w:ind w:right="8"/>
              <w:spacing w:after="0" w:line="215" w:lineRule="exact"/>
              <w:rPr>
                <w:sz w:val="20"/>
                <w:szCs w:val="20"/>
                <w:color w:val="auto"/>
              </w:rPr>
            </w:pPr>
            <w:r>
              <w:rPr>
                <w:rFonts w:ascii="Calibri" w:cs="Calibri" w:eastAsia="Calibri" w:hAnsi="Calibri"/>
                <w:sz w:val="18"/>
                <w:szCs w:val="18"/>
                <w:color w:val="auto"/>
              </w:rPr>
              <w:t>$</w:t>
            </w:r>
          </w:p>
        </w:tc>
        <w:tc>
          <w:tcPr>
            <w:tcW w:w="8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123</w:t>
            </w:r>
          </w:p>
        </w:tc>
        <w:tc>
          <w:tcPr>
            <w:tcW w:w="340" w:type="dxa"/>
            <w:vAlign w:val="bottom"/>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gridSpan w:val="2"/>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(39 )</w:t>
            </w:r>
          </w:p>
        </w:tc>
        <w:tc>
          <w:tcPr>
            <w:tcW w:w="1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84</w:t>
            </w:r>
          </w:p>
        </w:tc>
        <w:tc>
          <w:tcPr>
            <w:tcW w:w="100" w:type="dxa"/>
            <w:vAlign w:val="bottom"/>
            <w:shd w:val="clear" w:color="auto" w:fill="CFF0FC"/>
          </w:tcPr>
          <w:p>
            <w:pPr>
              <w:spacing w:after="0"/>
              <w:rPr>
                <w:sz w:val="21"/>
                <w:szCs w:val="21"/>
                <w:color w:val="auto"/>
              </w:rPr>
            </w:pPr>
          </w:p>
        </w:tc>
      </w:tr>
    </w:tbl>
    <w:p>
      <w:pPr>
        <w:spacing w:after="0" w:line="369" w:lineRule="exact"/>
        <w:rPr>
          <w:sz w:val="20"/>
          <w:szCs w:val="20"/>
          <w:color w:val="auto"/>
        </w:rPr>
      </w:pPr>
    </w:p>
    <w:p>
      <w:pPr>
        <w:ind w:left="520" w:right="40" w:hanging="512"/>
        <w:spacing w:after="0" w:line="201" w:lineRule="auto"/>
        <w:tabs>
          <w:tab w:leader="none" w:pos="520" w:val="left"/>
        </w:tabs>
        <w:numPr>
          <w:ilvl w:val="0"/>
          <w:numId w:val="5"/>
        </w:numPr>
        <w:rPr>
          <w:rFonts w:ascii="Calibri" w:cs="Calibri" w:eastAsia="Calibri" w:hAnsi="Calibri"/>
          <w:sz w:val="24"/>
          <w:szCs w:val="24"/>
          <w:color w:val="auto"/>
          <w:vertAlign w:val="superscript"/>
        </w:rPr>
      </w:pPr>
      <w:r>
        <w:rPr>
          <w:rFonts w:ascii="Calibri" w:cs="Calibri" w:eastAsia="Calibri" w:hAnsi="Calibri"/>
          <w:sz w:val="18"/>
          <w:szCs w:val="18"/>
          <w:color w:val="auto"/>
        </w:rPr>
        <w:t>Unallocated and Other includes certain items and eliminatons necessary to refect management’s reportng of operatng segment results. These items are refectve of the segment reportng presented to the CODM.</w:t>
      </w:r>
    </w:p>
    <w:p>
      <w:pPr>
        <w:spacing w:after="0" w:line="29" w:lineRule="exact"/>
        <w:rPr>
          <w:rFonts w:ascii="Calibri" w:cs="Calibri" w:eastAsia="Calibri" w:hAnsi="Calibri"/>
          <w:sz w:val="24"/>
          <w:szCs w:val="24"/>
          <w:color w:val="auto"/>
          <w:vertAlign w:val="superscript"/>
        </w:rPr>
      </w:pPr>
    </w:p>
    <w:p>
      <w:pPr>
        <w:ind w:left="520" w:right="220" w:hanging="512"/>
        <w:spacing w:after="0" w:line="217" w:lineRule="auto"/>
        <w:tabs>
          <w:tab w:leader="none" w:pos="520" w:val="left"/>
        </w:tabs>
        <w:numPr>
          <w:ilvl w:val="0"/>
          <w:numId w:val="5"/>
        </w:numPr>
        <w:rPr>
          <w:rFonts w:ascii="Calibri" w:cs="Calibri" w:eastAsia="Calibri" w:hAnsi="Calibri"/>
          <w:sz w:val="24"/>
          <w:szCs w:val="24"/>
          <w:color w:val="auto"/>
          <w:vertAlign w:val="superscript"/>
        </w:rPr>
      </w:pPr>
      <w:r>
        <w:rPr>
          <w:rFonts w:ascii="Calibri" w:cs="Calibri" w:eastAsia="Calibri" w:hAnsi="Calibri"/>
          <w:sz w:val="18"/>
          <w:szCs w:val="18"/>
          <w:color w:val="auto"/>
        </w:rPr>
        <w:t>Consolidated Total Revenues from external customers reconciles to Net sales and other operatng revenues on the Consolidated Statements of Operatons. Revenues from external customers that are categorized as Unallocated and Other refects external shipping and handling fees, royaltes, the impact of unearned revenue, discountng charges for certain Notes receivable, and other by-product revenue. Details are provided in the table below:</w:t>
      </w:r>
    </w:p>
    <w:p>
      <w:pPr>
        <w:spacing w:after="0" w:line="13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900" w:type="dxa"/>
            <w:vAlign w:val="bottom"/>
          </w:tcPr>
          <w:p>
            <w:pPr>
              <w:spacing w:after="0"/>
              <w:rPr>
                <w:sz w:val="14"/>
                <w:szCs w:val="14"/>
                <w:color w:val="auto"/>
              </w:rPr>
            </w:pPr>
          </w:p>
        </w:tc>
        <w:tc>
          <w:tcPr>
            <w:tcW w:w="2740" w:type="dxa"/>
            <w:vAlign w:val="bottom"/>
            <w:gridSpan w:val="4"/>
          </w:tcPr>
          <w:p>
            <w:pPr>
              <w:jc w:val="right"/>
              <w:ind w:right="70"/>
              <w:spacing w:after="0"/>
              <w:rPr>
                <w:sz w:val="20"/>
                <w:szCs w:val="20"/>
                <w:color w:val="auto"/>
              </w:rPr>
            </w:pPr>
            <w:r>
              <w:rPr>
                <w:rFonts w:ascii="Calibri" w:cs="Calibri" w:eastAsia="Calibri" w:hAnsi="Calibri"/>
                <w:sz w:val="14"/>
                <w:szCs w:val="14"/>
                <w:b w:val="1"/>
                <w:bCs w:val="1"/>
                <w:color w:val="auto"/>
              </w:rPr>
              <w:t>Three Months Ended December 31</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
        </w:trPr>
        <w:tc>
          <w:tcPr>
            <w:tcW w:w="69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6900" w:type="dxa"/>
            <w:vAlign w:val="bottom"/>
          </w:tcPr>
          <w:p>
            <w:pPr>
              <w:spacing w:after="0"/>
              <w:rPr>
                <w:sz w:val="14"/>
                <w:szCs w:val="14"/>
                <w:color w:val="auto"/>
              </w:rPr>
            </w:pPr>
          </w:p>
        </w:tc>
        <w:tc>
          <w:tcPr>
            <w:tcW w:w="1020" w:type="dxa"/>
            <w:vAlign w:val="bottom"/>
          </w:tcPr>
          <w:p>
            <w:pPr>
              <w:jc w:val="right"/>
              <w:ind w:right="79"/>
              <w:spacing w:after="0" w:line="164" w:lineRule="exact"/>
              <w:rPr>
                <w:sz w:val="20"/>
                <w:szCs w:val="20"/>
                <w:color w:val="auto"/>
              </w:rPr>
            </w:pPr>
            <w:r>
              <w:rPr>
                <w:rFonts w:ascii="Calibri" w:cs="Calibri" w:eastAsia="Calibri" w:hAnsi="Calibri"/>
                <w:sz w:val="14"/>
                <w:szCs w:val="14"/>
                <w:b w:val="1"/>
                <w:bCs w:val="1"/>
                <w:color w:val="auto"/>
              </w:rPr>
              <w:t>2023</w:t>
            </w:r>
          </w:p>
        </w:tc>
        <w:tc>
          <w:tcPr>
            <w:tcW w:w="400" w:type="dxa"/>
            <w:vAlign w:val="bottom"/>
          </w:tcPr>
          <w:p>
            <w:pPr>
              <w:spacing w:after="0"/>
              <w:rPr>
                <w:sz w:val="14"/>
                <w:szCs w:val="14"/>
                <w:color w:val="auto"/>
              </w:rPr>
            </w:pPr>
          </w:p>
        </w:tc>
        <w:tc>
          <w:tcPr>
            <w:tcW w:w="1320" w:type="dxa"/>
            <w:vAlign w:val="bottom"/>
            <w:gridSpan w:val="2"/>
          </w:tcPr>
          <w:p>
            <w:pPr>
              <w:jc w:val="right"/>
              <w:ind w:right="110"/>
              <w:spacing w:after="0" w:line="164" w:lineRule="exact"/>
              <w:rPr>
                <w:sz w:val="20"/>
                <w:szCs w:val="20"/>
                <w:color w:val="auto"/>
              </w:rPr>
            </w:pPr>
            <w:r>
              <w:rPr>
                <w:rFonts w:ascii="Calibri" w:cs="Calibri" w:eastAsia="Calibri" w:hAnsi="Calibri"/>
                <w:sz w:val="14"/>
                <w:szCs w:val="14"/>
                <w:b w:val="1"/>
                <w:bCs w:val="1"/>
                <w:color w:val="auto"/>
              </w:rPr>
              <w:t>2022</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
        </w:trPr>
        <w:tc>
          <w:tcPr>
            <w:tcW w:w="69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6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(In</w:t>
            </w:r>
          </w:p>
        </w:tc>
        <w:tc>
          <w:tcPr>
            <w:tcW w:w="1320" w:type="dxa"/>
            <w:vAlign w:val="bottom"/>
            <w:gridSpan w:val="2"/>
          </w:tcPr>
          <w:p>
            <w:pPr>
              <w:jc w:val="right"/>
              <w:ind w:right="750"/>
              <w:spacing w:after="0" w:line="164" w:lineRule="exact"/>
              <w:rPr>
                <w:sz w:val="20"/>
                <w:szCs w:val="20"/>
                <w:color w:val="auto"/>
              </w:rPr>
            </w:pPr>
            <w:r>
              <w:rPr>
                <w:rFonts w:ascii="Calibri" w:cs="Calibri" w:eastAsia="Calibri" w:hAnsi="Calibri"/>
                <w:sz w:val="14"/>
                <w:szCs w:val="14"/>
                <w:b w:val="1"/>
                <w:bCs w:val="1"/>
                <w:color w:val="auto"/>
                <w:w w:val="91"/>
              </w:rPr>
              <w:t>millions)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
        </w:trPr>
        <w:tc>
          <w:tcPr>
            <w:tcW w:w="6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690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Shipping and handling fees</w:t>
            </w:r>
          </w:p>
        </w:tc>
        <w:tc>
          <w:tcPr>
            <w:tcW w:w="1020" w:type="dxa"/>
            <w:vAlign w:val="bottom"/>
            <w:tcBorders>
              <w:bottom w:val="single" w:sz="8" w:color="CFF0FC"/>
            </w:tcBorders>
            <w:shd w:val="clear" w:color="auto" w:fill="CFF0FC"/>
          </w:tcPr>
          <w:p>
            <w:pPr>
              <w:jc w:val="right"/>
              <w:ind w:right="839"/>
              <w:spacing w:after="0" w:line="215" w:lineRule="exact"/>
              <w:rPr>
                <w:sz w:val="20"/>
                <w:szCs w:val="20"/>
                <w:color w:val="auto"/>
              </w:rPr>
            </w:pPr>
            <w:r>
              <w:rPr>
                <w:rFonts w:ascii="Calibri" w:cs="Calibri" w:eastAsia="Calibri" w:hAnsi="Calibri"/>
                <w:sz w:val="18"/>
                <w:szCs w:val="18"/>
                <w:color w:val="auto"/>
                <w:w w:val="87"/>
              </w:rPr>
              <w:t>$</w:t>
            </w:r>
          </w:p>
        </w:tc>
        <w:tc>
          <w:tcPr>
            <w:tcW w:w="4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30</w:t>
            </w:r>
          </w:p>
        </w:tc>
        <w:tc>
          <w:tcPr>
            <w:tcW w:w="1320" w:type="dxa"/>
            <w:vAlign w:val="bottom"/>
            <w:tcBorders>
              <w:bottom w:val="single" w:sz="8" w:color="CFF0FC"/>
            </w:tcBorders>
            <w:gridSpan w:val="2"/>
            <w:shd w:val="clear" w:color="auto" w:fill="CFF0FC"/>
          </w:tcPr>
          <w:p>
            <w:pPr>
              <w:jc w:val="right"/>
              <w:ind w:right="850"/>
              <w:spacing w:after="0" w:line="215" w:lineRule="exact"/>
              <w:rPr>
                <w:sz w:val="20"/>
                <w:szCs w:val="20"/>
                <w:color w:val="auto"/>
              </w:rPr>
            </w:pPr>
            <w:r>
              <w:rPr>
                <w:rFonts w:ascii="Calibri" w:cs="Calibri" w:eastAsia="Calibri" w:hAnsi="Calibri"/>
                <w:sz w:val="18"/>
                <w:szCs w:val="18"/>
                <w:color w:val="auto"/>
              </w:rPr>
              <w:t>$</w:t>
            </w:r>
          </w:p>
        </w:tc>
        <w:tc>
          <w:tcPr>
            <w:tcW w:w="3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0"/>
        </w:trPr>
        <w:tc>
          <w:tcPr>
            <w:tcW w:w="6900" w:type="dxa"/>
            <w:vAlign w:val="bottom"/>
          </w:tcPr>
          <w:p>
            <w:pPr>
              <w:spacing w:after="0"/>
              <w:rPr>
                <w:sz w:val="20"/>
                <w:szCs w:val="20"/>
                <w:color w:val="auto"/>
              </w:rPr>
            </w:pPr>
            <w:r>
              <w:rPr>
                <w:rFonts w:ascii="Calibri" w:cs="Calibri" w:eastAsia="Calibri" w:hAnsi="Calibri"/>
                <w:sz w:val="18"/>
                <w:szCs w:val="18"/>
                <w:color w:val="auto"/>
              </w:rPr>
              <w:t>Other</w:t>
            </w:r>
          </w:p>
        </w:tc>
        <w:tc>
          <w:tcPr>
            <w:tcW w:w="1020" w:type="dxa"/>
            <w:vAlign w:val="bottom"/>
          </w:tcPr>
          <w:p>
            <w:pPr>
              <w:spacing w:after="0"/>
              <w:rPr>
                <w:sz w:val="19"/>
                <w:szCs w:val="19"/>
                <w:color w:val="auto"/>
              </w:rPr>
            </w:pPr>
          </w:p>
        </w:tc>
        <w:tc>
          <w:tcPr>
            <w:tcW w:w="400" w:type="dxa"/>
            <w:vAlign w:val="bottom"/>
          </w:tcPr>
          <w:p>
            <w:pPr>
              <w:jc w:val="right"/>
              <w:spacing w:after="0" w:line="215" w:lineRule="exact"/>
              <w:rPr>
                <w:sz w:val="20"/>
                <w:szCs w:val="20"/>
                <w:color w:val="auto"/>
              </w:rPr>
            </w:pPr>
            <w:r>
              <w:rPr>
                <w:rFonts w:ascii="Calibri" w:cs="Calibri" w:eastAsia="Calibri" w:hAnsi="Calibri"/>
                <w:sz w:val="18"/>
                <w:szCs w:val="18"/>
                <w:color w:val="auto"/>
              </w:rPr>
              <w:t>2</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jc w:val="right"/>
              <w:spacing w:after="0" w:line="215" w:lineRule="exact"/>
              <w:rPr>
                <w:sz w:val="20"/>
                <w:szCs w:val="20"/>
                <w:color w:val="auto"/>
              </w:rPr>
            </w:pPr>
            <w:r>
              <w:rPr>
                <w:rFonts w:ascii="Calibri" w:cs="Calibri" w:eastAsia="Calibri" w:hAnsi="Calibri"/>
                <w:sz w:val="18"/>
                <w:szCs w:val="18"/>
                <w:color w:val="auto"/>
              </w:rPr>
              <w:t>3</w:t>
            </w:r>
          </w:p>
        </w:tc>
        <w:tc>
          <w:tcPr>
            <w:tcW w:w="100" w:type="dxa"/>
            <w:vAlign w:val="bottom"/>
          </w:tcPr>
          <w:p>
            <w:pPr>
              <w:spacing w:after="0"/>
              <w:rPr>
                <w:sz w:val="19"/>
                <w:szCs w:val="19"/>
                <w:color w:val="auto"/>
              </w:rPr>
            </w:pPr>
          </w:p>
        </w:tc>
      </w:tr>
      <w:tr>
        <w:trPr>
          <w:trHeight w:val="23"/>
        </w:trPr>
        <w:tc>
          <w:tcPr>
            <w:tcW w:w="69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77"/>
        </w:trPr>
        <w:tc>
          <w:tcPr>
            <w:tcW w:w="690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8"/>
                <w:szCs w:val="18"/>
                <w:color w:val="auto"/>
              </w:rPr>
              <w:t>Total</w:t>
            </w:r>
          </w:p>
        </w:tc>
        <w:tc>
          <w:tcPr>
            <w:tcW w:w="1020" w:type="dxa"/>
            <w:vAlign w:val="bottom"/>
            <w:tcBorders>
              <w:bottom w:val="single" w:sz="8" w:color="auto"/>
            </w:tcBorders>
            <w:shd w:val="clear" w:color="auto" w:fill="CFF0FC"/>
          </w:tcPr>
          <w:p>
            <w:pPr>
              <w:jc w:val="right"/>
              <w:ind w:right="839"/>
              <w:spacing w:after="0" w:line="215" w:lineRule="exact"/>
              <w:rPr>
                <w:sz w:val="20"/>
                <w:szCs w:val="20"/>
                <w:color w:val="auto"/>
              </w:rPr>
            </w:pPr>
            <w:r>
              <w:rPr>
                <w:rFonts w:ascii="Calibri" w:cs="Calibri" w:eastAsia="Calibri" w:hAnsi="Calibri"/>
                <w:sz w:val="18"/>
                <w:szCs w:val="18"/>
                <w:color w:val="auto"/>
                <w:w w:val="87"/>
              </w:rPr>
              <w:t>$</w:t>
            </w:r>
          </w:p>
        </w:tc>
        <w:tc>
          <w:tcPr>
            <w:tcW w:w="40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32</w:t>
            </w:r>
          </w:p>
        </w:tc>
        <w:tc>
          <w:tcPr>
            <w:tcW w:w="28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auto"/>
            </w:tcBorders>
            <w:shd w:val="clear" w:color="auto" w:fill="CFF0FC"/>
          </w:tcPr>
          <w:p>
            <w:pPr>
              <w:jc w:val="right"/>
              <w:ind w:right="850"/>
              <w:spacing w:after="0" w:line="215" w:lineRule="exact"/>
              <w:rPr>
                <w:sz w:val="20"/>
                <w:szCs w:val="20"/>
                <w:color w:val="auto"/>
              </w:rPr>
            </w:pPr>
            <w:r>
              <w:rPr>
                <w:rFonts w:ascii="Calibri" w:cs="Calibri" w:eastAsia="Calibri" w:hAnsi="Calibri"/>
                <w:sz w:val="18"/>
                <w:szCs w:val="18"/>
                <w:color w:val="auto"/>
                <w:w w:val="87"/>
              </w:rPr>
              <w:t>$</w:t>
            </w:r>
          </w:p>
        </w:tc>
        <w:tc>
          <w:tcPr>
            <w:tcW w:w="36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-24765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-8255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415925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7" w:name="page18"/>
    <w:bookmarkEnd w:id="17"/>
    <w:p>
      <w:pPr>
        <w:ind w:left="520" w:right="40" w:hanging="512"/>
        <w:spacing w:after="0" w:line="211" w:lineRule="auto"/>
        <w:tabs>
          <w:tab w:leader="none" w:pos="520" w:val="left"/>
        </w:tabs>
        <w:numPr>
          <w:ilvl w:val="0"/>
          <w:numId w:val="6"/>
        </w:numPr>
        <w:rPr>
          <w:rFonts w:ascii="Calibri" w:cs="Calibri" w:eastAsia="Calibri" w:hAnsi="Calibri"/>
          <w:sz w:val="23"/>
          <w:szCs w:val="23"/>
          <w:color w:val="auto"/>
          <w:vertAlign w:val="superscript"/>
        </w:rPr>
      </w:pPr>
      <w:r>
        <w:rPr>
          <w:rFonts w:ascii="Calibri" w:cs="Calibri" w:eastAsia="Calibri" w:hAnsi="Calibri"/>
          <w:sz w:val="17"/>
          <w:szCs w:val="17"/>
          <w:color w:val="auto"/>
        </w:rPr>
        <w:t>Consolidated Total Income (loss) before income taxes reconciles to Income (loss) before income taxes and equity in earnings of afliated companies on the Consolidated Statements of Operatons. Income (loss) before income taxes that are categorized as Unallocated and Other includes:</w:t>
      </w:r>
    </w:p>
    <w:p>
      <w:pPr>
        <w:spacing w:after="0" w:line="13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900" w:type="dxa"/>
            <w:vAlign w:val="bottom"/>
          </w:tcPr>
          <w:p>
            <w:pPr>
              <w:spacing w:after="0"/>
              <w:rPr>
                <w:sz w:val="14"/>
                <w:szCs w:val="14"/>
                <w:color w:val="auto"/>
              </w:rPr>
            </w:pPr>
          </w:p>
        </w:tc>
        <w:tc>
          <w:tcPr>
            <w:tcW w:w="2720" w:type="dxa"/>
            <w:vAlign w:val="bottom"/>
            <w:gridSpan w:val="4"/>
          </w:tcPr>
          <w:p>
            <w:pPr>
              <w:jc w:val="right"/>
              <w:ind w:right="56"/>
              <w:spacing w:after="0"/>
              <w:rPr>
                <w:sz w:val="20"/>
                <w:szCs w:val="20"/>
                <w:color w:val="auto"/>
              </w:rPr>
            </w:pPr>
            <w:r>
              <w:rPr>
                <w:rFonts w:ascii="Calibri" w:cs="Calibri" w:eastAsia="Calibri" w:hAnsi="Calibri"/>
                <w:sz w:val="14"/>
                <w:szCs w:val="14"/>
                <w:b w:val="1"/>
                <w:bCs w:val="1"/>
                <w:color w:val="auto"/>
              </w:rPr>
              <w:t>Three Months Ended December 31</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
        </w:trPr>
        <w:tc>
          <w:tcPr>
            <w:tcW w:w="69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6900" w:type="dxa"/>
            <w:vAlign w:val="bottom"/>
          </w:tcPr>
          <w:p>
            <w:pPr>
              <w:spacing w:after="0"/>
              <w:rPr>
                <w:sz w:val="14"/>
                <w:szCs w:val="14"/>
                <w:color w:val="auto"/>
              </w:rPr>
            </w:pPr>
          </w:p>
        </w:tc>
        <w:tc>
          <w:tcPr>
            <w:tcW w:w="1020" w:type="dxa"/>
            <w:vAlign w:val="bottom"/>
          </w:tcPr>
          <w:p>
            <w:pPr>
              <w:jc w:val="right"/>
              <w:ind w:right="79"/>
              <w:spacing w:after="0" w:line="164" w:lineRule="exact"/>
              <w:rPr>
                <w:sz w:val="20"/>
                <w:szCs w:val="20"/>
                <w:color w:val="auto"/>
              </w:rPr>
            </w:pPr>
            <w:r>
              <w:rPr>
                <w:rFonts w:ascii="Calibri" w:cs="Calibri" w:eastAsia="Calibri" w:hAnsi="Calibri"/>
                <w:sz w:val="14"/>
                <w:szCs w:val="14"/>
                <w:b w:val="1"/>
                <w:bCs w:val="1"/>
                <w:color w:val="auto"/>
              </w:rPr>
              <w:t>2023</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ind w:right="96"/>
              <w:spacing w:after="0" w:line="164" w:lineRule="exact"/>
              <w:rPr>
                <w:sz w:val="20"/>
                <w:szCs w:val="20"/>
                <w:color w:val="auto"/>
              </w:rPr>
            </w:pPr>
            <w:r>
              <w:rPr>
                <w:rFonts w:ascii="Calibri" w:cs="Calibri" w:eastAsia="Calibri" w:hAnsi="Calibri"/>
                <w:sz w:val="14"/>
                <w:szCs w:val="14"/>
                <w:b w:val="1"/>
                <w:bCs w:val="1"/>
                <w:color w:val="auto"/>
              </w:rPr>
              <w:t>2022</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
        </w:trPr>
        <w:tc>
          <w:tcPr>
            <w:tcW w:w="69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6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(In</w:t>
            </w:r>
          </w:p>
        </w:tc>
        <w:tc>
          <w:tcPr>
            <w:tcW w:w="1300" w:type="dxa"/>
            <w:vAlign w:val="bottom"/>
            <w:gridSpan w:val="2"/>
          </w:tcPr>
          <w:p>
            <w:pPr>
              <w:jc w:val="right"/>
              <w:ind w:right="736"/>
              <w:spacing w:after="0" w:line="164" w:lineRule="exact"/>
              <w:rPr>
                <w:sz w:val="20"/>
                <w:szCs w:val="20"/>
                <w:color w:val="auto"/>
              </w:rPr>
            </w:pPr>
            <w:r>
              <w:rPr>
                <w:rFonts w:ascii="Calibri" w:cs="Calibri" w:eastAsia="Calibri" w:hAnsi="Calibri"/>
                <w:sz w:val="14"/>
                <w:szCs w:val="14"/>
                <w:b w:val="1"/>
                <w:bCs w:val="1"/>
                <w:color w:val="auto"/>
                <w:w w:val="91"/>
              </w:rPr>
              <w:t>millions)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
        </w:trPr>
        <w:tc>
          <w:tcPr>
            <w:tcW w:w="6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690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Interest expense</w:t>
            </w:r>
          </w:p>
        </w:tc>
        <w:tc>
          <w:tcPr>
            <w:tcW w:w="1020" w:type="dxa"/>
            <w:vAlign w:val="bottom"/>
            <w:tcBorders>
              <w:bottom w:val="single" w:sz="8" w:color="CFF0FC"/>
            </w:tcBorders>
            <w:shd w:val="clear" w:color="auto" w:fill="CFF0FC"/>
          </w:tcPr>
          <w:p>
            <w:pPr>
              <w:jc w:val="right"/>
              <w:ind w:right="839"/>
              <w:spacing w:after="0" w:line="215" w:lineRule="exact"/>
              <w:rPr>
                <w:sz w:val="20"/>
                <w:szCs w:val="20"/>
                <w:color w:val="auto"/>
              </w:rPr>
            </w:pPr>
            <w:r>
              <w:rPr>
                <w:rFonts w:ascii="Calibri" w:cs="Calibri" w:eastAsia="Calibri" w:hAnsi="Calibri"/>
                <w:sz w:val="18"/>
                <w:szCs w:val="18"/>
                <w:color w:val="auto"/>
                <w:w w:val="87"/>
              </w:rPr>
              <w:t>$</w:t>
            </w:r>
          </w:p>
        </w:tc>
        <w:tc>
          <w:tcPr>
            <w:tcW w:w="680" w:type="dxa"/>
            <w:vAlign w:val="bottom"/>
            <w:tcBorders>
              <w:bottom w:val="single" w:sz="8" w:color="CFF0FC"/>
            </w:tcBorders>
            <w:gridSpan w:val="2"/>
            <w:shd w:val="clear" w:color="auto" w:fill="CFF0FC"/>
          </w:tcPr>
          <w:p>
            <w:pPr>
              <w:jc w:val="right"/>
              <w:ind w:right="128"/>
              <w:spacing w:after="0" w:line="215" w:lineRule="exact"/>
              <w:rPr>
                <w:sz w:val="20"/>
                <w:szCs w:val="20"/>
                <w:color w:val="auto"/>
              </w:rPr>
            </w:pPr>
            <w:r>
              <w:rPr>
                <w:rFonts w:ascii="Calibri" w:cs="Calibri" w:eastAsia="Calibri" w:hAnsi="Calibri"/>
                <w:sz w:val="18"/>
                <w:szCs w:val="18"/>
                <w:color w:val="auto"/>
              </w:rPr>
              <w:t>(22 )</w:t>
            </w:r>
          </w:p>
        </w:tc>
        <w:tc>
          <w:tcPr>
            <w:tcW w:w="1020" w:type="dxa"/>
            <w:vAlign w:val="bottom"/>
            <w:tcBorders>
              <w:bottom w:val="single" w:sz="8" w:color="CFF0FC"/>
            </w:tcBorders>
            <w:shd w:val="clear" w:color="auto" w:fill="CFF0FC"/>
          </w:tcPr>
          <w:p>
            <w:pPr>
              <w:jc w:val="right"/>
              <w:ind w:right="836"/>
              <w:spacing w:after="0" w:line="215" w:lineRule="exact"/>
              <w:rPr>
                <w:sz w:val="20"/>
                <w:szCs w:val="20"/>
                <w:color w:val="auto"/>
              </w:rPr>
            </w:pPr>
            <w:r>
              <w:rPr>
                <w:rFonts w:ascii="Calibri" w:cs="Calibri" w:eastAsia="Calibri" w:hAnsi="Calibri"/>
                <w:sz w:val="18"/>
                <w:szCs w:val="18"/>
                <w:color w:val="auto"/>
                <w:w w:val="87"/>
              </w:rPr>
              <w:t>$</w:t>
            </w:r>
          </w:p>
        </w:tc>
        <w:tc>
          <w:tcPr>
            <w:tcW w:w="48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(22 )</w:t>
            </w:r>
          </w:p>
        </w:tc>
      </w:tr>
      <w:tr>
        <w:trPr>
          <w:trHeight w:val="243"/>
        </w:trPr>
        <w:tc>
          <w:tcPr>
            <w:tcW w:w="6900" w:type="dxa"/>
            <w:vAlign w:val="bottom"/>
          </w:tcPr>
          <w:p>
            <w:pPr>
              <w:spacing w:after="0" w:line="243" w:lineRule="exact"/>
              <w:rPr>
                <w:sz w:val="20"/>
                <w:szCs w:val="20"/>
                <w:color w:val="auto"/>
              </w:rPr>
            </w:pPr>
            <w:r>
              <w:rPr>
                <w:rFonts w:ascii="Calibri" w:cs="Calibri" w:eastAsia="Calibri" w:hAnsi="Calibri"/>
                <w:sz w:val="18"/>
                <w:szCs w:val="18"/>
                <w:color w:val="auto"/>
              </w:rPr>
              <w:t>Certain items</w:t>
            </w:r>
            <w:r>
              <w:rPr>
                <w:rFonts w:ascii="Calibri" w:cs="Calibri" w:eastAsia="Calibri" w:hAnsi="Calibri"/>
                <w:sz w:val="24"/>
                <w:szCs w:val="24"/>
                <w:color w:val="auto"/>
                <w:vertAlign w:val="superscript"/>
              </w:rPr>
              <w:t>(a)</w:t>
            </w: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6900" w:type="dxa"/>
            <w:vAlign w:val="bottom"/>
            <w:tcBorders>
              <w:bottom w:val="single" w:sz="8" w:color="CFF0FC"/>
            </w:tcBorders>
            <w:shd w:val="clear" w:color="auto" w:fill="CFF0FC"/>
          </w:tcPr>
          <w:p>
            <w:pPr>
              <w:ind w:left="100"/>
              <w:spacing w:after="0" w:line="215" w:lineRule="exact"/>
              <w:rPr>
                <w:sz w:val="20"/>
                <w:szCs w:val="20"/>
                <w:color w:val="auto"/>
              </w:rPr>
            </w:pPr>
            <w:r>
              <w:rPr>
                <w:rFonts w:ascii="Calibri" w:cs="Calibri" w:eastAsia="Calibri" w:hAnsi="Calibri"/>
                <w:sz w:val="18"/>
                <w:szCs w:val="18"/>
                <w:color w:val="auto"/>
              </w:rPr>
              <w:t>Argentna controlled currency devaluaton loss (Note B)</w:t>
            </w:r>
          </w:p>
        </w:tc>
        <w:tc>
          <w:tcPr>
            <w:tcW w:w="102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CFF0FC"/>
            </w:tcBorders>
            <w:gridSpan w:val="2"/>
            <w:shd w:val="clear" w:color="auto" w:fill="CFF0FC"/>
          </w:tcPr>
          <w:p>
            <w:pPr>
              <w:jc w:val="right"/>
              <w:ind w:right="128"/>
              <w:spacing w:after="0" w:line="215" w:lineRule="exact"/>
              <w:rPr>
                <w:sz w:val="20"/>
                <w:szCs w:val="20"/>
                <w:color w:val="auto"/>
              </w:rPr>
            </w:pPr>
            <w:r>
              <w:rPr>
                <w:rFonts w:ascii="Calibri" w:cs="Calibri" w:eastAsia="Calibri" w:hAnsi="Calibri"/>
                <w:sz w:val="18"/>
                <w:szCs w:val="18"/>
                <w:color w:val="auto"/>
              </w:rPr>
              <w:t>(33 )</w:t>
            </w:r>
          </w:p>
        </w:tc>
        <w:tc>
          <w:tcPr>
            <w:tcW w:w="102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15"/>
        </w:trPr>
        <w:tc>
          <w:tcPr>
            <w:tcW w:w="6900" w:type="dxa"/>
            <w:vAlign w:val="bottom"/>
          </w:tcPr>
          <w:p>
            <w:pPr>
              <w:ind w:left="100"/>
              <w:spacing w:after="0" w:line="215" w:lineRule="exact"/>
              <w:rPr>
                <w:sz w:val="20"/>
                <w:szCs w:val="20"/>
                <w:color w:val="auto"/>
              </w:rPr>
            </w:pPr>
            <w:r>
              <w:rPr>
                <w:rFonts w:ascii="Calibri" w:cs="Calibri" w:eastAsia="Calibri" w:hAnsi="Calibri"/>
                <w:sz w:val="18"/>
                <w:szCs w:val="18"/>
                <w:color w:val="auto"/>
              </w:rPr>
              <w:t>Global restructuring actvites (Note H)</w:t>
            </w:r>
          </w:p>
        </w:tc>
        <w:tc>
          <w:tcPr>
            <w:tcW w:w="1020" w:type="dxa"/>
            <w:vAlign w:val="bottom"/>
          </w:tcPr>
          <w:p>
            <w:pPr>
              <w:spacing w:after="0"/>
              <w:rPr>
                <w:sz w:val="18"/>
                <w:szCs w:val="18"/>
                <w:color w:val="auto"/>
              </w:rPr>
            </w:pPr>
          </w:p>
        </w:tc>
        <w:tc>
          <w:tcPr>
            <w:tcW w:w="680" w:type="dxa"/>
            <w:vAlign w:val="bottom"/>
            <w:gridSpan w:val="2"/>
          </w:tcPr>
          <w:p>
            <w:pPr>
              <w:jc w:val="right"/>
              <w:ind w:right="128"/>
              <w:spacing w:after="0" w:line="215" w:lineRule="exact"/>
              <w:rPr>
                <w:sz w:val="20"/>
                <w:szCs w:val="20"/>
                <w:color w:val="auto"/>
              </w:rPr>
            </w:pPr>
            <w:r>
              <w:rPr>
                <w:rFonts w:ascii="Calibri" w:cs="Calibri" w:eastAsia="Calibri" w:hAnsi="Calibri"/>
                <w:sz w:val="18"/>
                <w:szCs w:val="18"/>
                <w:color w:val="auto"/>
              </w:rPr>
              <w:t>(9 )</w:t>
            </w:r>
          </w:p>
        </w:tc>
        <w:tc>
          <w:tcPr>
            <w:tcW w:w="1020" w:type="dxa"/>
            <w:vAlign w:val="bottom"/>
          </w:tcPr>
          <w:p>
            <w:pPr>
              <w:spacing w:after="0"/>
              <w:rPr>
                <w:sz w:val="18"/>
                <w:szCs w:val="18"/>
                <w:color w:val="auto"/>
              </w:rPr>
            </w:pPr>
          </w:p>
        </w:tc>
        <w:tc>
          <w:tcPr>
            <w:tcW w:w="48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8"/>
        </w:trPr>
        <w:tc>
          <w:tcPr>
            <w:tcW w:w="6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6900" w:type="dxa"/>
            <w:vAlign w:val="bottom"/>
            <w:tcBorders>
              <w:bottom w:val="single" w:sz="8" w:color="CFF0FC"/>
            </w:tcBorders>
            <w:shd w:val="clear" w:color="auto" w:fill="CFF0FC"/>
          </w:tcPr>
          <w:p>
            <w:pPr>
              <w:ind w:left="100"/>
              <w:spacing w:after="0" w:line="215" w:lineRule="exact"/>
              <w:rPr>
                <w:sz w:val="20"/>
                <w:szCs w:val="20"/>
                <w:color w:val="auto"/>
              </w:rPr>
            </w:pPr>
            <w:r>
              <w:rPr>
                <w:rFonts w:ascii="Calibri" w:cs="Calibri" w:eastAsia="Calibri" w:hAnsi="Calibri"/>
                <w:sz w:val="18"/>
                <w:szCs w:val="18"/>
                <w:color w:val="auto"/>
              </w:rPr>
              <w:t>Gain on sale of land</w:t>
            </w:r>
          </w:p>
        </w:tc>
        <w:tc>
          <w:tcPr>
            <w:tcW w:w="102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CFF0FC"/>
            </w:tcBorders>
            <w:gridSpan w:val="2"/>
            <w:shd w:val="clear" w:color="auto" w:fill="CFF0FC"/>
          </w:tcPr>
          <w:p>
            <w:pPr>
              <w:jc w:val="right"/>
              <w:ind w:right="208"/>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6900" w:type="dxa"/>
            <w:vAlign w:val="bottom"/>
          </w:tcPr>
          <w:p>
            <w:pPr>
              <w:ind w:left="100"/>
              <w:spacing w:after="0" w:line="215" w:lineRule="exact"/>
              <w:rPr>
                <w:sz w:val="20"/>
                <w:szCs w:val="20"/>
                <w:color w:val="auto"/>
              </w:rPr>
            </w:pPr>
            <w:r>
              <w:rPr>
                <w:rFonts w:ascii="Calibri" w:cs="Calibri" w:eastAsia="Calibri" w:hAnsi="Calibri"/>
                <w:sz w:val="18"/>
                <w:szCs w:val="18"/>
                <w:color w:val="auto"/>
              </w:rPr>
              <w:t>Loss on sale of business</w:t>
            </w:r>
          </w:p>
        </w:tc>
        <w:tc>
          <w:tcPr>
            <w:tcW w:w="1020" w:type="dxa"/>
            <w:vAlign w:val="bottom"/>
          </w:tcPr>
          <w:p>
            <w:pPr>
              <w:spacing w:after="0"/>
              <w:rPr>
                <w:sz w:val="18"/>
                <w:szCs w:val="18"/>
                <w:color w:val="auto"/>
              </w:rPr>
            </w:pPr>
          </w:p>
        </w:tc>
        <w:tc>
          <w:tcPr>
            <w:tcW w:w="680" w:type="dxa"/>
            <w:vAlign w:val="bottom"/>
            <w:gridSpan w:val="2"/>
          </w:tcPr>
          <w:p>
            <w:pPr>
              <w:jc w:val="right"/>
              <w:ind w:right="208"/>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tcPr>
          <w:p>
            <w:pPr>
              <w:spacing w:after="0"/>
              <w:rPr>
                <w:sz w:val="18"/>
                <w:szCs w:val="18"/>
                <w:color w:val="auto"/>
              </w:rPr>
            </w:pPr>
          </w:p>
        </w:tc>
        <w:tc>
          <w:tcPr>
            <w:tcW w:w="48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(3 )</w:t>
            </w:r>
          </w:p>
        </w:tc>
      </w:tr>
      <w:tr>
        <w:trPr>
          <w:trHeight w:val="28"/>
        </w:trPr>
        <w:tc>
          <w:tcPr>
            <w:tcW w:w="6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6900" w:type="dxa"/>
            <w:vAlign w:val="bottom"/>
            <w:tcBorders>
              <w:bottom w:val="single" w:sz="8" w:color="CFF0FC"/>
            </w:tcBorders>
            <w:shd w:val="clear" w:color="auto" w:fill="CFF0FC"/>
          </w:tcPr>
          <w:p>
            <w:pPr>
              <w:ind w:left="100"/>
              <w:spacing w:after="0" w:line="215" w:lineRule="exact"/>
              <w:rPr>
                <w:sz w:val="20"/>
                <w:szCs w:val="20"/>
                <w:color w:val="auto"/>
              </w:rPr>
            </w:pPr>
            <w:r>
              <w:rPr>
                <w:rFonts w:ascii="Calibri" w:cs="Calibri" w:eastAsia="Calibri" w:hAnsi="Calibri"/>
                <w:sz w:val="18"/>
                <w:szCs w:val="18"/>
                <w:color w:val="auto"/>
              </w:rPr>
              <w:t>Legal and environmental maters and reserves</w:t>
            </w:r>
          </w:p>
        </w:tc>
        <w:tc>
          <w:tcPr>
            <w:tcW w:w="102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CFF0FC"/>
            </w:tcBorders>
            <w:gridSpan w:val="2"/>
            <w:shd w:val="clear" w:color="auto" w:fill="CFF0FC"/>
          </w:tcPr>
          <w:p>
            <w:pPr>
              <w:jc w:val="right"/>
              <w:ind w:right="208"/>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(1 )</w:t>
            </w:r>
          </w:p>
        </w:tc>
      </w:tr>
      <w:tr>
        <w:trPr>
          <w:trHeight w:val="220"/>
        </w:trPr>
        <w:tc>
          <w:tcPr>
            <w:tcW w:w="6900" w:type="dxa"/>
            <w:vAlign w:val="bottom"/>
          </w:tcPr>
          <w:p>
            <w:pPr>
              <w:ind w:left="100"/>
              <w:spacing w:after="0"/>
              <w:rPr>
                <w:sz w:val="20"/>
                <w:szCs w:val="20"/>
                <w:color w:val="auto"/>
              </w:rPr>
            </w:pPr>
            <w:r>
              <w:rPr>
                <w:rFonts w:ascii="Calibri" w:cs="Calibri" w:eastAsia="Calibri" w:hAnsi="Calibri"/>
                <w:sz w:val="18"/>
                <w:szCs w:val="18"/>
                <w:color w:val="auto"/>
              </w:rPr>
              <w:t>Acquisiton and integraton-related charges</w:t>
            </w:r>
          </w:p>
        </w:tc>
        <w:tc>
          <w:tcPr>
            <w:tcW w:w="1020" w:type="dxa"/>
            <w:vAlign w:val="bottom"/>
          </w:tcPr>
          <w:p>
            <w:pPr>
              <w:spacing w:after="0"/>
              <w:rPr>
                <w:sz w:val="19"/>
                <w:szCs w:val="19"/>
                <w:color w:val="auto"/>
              </w:rPr>
            </w:pPr>
          </w:p>
        </w:tc>
        <w:tc>
          <w:tcPr>
            <w:tcW w:w="680" w:type="dxa"/>
            <w:vAlign w:val="bottom"/>
            <w:gridSpan w:val="2"/>
          </w:tcPr>
          <w:p>
            <w:pPr>
              <w:jc w:val="right"/>
              <w:ind w:right="208"/>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tcPr>
          <w:p>
            <w:pPr>
              <w:spacing w:after="0"/>
              <w:rPr>
                <w:sz w:val="19"/>
                <w:szCs w:val="19"/>
                <w:color w:val="auto"/>
              </w:rPr>
            </w:pPr>
          </w:p>
        </w:tc>
        <w:tc>
          <w:tcPr>
            <w:tcW w:w="48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(1 )</w:t>
            </w:r>
          </w:p>
        </w:tc>
      </w:tr>
      <w:tr>
        <w:trPr>
          <w:trHeight w:val="23"/>
        </w:trPr>
        <w:tc>
          <w:tcPr>
            <w:tcW w:w="69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7"/>
        </w:trPr>
        <w:tc>
          <w:tcPr>
            <w:tcW w:w="6900" w:type="dxa"/>
            <w:vAlign w:val="bottom"/>
            <w:tcBorders>
              <w:bottom w:val="single" w:sz="8" w:color="CFF0FC"/>
            </w:tcBorders>
            <w:shd w:val="clear" w:color="auto" w:fill="CFF0FC"/>
          </w:tcPr>
          <w:p>
            <w:pPr>
              <w:ind w:left="360"/>
              <w:spacing w:after="0" w:line="213" w:lineRule="exact"/>
              <w:rPr>
                <w:sz w:val="20"/>
                <w:szCs w:val="20"/>
                <w:color w:val="auto"/>
              </w:rPr>
            </w:pPr>
            <w:r>
              <w:rPr>
                <w:rFonts w:ascii="Calibri" w:cs="Calibri" w:eastAsia="Calibri" w:hAnsi="Calibri"/>
                <w:sz w:val="18"/>
                <w:szCs w:val="18"/>
                <w:color w:val="auto"/>
              </w:rPr>
              <w:t>Total certain items</w:t>
            </w:r>
          </w:p>
        </w:tc>
        <w:tc>
          <w:tcPr>
            <w:tcW w:w="102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gridSpan w:val="2"/>
            <w:shd w:val="clear" w:color="auto" w:fill="CFF0FC"/>
          </w:tcPr>
          <w:p>
            <w:pPr>
              <w:jc w:val="right"/>
              <w:ind w:right="128"/>
              <w:spacing w:after="0" w:line="213" w:lineRule="exact"/>
              <w:rPr>
                <w:sz w:val="20"/>
                <w:szCs w:val="20"/>
                <w:color w:val="auto"/>
              </w:rPr>
            </w:pPr>
            <w:r>
              <w:rPr>
                <w:rFonts w:ascii="Calibri" w:cs="Calibri" w:eastAsia="Calibri" w:hAnsi="Calibri"/>
                <w:sz w:val="18"/>
                <w:szCs w:val="18"/>
                <w:color w:val="auto"/>
              </w:rPr>
              <w:t>(42 )</w:t>
            </w:r>
          </w:p>
        </w:tc>
        <w:tc>
          <w:tcPr>
            <w:tcW w:w="102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CFF0FC"/>
            </w:tcBorders>
            <w:gridSpan w:val="2"/>
            <w:shd w:val="clear" w:color="auto" w:fill="CFF0FC"/>
          </w:tcPr>
          <w:p>
            <w:pPr>
              <w:jc w:val="right"/>
              <w:ind w:right="40"/>
              <w:spacing w:after="0" w:line="213" w:lineRule="exact"/>
              <w:rPr>
                <w:sz w:val="20"/>
                <w:szCs w:val="20"/>
                <w:color w:val="auto"/>
              </w:rPr>
            </w:pPr>
            <w:r>
              <w:rPr>
                <w:rFonts w:ascii="Calibri" w:cs="Calibri" w:eastAsia="Calibri" w:hAnsi="Calibri"/>
                <w:sz w:val="18"/>
                <w:szCs w:val="18"/>
                <w:color w:val="auto"/>
              </w:rPr>
              <w:t>(4 )</w:t>
            </w:r>
          </w:p>
        </w:tc>
      </w:tr>
      <w:tr>
        <w:trPr>
          <w:trHeight w:val="20"/>
        </w:trPr>
        <w:tc>
          <w:tcPr>
            <w:tcW w:w="690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900" w:type="dxa"/>
            <w:vAlign w:val="bottom"/>
          </w:tcPr>
          <w:p>
            <w:pPr>
              <w:spacing w:after="0" w:line="236" w:lineRule="exact"/>
              <w:rPr>
                <w:sz w:val="20"/>
                <w:szCs w:val="20"/>
                <w:color w:val="auto"/>
              </w:rPr>
            </w:pPr>
            <w:r>
              <w:rPr>
                <w:rFonts w:ascii="Calibri" w:cs="Calibri" w:eastAsia="Calibri" w:hAnsi="Calibri"/>
                <w:sz w:val="18"/>
                <w:szCs w:val="18"/>
                <w:color w:val="auto"/>
              </w:rPr>
              <w:t>Unallocated corporate costs</w:t>
            </w:r>
            <w:r>
              <w:rPr>
                <w:rFonts w:ascii="Calibri" w:cs="Calibri" w:eastAsia="Calibri" w:hAnsi="Calibri"/>
                <w:sz w:val="24"/>
                <w:szCs w:val="24"/>
                <w:color w:val="auto"/>
                <w:vertAlign w:val="superscript"/>
              </w:rPr>
              <w:t>(b)</w:t>
            </w:r>
          </w:p>
        </w:tc>
        <w:tc>
          <w:tcPr>
            <w:tcW w:w="1020" w:type="dxa"/>
            <w:vAlign w:val="bottom"/>
          </w:tcPr>
          <w:p>
            <w:pPr>
              <w:spacing w:after="0"/>
              <w:rPr>
                <w:sz w:val="20"/>
                <w:szCs w:val="20"/>
                <w:color w:val="auto"/>
              </w:rPr>
            </w:pPr>
          </w:p>
        </w:tc>
        <w:tc>
          <w:tcPr>
            <w:tcW w:w="680" w:type="dxa"/>
            <w:vAlign w:val="bottom"/>
            <w:gridSpan w:val="2"/>
          </w:tcPr>
          <w:p>
            <w:pPr>
              <w:jc w:val="right"/>
              <w:ind w:right="128"/>
              <w:spacing w:after="0" w:line="215" w:lineRule="exact"/>
              <w:rPr>
                <w:sz w:val="20"/>
                <w:szCs w:val="20"/>
                <w:color w:val="auto"/>
              </w:rPr>
            </w:pPr>
            <w:r>
              <w:rPr>
                <w:rFonts w:ascii="Calibri" w:cs="Calibri" w:eastAsia="Calibri" w:hAnsi="Calibri"/>
                <w:sz w:val="18"/>
                <w:szCs w:val="18"/>
                <w:color w:val="auto"/>
              </w:rPr>
              <w:t>(17 )</w:t>
            </w:r>
          </w:p>
        </w:tc>
        <w:tc>
          <w:tcPr>
            <w:tcW w:w="1020" w:type="dxa"/>
            <w:vAlign w:val="bottom"/>
          </w:tcPr>
          <w:p>
            <w:pPr>
              <w:spacing w:after="0"/>
              <w:rPr>
                <w:sz w:val="20"/>
                <w:szCs w:val="20"/>
                <w:color w:val="auto"/>
              </w:rPr>
            </w:pPr>
          </w:p>
        </w:tc>
        <w:tc>
          <w:tcPr>
            <w:tcW w:w="48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(15 )</w:t>
            </w:r>
          </w:p>
        </w:tc>
      </w:tr>
      <w:tr>
        <w:trPr>
          <w:trHeight w:val="243"/>
        </w:trPr>
        <w:tc>
          <w:tcPr>
            <w:tcW w:w="6900" w:type="dxa"/>
            <w:vAlign w:val="bottom"/>
            <w:shd w:val="clear" w:color="auto" w:fill="CFF0FC"/>
          </w:tcPr>
          <w:p>
            <w:pPr>
              <w:spacing w:after="0" w:line="243" w:lineRule="exact"/>
              <w:rPr>
                <w:sz w:val="20"/>
                <w:szCs w:val="20"/>
                <w:color w:val="auto"/>
              </w:rPr>
            </w:pPr>
            <w:r>
              <w:rPr>
                <w:rFonts w:ascii="Calibri" w:cs="Calibri" w:eastAsia="Calibri" w:hAnsi="Calibri"/>
                <w:sz w:val="18"/>
                <w:szCs w:val="18"/>
                <w:color w:val="auto"/>
              </w:rPr>
              <w:t>General unallocated income (expense)</w:t>
            </w:r>
            <w:r>
              <w:rPr>
                <w:rFonts w:ascii="Calibri" w:cs="Calibri" w:eastAsia="Calibri" w:hAnsi="Calibri"/>
                <w:sz w:val="24"/>
                <w:szCs w:val="24"/>
                <w:color w:val="auto"/>
                <w:vertAlign w:val="superscript"/>
              </w:rPr>
              <w:t>(c)</w:t>
            </w:r>
          </w:p>
        </w:tc>
        <w:tc>
          <w:tcPr>
            <w:tcW w:w="102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13</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w:t>
            </w:r>
          </w:p>
        </w:tc>
        <w:tc>
          <w:tcPr>
            <w:tcW w:w="100" w:type="dxa"/>
            <w:vAlign w:val="bottom"/>
            <w:shd w:val="clear" w:color="auto" w:fill="CFF0FC"/>
          </w:tcPr>
          <w:p>
            <w:pPr>
              <w:spacing w:after="0"/>
              <w:rPr>
                <w:sz w:val="21"/>
                <w:szCs w:val="21"/>
                <w:color w:val="auto"/>
              </w:rPr>
            </w:pPr>
          </w:p>
        </w:tc>
      </w:tr>
      <w:tr>
        <w:trPr>
          <w:trHeight w:val="183"/>
        </w:trPr>
        <w:tc>
          <w:tcPr>
            <w:tcW w:w="6900" w:type="dxa"/>
            <w:vAlign w:val="bottom"/>
          </w:tcPr>
          <w:p>
            <w:pPr>
              <w:spacing w:after="0" w:line="183" w:lineRule="exact"/>
              <w:rPr>
                <w:sz w:val="20"/>
                <w:szCs w:val="20"/>
                <w:color w:val="auto"/>
              </w:rPr>
            </w:pPr>
            <w:r>
              <w:rPr>
                <w:rFonts w:ascii="Calibri" w:cs="Calibri" w:eastAsia="Calibri" w:hAnsi="Calibri"/>
                <w:sz w:val="18"/>
                <w:szCs w:val="18"/>
                <w:color w:val="auto"/>
              </w:rPr>
              <w:t>Less: Equity in earnings of afliated companies, net</w:t>
            </w:r>
          </w:p>
        </w:tc>
        <w:tc>
          <w:tcPr>
            <w:tcW w:w="1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63"/>
        </w:trPr>
        <w:tc>
          <w:tcPr>
            <w:tcW w:w="6900" w:type="dxa"/>
            <w:vAlign w:val="bottom"/>
          </w:tcPr>
          <w:p>
            <w:pPr>
              <w:ind w:left="120"/>
              <w:spacing w:after="0" w:line="263" w:lineRule="exact"/>
              <w:rPr>
                <w:sz w:val="20"/>
                <w:szCs w:val="20"/>
                <w:color w:val="auto"/>
              </w:rPr>
            </w:pPr>
            <w:r>
              <w:rPr>
                <w:rFonts w:ascii="Calibri" w:cs="Calibri" w:eastAsia="Calibri" w:hAnsi="Calibri"/>
                <w:sz w:val="18"/>
                <w:szCs w:val="18"/>
                <w:color w:val="auto"/>
              </w:rPr>
              <w:t>of tax</w:t>
            </w:r>
            <w:r>
              <w:rPr>
                <w:rFonts w:ascii="Calibri" w:cs="Calibri" w:eastAsia="Calibri" w:hAnsi="Calibri"/>
                <w:sz w:val="24"/>
                <w:szCs w:val="24"/>
                <w:color w:val="auto"/>
                <w:vertAlign w:val="superscript"/>
              </w:rPr>
              <w:t>(d)</w:t>
            </w:r>
          </w:p>
        </w:tc>
        <w:tc>
          <w:tcPr>
            <w:tcW w:w="10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1</w:t>
            </w:r>
          </w:p>
        </w:tc>
        <w:tc>
          <w:tcPr>
            <w:tcW w:w="28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2</w:t>
            </w:r>
          </w:p>
        </w:tc>
        <w:tc>
          <w:tcPr>
            <w:tcW w:w="100" w:type="dxa"/>
            <w:vAlign w:val="bottom"/>
          </w:tcPr>
          <w:p>
            <w:pPr>
              <w:spacing w:after="0"/>
              <w:rPr>
                <w:sz w:val="22"/>
                <w:szCs w:val="22"/>
                <w:color w:val="auto"/>
              </w:rPr>
            </w:pPr>
          </w:p>
        </w:tc>
      </w:tr>
      <w:tr>
        <w:trPr>
          <w:trHeight w:val="256"/>
        </w:trPr>
        <w:tc>
          <w:tcPr>
            <w:tcW w:w="6900" w:type="dxa"/>
            <w:vAlign w:val="bottom"/>
            <w:shd w:val="clear" w:color="auto" w:fill="CFF0FC"/>
          </w:tcPr>
          <w:p>
            <w:pPr>
              <w:spacing w:after="0"/>
              <w:rPr>
                <w:sz w:val="20"/>
                <w:szCs w:val="20"/>
                <w:color w:val="auto"/>
              </w:rPr>
            </w:pPr>
            <w:r>
              <w:rPr>
                <w:rFonts w:ascii="Calibri" w:cs="Calibri" w:eastAsia="Calibri" w:hAnsi="Calibri"/>
                <w:sz w:val="18"/>
                <w:szCs w:val="18"/>
                <w:color w:val="auto"/>
              </w:rPr>
              <w:t>Total</w:t>
            </w:r>
          </w:p>
        </w:tc>
        <w:tc>
          <w:tcPr>
            <w:tcW w:w="1020" w:type="dxa"/>
            <w:vAlign w:val="bottom"/>
            <w:shd w:val="clear" w:color="auto" w:fill="CFF0FC"/>
          </w:tcPr>
          <w:p>
            <w:pPr>
              <w:jc w:val="right"/>
              <w:ind w:right="839"/>
              <w:spacing w:after="0" w:line="215" w:lineRule="exact"/>
              <w:rPr>
                <w:sz w:val="20"/>
                <w:szCs w:val="20"/>
                <w:color w:val="auto"/>
              </w:rPr>
            </w:pPr>
            <w:r>
              <w:rPr>
                <w:rFonts w:ascii="Calibri" w:cs="Calibri" w:eastAsia="Calibri" w:hAnsi="Calibri"/>
                <w:sz w:val="18"/>
                <w:szCs w:val="18"/>
                <w:color w:val="auto"/>
                <w:w w:val="87"/>
              </w:rPr>
              <w:t>$</w:t>
            </w:r>
          </w:p>
        </w:tc>
        <w:tc>
          <w:tcPr>
            <w:tcW w:w="680" w:type="dxa"/>
            <w:vAlign w:val="bottom"/>
            <w:gridSpan w:val="2"/>
            <w:shd w:val="clear" w:color="auto" w:fill="CFF0FC"/>
          </w:tcPr>
          <w:p>
            <w:pPr>
              <w:jc w:val="right"/>
              <w:ind w:right="128"/>
              <w:spacing w:after="0" w:line="215" w:lineRule="exact"/>
              <w:rPr>
                <w:sz w:val="20"/>
                <w:szCs w:val="20"/>
                <w:color w:val="auto"/>
              </w:rPr>
            </w:pPr>
            <w:r>
              <w:rPr>
                <w:rFonts w:ascii="Calibri" w:cs="Calibri" w:eastAsia="Calibri" w:hAnsi="Calibri"/>
                <w:sz w:val="18"/>
                <w:szCs w:val="18"/>
                <w:color w:val="auto"/>
              </w:rPr>
              <w:t>(69 )</w:t>
            </w:r>
          </w:p>
        </w:tc>
        <w:tc>
          <w:tcPr>
            <w:tcW w:w="1020" w:type="dxa"/>
            <w:vAlign w:val="bottom"/>
            <w:shd w:val="clear" w:color="auto" w:fill="CFF0FC"/>
          </w:tcPr>
          <w:p>
            <w:pPr>
              <w:jc w:val="right"/>
              <w:ind w:right="836"/>
              <w:spacing w:after="0" w:line="215" w:lineRule="exact"/>
              <w:rPr>
                <w:sz w:val="20"/>
                <w:szCs w:val="20"/>
                <w:color w:val="auto"/>
              </w:rPr>
            </w:pPr>
            <w:r>
              <w:rPr>
                <w:rFonts w:ascii="Calibri" w:cs="Calibri" w:eastAsia="Calibri" w:hAnsi="Calibri"/>
                <w:sz w:val="18"/>
                <w:szCs w:val="18"/>
                <w:color w:val="auto"/>
                <w:w w:val="87"/>
              </w:rPr>
              <w:t>$</w:t>
            </w:r>
          </w:p>
        </w:tc>
        <w:tc>
          <w:tcPr>
            <w:tcW w:w="480" w:type="dxa"/>
            <w:vAlign w:val="bottom"/>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(39 )</w:t>
            </w:r>
          </w:p>
        </w:tc>
      </w:tr>
      <w:tr>
        <w:trPr>
          <w:trHeight w:val="20"/>
        </w:trPr>
        <w:tc>
          <w:tcPr>
            <w:tcW w:w="690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-788035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-788035</wp:posOffset>
            </wp:positionV>
            <wp:extent cx="603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-25400</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06" w:lineRule="exact"/>
        <w:rPr>
          <w:sz w:val="20"/>
          <w:szCs w:val="20"/>
          <w:color w:val="auto"/>
        </w:rPr>
      </w:pPr>
    </w:p>
    <w:p>
      <w:pPr>
        <w:ind w:left="1020" w:right="280" w:hanging="499"/>
        <w:spacing w:after="0" w:line="201" w:lineRule="auto"/>
        <w:tabs>
          <w:tab w:leader="none" w:pos="1020" w:val="left"/>
        </w:tabs>
        <w:numPr>
          <w:ilvl w:val="0"/>
          <w:numId w:val="7"/>
        </w:numPr>
        <w:rPr>
          <w:rFonts w:ascii="Calibri" w:cs="Calibri" w:eastAsia="Calibri" w:hAnsi="Calibri"/>
          <w:sz w:val="24"/>
          <w:szCs w:val="24"/>
          <w:color w:val="auto"/>
          <w:vertAlign w:val="superscript"/>
        </w:rPr>
      </w:pPr>
      <w:r>
        <w:rPr>
          <w:rFonts w:ascii="Calibri" w:cs="Calibri" w:eastAsia="Calibri" w:hAnsi="Calibri"/>
          <w:sz w:val="18"/>
          <w:szCs w:val="18"/>
          <w:color w:val="auto"/>
        </w:rPr>
        <w:t>Certain items are items of expense and income that management does not consider representatve of the Company’s fundamental on-going segment results and they are, therefore, excluded from Segment EBIT.</w:t>
      </w:r>
    </w:p>
    <w:p>
      <w:pPr>
        <w:spacing w:after="0" w:line="1" w:lineRule="exact"/>
        <w:rPr>
          <w:rFonts w:ascii="Calibri" w:cs="Calibri" w:eastAsia="Calibri" w:hAnsi="Calibri"/>
          <w:sz w:val="24"/>
          <w:szCs w:val="24"/>
          <w:color w:val="auto"/>
          <w:vertAlign w:val="superscript"/>
        </w:rPr>
      </w:pPr>
    </w:p>
    <w:p>
      <w:pPr>
        <w:ind w:left="1020" w:hanging="499"/>
        <w:spacing w:after="0" w:line="199" w:lineRule="auto"/>
        <w:tabs>
          <w:tab w:leader="none" w:pos="1020" w:val="left"/>
        </w:tabs>
        <w:numPr>
          <w:ilvl w:val="0"/>
          <w:numId w:val="7"/>
        </w:numPr>
        <w:rPr>
          <w:rFonts w:ascii="Calibri" w:cs="Calibri" w:eastAsia="Calibri" w:hAnsi="Calibri"/>
          <w:sz w:val="24"/>
          <w:szCs w:val="24"/>
          <w:color w:val="auto"/>
          <w:vertAlign w:val="superscript"/>
        </w:rPr>
      </w:pPr>
      <w:r>
        <w:rPr>
          <w:rFonts w:ascii="Calibri" w:cs="Calibri" w:eastAsia="Calibri" w:hAnsi="Calibri"/>
          <w:sz w:val="18"/>
          <w:szCs w:val="18"/>
          <w:color w:val="auto"/>
        </w:rPr>
        <w:t>Unallocated corporate costs are costs that are not controlled by the segments and primarily beneft corporate interests.</w:t>
      </w:r>
    </w:p>
    <w:p>
      <w:pPr>
        <w:spacing w:after="0" w:line="72" w:lineRule="exact"/>
        <w:rPr>
          <w:rFonts w:ascii="Calibri" w:cs="Calibri" w:eastAsia="Calibri" w:hAnsi="Calibri"/>
          <w:sz w:val="24"/>
          <w:szCs w:val="24"/>
          <w:color w:val="auto"/>
          <w:vertAlign w:val="superscript"/>
        </w:rPr>
      </w:pPr>
    </w:p>
    <w:p>
      <w:pPr>
        <w:ind w:left="1020" w:right="20" w:hanging="499"/>
        <w:spacing w:after="0" w:line="212" w:lineRule="auto"/>
        <w:tabs>
          <w:tab w:leader="none" w:pos="1020" w:val="left"/>
        </w:tabs>
        <w:numPr>
          <w:ilvl w:val="0"/>
          <w:numId w:val="7"/>
        </w:numPr>
        <w:rPr>
          <w:rFonts w:ascii="Calibri" w:cs="Calibri" w:eastAsia="Calibri" w:hAnsi="Calibri"/>
          <w:sz w:val="23"/>
          <w:szCs w:val="23"/>
          <w:color w:val="auto"/>
          <w:vertAlign w:val="superscript"/>
        </w:rPr>
      </w:pPr>
      <w:r>
        <w:rPr>
          <w:rFonts w:ascii="Calibri" w:cs="Calibri" w:eastAsia="Calibri" w:hAnsi="Calibri"/>
          <w:sz w:val="17"/>
          <w:szCs w:val="17"/>
          <w:color w:val="auto"/>
        </w:rPr>
        <w:t>General unallocated income (expense) consists of gains (losses) arising from foreign currency transactons, net of other foreign currency risk management actvites, Interest and dividend income, the proft or loss related to the corporate adjustment for unearned revenue and unrealized holding gains (losses) for investments. This does not include items of income or expense that are separately treated as Certain items.</w:t>
      </w:r>
    </w:p>
    <w:p>
      <w:pPr>
        <w:spacing w:after="0" w:line="42" w:lineRule="exact"/>
        <w:rPr>
          <w:rFonts w:ascii="Calibri" w:cs="Calibri" w:eastAsia="Calibri" w:hAnsi="Calibri"/>
          <w:sz w:val="23"/>
          <w:szCs w:val="23"/>
          <w:color w:val="auto"/>
          <w:vertAlign w:val="superscript"/>
        </w:rPr>
      </w:pPr>
    </w:p>
    <w:p>
      <w:pPr>
        <w:ind w:left="1020" w:right="500" w:hanging="499"/>
        <w:spacing w:after="0" w:line="201" w:lineRule="auto"/>
        <w:tabs>
          <w:tab w:leader="none" w:pos="1020" w:val="left"/>
        </w:tabs>
        <w:numPr>
          <w:ilvl w:val="0"/>
          <w:numId w:val="7"/>
        </w:numPr>
        <w:rPr>
          <w:rFonts w:ascii="Calibri" w:cs="Calibri" w:eastAsia="Calibri" w:hAnsi="Calibri"/>
          <w:sz w:val="24"/>
          <w:szCs w:val="24"/>
          <w:color w:val="auto"/>
          <w:vertAlign w:val="superscript"/>
        </w:rPr>
      </w:pPr>
      <w:r>
        <w:rPr>
          <w:rFonts w:ascii="Calibri" w:cs="Calibri" w:eastAsia="Calibri" w:hAnsi="Calibri"/>
          <w:sz w:val="18"/>
          <w:szCs w:val="18"/>
          <w:color w:val="auto"/>
        </w:rPr>
        <w:t>Equity in earnings of afliated companies, net of tax, is included in Segment EBIT and is removed in Unallocated and other to reconcile to Income (loss) from operatons before income taxes and equity in earnings from afliated companies.</w:t>
      </w:r>
    </w:p>
    <w:p>
      <w:pPr>
        <w:spacing w:after="0" w:line="84" w:lineRule="exact"/>
        <w:rPr>
          <w:sz w:val="20"/>
          <w:szCs w:val="20"/>
          <w:color w:val="auto"/>
        </w:rPr>
      </w:pPr>
    </w:p>
    <w:p>
      <w:pPr>
        <w:ind w:right="320" w:firstLine="509"/>
        <w:spacing w:after="0" w:line="235" w:lineRule="auto"/>
        <w:rPr>
          <w:sz w:val="20"/>
          <w:szCs w:val="20"/>
          <w:color w:val="auto"/>
        </w:rPr>
      </w:pPr>
      <w:r>
        <w:rPr>
          <w:rFonts w:ascii="Calibri" w:cs="Calibri" w:eastAsia="Calibri" w:hAnsi="Calibri"/>
          <w:sz w:val="18"/>
          <w:szCs w:val="18"/>
          <w:color w:val="auto"/>
        </w:rPr>
        <w:t>The Company’s segments operate globally. In additon to presentng Revenue from external customers by reportable segment, the following tables further disaggregate Revenues from external customers by geographic region.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40" w:type="dxa"/>
            <w:vAlign w:val="bottom"/>
            <w:gridSpan w:val="8"/>
          </w:tcPr>
          <w:p>
            <w:pPr>
              <w:ind w:left="860"/>
              <w:spacing w:after="0"/>
              <w:rPr>
                <w:sz w:val="20"/>
                <w:szCs w:val="20"/>
                <w:color w:val="auto"/>
              </w:rPr>
            </w:pPr>
            <w:r>
              <w:rPr>
                <w:rFonts w:ascii="Calibri" w:cs="Calibri" w:eastAsia="Calibri" w:hAnsi="Calibri"/>
                <w:sz w:val="14"/>
                <w:szCs w:val="14"/>
                <w:b w:val="1"/>
                <w:bCs w:val="1"/>
                <w:color w:val="auto"/>
              </w:rPr>
              <w:t>Three Months Ended December 31, 2023</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3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center"/>
              <w:ind w:right="98"/>
              <w:spacing w:after="0" w:line="164" w:lineRule="exact"/>
              <w:rPr>
                <w:sz w:val="20"/>
                <w:szCs w:val="20"/>
                <w:color w:val="auto"/>
              </w:rPr>
            </w:pPr>
            <w:r>
              <w:rPr>
                <w:rFonts w:ascii="Calibri" w:cs="Calibri" w:eastAsia="Calibri" w:hAnsi="Calibri"/>
                <w:sz w:val="14"/>
                <w:szCs w:val="14"/>
                <w:b w:val="1"/>
                <w:bCs w:val="1"/>
                <w:color w:val="auto"/>
              </w:rPr>
              <w:t>Reinforcement</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ind w:left="80"/>
              <w:spacing w:after="0" w:line="164" w:lineRule="exact"/>
              <w:rPr>
                <w:sz w:val="20"/>
                <w:szCs w:val="20"/>
                <w:color w:val="auto"/>
              </w:rPr>
            </w:pPr>
            <w:r>
              <w:rPr>
                <w:rFonts w:ascii="Calibri" w:cs="Calibri" w:eastAsia="Calibri" w:hAnsi="Calibri"/>
                <w:sz w:val="14"/>
                <w:szCs w:val="14"/>
                <w:b w:val="1"/>
                <w:bCs w:val="1"/>
                <w:color w:val="auto"/>
              </w:rPr>
              <w:t>Performance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center"/>
              <w:ind w:right="98"/>
              <w:spacing w:after="0"/>
              <w:rPr>
                <w:sz w:val="20"/>
                <w:szCs w:val="20"/>
                <w:color w:val="auto"/>
              </w:rPr>
            </w:pPr>
            <w:r>
              <w:rPr>
                <w:rFonts w:ascii="Calibri" w:cs="Calibri" w:eastAsia="Calibri" w:hAnsi="Calibri"/>
                <w:sz w:val="14"/>
                <w:szCs w:val="14"/>
                <w:b w:val="1"/>
                <w:bCs w:val="1"/>
                <w:color w:val="auto"/>
              </w:rPr>
              <w:t>Materials</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258"/>
              <w:spacing w:after="0"/>
              <w:rPr>
                <w:sz w:val="20"/>
                <w:szCs w:val="20"/>
                <w:color w:val="auto"/>
              </w:rPr>
            </w:pPr>
            <w:r>
              <w:rPr>
                <w:rFonts w:ascii="Calibri" w:cs="Calibri" w:eastAsia="Calibri" w:hAnsi="Calibri"/>
                <w:sz w:val="14"/>
                <w:szCs w:val="14"/>
                <w:b w:val="1"/>
                <w:bCs w:val="1"/>
                <w:color w:val="auto"/>
              </w:rPr>
              <w:t>Chemicals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spacing w:after="0"/>
              <w:rPr>
                <w:sz w:val="20"/>
                <w:szCs w:val="20"/>
                <w:color w:val="auto"/>
              </w:rPr>
            </w:pPr>
            <w:r>
              <w:rPr>
                <w:rFonts w:ascii="Calibri" w:cs="Calibri" w:eastAsia="Calibri" w:hAnsi="Calibri"/>
                <w:sz w:val="14"/>
                <w:szCs w:val="14"/>
                <w:b w:val="1"/>
                <w:bCs w:val="1"/>
                <w:color w:val="auto"/>
              </w:rPr>
              <w:t>Consolidated Total</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3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ind w:left="100"/>
              <w:spacing w:after="0" w:line="164" w:lineRule="exact"/>
              <w:rPr>
                <w:sz w:val="20"/>
                <w:szCs w:val="20"/>
                <w:color w:val="auto"/>
              </w:rPr>
            </w:pPr>
            <w:r>
              <w:rPr>
                <w:rFonts w:ascii="Calibri" w:cs="Calibri" w:eastAsia="Calibri" w:hAnsi="Calibri"/>
                <w:sz w:val="14"/>
                <w:szCs w:val="14"/>
                <w:b w:val="1"/>
                <w:bCs w:val="1"/>
                <w:color w:val="auto"/>
              </w:rPr>
              <w:t>(In millions)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32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Americas</w:t>
            </w:r>
          </w:p>
        </w:tc>
        <w:tc>
          <w:tcPr>
            <w:tcW w:w="2480" w:type="dxa"/>
            <w:vAlign w:val="bottom"/>
            <w:tcBorders>
              <w:bottom w:val="single" w:sz="8" w:color="CFF0FC"/>
            </w:tcBorders>
            <w:gridSpan w:val="2"/>
            <w:shd w:val="clear" w:color="auto" w:fill="CFF0FC"/>
          </w:tcPr>
          <w:p>
            <w:pPr>
              <w:jc w:val="right"/>
              <w:ind w:right="6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254</w:t>
            </w:r>
          </w:p>
        </w:tc>
        <w:tc>
          <w:tcPr>
            <w:tcW w:w="460" w:type="dxa"/>
            <w:vAlign w:val="bottom"/>
            <w:tcBorders>
              <w:bottom w:val="single" w:sz="8" w:color="CFF0FC"/>
            </w:tcBorders>
            <w:gridSpan w:val="2"/>
            <w:shd w:val="clear" w:color="auto" w:fill="CFF0FC"/>
          </w:tcPr>
          <w:p>
            <w:pPr>
              <w:jc w:val="right"/>
              <w:ind w:right="8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88</w:t>
            </w:r>
          </w:p>
        </w:tc>
        <w:tc>
          <w:tcPr>
            <w:tcW w:w="36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342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320" w:type="dxa"/>
            <w:vAlign w:val="bottom"/>
          </w:tcPr>
          <w:p>
            <w:pPr>
              <w:ind w:left="20"/>
              <w:spacing w:after="0" w:line="215" w:lineRule="exact"/>
              <w:rPr>
                <w:sz w:val="20"/>
                <w:szCs w:val="20"/>
                <w:color w:val="auto"/>
              </w:rPr>
            </w:pPr>
            <w:r>
              <w:rPr>
                <w:rFonts w:ascii="Calibri" w:cs="Calibri" w:eastAsia="Calibri" w:hAnsi="Calibri"/>
                <w:sz w:val="18"/>
                <w:szCs w:val="18"/>
                <w:color w:val="auto"/>
              </w:rPr>
              <w:t>Asia Pacifc</w:t>
            </w: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260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120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380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3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32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Europe, Middle East and Africa</w:t>
            </w:r>
          </w:p>
        </w:tc>
        <w:tc>
          <w:tcPr>
            <w:tcW w:w="23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127</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77</w:t>
            </w:r>
          </w:p>
        </w:tc>
        <w:tc>
          <w:tcPr>
            <w:tcW w:w="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204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4320" w:type="dxa"/>
            <w:vAlign w:val="bottom"/>
            <w:tcBorders>
              <w:top w:val="single" w:sz="8" w:color="CFF0FC"/>
            </w:tcBorders>
          </w:tcPr>
          <w:p>
            <w:pPr>
              <w:ind w:left="20"/>
              <w:spacing w:after="0" w:line="208" w:lineRule="exact"/>
              <w:rPr>
                <w:sz w:val="20"/>
                <w:szCs w:val="20"/>
                <w:color w:val="auto"/>
              </w:rPr>
            </w:pPr>
            <w:r>
              <w:rPr>
                <w:rFonts w:ascii="Calibri" w:cs="Calibri" w:eastAsia="Calibri" w:hAnsi="Calibri"/>
                <w:sz w:val="18"/>
                <w:szCs w:val="18"/>
                <w:color w:val="auto"/>
              </w:rPr>
              <w:t>Segment revenues from external customers</w:t>
            </w:r>
          </w:p>
        </w:tc>
        <w:tc>
          <w:tcPr>
            <w:tcW w:w="232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641</w:t>
            </w:r>
          </w:p>
        </w:tc>
        <w:tc>
          <w:tcPr>
            <w:tcW w:w="28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285</w:t>
            </w:r>
          </w:p>
        </w:tc>
        <w:tc>
          <w:tcPr>
            <w:tcW w:w="26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926</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3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32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Unallocated and other</w:t>
            </w:r>
          </w:p>
        </w:tc>
        <w:tc>
          <w:tcPr>
            <w:tcW w:w="23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20" w:type="dxa"/>
            <w:vAlign w:val="bottom"/>
            <w:tcBorders>
              <w:top w:val="single" w:sz="8" w:color="CFF0FC"/>
            </w:tcBorders>
          </w:tcPr>
          <w:p>
            <w:pPr>
              <w:ind w:left="20"/>
              <w:spacing w:after="0"/>
              <w:rPr>
                <w:sz w:val="20"/>
                <w:szCs w:val="20"/>
                <w:color w:val="auto"/>
              </w:rPr>
            </w:pPr>
            <w:r>
              <w:rPr>
                <w:rFonts w:ascii="Calibri" w:cs="Calibri" w:eastAsia="Calibri" w:hAnsi="Calibri"/>
                <w:sz w:val="18"/>
                <w:szCs w:val="18"/>
                <w:color w:val="auto"/>
              </w:rPr>
              <w:t>Net sales and other operatng revenues</w:t>
            </w:r>
          </w:p>
        </w:tc>
        <w:tc>
          <w:tcPr>
            <w:tcW w:w="232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1180" w:type="dxa"/>
            <w:vAlign w:val="bottom"/>
            <w:tcBorders>
              <w:top w:val="single" w:sz="8" w:color="CFF0FC"/>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1120" w:type="dxa"/>
            <w:vAlign w:val="bottom"/>
            <w:tcBorders>
              <w:top w:val="single" w:sz="8" w:color="CFF0FC"/>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22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958</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40" w:type="dxa"/>
            <w:vAlign w:val="bottom"/>
            <w:gridSpan w:val="8"/>
          </w:tcPr>
          <w:p>
            <w:pPr>
              <w:ind w:left="860"/>
              <w:spacing w:after="0"/>
              <w:rPr>
                <w:sz w:val="20"/>
                <w:szCs w:val="20"/>
                <w:color w:val="auto"/>
              </w:rPr>
            </w:pPr>
            <w:r>
              <w:rPr>
                <w:rFonts w:ascii="Calibri" w:cs="Calibri" w:eastAsia="Calibri" w:hAnsi="Calibri"/>
                <w:sz w:val="14"/>
                <w:szCs w:val="14"/>
                <w:b w:val="1"/>
                <w:bCs w:val="1"/>
                <w:color w:val="auto"/>
              </w:rPr>
              <w:t>Three Months Ended December 31, 2022</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3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center"/>
              <w:ind w:right="98"/>
              <w:spacing w:after="0" w:line="164" w:lineRule="exact"/>
              <w:rPr>
                <w:sz w:val="20"/>
                <w:szCs w:val="20"/>
                <w:color w:val="auto"/>
              </w:rPr>
            </w:pPr>
            <w:r>
              <w:rPr>
                <w:rFonts w:ascii="Calibri" w:cs="Calibri" w:eastAsia="Calibri" w:hAnsi="Calibri"/>
                <w:sz w:val="14"/>
                <w:szCs w:val="14"/>
                <w:b w:val="1"/>
                <w:bCs w:val="1"/>
                <w:color w:val="auto"/>
              </w:rPr>
              <w:t>Reinforcement</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ind w:left="80"/>
              <w:spacing w:after="0" w:line="164" w:lineRule="exact"/>
              <w:rPr>
                <w:sz w:val="20"/>
                <w:szCs w:val="20"/>
                <w:color w:val="auto"/>
              </w:rPr>
            </w:pPr>
            <w:r>
              <w:rPr>
                <w:rFonts w:ascii="Calibri" w:cs="Calibri" w:eastAsia="Calibri" w:hAnsi="Calibri"/>
                <w:sz w:val="14"/>
                <w:szCs w:val="14"/>
                <w:b w:val="1"/>
                <w:bCs w:val="1"/>
                <w:color w:val="auto"/>
              </w:rPr>
              <w:t>Performance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center"/>
              <w:ind w:right="98"/>
              <w:spacing w:after="0"/>
              <w:rPr>
                <w:sz w:val="20"/>
                <w:szCs w:val="20"/>
                <w:color w:val="auto"/>
              </w:rPr>
            </w:pPr>
            <w:r>
              <w:rPr>
                <w:rFonts w:ascii="Calibri" w:cs="Calibri" w:eastAsia="Calibri" w:hAnsi="Calibri"/>
                <w:sz w:val="14"/>
                <w:szCs w:val="14"/>
                <w:b w:val="1"/>
                <w:bCs w:val="1"/>
                <w:color w:val="auto"/>
              </w:rPr>
              <w:t>Materials</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258"/>
              <w:spacing w:after="0"/>
              <w:rPr>
                <w:sz w:val="20"/>
                <w:szCs w:val="20"/>
                <w:color w:val="auto"/>
              </w:rPr>
            </w:pPr>
            <w:r>
              <w:rPr>
                <w:rFonts w:ascii="Calibri" w:cs="Calibri" w:eastAsia="Calibri" w:hAnsi="Calibri"/>
                <w:sz w:val="14"/>
                <w:szCs w:val="14"/>
                <w:b w:val="1"/>
                <w:bCs w:val="1"/>
                <w:color w:val="auto"/>
              </w:rPr>
              <w:t>Chemicals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spacing w:after="0"/>
              <w:rPr>
                <w:sz w:val="20"/>
                <w:szCs w:val="20"/>
                <w:color w:val="auto"/>
              </w:rPr>
            </w:pPr>
            <w:r>
              <w:rPr>
                <w:rFonts w:ascii="Calibri" w:cs="Calibri" w:eastAsia="Calibri" w:hAnsi="Calibri"/>
                <w:sz w:val="14"/>
                <w:szCs w:val="14"/>
                <w:b w:val="1"/>
                <w:bCs w:val="1"/>
                <w:color w:val="auto"/>
              </w:rPr>
              <w:t>Consolidated Total</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3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ind w:left="100"/>
              <w:spacing w:after="0" w:line="164" w:lineRule="exact"/>
              <w:rPr>
                <w:sz w:val="20"/>
                <w:szCs w:val="20"/>
                <w:color w:val="auto"/>
              </w:rPr>
            </w:pPr>
            <w:r>
              <w:rPr>
                <w:rFonts w:ascii="Calibri" w:cs="Calibri" w:eastAsia="Calibri" w:hAnsi="Calibri"/>
                <w:sz w:val="14"/>
                <w:szCs w:val="14"/>
                <w:b w:val="1"/>
                <w:bCs w:val="1"/>
                <w:color w:val="auto"/>
              </w:rPr>
              <w:t>(In millions)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248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32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Americas</w:t>
            </w:r>
          </w:p>
        </w:tc>
        <w:tc>
          <w:tcPr>
            <w:tcW w:w="2480" w:type="dxa"/>
            <w:vAlign w:val="bottom"/>
            <w:tcBorders>
              <w:bottom w:val="single" w:sz="8" w:color="CFF0FC"/>
            </w:tcBorders>
            <w:gridSpan w:val="2"/>
            <w:shd w:val="clear" w:color="auto" w:fill="CFF0FC"/>
          </w:tcPr>
          <w:p>
            <w:pPr>
              <w:jc w:val="right"/>
              <w:ind w:right="6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241</w:t>
            </w:r>
          </w:p>
        </w:tc>
        <w:tc>
          <w:tcPr>
            <w:tcW w:w="460" w:type="dxa"/>
            <w:vAlign w:val="bottom"/>
            <w:tcBorders>
              <w:bottom w:val="single" w:sz="8" w:color="CFF0FC"/>
            </w:tcBorders>
            <w:gridSpan w:val="2"/>
            <w:shd w:val="clear" w:color="auto" w:fill="CFF0FC"/>
          </w:tcPr>
          <w:p>
            <w:pPr>
              <w:jc w:val="right"/>
              <w:ind w:right="8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89</w:t>
            </w:r>
          </w:p>
        </w:tc>
        <w:tc>
          <w:tcPr>
            <w:tcW w:w="36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330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320" w:type="dxa"/>
            <w:vAlign w:val="bottom"/>
          </w:tcPr>
          <w:p>
            <w:pPr>
              <w:ind w:left="20"/>
              <w:spacing w:after="0" w:line="215" w:lineRule="exact"/>
              <w:rPr>
                <w:sz w:val="20"/>
                <w:szCs w:val="20"/>
                <w:color w:val="auto"/>
              </w:rPr>
            </w:pPr>
            <w:r>
              <w:rPr>
                <w:rFonts w:ascii="Calibri" w:cs="Calibri" w:eastAsia="Calibri" w:hAnsi="Calibri"/>
                <w:sz w:val="18"/>
                <w:szCs w:val="18"/>
                <w:color w:val="auto"/>
              </w:rPr>
              <w:t>Asia Pacifc</w:t>
            </w: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273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126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399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3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32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Europe, Middle East and Africa</w:t>
            </w:r>
          </w:p>
        </w:tc>
        <w:tc>
          <w:tcPr>
            <w:tcW w:w="23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129</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71</w:t>
            </w:r>
          </w:p>
        </w:tc>
        <w:tc>
          <w:tcPr>
            <w:tcW w:w="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200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4320" w:type="dxa"/>
            <w:vAlign w:val="bottom"/>
            <w:tcBorders>
              <w:top w:val="single" w:sz="8" w:color="CFF0FC"/>
            </w:tcBorders>
          </w:tcPr>
          <w:p>
            <w:pPr>
              <w:ind w:left="20"/>
              <w:spacing w:after="0" w:line="208" w:lineRule="exact"/>
              <w:rPr>
                <w:sz w:val="20"/>
                <w:szCs w:val="20"/>
                <w:color w:val="auto"/>
              </w:rPr>
            </w:pPr>
            <w:r>
              <w:rPr>
                <w:rFonts w:ascii="Calibri" w:cs="Calibri" w:eastAsia="Calibri" w:hAnsi="Calibri"/>
                <w:sz w:val="18"/>
                <w:szCs w:val="18"/>
                <w:color w:val="auto"/>
              </w:rPr>
              <w:t>Segment revenues from external customers</w:t>
            </w:r>
          </w:p>
        </w:tc>
        <w:tc>
          <w:tcPr>
            <w:tcW w:w="232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643</w:t>
            </w:r>
          </w:p>
        </w:tc>
        <w:tc>
          <w:tcPr>
            <w:tcW w:w="28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286</w:t>
            </w:r>
          </w:p>
        </w:tc>
        <w:tc>
          <w:tcPr>
            <w:tcW w:w="26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929</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3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32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Unallocated and other</w:t>
            </w:r>
          </w:p>
        </w:tc>
        <w:tc>
          <w:tcPr>
            <w:tcW w:w="23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320" w:type="dxa"/>
            <w:vAlign w:val="bottom"/>
            <w:tcBorders>
              <w:top w:val="single" w:sz="8" w:color="CFF0FC"/>
            </w:tcBorders>
          </w:tcPr>
          <w:p>
            <w:pPr>
              <w:ind w:left="20"/>
              <w:spacing w:after="0"/>
              <w:rPr>
                <w:sz w:val="20"/>
                <w:szCs w:val="20"/>
                <w:color w:val="auto"/>
              </w:rPr>
            </w:pPr>
            <w:r>
              <w:rPr>
                <w:rFonts w:ascii="Calibri" w:cs="Calibri" w:eastAsia="Calibri" w:hAnsi="Calibri"/>
                <w:sz w:val="18"/>
                <w:szCs w:val="18"/>
                <w:color w:val="auto"/>
              </w:rPr>
              <w:t>Net sales and other operatng revenues</w:t>
            </w:r>
          </w:p>
        </w:tc>
        <w:tc>
          <w:tcPr>
            <w:tcW w:w="232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1180" w:type="dxa"/>
            <w:vAlign w:val="bottom"/>
            <w:tcBorders>
              <w:top w:val="single" w:sz="8" w:color="CFF0FC"/>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1120" w:type="dxa"/>
            <w:vAlign w:val="bottom"/>
            <w:tcBorders>
              <w:top w:val="single" w:sz="8" w:color="CFF0FC"/>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22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965</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320" w:type="dxa"/>
            <w:vAlign w:val="bottom"/>
            <w:vMerge w:val="restart"/>
          </w:tcPr>
          <w:p>
            <w:pPr>
              <w:jc w:val="right"/>
              <w:ind w:right="83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432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432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-2973705</wp:posOffset>
            </wp:positionV>
            <wp:extent cx="7683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-2973705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-2973705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-2656840</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-1319530</wp:posOffset>
            </wp:positionV>
            <wp:extent cx="7683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-1319530</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-1319530</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-1002030</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8" w:name="page19"/>
    <w:bookmarkEnd w:id="18"/>
    <w:p>
      <w:pPr>
        <w:spacing w:after="0"/>
        <w:rPr>
          <w:sz w:val="20"/>
          <w:szCs w:val="20"/>
          <w:color w:val="auto"/>
        </w:rPr>
      </w:pPr>
      <w:r>
        <w:rPr>
          <w:rFonts w:ascii="Calibri" w:cs="Calibri" w:eastAsia="Calibri" w:hAnsi="Calibri"/>
          <w:sz w:val="18"/>
          <w:szCs w:val="18"/>
          <w:b w:val="1"/>
          <w:bCs w:val="1"/>
          <w:i w:val="1"/>
          <w:iCs w:val="1"/>
          <w:color w:val="auto"/>
        </w:rPr>
        <w:t>Item 2.  Management’s Discussion and Analysis of Financial Conditon and Results of Operatons</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Recently Issued Accountng Pronouncements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Refer to the discussion under the heading “Recent Accountng Pronouncements” in Note B of our Notes to the Consolidated Financial Statements.</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Results of Operatons</w:t>
      </w:r>
    </w:p>
    <w:p>
      <w:pPr>
        <w:spacing w:after="0" w:line="82" w:lineRule="exact"/>
        <w:rPr>
          <w:sz w:val="20"/>
          <w:szCs w:val="20"/>
          <w:color w:val="auto"/>
        </w:rPr>
      </w:pPr>
    </w:p>
    <w:p>
      <w:pPr>
        <w:ind w:right="240" w:firstLine="509"/>
        <w:spacing w:after="0" w:line="235" w:lineRule="auto"/>
        <w:rPr>
          <w:sz w:val="20"/>
          <w:szCs w:val="20"/>
          <w:color w:val="auto"/>
        </w:rPr>
      </w:pPr>
      <w:r>
        <w:rPr>
          <w:rFonts w:ascii="Calibri" w:cs="Calibri" w:eastAsia="Calibri" w:hAnsi="Calibri"/>
          <w:sz w:val="18"/>
          <w:szCs w:val="18"/>
          <w:color w:val="auto"/>
        </w:rPr>
        <w:t>The Company has two reportable segments: Reinforcement Materials and Performance Chemicals. Cabot is also organized for operatonal purposes into three geographic regions: the Americas; Europe, Middle East and Africa (“EMEA”); and Asia Pacifc. The discussion of our results of operatons for the periods presented refects these structures.</w:t>
      </w:r>
    </w:p>
    <w:p>
      <w:pPr>
        <w:spacing w:after="0" w:line="79"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Our analysis of our fnancial conditon and operatng results should be read with our consolidated fnancial statements and accompanying notes.</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Defniton of Terms and Non-GAAP Financial Measures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When discussing our results of operatons, we use several terms as described below.</w:t>
      </w:r>
    </w:p>
    <w:p>
      <w:pPr>
        <w:spacing w:after="0" w:line="82" w:lineRule="exact"/>
        <w:rPr>
          <w:sz w:val="20"/>
          <w:szCs w:val="20"/>
          <w:color w:val="auto"/>
        </w:rPr>
      </w:pPr>
    </w:p>
    <w:p>
      <w:pPr>
        <w:ind w:right="440" w:firstLine="509"/>
        <w:spacing w:after="0" w:line="235" w:lineRule="auto"/>
        <w:rPr>
          <w:sz w:val="20"/>
          <w:szCs w:val="20"/>
          <w:color w:val="auto"/>
        </w:rPr>
      </w:pPr>
      <w:r>
        <w:rPr>
          <w:rFonts w:ascii="Calibri" w:cs="Calibri" w:eastAsia="Calibri" w:hAnsi="Calibri"/>
          <w:sz w:val="18"/>
          <w:szCs w:val="18"/>
          <w:color w:val="auto"/>
        </w:rPr>
        <w:t>The term “product mix” refers to the mix of types and grades of products sold or the mix of geographic regions where products are sold, and the positve or negatve impact this has on the revenue or proftability of the business and/or segment.</w:t>
      </w:r>
    </w:p>
    <w:p>
      <w:pPr>
        <w:spacing w:after="0" w:line="83"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Our discussion under the heading “(Provision) Beneft for Income Taxes and Reconciliaton of Efectve Tax Rate to Operatng Tax Rate” includes a discussion and reconciliaton of our “efectve tax rate” and our “operatng tax rate” for the periods presented, as well as management’s projecton of our operatng tax rate range for the next fscal year. Our operatng tax rate is a non-GAAP fnancial measure and should not be considered as an alternatve to our efectve tax rate, the most comparable GAAP fnancial measure. The operatng tax rate is calculated based upon management's forecast of the annual operatng tax rate for the fscal year applied to adjusted pre-tax earnings. The operatng tax rate excludes income tax (expense) beneft on certain items, discrete tax items, and, on a quarterly basis, the tming of losses in certain jurisdictons. The income tax (expense) beneft on certain items is determined using the applicable rates in the taxing jurisdictons in which the certain items occurred and includes both current and deferred income tax (expense) beneft based on the nature of the certain items. Discrete tax items include, but are not limited to, changes in valuaton allowance, uncertain tax positons, and other tax items, such as the tax impact of legislatve changes and tax accruals on historic earnings due to changes in indefnite reinvestment assertons. Our defniton of the operatng tax rate may not be comparable to the defniton used by other companies. Management believes that this non-GAAP fnancial measure is useful supplemental informaton because it helps our investors compare our tax rate year to year on a consistent basis and to understand what our tax rate on current operatons would be without the impact of these items.</w:t>
      </w:r>
    </w:p>
    <w:p>
      <w:pPr>
        <w:spacing w:after="0" w:line="91"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Our discussion under the heading “First Quarter of Fiscal 2024 versus First Quarter of Fiscal 2023—By Business Segment” includes a discussion of Total segment EBIT, which is a non-GAAP fnancial measure defned as Income (loss) from operatons before income taxes and equity in earnings from afliated companies less certain items and other unallocated items. Our Chief Operatng Decision Maker, who is our President and Chief Executve Ofcer, uses segment EBIT to evaluate the operatng results of each segment and to allocate resources to the segments. We believe Total segment EBIT, which refects the sum of EBIT from our reportable segments, provides useful supplemental informaton for our investors as it is an important indicator of our operatonal strength and performance, allows investors to see our results through the eyes of management, and provides context for our discussion of individual business segment performance. Total segment EBIT should not be considered an alternatve for Income (loss) from operatons before income taxes and equity in earnings of afliated companies, which is the most directly comparable U.S. GAAP fnancial measure. A reconciliaton of Total segment EBIT to Income (loss) from operatons before income taxes and equity in earnings of afliated companies is provided under the heading “First quarter of Fiscal 2024 versus First quarter of Fiscal 2023—By Business Segment”. Investors should consider the limitatons associated with this non-GAAP measure, including the potental lack of comparability of this measure from one company to another.</w:t>
      </w:r>
    </w:p>
    <w:p>
      <w:pPr>
        <w:spacing w:after="0" w:line="90"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In calculatng Total segment EBIT, we exclude from our Income (loss) from operatons before income taxes and equity in earnings of afliated companies (i) items of expense and income that management does not consider representatve of our fundamental on-going segment results, which we refer to as “certain items”, and (ii) items that, because they are not controlled by the business segments and primarily beneft corporate objectves, are not allocated to our business segments, such as interest expense and other corporate costs, which include unallocated corporate overhead expenses such as certain corporate salaries and headquarter expenses, plus costs related to special projects and initatves, which we refer to as “other unallocated items”. Management believes excluding the items identfed as certain items facilitates operatng performance comparisons from period to period by eliminatng diferences that would not otherwise be apparent on a GAAP basis and also facilitates an evaluaton of our operatng performance without the impact of these costs or benefts. The items of income and expense that we have excluded from</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415925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19" w:name="page20"/>
    <w:bookmarkEnd w:id="19"/>
    <w:p>
      <w:pPr>
        <w:ind w:right="280"/>
        <w:spacing w:after="0" w:line="235" w:lineRule="auto"/>
        <w:rPr>
          <w:sz w:val="20"/>
          <w:szCs w:val="20"/>
          <w:color w:val="auto"/>
        </w:rPr>
      </w:pPr>
      <w:r>
        <w:rPr>
          <w:rFonts w:ascii="Calibri" w:cs="Calibri" w:eastAsia="Calibri" w:hAnsi="Calibri"/>
          <w:sz w:val="18"/>
          <w:szCs w:val="18"/>
          <w:color w:val="auto"/>
        </w:rPr>
        <w:t>Total segment EBIT, as applicable, but that are included in our GAAP Income (loss) from operatons before income taxes and equity in earnings of afliated companies, as applicable, are described below.</w:t>
      </w:r>
    </w:p>
    <w:p>
      <w:pPr>
        <w:spacing w:after="0" w:line="96" w:lineRule="exact"/>
        <w:rPr>
          <w:sz w:val="20"/>
          <w:szCs w:val="20"/>
          <w:color w:val="auto"/>
        </w:rPr>
      </w:pPr>
    </w:p>
    <w:p>
      <w:pPr>
        <w:ind w:left="1020" w:hanging="503"/>
        <w:spacing w:after="0" w:line="235" w:lineRule="auto"/>
        <w:tabs>
          <w:tab w:leader="none" w:pos="102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18"/>
          <w:szCs w:val="18"/>
          <w:color w:val="auto"/>
        </w:rPr>
        <w:t>Asset impairment charges, which primarily include charges associated with an impairment of goodwill, other long-lived assets or assets held for sale.</w:t>
      </w:r>
    </w:p>
    <w:p>
      <w:pPr>
        <w:spacing w:after="0" w:line="96" w:lineRule="exact"/>
        <w:rPr>
          <w:rFonts w:ascii="Times New Roman" w:cs="Times New Roman" w:eastAsia="Times New Roman" w:hAnsi="Times New Roman"/>
          <w:sz w:val="18"/>
          <w:szCs w:val="18"/>
          <w:color w:val="auto"/>
        </w:rPr>
      </w:pPr>
    </w:p>
    <w:p>
      <w:pPr>
        <w:ind w:left="1020" w:right="120" w:hanging="503"/>
        <w:spacing w:after="0" w:line="235" w:lineRule="auto"/>
        <w:tabs>
          <w:tab w:leader="none" w:pos="102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18"/>
          <w:szCs w:val="18"/>
          <w:color w:val="auto"/>
        </w:rPr>
        <w:t>Charges related to the divestture of our Purifcaton Solutons business, which include accelerated costs associated with the change in control and employee incentve compensaton.</w:t>
      </w:r>
    </w:p>
    <w:p>
      <w:pPr>
        <w:spacing w:after="0" w:line="9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18"/>
          <w:szCs w:val="18"/>
          <w:color w:val="auto"/>
        </w:rPr>
        <w:t>Beneft from the setlement of a royalty arrangement entered into in connecton with the divestture of our former Specialty Fluids business.</w:t>
      </w:r>
    </w:p>
    <w:p>
      <w:pPr>
        <w:spacing w:after="0" w:line="95" w:lineRule="exact"/>
        <w:rPr>
          <w:rFonts w:ascii="Times New Roman" w:cs="Times New Roman" w:eastAsia="Times New Roman" w:hAnsi="Times New Roman"/>
          <w:sz w:val="18"/>
          <w:szCs w:val="18"/>
          <w:color w:val="auto"/>
        </w:rPr>
      </w:pPr>
    </w:p>
    <w:p>
      <w:pPr>
        <w:ind w:left="1020" w:right="160" w:hanging="503"/>
        <w:spacing w:after="0" w:line="235" w:lineRule="auto"/>
        <w:tabs>
          <w:tab w:leader="none" w:pos="102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18"/>
          <w:szCs w:val="18"/>
          <w:color w:val="auto"/>
        </w:rPr>
        <w:t>Legal and environmental reserves and maters, which consist of costs or benefts for maters typically related to former businesses or that are otherwise incurred outside of the ordinary course of business.</w:t>
      </w:r>
    </w:p>
    <w:p>
      <w:pPr>
        <w:spacing w:after="0" w:line="96" w:lineRule="exact"/>
        <w:rPr>
          <w:rFonts w:ascii="Times New Roman" w:cs="Times New Roman" w:eastAsia="Times New Roman" w:hAnsi="Times New Roman"/>
          <w:sz w:val="18"/>
          <w:szCs w:val="18"/>
          <w:color w:val="auto"/>
        </w:rPr>
      </w:pPr>
    </w:p>
    <w:p>
      <w:pPr>
        <w:ind w:left="1020" w:right="420" w:hanging="503"/>
        <w:spacing w:after="0" w:line="235" w:lineRule="auto"/>
        <w:tabs>
          <w:tab w:leader="none" w:pos="102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18"/>
          <w:szCs w:val="18"/>
          <w:color w:val="auto"/>
        </w:rPr>
        <w:t>Global restructuring actvites, which include costs or benefts associated with cost reducton initatves or plant closures and are primarily related to (i) employee terminaton costs, (ii) asset impairment charges associated with restructuring actons, (iii) costs to close facilites, including environmental costs and contract terminaton penaltes, and (iv) gains realized on the sale of land or equipment associated with restructured plants or locatons.</w:t>
      </w:r>
    </w:p>
    <w:p>
      <w:pPr>
        <w:spacing w:after="0" w:line="97" w:lineRule="exact"/>
        <w:rPr>
          <w:rFonts w:ascii="Times New Roman" w:cs="Times New Roman" w:eastAsia="Times New Roman" w:hAnsi="Times New Roman"/>
          <w:sz w:val="18"/>
          <w:szCs w:val="18"/>
          <w:color w:val="auto"/>
        </w:rPr>
      </w:pPr>
    </w:p>
    <w:p>
      <w:pPr>
        <w:ind w:left="1020" w:right="320" w:hanging="503"/>
        <w:spacing w:after="0" w:line="235" w:lineRule="auto"/>
        <w:tabs>
          <w:tab w:leader="none" w:pos="102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18"/>
          <w:szCs w:val="18"/>
          <w:color w:val="auto"/>
        </w:rPr>
        <w:t>Acquisiton and integraton-related charges, which include transacton costs, redundant costs incurred during the period of integraton, and costs associated with transitoning certain management and business processes to Cabot’s processes.</w:t>
      </w:r>
    </w:p>
    <w:p>
      <w:pPr>
        <w:spacing w:after="0" w:line="9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18"/>
          <w:szCs w:val="18"/>
          <w:color w:val="auto"/>
        </w:rPr>
        <w:t>Gains (losses) on sale of a business.</w:t>
      </w:r>
    </w:p>
    <w:p>
      <w:pPr>
        <w:spacing w:after="0" w:line="95" w:lineRule="exact"/>
        <w:rPr>
          <w:rFonts w:ascii="Times New Roman" w:cs="Times New Roman" w:eastAsia="Times New Roman" w:hAnsi="Times New Roman"/>
          <w:sz w:val="18"/>
          <w:szCs w:val="18"/>
          <w:color w:val="auto"/>
        </w:rPr>
      </w:pPr>
    </w:p>
    <w:p>
      <w:pPr>
        <w:ind w:left="1020" w:hanging="503"/>
        <w:spacing w:after="0" w:line="235" w:lineRule="auto"/>
        <w:tabs>
          <w:tab w:leader="none" w:pos="102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18"/>
          <w:szCs w:val="18"/>
          <w:color w:val="auto"/>
        </w:rPr>
        <w:t>Employee beneft plan setlements, which consist of either charges or benefts associated with the terminaton of a pension plan or the transfer of a pension plan to a mult-employer plan.</w:t>
      </w:r>
    </w:p>
    <w:p>
      <w:pPr>
        <w:spacing w:after="0" w:line="9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18"/>
          <w:szCs w:val="18"/>
          <w:color w:val="auto"/>
        </w:rPr>
        <w:t>Gain associated with the bargain purchase of a business.</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18"/>
          <w:szCs w:val="18"/>
          <w:color w:val="auto"/>
        </w:rPr>
        <w:t>Gain realized on the sale of land.</w:t>
      </w:r>
    </w:p>
    <w:p>
      <w:pPr>
        <w:spacing w:after="0" w:line="95" w:lineRule="exact"/>
        <w:rPr>
          <w:rFonts w:ascii="Times New Roman" w:cs="Times New Roman" w:eastAsia="Times New Roman" w:hAnsi="Times New Roman"/>
          <w:sz w:val="18"/>
          <w:szCs w:val="18"/>
          <w:color w:val="auto"/>
        </w:rPr>
      </w:pPr>
    </w:p>
    <w:p>
      <w:pPr>
        <w:ind w:left="1020" w:right="140" w:hanging="503"/>
        <w:spacing w:after="0" w:line="235" w:lineRule="auto"/>
        <w:tabs>
          <w:tab w:leader="none" w:pos="102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18"/>
          <w:szCs w:val="18"/>
          <w:color w:val="auto"/>
        </w:rPr>
        <w:t>Argentna controlled currency devaluaton loss related to the foreign exchange loss from government-controlled currency devaluatons on our net monetary assets denominated in the Argentne peso.</w:t>
      </w:r>
    </w:p>
    <w:p>
      <w:pPr>
        <w:spacing w:after="0" w:line="7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Overview</w:t>
      </w:r>
    </w:p>
    <w:p>
      <w:pPr>
        <w:spacing w:after="0" w:line="82" w:lineRule="exact"/>
        <w:rPr>
          <w:sz w:val="20"/>
          <w:szCs w:val="20"/>
          <w:color w:val="auto"/>
        </w:rPr>
      </w:pPr>
    </w:p>
    <w:p>
      <w:pPr>
        <w:ind w:right="40" w:firstLine="494"/>
        <w:spacing w:after="0" w:line="235" w:lineRule="auto"/>
        <w:rPr>
          <w:sz w:val="20"/>
          <w:szCs w:val="20"/>
          <w:color w:val="auto"/>
        </w:rPr>
      </w:pPr>
      <w:r>
        <w:rPr>
          <w:rFonts w:ascii="Calibri" w:cs="Calibri" w:eastAsia="Calibri" w:hAnsi="Calibri"/>
          <w:sz w:val="18"/>
          <w:szCs w:val="18"/>
          <w:color w:val="auto"/>
        </w:rPr>
        <w:t>During the frst quarter of fscal 2024, Income (loss) before income taxes and equity in earnings of afliated companies increased compared to the frst quarter of fscal 2023. The increase was driven by higher earnings in our Reinforcement Materials and Performance Chemicals segments and increased investment income in Argentna partally ofset by foreign exchange losses primarily in Argentna.</w:t>
      </w:r>
    </w:p>
    <w:p>
      <w:pPr>
        <w:spacing w:after="0" w:line="7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First quarter of Fiscal 2024 versus First quarter of Fiscal 2023—Consolidated</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i w:val="1"/>
          <w:iCs w:val="1"/>
          <w:color w:val="auto"/>
        </w:rPr>
        <w:t>Net Sales and Other Operatng Revenues and Gross Proft</w:t>
      </w:r>
    </w:p>
    <w:p>
      <w:pPr>
        <w:spacing w:after="0" w:line="1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120" w:type="dxa"/>
            <w:vAlign w:val="bottom"/>
            <w:gridSpan w:val="5"/>
          </w:tcPr>
          <w:p>
            <w:pPr>
              <w:ind w:left="280"/>
              <w:spacing w:after="0"/>
              <w:rPr>
                <w:sz w:val="20"/>
                <w:szCs w:val="20"/>
                <w:color w:val="auto"/>
              </w:rPr>
            </w:pPr>
            <w:r>
              <w:rPr>
                <w:rFonts w:ascii="Calibri" w:cs="Calibri" w:eastAsia="Calibri" w:hAnsi="Calibri"/>
                <w:sz w:val="14"/>
                <w:szCs w:val="14"/>
                <w:b w:val="1"/>
                <w:bCs w:val="1"/>
                <w:color w:val="auto"/>
              </w:rPr>
              <w:t>Three Months Ended December 31</w:t>
            </w:r>
          </w:p>
        </w:tc>
      </w:tr>
      <w:tr>
        <w:trPr>
          <w:trHeight w:val="33"/>
        </w:trPr>
        <w:tc>
          <w:tcPr>
            <w:tcW w:w="54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3"/>
        </w:trPr>
        <w:tc>
          <w:tcPr>
            <w:tcW w:w="5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ind w:right="561"/>
              <w:spacing w:after="0" w:line="164" w:lineRule="exact"/>
              <w:rPr>
                <w:sz w:val="20"/>
                <w:szCs w:val="20"/>
                <w:color w:val="auto"/>
              </w:rPr>
            </w:pPr>
            <w:r>
              <w:rPr>
                <w:rFonts w:ascii="Calibri" w:cs="Calibri" w:eastAsia="Calibri" w:hAnsi="Calibri"/>
                <w:sz w:val="14"/>
                <w:szCs w:val="14"/>
                <w:b w:val="1"/>
                <w:bCs w:val="1"/>
                <w:color w:val="auto"/>
              </w:rPr>
              <w:t>2023</w:t>
            </w: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jc w:val="right"/>
              <w:ind w:right="556"/>
              <w:spacing w:after="0" w:line="164" w:lineRule="exact"/>
              <w:rPr>
                <w:sz w:val="20"/>
                <w:szCs w:val="20"/>
                <w:color w:val="auto"/>
              </w:rPr>
            </w:pPr>
            <w:r>
              <w:rPr>
                <w:rFonts w:ascii="Calibri" w:cs="Calibri" w:eastAsia="Calibri" w:hAnsi="Calibri"/>
                <w:sz w:val="14"/>
                <w:szCs w:val="14"/>
                <w:b w:val="1"/>
                <w:bCs w:val="1"/>
                <w:color w:val="auto"/>
              </w:rPr>
              <w:t>2022</w:t>
            </w:r>
          </w:p>
        </w:tc>
        <w:tc>
          <w:tcPr>
            <w:tcW w:w="80" w:type="dxa"/>
            <w:vAlign w:val="bottom"/>
          </w:tcPr>
          <w:p>
            <w:pPr>
              <w:spacing w:after="0"/>
              <w:rPr>
                <w:sz w:val="14"/>
                <w:szCs w:val="14"/>
                <w:color w:val="auto"/>
              </w:rPr>
            </w:pPr>
          </w:p>
        </w:tc>
      </w:tr>
      <w:tr>
        <w:trPr>
          <w:trHeight w:val="33"/>
        </w:trPr>
        <w:tc>
          <w:tcPr>
            <w:tcW w:w="54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3"/>
        </w:trPr>
        <w:tc>
          <w:tcPr>
            <w:tcW w:w="5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center"/>
              <w:ind w:left="841"/>
              <w:spacing w:after="0" w:line="164" w:lineRule="exact"/>
              <w:rPr>
                <w:sz w:val="20"/>
                <w:szCs w:val="20"/>
                <w:color w:val="auto"/>
              </w:rPr>
            </w:pPr>
            <w:r>
              <w:rPr>
                <w:rFonts w:ascii="Calibri" w:cs="Calibri" w:eastAsia="Calibri" w:hAnsi="Calibri"/>
                <w:sz w:val="14"/>
                <w:szCs w:val="14"/>
                <w:b w:val="1"/>
                <w:bCs w:val="1"/>
                <w:color w:val="auto"/>
              </w:rPr>
              <w:t>(In</w:t>
            </w:r>
          </w:p>
        </w:tc>
        <w:tc>
          <w:tcPr>
            <w:tcW w:w="700" w:type="dxa"/>
            <w:vAlign w:val="bottom"/>
            <w:gridSpan w:val="2"/>
          </w:tcPr>
          <w:p>
            <w:pPr>
              <w:jc w:val="right"/>
              <w:ind w:right="220"/>
              <w:spacing w:after="0" w:line="164" w:lineRule="exact"/>
              <w:rPr>
                <w:sz w:val="20"/>
                <w:szCs w:val="20"/>
                <w:color w:val="auto"/>
              </w:rPr>
            </w:pPr>
            <w:r>
              <w:rPr>
                <w:rFonts w:ascii="Calibri" w:cs="Calibri" w:eastAsia="Calibri" w:hAnsi="Calibri"/>
                <w:sz w:val="14"/>
                <w:szCs w:val="14"/>
                <w:b w:val="1"/>
                <w:bCs w:val="1"/>
                <w:color w:val="auto"/>
                <w:w w:val="91"/>
              </w:rPr>
              <w:t>millions)</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3"/>
        </w:trPr>
        <w:tc>
          <w:tcPr>
            <w:tcW w:w="5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548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Net sales and other operatng revenues</w:t>
            </w:r>
          </w:p>
        </w:tc>
        <w:tc>
          <w:tcPr>
            <w:tcW w:w="380" w:type="dxa"/>
            <w:vAlign w:val="bottom"/>
            <w:tcBorders>
              <w:bottom w:val="single" w:sz="8" w:color="CFF0FC"/>
            </w:tcBorders>
            <w:shd w:val="clear" w:color="auto" w:fill="CFF0FC"/>
          </w:tcPr>
          <w:p>
            <w:pPr>
              <w:jc w:val="right"/>
              <w:ind w:right="190"/>
              <w:spacing w:after="0" w:line="215" w:lineRule="exact"/>
              <w:rPr>
                <w:sz w:val="20"/>
                <w:szCs w:val="20"/>
                <w:color w:val="auto"/>
              </w:rPr>
            </w:pPr>
            <w:r>
              <w:rPr>
                <w:rFonts w:ascii="Calibri" w:cs="Calibri" w:eastAsia="Calibri" w:hAnsi="Calibri"/>
                <w:sz w:val="18"/>
                <w:szCs w:val="18"/>
                <w:color w:val="auto"/>
                <w:w w:val="87"/>
              </w:rPr>
              <w:t>$</w:t>
            </w:r>
          </w:p>
        </w:tc>
        <w:tc>
          <w:tcPr>
            <w:tcW w:w="1200" w:type="dxa"/>
            <w:vAlign w:val="bottom"/>
            <w:tcBorders>
              <w:bottom w:val="single" w:sz="8" w:color="CFF0FC"/>
            </w:tcBorders>
            <w:shd w:val="clear" w:color="auto" w:fill="CFF0FC"/>
          </w:tcPr>
          <w:p>
            <w:pPr>
              <w:jc w:val="center"/>
              <w:ind w:left="821"/>
              <w:spacing w:after="0" w:line="215" w:lineRule="exact"/>
              <w:rPr>
                <w:sz w:val="20"/>
                <w:szCs w:val="20"/>
                <w:color w:val="auto"/>
              </w:rPr>
            </w:pPr>
            <w:r>
              <w:rPr>
                <w:rFonts w:ascii="Calibri" w:cs="Calibri" w:eastAsia="Calibri" w:hAnsi="Calibri"/>
                <w:sz w:val="18"/>
                <w:szCs w:val="18"/>
                <w:color w:val="auto"/>
                <w:w w:val="94"/>
              </w:rPr>
              <w:t>958</w:t>
            </w:r>
          </w:p>
        </w:tc>
        <w:tc>
          <w:tcPr>
            <w:tcW w:w="700" w:type="dxa"/>
            <w:vAlign w:val="bottom"/>
            <w:tcBorders>
              <w:bottom w:val="single" w:sz="8" w:color="CFF0FC"/>
            </w:tcBorders>
            <w:gridSpan w:val="2"/>
            <w:shd w:val="clear" w:color="auto" w:fill="CFF0FC"/>
          </w:tcPr>
          <w:p>
            <w:pPr>
              <w:jc w:val="right"/>
              <w:ind w:right="32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965</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15"/>
        </w:trPr>
        <w:tc>
          <w:tcPr>
            <w:tcW w:w="5480" w:type="dxa"/>
            <w:vAlign w:val="bottom"/>
          </w:tcPr>
          <w:p>
            <w:pPr>
              <w:spacing w:after="0" w:line="215" w:lineRule="exact"/>
              <w:rPr>
                <w:sz w:val="20"/>
                <w:szCs w:val="20"/>
                <w:color w:val="auto"/>
              </w:rPr>
            </w:pPr>
            <w:r>
              <w:rPr>
                <w:rFonts w:ascii="Calibri" w:cs="Calibri" w:eastAsia="Calibri" w:hAnsi="Calibri"/>
                <w:sz w:val="18"/>
                <w:szCs w:val="18"/>
                <w:color w:val="auto"/>
              </w:rPr>
              <w:t>Gross proft</w:t>
            </w:r>
          </w:p>
        </w:tc>
        <w:tc>
          <w:tcPr>
            <w:tcW w:w="38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w w:val="87"/>
              </w:rPr>
              <w:t>$</w:t>
            </w:r>
          </w:p>
        </w:tc>
        <w:tc>
          <w:tcPr>
            <w:tcW w:w="1200" w:type="dxa"/>
            <w:vAlign w:val="bottom"/>
          </w:tcPr>
          <w:p>
            <w:pPr>
              <w:jc w:val="center"/>
              <w:ind w:left="821"/>
              <w:spacing w:after="0" w:line="215" w:lineRule="exact"/>
              <w:rPr>
                <w:sz w:val="20"/>
                <w:szCs w:val="20"/>
                <w:color w:val="auto"/>
              </w:rPr>
            </w:pPr>
            <w:r>
              <w:rPr>
                <w:rFonts w:ascii="Calibri" w:cs="Calibri" w:eastAsia="Calibri" w:hAnsi="Calibri"/>
                <w:sz w:val="18"/>
                <w:szCs w:val="18"/>
                <w:color w:val="auto"/>
                <w:w w:val="94"/>
              </w:rPr>
              <w:t>218</w:t>
            </w:r>
          </w:p>
        </w:tc>
        <w:tc>
          <w:tcPr>
            <w:tcW w:w="700" w:type="dxa"/>
            <w:vAlign w:val="bottom"/>
            <w:gridSpan w:val="2"/>
          </w:tcPr>
          <w:p>
            <w:pPr>
              <w:jc w:val="right"/>
              <w:ind w:right="32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181</w:t>
            </w:r>
          </w:p>
        </w:tc>
        <w:tc>
          <w:tcPr>
            <w:tcW w:w="80" w:type="dxa"/>
            <w:vAlign w:val="bottom"/>
          </w:tcPr>
          <w:p>
            <w:pPr>
              <w:spacing w:after="0"/>
              <w:rPr>
                <w:sz w:val="18"/>
                <w:szCs w:val="18"/>
                <w:color w:val="auto"/>
              </w:rPr>
            </w:pPr>
          </w:p>
        </w:tc>
      </w:tr>
    </w:tbl>
    <w:p>
      <w:pPr>
        <w:spacing w:after="0" w:line="195"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The $7 million decrease in Net sales and other operatng revenues in the frst quarter of fscal 2024 compared to the frst quarter of fscal 2023 was driven by unfavorable price and product mix (combined $48 million) across our Reinforcement Materials and Performance Chemicals segments driven by the pass through of lower raw material costs, partally ofset by higher volumes ($35 million).</w:t>
      </w:r>
    </w:p>
    <w:p>
      <w:pPr>
        <w:spacing w:after="0" w:line="84"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Gross proft increased by $37 million in the frst quarter of fscal 2024 compared to the frst quarter of fscal 2023. The increase was primarily due to higher volumes and higher unit margins within the Reinforcement Materials and Performance Chemicals segments.</w:t>
      </w:r>
    </w:p>
    <w:p>
      <w:pPr>
        <w:spacing w:after="0" w:line="78" w:lineRule="exact"/>
        <w:rPr>
          <w:sz w:val="20"/>
          <w:szCs w:val="20"/>
          <w:color w:val="auto"/>
        </w:rPr>
      </w:pPr>
    </w:p>
    <w:p>
      <w:pPr>
        <w:ind w:left="480"/>
        <w:spacing w:after="0"/>
        <w:rPr>
          <w:sz w:val="20"/>
          <w:szCs w:val="20"/>
          <w:color w:val="auto"/>
        </w:rPr>
      </w:pPr>
      <w:r>
        <w:rPr>
          <w:rFonts w:ascii="Calibri" w:cs="Calibri" w:eastAsia="Calibri" w:hAnsi="Calibri"/>
          <w:sz w:val="18"/>
          <w:szCs w:val="18"/>
          <w:i w:val="1"/>
          <w:iCs w:val="1"/>
          <w:color w:val="auto"/>
        </w:rPr>
        <w:t>Selling and Administratve Expenses</w:t>
      </w:r>
    </w:p>
    <w:p>
      <w:pPr>
        <w:spacing w:after="0" w:line="130" w:lineRule="exact"/>
        <w:rPr>
          <w:sz w:val="20"/>
          <w:szCs w:val="20"/>
          <w:color w:val="auto"/>
        </w:rPr>
      </w:pPr>
    </w:p>
    <w:p>
      <w:pPr>
        <w:ind w:left="7280"/>
        <w:spacing w:after="0"/>
        <w:rPr>
          <w:sz w:val="20"/>
          <w:szCs w:val="20"/>
          <w:color w:val="auto"/>
        </w:rPr>
      </w:pPr>
      <w:r>
        <w:rPr>
          <w:rFonts w:ascii="Calibri" w:cs="Calibri" w:eastAsia="Calibri" w:hAnsi="Calibri"/>
          <w:sz w:val="14"/>
          <w:szCs w:val="14"/>
          <w:b w:val="1"/>
          <w:bCs w:val="1"/>
          <w:color w:val="auto"/>
        </w:rPr>
        <w:t>Three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20955</wp:posOffset>
            </wp:positionV>
            <wp:extent cx="216852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spacing w:after="0" w:line="25" w:lineRule="exact"/>
        <w:rPr>
          <w:sz w:val="20"/>
          <w:szCs w:val="20"/>
          <w:color w:val="auto"/>
        </w:rPr>
      </w:pPr>
    </w:p>
    <w:p>
      <w:pPr>
        <w:ind w:left="7260"/>
        <w:spacing w:after="0"/>
        <w:tabs>
          <w:tab w:leader="none" w:pos="9080" w:val="left"/>
        </w:tabs>
        <w:rPr>
          <w:sz w:val="20"/>
          <w:szCs w:val="20"/>
          <w:color w:val="auto"/>
        </w:rPr>
      </w:pPr>
      <w:r>
        <w:rPr>
          <w:rFonts w:ascii="Calibri" w:cs="Calibri" w:eastAsia="Calibri" w:hAnsi="Calibri"/>
          <w:sz w:val="14"/>
          <w:szCs w:val="14"/>
          <w:b w:val="1"/>
          <w:bCs w:val="1"/>
          <w:color w:val="auto"/>
        </w:rPr>
        <w:t>2023</w:t>
      </w:r>
      <w:r>
        <w:rPr>
          <w:sz w:val="20"/>
          <w:szCs w:val="20"/>
          <w:color w:val="auto"/>
        </w:rPr>
        <w:tab/>
      </w:r>
      <w:r>
        <w:rPr>
          <w:rFonts w:ascii="Calibri" w:cs="Calibri" w:eastAsia="Calibri" w:hAnsi="Calibri"/>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20955</wp:posOffset>
            </wp:positionV>
            <wp:extent cx="216852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spacing w:after="0" w:line="25" w:lineRule="exact"/>
        <w:rPr>
          <w:sz w:val="20"/>
          <w:szCs w:val="20"/>
          <w:color w:val="auto"/>
        </w:rPr>
      </w:pPr>
    </w:p>
    <w:p>
      <w:pPr>
        <w:ind w:left="7980"/>
        <w:spacing w:after="0"/>
        <w:rPr>
          <w:sz w:val="20"/>
          <w:szCs w:val="20"/>
          <w:color w:val="auto"/>
        </w:rPr>
      </w:pPr>
      <w:r>
        <w:rPr>
          <w:rFonts w:ascii="Calibri" w:cs="Calibri" w:eastAsia="Calibri" w:hAnsi="Calibri"/>
          <w:sz w:val="14"/>
          <w:szCs w:val="14"/>
          <w:b w:val="1"/>
          <w:bCs w:val="1"/>
          <w:color w:val="auto"/>
        </w:rPr>
        <w:t>(In millions)</w:t>
      </w:r>
    </w:p>
    <w:p>
      <w:pPr>
        <w:spacing w:after="0" w:line="20" w:lineRule="exact"/>
        <w:rPr>
          <w:sz w:val="20"/>
          <w:szCs w:val="20"/>
          <w:color w:val="auto"/>
        </w:rPr>
      </w:pPr>
    </w:p>
    <w:p>
      <w:pPr>
        <w:ind w:left="1140"/>
        <w:spacing w:after="0"/>
        <w:tabs>
          <w:tab w:leader="none" w:pos="6600" w:val="left"/>
          <w:tab w:leader="none" w:pos="7980" w:val="left"/>
          <w:tab w:leader="none" w:pos="8480" w:val="left"/>
          <w:tab w:leader="none" w:pos="9820" w:val="left"/>
        </w:tabs>
        <w:rPr>
          <w:sz w:val="20"/>
          <w:szCs w:val="20"/>
          <w:color w:val="auto"/>
        </w:rPr>
      </w:pPr>
      <w:r>
        <w:rPr>
          <w:rFonts w:ascii="Calibri" w:cs="Calibri" w:eastAsia="Calibri" w:hAnsi="Calibri"/>
          <w:sz w:val="18"/>
          <w:szCs w:val="18"/>
          <w:color w:val="auto"/>
        </w:rPr>
        <w:t>Selling and administratve expenses</w:t>
      </w:r>
      <w:r>
        <w:rPr>
          <w:sz w:val="20"/>
          <w:szCs w:val="20"/>
          <w:color w:val="auto"/>
        </w:rPr>
        <w:tab/>
      </w:r>
      <w:r>
        <w:rPr>
          <w:rFonts w:ascii="Calibri" w:cs="Calibri" w:eastAsia="Calibri" w:hAnsi="Calibri"/>
          <w:sz w:val="18"/>
          <w:szCs w:val="18"/>
          <w:color w:val="auto"/>
        </w:rPr>
        <w:t>$</w:t>
      </w:r>
      <w:r>
        <w:rPr>
          <w:sz w:val="20"/>
          <w:szCs w:val="20"/>
          <w:color w:val="auto"/>
        </w:rPr>
        <w:tab/>
      </w:r>
      <w:r>
        <w:rPr>
          <w:rFonts w:ascii="Calibri" w:cs="Calibri" w:eastAsia="Calibri" w:hAnsi="Calibri"/>
          <w:sz w:val="18"/>
          <w:szCs w:val="18"/>
          <w:color w:val="auto"/>
        </w:rPr>
        <w:t>67</w:t>
      </w:r>
      <w:r>
        <w:rPr>
          <w:sz w:val="20"/>
          <w:szCs w:val="20"/>
          <w:color w:val="auto"/>
        </w:rPr>
        <w:tab/>
      </w:r>
      <w:r>
        <w:rPr>
          <w:rFonts w:ascii="Calibri" w:cs="Calibri" w:eastAsia="Calibri" w:hAnsi="Calibri"/>
          <w:sz w:val="18"/>
          <w:szCs w:val="18"/>
          <w:color w:val="auto"/>
        </w:rPr>
        <w:t>$</w:t>
      </w:r>
      <w:r>
        <w:rPr>
          <w:sz w:val="20"/>
          <w:szCs w:val="20"/>
          <w:color w:val="auto"/>
        </w:rPr>
        <w:tab/>
      </w:r>
      <w:r>
        <w:rPr>
          <w:rFonts w:ascii="Calibri" w:cs="Calibri" w:eastAsia="Calibri" w:hAnsi="Calibri"/>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-130175</wp:posOffset>
            </wp:positionV>
            <wp:extent cx="5700395" cy="1543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184"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Selling and administratve expenses increased by $7 million in the frst quarter of fscal 2024 compared to the same period of fscal 2023, primarily due to an increase in the incentve compensaton expense.</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415925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sectPr>
      </w:pPr>
    </w:p>
    <w:bookmarkStart w:id="20" w:name="page21"/>
    <w:bookmarkEnd w:id="20"/>
    <w:p>
      <w:pPr>
        <w:ind w:left="480"/>
        <w:spacing w:after="0"/>
        <w:rPr>
          <w:sz w:val="20"/>
          <w:szCs w:val="20"/>
          <w:color w:val="auto"/>
        </w:rPr>
      </w:pPr>
      <w:r>
        <w:rPr>
          <w:rFonts w:ascii="Calibri" w:cs="Calibri" w:eastAsia="Calibri" w:hAnsi="Calibri"/>
          <w:sz w:val="18"/>
          <w:szCs w:val="18"/>
          <w:i w:val="1"/>
          <w:iCs w:val="1"/>
          <w:color w:val="auto"/>
        </w:rPr>
        <w:t>Research and Technical Expenses</w:t>
      </w:r>
    </w:p>
    <w:p>
      <w:pPr>
        <w:spacing w:after="0" w:line="130" w:lineRule="exact"/>
        <w:rPr>
          <w:sz w:val="20"/>
          <w:szCs w:val="20"/>
          <w:color w:val="auto"/>
        </w:rPr>
      </w:pPr>
    </w:p>
    <w:p>
      <w:pPr>
        <w:ind w:left="7280"/>
        <w:spacing w:after="0"/>
        <w:rPr>
          <w:sz w:val="20"/>
          <w:szCs w:val="20"/>
          <w:color w:val="auto"/>
        </w:rPr>
      </w:pPr>
      <w:r>
        <w:rPr>
          <w:rFonts w:ascii="Calibri" w:cs="Calibri" w:eastAsia="Calibri" w:hAnsi="Calibri"/>
          <w:sz w:val="14"/>
          <w:szCs w:val="14"/>
          <w:b w:val="1"/>
          <w:bCs w:val="1"/>
          <w:color w:val="auto"/>
        </w:rPr>
        <w:t>Three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20955</wp:posOffset>
            </wp:positionV>
            <wp:extent cx="21685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25" w:lineRule="exact"/>
        <w:rPr>
          <w:sz w:val="20"/>
          <w:szCs w:val="20"/>
          <w:color w:val="auto"/>
        </w:rPr>
      </w:pPr>
    </w:p>
    <w:p>
      <w:pPr>
        <w:ind w:left="7260"/>
        <w:spacing w:after="0"/>
        <w:tabs>
          <w:tab w:leader="none" w:pos="9080" w:val="left"/>
        </w:tabs>
        <w:rPr>
          <w:sz w:val="20"/>
          <w:szCs w:val="20"/>
          <w:color w:val="auto"/>
        </w:rPr>
      </w:pPr>
      <w:r>
        <w:rPr>
          <w:rFonts w:ascii="Calibri" w:cs="Calibri" w:eastAsia="Calibri" w:hAnsi="Calibri"/>
          <w:sz w:val="14"/>
          <w:szCs w:val="14"/>
          <w:b w:val="1"/>
          <w:bCs w:val="1"/>
          <w:color w:val="auto"/>
        </w:rPr>
        <w:t>2023</w:t>
      </w:r>
      <w:r>
        <w:rPr>
          <w:sz w:val="20"/>
          <w:szCs w:val="20"/>
          <w:color w:val="auto"/>
        </w:rPr>
        <w:tab/>
      </w:r>
      <w:r>
        <w:rPr>
          <w:rFonts w:ascii="Calibri" w:cs="Calibri" w:eastAsia="Calibri" w:hAnsi="Calibri"/>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20955</wp:posOffset>
            </wp:positionV>
            <wp:extent cx="21685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25" w:lineRule="exact"/>
        <w:rPr>
          <w:sz w:val="20"/>
          <w:szCs w:val="20"/>
          <w:color w:val="auto"/>
        </w:rPr>
      </w:pPr>
    </w:p>
    <w:p>
      <w:pPr>
        <w:ind w:left="7980"/>
        <w:spacing w:after="0"/>
        <w:rPr>
          <w:sz w:val="20"/>
          <w:szCs w:val="20"/>
          <w:color w:val="auto"/>
        </w:rPr>
      </w:pPr>
      <w:r>
        <w:rPr>
          <w:rFonts w:ascii="Calibri" w:cs="Calibri" w:eastAsia="Calibri" w:hAnsi="Calibri"/>
          <w:sz w:val="14"/>
          <w:szCs w:val="14"/>
          <w:b w:val="1"/>
          <w:bCs w:val="1"/>
          <w:color w:val="auto"/>
        </w:rPr>
        <w:t>(In millions)</w:t>
      </w:r>
    </w:p>
    <w:p>
      <w:pPr>
        <w:spacing w:after="0" w:line="20" w:lineRule="exact"/>
        <w:rPr>
          <w:sz w:val="20"/>
          <w:szCs w:val="20"/>
          <w:color w:val="auto"/>
        </w:rPr>
      </w:pPr>
    </w:p>
    <w:p>
      <w:pPr>
        <w:ind w:left="1140"/>
        <w:spacing w:after="0"/>
        <w:tabs>
          <w:tab w:leader="none" w:pos="6600" w:val="left"/>
          <w:tab w:leader="none" w:pos="7980" w:val="left"/>
          <w:tab w:leader="none" w:pos="8480" w:val="left"/>
          <w:tab w:leader="none" w:pos="9820" w:val="left"/>
        </w:tabs>
        <w:rPr>
          <w:sz w:val="20"/>
          <w:szCs w:val="20"/>
          <w:color w:val="auto"/>
        </w:rPr>
      </w:pPr>
      <w:r>
        <w:rPr>
          <w:rFonts w:ascii="Calibri" w:cs="Calibri" w:eastAsia="Calibri" w:hAnsi="Calibri"/>
          <w:sz w:val="18"/>
          <w:szCs w:val="18"/>
          <w:color w:val="auto"/>
        </w:rPr>
        <w:t>Research and technical expenses</w:t>
      </w:r>
      <w:r>
        <w:rPr>
          <w:sz w:val="20"/>
          <w:szCs w:val="20"/>
          <w:color w:val="auto"/>
        </w:rPr>
        <w:tab/>
      </w:r>
      <w:r>
        <w:rPr>
          <w:rFonts w:ascii="Calibri" w:cs="Calibri" w:eastAsia="Calibri" w:hAnsi="Calibri"/>
          <w:sz w:val="18"/>
          <w:szCs w:val="18"/>
          <w:color w:val="auto"/>
        </w:rPr>
        <w:t>$</w:t>
      </w:r>
      <w:r>
        <w:rPr>
          <w:sz w:val="20"/>
          <w:szCs w:val="20"/>
          <w:color w:val="auto"/>
        </w:rPr>
        <w:tab/>
      </w:r>
      <w:r>
        <w:rPr>
          <w:rFonts w:ascii="Calibri" w:cs="Calibri" w:eastAsia="Calibri" w:hAnsi="Calibri"/>
          <w:sz w:val="18"/>
          <w:szCs w:val="18"/>
          <w:color w:val="auto"/>
        </w:rPr>
        <w:t>15</w:t>
      </w:r>
      <w:r>
        <w:rPr>
          <w:sz w:val="20"/>
          <w:szCs w:val="20"/>
          <w:color w:val="auto"/>
        </w:rPr>
        <w:tab/>
      </w:r>
      <w:r>
        <w:rPr>
          <w:rFonts w:ascii="Calibri" w:cs="Calibri" w:eastAsia="Calibri" w:hAnsi="Calibri"/>
          <w:sz w:val="18"/>
          <w:szCs w:val="18"/>
          <w:color w:val="auto"/>
        </w:rPr>
        <w:t>$</w:t>
      </w:r>
      <w:r>
        <w:rPr>
          <w:sz w:val="20"/>
          <w:szCs w:val="20"/>
          <w:color w:val="auto"/>
        </w:rPr>
        <w:tab/>
      </w:r>
      <w:r>
        <w:rPr>
          <w:rFonts w:ascii="Calibri" w:cs="Calibri" w:eastAsia="Calibri" w:hAnsi="Calibri"/>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-130175</wp:posOffset>
            </wp:positionV>
            <wp:extent cx="5700395" cy="1543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143" w:lineRule="exact"/>
        <w:rPr>
          <w:sz w:val="20"/>
          <w:szCs w:val="20"/>
          <w:color w:val="auto"/>
        </w:rPr>
      </w:pPr>
    </w:p>
    <w:p>
      <w:pPr>
        <w:ind w:left="480" w:right="1240"/>
        <w:spacing w:after="0" w:line="319" w:lineRule="auto"/>
        <w:rPr>
          <w:sz w:val="20"/>
          <w:szCs w:val="20"/>
          <w:color w:val="auto"/>
        </w:rPr>
      </w:pPr>
      <w:r>
        <w:rPr>
          <w:rFonts w:ascii="Calibri" w:cs="Calibri" w:eastAsia="Calibri" w:hAnsi="Calibri"/>
          <w:sz w:val="18"/>
          <w:szCs w:val="18"/>
          <w:color w:val="auto"/>
        </w:rPr>
        <w:t xml:space="preserve">Research and technical expenses increased by $2 million in the frst quarter of fscal 2024 compared to the same period of fscal 2023. </w:t>
      </w:r>
      <w:r>
        <w:rPr>
          <w:rFonts w:ascii="Calibri" w:cs="Calibri" w:eastAsia="Calibri" w:hAnsi="Calibri"/>
          <w:sz w:val="18"/>
          <w:szCs w:val="18"/>
          <w:i w:val="1"/>
          <w:iCs w:val="1"/>
          <w:color w:val="auto"/>
        </w:rPr>
        <w:t>Loss on Sale of Business</w:t>
      </w:r>
    </w:p>
    <w:p>
      <w:pPr>
        <w:spacing w:after="0" w:line="57" w:lineRule="exact"/>
        <w:rPr>
          <w:sz w:val="20"/>
          <w:szCs w:val="20"/>
          <w:color w:val="auto"/>
        </w:rPr>
      </w:pPr>
    </w:p>
    <w:p>
      <w:pPr>
        <w:ind w:left="7280"/>
        <w:spacing w:after="0"/>
        <w:rPr>
          <w:sz w:val="20"/>
          <w:szCs w:val="20"/>
          <w:color w:val="auto"/>
        </w:rPr>
      </w:pPr>
      <w:r>
        <w:rPr>
          <w:rFonts w:ascii="Calibri" w:cs="Calibri" w:eastAsia="Calibri" w:hAnsi="Calibri"/>
          <w:sz w:val="14"/>
          <w:szCs w:val="14"/>
          <w:b w:val="1"/>
          <w:bCs w:val="1"/>
          <w:color w:val="auto"/>
        </w:rPr>
        <w:t>Three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20955</wp:posOffset>
            </wp:positionV>
            <wp:extent cx="21685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25" w:lineRule="exact"/>
        <w:rPr>
          <w:sz w:val="20"/>
          <w:szCs w:val="20"/>
          <w:color w:val="auto"/>
        </w:rPr>
      </w:pPr>
    </w:p>
    <w:p>
      <w:pPr>
        <w:ind w:left="7260"/>
        <w:spacing w:after="0"/>
        <w:tabs>
          <w:tab w:leader="none" w:pos="9080" w:val="left"/>
        </w:tabs>
        <w:rPr>
          <w:sz w:val="20"/>
          <w:szCs w:val="20"/>
          <w:color w:val="auto"/>
        </w:rPr>
      </w:pPr>
      <w:r>
        <w:rPr>
          <w:rFonts w:ascii="Calibri" w:cs="Calibri" w:eastAsia="Calibri" w:hAnsi="Calibri"/>
          <w:sz w:val="14"/>
          <w:szCs w:val="14"/>
          <w:b w:val="1"/>
          <w:bCs w:val="1"/>
          <w:color w:val="auto"/>
        </w:rPr>
        <w:t>2023</w:t>
      </w:r>
      <w:r>
        <w:rPr>
          <w:sz w:val="20"/>
          <w:szCs w:val="20"/>
          <w:color w:val="auto"/>
        </w:rPr>
        <w:tab/>
      </w:r>
      <w:r>
        <w:rPr>
          <w:rFonts w:ascii="Calibri" w:cs="Calibri" w:eastAsia="Calibri" w:hAnsi="Calibri"/>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20955</wp:posOffset>
            </wp:positionV>
            <wp:extent cx="21685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25" w:lineRule="exact"/>
        <w:rPr>
          <w:sz w:val="20"/>
          <w:szCs w:val="20"/>
          <w:color w:val="auto"/>
        </w:rPr>
      </w:pPr>
    </w:p>
    <w:p>
      <w:pPr>
        <w:ind w:left="7980"/>
        <w:spacing w:after="0"/>
        <w:rPr>
          <w:sz w:val="20"/>
          <w:szCs w:val="20"/>
          <w:color w:val="auto"/>
        </w:rPr>
      </w:pPr>
      <w:r>
        <w:rPr>
          <w:rFonts w:ascii="Calibri" w:cs="Calibri" w:eastAsia="Calibri" w:hAnsi="Calibri"/>
          <w:sz w:val="14"/>
          <w:szCs w:val="14"/>
          <w:b w:val="1"/>
          <w:bCs w:val="1"/>
          <w:color w:val="auto"/>
        </w:rPr>
        <w:t>(In millions)</w:t>
      </w:r>
    </w:p>
    <w:p>
      <w:pPr>
        <w:spacing w:after="0" w:line="20" w:lineRule="exact"/>
        <w:rPr>
          <w:sz w:val="20"/>
          <w:szCs w:val="20"/>
          <w:color w:val="auto"/>
        </w:rPr>
      </w:pPr>
    </w:p>
    <w:p>
      <w:pPr>
        <w:ind w:left="1140"/>
        <w:spacing w:after="0"/>
        <w:tabs>
          <w:tab w:leader="none" w:pos="6600" w:val="left"/>
          <w:tab w:leader="none" w:pos="8000" w:val="left"/>
          <w:tab w:leader="none" w:pos="8480" w:val="left"/>
          <w:tab w:leader="none" w:pos="9900" w:val="left"/>
        </w:tabs>
        <w:rPr>
          <w:sz w:val="20"/>
          <w:szCs w:val="20"/>
          <w:color w:val="auto"/>
        </w:rPr>
      </w:pPr>
      <w:r>
        <w:rPr>
          <w:rFonts w:ascii="Calibri" w:cs="Calibri" w:eastAsia="Calibri" w:hAnsi="Calibri"/>
          <w:sz w:val="18"/>
          <w:szCs w:val="18"/>
          <w:color w:val="auto"/>
        </w:rPr>
        <w:t>Loss on sale of business</w:t>
      </w:r>
      <w:r>
        <w:rPr>
          <w:sz w:val="20"/>
          <w:szCs w:val="20"/>
          <w:color w:val="auto"/>
        </w:rPr>
        <w:tab/>
      </w:r>
      <w:r>
        <w:rPr>
          <w:rFonts w:ascii="Calibri" w:cs="Calibri" w:eastAsia="Calibri" w:hAnsi="Calibri"/>
          <w:sz w:val="18"/>
          <w:szCs w:val="18"/>
          <w:color w:val="auto"/>
        </w:rPr>
        <w:t>$</w:t>
      </w:r>
      <w:r>
        <w:rPr>
          <w:sz w:val="20"/>
          <w:szCs w:val="20"/>
          <w:color w:val="auto"/>
        </w:rPr>
        <w:tab/>
      </w:r>
      <w:r>
        <w:rPr>
          <w:rFonts w:ascii="Calibri" w:cs="Calibri" w:eastAsia="Calibri" w:hAnsi="Calibri"/>
          <w:sz w:val="18"/>
          <w:szCs w:val="18"/>
          <w:color w:val="auto"/>
        </w:rPr>
        <w:t>—</w:t>
      </w:r>
      <w:r>
        <w:rPr>
          <w:sz w:val="20"/>
          <w:szCs w:val="20"/>
          <w:color w:val="auto"/>
        </w:rPr>
        <w:tab/>
      </w:r>
      <w:r>
        <w:rPr>
          <w:rFonts w:ascii="Calibri" w:cs="Calibri" w:eastAsia="Calibri" w:hAnsi="Calibri"/>
          <w:sz w:val="18"/>
          <w:szCs w:val="18"/>
          <w:color w:val="auto"/>
        </w:rPr>
        <w:t>$</w:t>
      </w:r>
      <w:r>
        <w:rPr>
          <w:sz w:val="20"/>
          <w:szCs w:val="20"/>
          <w:color w:val="auto"/>
        </w:rPr>
        <w:tab/>
      </w:r>
      <w:r>
        <w:rPr>
          <w:rFonts w:ascii="Calibri" w:cs="Calibri" w:eastAsia="Calibri" w:hAnsi="Calibri"/>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-130175</wp:posOffset>
            </wp:positionV>
            <wp:extent cx="5700395" cy="1543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157" w:lineRule="exact"/>
        <w:rPr>
          <w:sz w:val="20"/>
          <w:szCs w:val="20"/>
          <w:color w:val="auto"/>
        </w:rPr>
      </w:pPr>
    </w:p>
    <w:p>
      <w:pPr>
        <w:jc w:val="both"/>
        <w:ind w:right="20" w:firstLine="464"/>
        <w:spacing w:after="0" w:line="235" w:lineRule="auto"/>
        <w:rPr>
          <w:sz w:val="20"/>
          <w:szCs w:val="20"/>
          <w:color w:val="auto"/>
        </w:rPr>
      </w:pPr>
      <w:r>
        <w:rPr>
          <w:rFonts w:ascii="Calibri" w:cs="Calibri" w:eastAsia="Calibri" w:hAnsi="Calibri"/>
          <w:sz w:val="18"/>
          <w:szCs w:val="18"/>
          <w:color w:val="auto"/>
        </w:rPr>
        <w:t>There was no Loss on sale of business in the frst quarter of fscal 2024. Previously reported Loss on sale of business in fscal 2023 is associated with the fscal 2022 divesture of the Purifcaton Solutons business.</w:t>
      </w:r>
    </w:p>
    <w:p>
      <w:pPr>
        <w:spacing w:after="0" w:line="78" w:lineRule="exact"/>
        <w:rPr>
          <w:sz w:val="20"/>
          <w:szCs w:val="20"/>
          <w:color w:val="auto"/>
        </w:rPr>
      </w:pPr>
    </w:p>
    <w:p>
      <w:pPr>
        <w:ind w:left="480"/>
        <w:spacing w:after="0"/>
        <w:rPr>
          <w:sz w:val="20"/>
          <w:szCs w:val="20"/>
          <w:color w:val="auto"/>
        </w:rPr>
      </w:pPr>
      <w:r>
        <w:rPr>
          <w:rFonts w:ascii="Calibri" w:cs="Calibri" w:eastAsia="Calibri" w:hAnsi="Calibri"/>
          <w:sz w:val="18"/>
          <w:szCs w:val="18"/>
          <w:i w:val="1"/>
          <w:iCs w:val="1"/>
          <w:color w:val="auto"/>
        </w:rPr>
        <w:t>Interest and Dividend Income, Interest Expense and Other Income (Expense)</w:t>
      </w:r>
    </w:p>
    <w:p>
      <w:pPr>
        <w:spacing w:after="0" w:line="1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120" w:type="dxa"/>
            <w:vAlign w:val="bottom"/>
            <w:gridSpan w:val="5"/>
          </w:tcPr>
          <w:p>
            <w:pPr>
              <w:jc w:val="right"/>
              <w:ind w:right="760"/>
              <w:spacing w:after="0"/>
              <w:rPr>
                <w:sz w:val="20"/>
                <w:szCs w:val="20"/>
                <w:color w:val="auto"/>
              </w:rPr>
            </w:pPr>
            <w:r>
              <w:rPr>
                <w:rFonts w:ascii="Calibri" w:cs="Calibri" w:eastAsia="Calibri" w:hAnsi="Calibri"/>
                <w:sz w:val="14"/>
                <w:szCs w:val="14"/>
                <w:b w:val="1"/>
                <w:bCs w:val="1"/>
                <w:color w:val="auto"/>
              </w:rPr>
              <w:t>Three Months Ended December 31</w:t>
            </w:r>
          </w:p>
        </w:tc>
      </w:tr>
      <w:tr>
        <w:trPr>
          <w:trHeight w:val="33"/>
        </w:trPr>
        <w:tc>
          <w:tcPr>
            <w:tcW w:w="54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3"/>
        </w:trPr>
        <w:tc>
          <w:tcPr>
            <w:tcW w:w="5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ind w:right="559"/>
              <w:spacing w:after="0" w:line="164" w:lineRule="exact"/>
              <w:rPr>
                <w:sz w:val="20"/>
                <w:szCs w:val="20"/>
                <w:color w:val="auto"/>
              </w:rPr>
            </w:pPr>
            <w:r>
              <w:rPr>
                <w:rFonts w:ascii="Calibri" w:cs="Calibri" w:eastAsia="Calibri" w:hAnsi="Calibri"/>
                <w:sz w:val="14"/>
                <w:szCs w:val="14"/>
                <w:b w:val="1"/>
                <w:bCs w:val="1"/>
                <w:color w:val="auto"/>
              </w:rPr>
              <w:t>2023</w:t>
            </w: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jc w:val="right"/>
              <w:ind w:right="555"/>
              <w:spacing w:after="0" w:line="164" w:lineRule="exact"/>
              <w:rPr>
                <w:sz w:val="20"/>
                <w:szCs w:val="20"/>
                <w:color w:val="auto"/>
              </w:rPr>
            </w:pPr>
            <w:r>
              <w:rPr>
                <w:rFonts w:ascii="Calibri" w:cs="Calibri" w:eastAsia="Calibri" w:hAnsi="Calibri"/>
                <w:sz w:val="14"/>
                <w:szCs w:val="14"/>
                <w:b w:val="1"/>
                <w:bCs w:val="1"/>
                <w:color w:val="auto"/>
              </w:rPr>
              <w:t>2022</w:t>
            </w:r>
          </w:p>
        </w:tc>
        <w:tc>
          <w:tcPr>
            <w:tcW w:w="80" w:type="dxa"/>
            <w:vAlign w:val="bottom"/>
          </w:tcPr>
          <w:p>
            <w:pPr>
              <w:spacing w:after="0"/>
              <w:rPr>
                <w:sz w:val="14"/>
                <w:szCs w:val="14"/>
                <w:color w:val="auto"/>
              </w:rPr>
            </w:pPr>
          </w:p>
        </w:tc>
      </w:tr>
      <w:tr>
        <w:trPr>
          <w:trHeight w:val="33"/>
        </w:trPr>
        <w:tc>
          <w:tcPr>
            <w:tcW w:w="54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3"/>
        </w:trPr>
        <w:tc>
          <w:tcPr>
            <w:tcW w:w="5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(In</w:t>
            </w:r>
          </w:p>
        </w:tc>
        <w:tc>
          <w:tcPr>
            <w:tcW w:w="700" w:type="dxa"/>
            <w:vAlign w:val="bottom"/>
            <w:gridSpan w:val="2"/>
          </w:tcPr>
          <w:p>
            <w:pPr>
              <w:jc w:val="right"/>
              <w:ind w:right="130"/>
              <w:spacing w:after="0" w:line="164" w:lineRule="exact"/>
              <w:rPr>
                <w:sz w:val="20"/>
                <w:szCs w:val="20"/>
                <w:color w:val="auto"/>
              </w:rPr>
            </w:pPr>
            <w:r>
              <w:rPr>
                <w:rFonts w:ascii="Calibri" w:cs="Calibri" w:eastAsia="Calibri" w:hAnsi="Calibri"/>
                <w:sz w:val="14"/>
                <w:szCs w:val="14"/>
                <w:b w:val="1"/>
                <w:bCs w:val="1"/>
                <w:color w:val="auto"/>
                <w:w w:val="91"/>
              </w:rPr>
              <w:t>millions)</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3"/>
        </w:trPr>
        <w:tc>
          <w:tcPr>
            <w:tcW w:w="5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548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Interest and dividend income</w:t>
            </w:r>
          </w:p>
        </w:tc>
        <w:tc>
          <w:tcPr>
            <w:tcW w:w="380" w:type="dxa"/>
            <w:vAlign w:val="bottom"/>
            <w:tcBorders>
              <w:bottom w:val="single" w:sz="8" w:color="CFF0FC"/>
            </w:tcBorders>
            <w:shd w:val="clear" w:color="auto" w:fill="CFF0FC"/>
          </w:tcPr>
          <w:p>
            <w:pPr>
              <w:jc w:val="right"/>
              <w:ind w:right="190"/>
              <w:spacing w:after="0" w:line="215" w:lineRule="exact"/>
              <w:rPr>
                <w:sz w:val="20"/>
                <w:szCs w:val="20"/>
                <w:color w:val="auto"/>
              </w:rPr>
            </w:pPr>
            <w:r>
              <w:rPr>
                <w:rFonts w:ascii="Calibri" w:cs="Calibri" w:eastAsia="Calibri" w:hAnsi="Calibri"/>
                <w:sz w:val="18"/>
                <w:szCs w:val="18"/>
                <w:color w:val="auto"/>
                <w:w w:val="87"/>
              </w:rPr>
              <w:t>$</w:t>
            </w:r>
          </w:p>
        </w:tc>
        <w:tc>
          <w:tcPr>
            <w:tcW w:w="12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w:t>
            </w:r>
          </w:p>
        </w:tc>
        <w:tc>
          <w:tcPr>
            <w:tcW w:w="28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jc w:val="right"/>
              <w:ind w:right="230"/>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15"/>
        </w:trPr>
        <w:tc>
          <w:tcPr>
            <w:tcW w:w="5480" w:type="dxa"/>
            <w:vAlign w:val="bottom"/>
          </w:tcPr>
          <w:p>
            <w:pPr>
              <w:spacing w:after="0" w:line="215" w:lineRule="exact"/>
              <w:rPr>
                <w:sz w:val="20"/>
                <w:szCs w:val="20"/>
                <w:color w:val="auto"/>
              </w:rPr>
            </w:pPr>
            <w:r>
              <w:rPr>
                <w:rFonts w:ascii="Calibri" w:cs="Calibri" w:eastAsia="Calibri" w:hAnsi="Calibri"/>
                <w:sz w:val="18"/>
                <w:szCs w:val="18"/>
                <w:color w:val="auto"/>
              </w:rPr>
              <w:t>Interest expense</w:t>
            </w:r>
          </w:p>
        </w:tc>
        <w:tc>
          <w:tcPr>
            <w:tcW w:w="38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w w:val="87"/>
              </w:rPr>
              <w:t>$</w:t>
            </w:r>
          </w:p>
        </w:tc>
        <w:tc>
          <w:tcPr>
            <w:tcW w:w="1480" w:type="dxa"/>
            <w:vAlign w:val="bottom"/>
            <w:gridSpan w:val="2"/>
          </w:tcPr>
          <w:p>
            <w:pPr>
              <w:jc w:val="right"/>
              <w:ind w:right="148"/>
              <w:spacing w:after="0" w:line="215" w:lineRule="exact"/>
              <w:rPr>
                <w:sz w:val="20"/>
                <w:szCs w:val="20"/>
                <w:color w:val="auto"/>
              </w:rPr>
            </w:pPr>
            <w:r>
              <w:rPr>
                <w:rFonts w:ascii="Calibri" w:cs="Calibri" w:eastAsia="Calibri" w:hAnsi="Calibri"/>
                <w:sz w:val="18"/>
                <w:szCs w:val="18"/>
                <w:color w:val="auto"/>
              </w:rPr>
              <w:t>(22 )</w:t>
            </w:r>
          </w:p>
        </w:tc>
        <w:tc>
          <w:tcPr>
            <w:tcW w:w="420" w:type="dxa"/>
            <w:vAlign w:val="bottom"/>
          </w:tcPr>
          <w:p>
            <w:pPr>
              <w:jc w:val="right"/>
              <w:ind w:right="230"/>
              <w:spacing w:after="0" w:line="215" w:lineRule="exact"/>
              <w:rPr>
                <w:sz w:val="20"/>
                <w:szCs w:val="20"/>
                <w:color w:val="auto"/>
              </w:rPr>
            </w:pPr>
            <w:r>
              <w:rPr>
                <w:rFonts w:ascii="Calibri" w:cs="Calibri" w:eastAsia="Calibri" w:hAnsi="Calibri"/>
                <w:sz w:val="18"/>
                <w:szCs w:val="18"/>
                <w:color w:val="auto"/>
                <w:w w:val="87"/>
              </w:rPr>
              <w:t>$</w:t>
            </w:r>
          </w:p>
        </w:tc>
        <w:tc>
          <w:tcPr>
            <w:tcW w:w="122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(22 )</w:t>
            </w:r>
          </w:p>
        </w:tc>
      </w:tr>
      <w:tr>
        <w:trPr>
          <w:trHeight w:val="28"/>
        </w:trPr>
        <w:tc>
          <w:tcPr>
            <w:tcW w:w="5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15"/>
        </w:trPr>
        <w:tc>
          <w:tcPr>
            <w:tcW w:w="5480" w:type="dxa"/>
            <w:vAlign w:val="bottom"/>
            <w:shd w:val="clear" w:color="auto" w:fill="CFF0FC"/>
          </w:tcPr>
          <w:p>
            <w:pPr>
              <w:spacing w:after="0" w:line="215" w:lineRule="exact"/>
              <w:rPr>
                <w:sz w:val="20"/>
                <w:szCs w:val="20"/>
                <w:color w:val="auto"/>
              </w:rPr>
            </w:pPr>
            <w:r>
              <w:rPr>
                <w:rFonts w:ascii="Calibri" w:cs="Calibri" w:eastAsia="Calibri" w:hAnsi="Calibri"/>
                <w:sz w:val="18"/>
                <w:szCs w:val="18"/>
                <w:color w:val="auto"/>
              </w:rPr>
              <w:t>Other income (expense)</w:t>
            </w:r>
          </w:p>
        </w:tc>
        <w:tc>
          <w:tcPr>
            <w:tcW w:w="380" w:type="dxa"/>
            <w:vAlign w:val="bottom"/>
            <w:shd w:val="clear" w:color="auto" w:fill="CFF0FC"/>
          </w:tcPr>
          <w:p>
            <w:pPr>
              <w:jc w:val="right"/>
              <w:ind w:right="190"/>
              <w:spacing w:after="0" w:line="215" w:lineRule="exact"/>
              <w:rPr>
                <w:sz w:val="20"/>
                <w:szCs w:val="20"/>
                <w:color w:val="auto"/>
              </w:rPr>
            </w:pPr>
            <w:r>
              <w:rPr>
                <w:rFonts w:ascii="Calibri" w:cs="Calibri" w:eastAsia="Calibri" w:hAnsi="Calibri"/>
                <w:sz w:val="18"/>
                <w:szCs w:val="18"/>
                <w:color w:val="auto"/>
                <w:w w:val="87"/>
              </w:rPr>
              <w:t>$</w:t>
            </w:r>
          </w:p>
        </w:tc>
        <w:tc>
          <w:tcPr>
            <w:tcW w:w="1480" w:type="dxa"/>
            <w:vAlign w:val="bottom"/>
            <w:gridSpan w:val="2"/>
            <w:shd w:val="clear" w:color="auto" w:fill="CFF0FC"/>
          </w:tcPr>
          <w:p>
            <w:pPr>
              <w:jc w:val="right"/>
              <w:ind w:right="148"/>
              <w:spacing w:after="0" w:line="215" w:lineRule="exact"/>
              <w:rPr>
                <w:sz w:val="20"/>
                <w:szCs w:val="20"/>
                <w:color w:val="auto"/>
              </w:rPr>
            </w:pPr>
            <w:r>
              <w:rPr>
                <w:rFonts w:ascii="Calibri" w:cs="Calibri" w:eastAsia="Calibri" w:hAnsi="Calibri"/>
                <w:sz w:val="18"/>
                <w:szCs w:val="18"/>
                <w:color w:val="auto"/>
              </w:rPr>
              <w:t>(29 )</w:t>
            </w:r>
          </w:p>
        </w:tc>
        <w:tc>
          <w:tcPr>
            <w:tcW w:w="420" w:type="dxa"/>
            <w:vAlign w:val="bottom"/>
            <w:shd w:val="clear" w:color="auto" w:fill="CFF0FC"/>
          </w:tcPr>
          <w:p>
            <w:pPr>
              <w:jc w:val="right"/>
              <w:ind w:right="230"/>
              <w:spacing w:after="0" w:line="215" w:lineRule="exact"/>
              <w:rPr>
                <w:sz w:val="20"/>
                <w:szCs w:val="20"/>
                <w:color w:val="auto"/>
              </w:rPr>
            </w:pPr>
            <w:r>
              <w:rPr>
                <w:rFonts w:ascii="Calibri" w:cs="Calibri" w:eastAsia="Calibri" w:hAnsi="Calibri"/>
                <w:sz w:val="18"/>
                <w:szCs w:val="18"/>
                <w:color w:val="auto"/>
                <w:w w:val="87"/>
              </w:rPr>
              <w:t>$</w:t>
            </w:r>
          </w:p>
        </w:tc>
        <w:tc>
          <w:tcPr>
            <w:tcW w:w="1220" w:type="dxa"/>
            <w:vAlign w:val="bottom"/>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(5 )</w:t>
            </w:r>
          </w:p>
        </w:tc>
      </w:tr>
      <w:tr>
        <w:trPr>
          <w:trHeight w:val="28"/>
        </w:trPr>
        <w:tc>
          <w:tcPr>
            <w:tcW w:w="5480" w:type="dxa"/>
            <w:vAlign w:val="bottom"/>
            <w:shd w:val="clear" w:color="auto" w:fill="CFF0FC"/>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120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420" w:type="dxa"/>
            <w:vAlign w:val="bottom"/>
            <w:shd w:val="clear" w:color="auto" w:fill="CFF0FC"/>
          </w:tcPr>
          <w:p>
            <w:pPr>
              <w:spacing w:after="0"/>
              <w:rPr>
                <w:sz w:val="2"/>
                <w:szCs w:val="2"/>
                <w:color w:val="auto"/>
              </w:rPr>
            </w:pPr>
          </w:p>
        </w:tc>
        <w:tc>
          <w:tcPr>
            <w:tcW w:w="114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r>
    </w:tbl>
    <w:p>
      <w:pPr>
        <w:spacing w:after="0" w:line="167" w:lineRule="exact"/>
        <w:rPr>
          <w:sz w:val="20"/>
          <w:szCs w:val="20"/>
          <w:color w:val="auto"/>
        </w:rPr>
      </w:pPr>
    </w:p>
    <w:p>
      <w:pPr>
        <w:ind w:right="260" w:firstLine="509"/>
        <w:spacing w:after="0" w:line="235" w:lineRule="auto"/>
        <w:rPr>
          <w:sz w:val="20"/>
          <w:szCs w:val="20"/>
          <w:color w:val="auto"/>
        </w:rPr>
      </w:pPr>
      <w:r>
        <w:rPr>
          <w:rFonts w:ascii="Calibri" w:cs="Calibri" w:eastAsia="Calibri" w:hAnsi="Calibri"/>
          <w:sz w:val="18"/>
          <w:szCs w:val="18"/>
          <w:color w:val="auto"/>
        </w:rPr>
        <w:t>Interest and dividend income increased by $3 million in the frst quarter of fscal 2024 compared to the same period of fscal 2023, primarily due to higher interest rates.</w:t>
      </w:r>
    </w:p>
    <w:p>
      <w:pPr>
        <w:spacing w:after="0" w:line="83" w:lineRule="exact"/>
        <w:rPr>
          <w:sz w:val="20"/>
          <w:szCs w:val="20"/>
          <w:color w:val="auto"/>
        </w:rPr>
      </w:pPr>
    </w:p>
    <w:p>
      <w:pPr>
        <w:ind w:right="300" w:firstLine="509"/>
        <w:spacing w:after="0" w:line="235" w:lineRule="auto"/>
        <w:rPr>
          <w:sz w:val="20"/>
          <w:szCs w:val="20"/>
          <w:color w:val="auto"/>
        </w:rPr>
      </w:pPr>
      <w:r>
        <w:rPr>
          <w:rFonts w:ascii="Calibri" w:cs="Calibri" w:eastAsia="Calibri" w:hAnsi="Calibri"/>
          <w:sz w:val="18"/>
          <w:szCs w:val="18"/>
          <w:color w:val="auto"/>
        </w:rPr>
        <w:t>Interest expense remained fat in the frst quarter of fscal 2024, as compared to the same period of fscal 2023, primarily due to lower commercial paper balances, ofset by higher rates.</w:t>
      </w:r>
    </w:p>
    <w:p>
      <w:pPr>
        <w:spacing w:after="0" w:line="83"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Other expense increased by $24 million in the frst quarter of fscal 2024 compared to the same period of fscal 2023, primarily due to foreign currency losses on the revaluaton of our Argentne peso monetary assets and liability balances ($40 million), partally ofset by investment income ($12 million) on our cash and cash equivalent balances in Argentna.</w:t>
      </w:r>
    </w:p>
    <w:p>
      <w:pPr>
        <w:spacing w:after="0" w:line="79" w:lineRule="exact"/>
        <w:rPr>
          <w:sz w:val="20"/>
          <w:szCs w:val="20"/>
          <w:color w:val="auto"/>
        </w:rPr>
      </w:pPr>
    </w:p>
    <w:p>
      <w:pPr>
        <w:ind w:left="520"/>
        <w:spacing w:after="0"/>
        <w:rPr>
          <w:sz w:val="20"/>
          <w:szCs w:val="20"/>
          <w:color w:val="auto"/>
        </w:rPr>
      </w:pPr>
      <w:r>
        <w:rPr>
          <w:rFonts w:ascii="Calibri" w:cs="Calibri" w:eastAsia="Calibri" w:hAnsi="Calibri"/>
          <w:sz w:val="18"/>
          <w:szCs w:val="18"/>
          <w:i w:val="1"/>
          <w:iCs w:val="1"/>
          <w:color w:val="auto"/>
        </w:rPr>
        <w:t>(Provision) Beneft for Income Taxes and Reconciliaton of Efectve Tax Rate to Operatng Tax Rate</w:t>
      </w:r>
    </w:p>
    <w:p>
      <w:pPr>
        <w:spacing w:after="0" w:line="1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40" w:type="dxa"/>
            <w:vAlign w:val="bottom"/>
            <w:gridSpan w:val="7"/>
          </w:tcPr>
          <w:p>
            <w:pPr>
              <w:jc w:val="right"/>
              <w:ind w:right="440"/>
              <w:spacing w:after="0"/>
              <w:rPr>
                <w:sz w:val="20"/>
                <w:szCs w:val="20"/>
                <w:color w:val="auto"/>
              </w:rPr>
            </w:pPr>
            <w:r>
              <w:rPr>
                <w:rFonts w:ascii="Calibri" w:cs="Calibri" w:eastAsia="Calibri" w:hAnsi="Calibri"/>
                <w:sz w:val="14"/>
                <w:szCs w:val="14"/>
                <w:b w:val="1"/>
                <w:bCs w:val="1"/>
                <w:color w:val="auto"/>
              </w:rPr>
              <w:t>Three Months Ended December 31</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4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3"/>
          </w:tcPr>
          <w:p>
            <w:pPr>
              <w:jc w:val="right"/>
              <w:ind w:right="88"/>
              <w:spacing w:after="0" w:line="164" w:lineRule="exact"/>
              <w:rPr>
                <w:sz w:val="20"/>
                <w:szCs w:val="20"/>
                <w:color w:val="auto"/>
              </w:rPr>
            </w:pPr>
            <w:r>
              <w:rPr>
                <w:rFonts w:ascii="Calibri" w:cs="Calibri" w:eastAsia="Calibri" w:hAnsi="Calibri"/>
                <w:sz w:val="14"/>
                <w:szCs w:val="14"/>
                <w:b w:val="1"/>
                <w:bCs w:val="1"/>
                <w:color w:val="auto"/>
              </w:rPr>
              <w:t>2023</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right"/>
              <w:ind w:right="140"/>
              <w:spacing w:after="0" w:line="164" w:lineRule="exact"/>
              <w:rPr>
                <w:sz w:val="20"/>
                <w:szCs w:val="20"/>
                <w:color w:val="auto"/>
              </w:rPr>
            </w:pPr>
            <w:r>
              <w:rPr>
                <w:rFonts w:ascii="Calibri" w:cs="Calibri" w:eastAsia="Calibri" w:hAnsi="Calibri"/>
                <w:sz w:val="14"/>
                <w:szCs w:val="14"/>
                <w:b w:val="1"/>
                <w:bCs w:val="1"/>
                <w:color w:val="auto"/>
              </w:rPr>
              <w:t>2022</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420" w:type="dxa"/>
            <w:vAlign w:val="bottom"/>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420" w:type="dxa"/>
            <w:vAlign w:val="bottom"/>
          </w:tcPr>
          <w:p>
            <w:pPr>
              <w:spacing w:after="0"/>
              <w:rPr>
                <w:sz w:val="14"/>
                <w:szCs w:val="14"/>
                <w:color w:val="auto"/>
              </w:rPr>
            </w:pPr>
          </w:p>
        </w:tc>
        <w:tc>
          <w:tcPr>
            <w:tcW w:w="1380" w:type="dxa"/>
            <w:vAlign w:val="bottom"/>
            <w:gridSpan w:val="4"/>
          </w:tcPr>
          <w:p>
            <w:pPr>
              <w:jc w:val="center"/>
              <w:ind w:right="368"/>
              <w:spacing w:after="0" w:line="164" w:lineRule="exact"/>
              <w:rPr>
                <w:sz w:val="20"/>
                <w:szCs w:val="20"/>
                <w:color w:val="auto"/>
              </w:rPr>
            </w:pPr>
            <w:r>
              <w:rPr>
                <w:rFonts w:ascii="Calibri" w:cs="Calibri" w:eastAsia="Calibri" w:hAnsi="Calibri"/>
                <w:sz w:val="14"/>
                <w:szCs w:val="14"/>
                <w:b w:val="1"/>
                <w:bCs w:val="1"/>
                <w:color w:val="auto"/>
              </w:rPr>
              <w:t>(Provision) /</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4"/>
          </w:tcPr>
          <w:p>
            <w:pPr>
              <w:jc w:val="center"/>
              <w:ind w:right="420"/>
              <w:spacing w:after="0" w:line="164" w:lineRule="exact"/>
              <w:rPr>
                <w:sz w:val="20"/>
                <w:szCs w:val="20"/>
                <w:color w:val="auto"/>
              </w:rPr>
            </w:pPr>
            <w:r>
              <w:rPr>
                <w:rFonts w:ascii="Calibri" w:cs="Calibri" w:eastAsia="Calibri" w:hAnsi="Calibri"/>
                <w:sz w:val="14"/>
                <w:szCs w:val="14"/>
                <w:b w:val="1"/>
                <w:bCs w:val="1"/>
                <w:color w:val="auto"/>
              </w:rPr>
              <w:t>(Provision) /</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3"/>
          </w:tcPr>
          <w:p>
            <w:pPr>
              <w:jc w:val="center"/>
              <w:ind w:right="508"/>
              <w:spacing w:after="0"/>
              <w:rPr>
                <w:sz w:val="20"/>
                <w:szCs w:val="20"/>
                <w:color w:val="auto"/>
              </w:rPr>
            </w:pPr>
            <w:r>
              <w:rPr>
                <w:rFonts w:ascii="Calibri" w:cs="Calibri" w:eastAsia="Calibri" w:hAnsi="Calibri"/>
                <w:sz w:val="14"/>
                <w:szCs w:val="14"/>
                <w:b w:val="1"/>
                <w:bCs w:val="1"/>
                <w:color w:val="auto"/>
              </w:rPr>
              <w:t>Beneft for</w:t>
            </w: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tcPr>
          <w:p>
            <w:pPr>
              <w:jc w:val="center"/>
              <w:ind w:right="540"/>
              <w:spacing w:after="0"/>
              <w:rPr>
                <w:sz w:val="20"/>
                <w:szCs w:val="20"/>
                <w:color w:val="auto"/>
              </w:rPr>
            </w:pPr>
            <w:r>
              <w:rPr>
                <w:rFonts w:ascii="Calibri" w:cs="Calibri" w:eastAsia="Calibri" w:hAnsi="Calibri"/>
                <w:sz w:val="14"/>
                <w:szCs w:val="14"/>
                <w:b w:val="1"/>
                <w:bCs w:val="1"/>
                <w:color w:val="auto"/>
              </w:rPr>
              <w:t>Beneft for</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20" w:type="dxa"/>
            <w:vAlign w:val="bottom"/>
          </w:tcPr>
          <w:p>
            <w:pPr>
              <w:spacing w:after="0"/>
              <w:rPr>
                <w:sz w:val="15"/>
                <w:szCs w:val="15"/>
                <w:color w:val="auto"/>
              </w:rPr>
            </w:pPr>
          </w:p>
        </w:tc>
        <w:tc>
          <w:tcPr>
            <w:tcW w:w="1380" w:type="dxa"/>
            <w:vAlign w:val="bottom"/>
            <w:gridSpan w:val="4"/>
          </w:tcPr>
          <w:p>
            <w:pPr>
              <w:jc w:val="center"/>
              <w:ind w:right="348"/>
              <w:spacing w:after="0"/>
              <w:rPr>
                <w:sz w:val="20"/>
                <w:szCs w:val="20"/>
                <w:color w:val="auto"/>
              </w:rPr>
            </w:pPr>
            <w:r>
              <w:rPr>
                <w:rFonts w:ascii="Calibri" w:cs="Calibri" w:eastAsia="Calibri" w:hAnsi="Calibri"/>
                <w:sz w:val="14"/>
                <w:szCs w:val="14"/>
                <w:b w:val="1"/>
                <w:bCs w:val="1"/>
                <w:color w:val="auto"/>
              </w:rPr>
              <w:t>Income Taxes</w:t>
            </w:r>
          </w:p>
        </w:tc>
        <w:tc>
          <w:tcPr>
            <w:tcW w:w="1020" w:type="dxa"/>
            <w:vAlign w:val="bottom"/>
            <w:gridSpan w:val="2"/>
          </w:tcPr>
          <w:p>
            <w:pPr>
              <w:jc w:val="right"/>
              <w:ind w:right="600"/>
              <w:spacing w:after="0"/>
              <w:rPr>
                <w:sz w:val="20"/>
                <w:szCs w:val="20"/>
                <w:color w:val="auto"/>
              </w:rPr>
            </w:pPr>
            <w:r>
              <w:rPr>
                <w:rFonts w:ascii="Calibri" w:cs="Calibri" w:eastAsia="Calibri" w:hAnsi="Calibri"/>
                <w:sz w:val="14"/>
                <w:szCs w:val="14"/>
                <w:b w:val="1"/>
                <w:bCs w:val="1"/>
                <w:color w:val="auto"/>
              </w:rPr>
              <w:t>Rate</w:t>
            </w:r>
          </w:p>
        </w:tc>
        <w:tc>
          <w:tcPr>
            <w:tcW w:w="1320" w:type="dxa"/>
            <w:vAlign w:val="bottom"/>
            <w:gridSpan w:val="4"/>
          </w:tcPr>
          <w:p>
            <w:pPr>
              <w:jc w:val="center"/>
              <w:ind w:right="400"/>
              <w:spacing w:after="0"/>
              <w:rPr>
                <w:sz w:val="20"/>
                <w:szCs w:val="20"/>
                <w:color w:val="auto"/>
              </w:rPr>
            </w:pPr>
            <w:r>
              <w:rPr>
                <w:rFonts w:ascii="Calibri" w:cs="Calibri" w:eastAsia="Calibri" w:hAnsi="Calibri"/>
                <w:sz w:val="14"/>
                <w:szCs w:val="14"/>
                <w:b w:val="1"/>
                <w:bCs w:val="1"/>
                <w:color w:val="auto"/>
              </w:rPr>
              <w:t>Income Taxes</w:t>
            </w:r>
          </w:p>
        </w:tc>
        <w:tc>
          <w:tcPr>
            <w:tcW w:w="900" w:type="dxa"/>
            <w:vAlign w:val="bottom"/>
            <w:gridSpan w:val="2"/>
          </w:tcPr>
          <w:p>
            <w:pPr>
              <w:jc w:val="right"/>
              <w:ind w:right="500"/>
              <w:spacing w:after="0"/>
              <w:rPr>
                <w:sz w:val="20"/>
                <w:szCs w:val="20"/>
                <w:color w:val="auto"/>
              </w:rPr>
            </w:pPr>
            <w:r>
              <w:rPr>
                <w:rFonts w:ascii="Calibri" w:cs="Calibri" w:eastAsia="Calibri" w:hAnsi="Calibri"/>
                <w:sz w:val="14"/>
                <w:szCs w:val="14"/>
                <w:b w:val="1"/>
                <w:bCs w:val="1"/>
                <w:color w:val="auto"/>
              </w:rPr>
              <w:t>Rate</w:t>
            </w:r>
          </w:p>
        </w:tc>
        <w:tc>
          <w:tcPr>
            <w:tcW w:w="0" w:type="dxa"/>
            <w:vAlign w:val="bottom"/>
          </w:tcPr>
          <w:p>
            <w:pPr>
              <w:spacing w:after="0"/>
              <w:rPr>
                <w:sz w:val="1"/>
                <w:szCs w:val="1"/>
                <w:color w:val="auto"/>
              </w:rPr>
            </w:pPr>
          </w:p>
        </w:tc>
      </w:tr>
      <w:tr>
        <w:trPr>
          <w:trHeight w:val="33"/>
        </w:trPr>
        <w:tc>
          <w:tcPr>
            <w:tcW w:w="4420" w:type="dxa"/>
            <w:vAlign w:val="bottom"/>
            <w:vMerge w:val="restart"/>
          </w:tcPr>
          <w:p>
            <w:pPr>
              <w:spacing w:after="0"/>
              <w:rPr>
                <w:sz w:val="20"/>
                <w:szCs w:val="20"/>
                <w:color w:val="auto"/>
              </w:rPr>
            </w:pPr>
            <w:r>
              <w:rPr>
                <w:rFonts w:ascii="Calibri" w:cs="Calibri" w:eastAsia="Calibri" w:hAnsi="Calibri"/>
                <w:sz w:val="14"/>
                <w:szCs w:val="14"/>
                <w:b w:val="1"/>
                <w:bCs w:val="1"/>
                <w:color w:val="auto"/>
              </w:rPr>
              <w:t>Dollars in millions</w:t>
            </w: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4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4420" w:type="dxa"/>
            <w:vAlign w:val="bottom"/>
          </w:tcPr>
          <w:p>
            <w:pPr>
              <w:spacing w:after="0"/>
              <w:rPr>
                <w:sz w:val="20"/>
                <w:szCs w:val="20"/>
                <w:color w:val="auto"/>
              </w:rPr>
            </w:pPr>
            <w:r>
              <w:rPr>
                <w:rFonts w:ascii="Calibri" w:cs="Calibri" w:eastAsia="Calibri" w:hAnsi="Calibri"/>
                <w:sz w:val="18"/>
                <w:szCs w:val="18"/>
                <w:color w:val="auto"/>
              </w:rPr>
              <w:t>Efectve tax rate</w:t>
            </w:r>
          </w:p>
        </w:tc>
        <w:tc>
          <w:tcPr>
            <w:tcW w:w="120" w:type="dxa"/>
            <w:vAlign w:val="bottom"/>
          </w:tcPr>
          <w:p>
            <w:pPr>
              <w:jc w:val="right"/>
              <w:spacing w:after="0"/>
              <w:rPr>
                <w:sz w:val="20"/>
                <w:szCs w:val="20"/>
                <w:color w:val="auto"/>
              </w:rPr>
            </w:pPr>
            <w:r>
              <w:rPr>
                <w:rFonts w:ascii="Calibri" w:cs="Calibri" w:eastAsia="Calibri" w:hAnsi="Calibri"/>
                <w:sz w:val="18"/>
                <w:szCs w:val="18"/>
                <w:color w:val="auto"/>
                <w:w w:val="87"/>
              </w:rPr>
              <w:t>$</w:t>
            </w:r>
          </w:p>
        </w:tc>
        <w:tc>
          <w:tcPr>
            <w:tcW w:w="1060" w:type="dxa"/>
            <w:vAlign w:val="bottom"/>
            <w:gridSpan w:val="2"/>
          </w:tcPr>
          <w:p>
            <w:pPr>
              <w:jc w:val="right"/>
              <w:ind w:right="160"/>
              <w:spacing w:after="0"/>
              <w:rPr>
                <w:sz w:val="20"/>
                <w:szCs w:val="20"/>
                <w:color w:val="auto"/>
              </w:rPr>
            </w:pPr>
            <w:r>
              <w:rPr>
                <w:rFonts w:ascii="Calibri" w:cs="Calibri" w:eastAsia="Calibri" w:hAnsi="Calibri"/>
                <w:sz w:val="18"/>
                <w:szCs w:val="18"/>
                <w:color w:val="auto"/>
              </w:rPr>
              <w:t>(34 )</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Calibri" w:cs="Calibri" w:eastAsia="Calibri" w:hAnsi="Calibri"/>
                <w:sz w:val="18"/>
                <w:szCs w:val="18"/>
                <w:color w:val="auto"/>
              </w:rPr>
              <w:t>36 %</w:t>
            </w:r>
          </w:p>
        </w:tc>
        <w:tc>
          <w:tcPr>
            <w:tcW w:w="120" w:type="dxa"/>
            <w:vAlign w:val="bottom"/>
          </w:tcPr>
          <w:p>
            <w:pPr>
              <w:jc w:val="right"/>
              <w:spacing w:after="0"/>
              <w:rPr>
                <w:sz w:val="20"/>
                <w:szCs w:val="20"/>
                <w:color w:val="auto"/>
              </w:rPr>
            </w:pPr>
            <w:r>
              <w:rPr>
                <w:rFonts w:ascii="Calibri" w:cs="Calibri" w:eastAsia="Calibri" w:hAnsi="Calibri"/>
                <w:sz w:val="18"/>
                <w:szCs w:val="18"/>
                <w:color w:val="auto"/>
                <w:w w:val="87"/>
              </w:rPr>
              <w:t>$</w:t>
            </w:r>
          </w:p>
        </w:tc>
        <w:tc>
          <w:tcPr>
            <w:tcW w:w="1000" w:type="dxa"/>
            <w:vAlign w:val="bottom"/>
            <w:gridSpan w:val="2"/>
          </w:tcPr>
          <w:p>
            <w:pPr>
              <w:jc w:val="right"/>
              <w:ind w:right="120"/>
              <w:spacing w:after="0"/>
              <w:rPr>
                <w:sz w:val="20"/>
                <w:szCs w:val="20"/>
                <w:color w:val="auto"/>
              </w:rPr>
            </w:pPr>
            <w:r>
              <w:rPr>
                <w:rFonts w:ascii="Calibri" w:cs="Calibri" w:eastAsia="Calibri" w:hAnsi="Calibri"/>
                <w:sz w:val="18"/>
                <w:szCs w:val="18"/>
                <w:color w:val="auto"/>
              </w:rPr>
              <w:t>(20 )</w:t>
            </w:r>
          </w:p>
        </w:tc>
        <w:tc>
          <w:tcPr>
            <w:tcW w:w="2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Calibri" w:cs="Calibri" w:eastAsia="Calibri" w:hAnsi="Calibri"/>
                <w:sz w:val="18"/>
                <w:szCs w:val="18"/>
                <w:color w:val="auto"/>
              </w:rPr>
              <w:t>24 %</w:t>
            </w:r>
          </w:p>
        </w:tc>
        <w:tc>
          <w:tcPr>
            <w:tcW w:w="0" w:type="dxa"/>
            <w:vAlign w:val="bottom"/>
          </w:tcPr>
          <w:p>
            <w:pPr>
              <w:spacing w:after="0"/>
              <w:rPr>
                <w:sz w:val="1"/>
                <w:szCs w:val="1"/>
                <w:color w:val="auto"/>
              </w:rPr>
            </w:pPr>
          </w:p>
        </w:tc>
      </w:tr>
      <w:tr>
        <w:trPr>
          <w:trHeight w:val="280"/>
        </w:trPr>
        <w:tc>
          <w:tcPr>
            <w:tcW w:w="4420" w:type="dxa"/>
            <w:vAlign w:val="bottom"/>
          </w:tcPr>
          <w:p>
            <w:pPr>
              <w:spacing w:after="0" w:line="280" w:lineRule="exact"/>
              <w:rPr>
                <w:sz w:val="20"/>
                <w:szCs w:val="20"/>
                <w:color w:val="auto"/>
              </w:rPr>
            </w:pPr>
            <w:r>
              <w:rPr>
                <w:rFonts w:ascii="Calibri" w:cs="Calibri" w:eastAsia="Calibri" w:hAnsi="Calibri"/>
                <w:sz w:val="18"/>
                <w:szCs w:val="18"/>
                <w:color w:val="auto"/>
              </w:rPr>
              <w:t>Less: Non-GAAP tax adjustments</w:t>
            </w:r>
            <w:r>
              <w:rPr>
                <w:rFonts w:ascii="Calibri" w:cs="Calibri" w:eastAsia="Calibri" w:hAnsi="Calibri"/>
                <w:sz w:val="24"/>
                <w:szCs w:val="24"/>
                <w:color w:val="auto"/>
                <w:vertAlign w:val="superscript"/>
              </w:rPr>
              <w:t>(1)</w:t>
            </w: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4</w:t>
            </w: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1</w:t>
            </w:r>
          </w:p>
        </w:tc>
        <w:tc>
          <w:tcPr>
            <w:tcW w:w="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420" w:type="dxa"/>
            <w:vAlign w:val="bottom"/>
          </w:tcPr>
          <w:p>
            <w:pPr>
              <w:spacing w:after="0"/>
              <w:rPr>
                <w:sz w:val="20"/>
                <w:szCs w:val="20"/>
                <w:color w:val="auto"/>
              </w:rPr>
            </w:pPr>
            <w:r>
              <w:rPr>
                <w:rFonts w:ascii="Calibri" w:cs="Calibri" w:eastAsia="Calibri" w:hAnsi="Calibri"/>
                <w:sz w:val="18"/>
                <w:szCs w:val="18"/>
                <w:color w:val="auto"/>
              </w:rPr>
              <w:t>Operatng tax rate</w:t>
            </w:r>
          </w:p>
        </w:tc>
        <w:tc>
          <w:tcPr>
            <w:tcW w:w="12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06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(38 )</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28 %</w:t>
            </w:r>
          </w:p>
        </w:tc>
        <w:tc>
          <w:tcPr>
            <w:tcW w:w="12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00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(21 )</w:t>
            </w:r>
          </w:p>
        </w:tc>
        <w:tc>
          <w:tcPr>
            <w:tcW w:w="200" w:type="dxa"/>
            <w:vAlign w:val="bottom"/>
          </w:tcPr>
          <w:p>
            <w:pPr>
              <w:spacing w:after="0"/>
              <w:rPr>
                <w:sz w:val="20"/>
                <w:szCs w:val="20"/>
                <w:color w:val="auto"/>
              </w:rPr>
            </w:pPr>
          </w:p>
        </w:tc>
        <w:tc>
          <w:tcPr>
            <w:tcW w:w="90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25 %</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-496570</wp:posOffset>
            </wp:positionV>
            <wp:extent cx="5700395" cy="1543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-179705</wp:posOffset>
            </wp:positionV>
            <wp:extent cx="5700395" cy="1803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700395" cy="180340"/>
                    </a:xfrm>
                    <a:prstGeom prst="rect">
                      <a:avLst/>
                    </a:prstGeom>
                    <a:noFill/>
                  </pic:spPr>
                </pic:pic>
              </a:graphicData>
            </a:graphic>
          </wp:anchor>
        </w:drawing>
      </w:r>
    </w:p>
    <w:p>
      <w:pPr>
        <w:spacing w:after="0" w:line="336" w:lineRule="exact"/>
        <w:rPr>
          <w:sz w:val="20"/>
          <w:szCs w:val="20"/>
          <w:color w:val="auto"/>
        </w:rPr>
      </w:pPr>
    </w:p>
    <w:p>
      <w:pPr>
        <w:ind w:left="520" w:right="40" w:hanging="512"/>
        <w:spacing w:after="0" w:line="211" w:lineRule="auto"/>
        <w:tabs>
          <w:tab w:leader="none" w:pos="520" w:val="left"/>
        </w:tabs>
        <w:numPr>
          <w:ilvl w:val="0"/>
          <w:numId w:val="9"/>
        </w:numPr>
        <w:rPr>
          <w:rFonts w:ascii="Calibri" w:cs="Calibri" w:eastAsia="Calibri" w:hAnsi="Calibri"/>
          <w:sz w:val="24"/>
          <w:szCs w:val="24"/>
          <w:color w:val="auto"/>
          <w:vertAlign w:val="superscript"/>
        </w:rPr>
      </w:pPr>
      <w:r>
        <w:rPr>
          <w:rFonts w:ascii="Calibri" w:cs="Calibri" w:eastAsia="Calibri" w:hAnsi="Calibri"/>
          <w:sz w:val="18"/>
          <w:szCs w:val="18"/>
          <w:color w:val="auto"/>
        </w:rPr>
        <w:t>Non-GAAP tax adjustments made to arrive at the operatng tax provision include the income tax (expense) beneft on certain items, discrete tax items, and, on a quarterly basis, the tming of losses in certain jurisdictons, as further described above under the heading “Defniton of Terms and Non-GAAP Financial Measures”.</w:t>
      </w:r>
    </w:p>
    <w:p>
      <w:pPr>
        <w:spacing w:after="0" w:line="85" w:lineRule="exact"/>
        <w:rPr>
          <w:sz w:val="20"/>
          <w:szCs w:val="20"/>
          <w:color w:val="auto"/>
        </w:rPr>
      </w:pPr>
    </w:p>
    <w:p>
      <w:pPr>
        <w:ind w:right="320" w:firstLine="509"/>
        <w:spacing w:after="0" w:line="254" w:lineRule="auto"/>
        <w:rPr>
          <w:sz w:val="20"/>
          <w:szCs w:val="20"/>
          <w:color w:val="auto"/>
        </w:rPr>
      </w:pPr>
      <w:r>
        <w:rPr>
          <w:rFonts w:ascii="Calibri" w:cs="Calibri" w:eastAsia="Calibri" w:hAnsi="Calibri"/>
          <w:sz w:val="17"/>
          <w:szCs w:val="17"/>
          <w:color w:val="auto"/>
        </w:rPr>
        <w:t>For the three months ended December 31, 2023, the (Provision) beneft for income taxes was a provision of $34 million compared to a $20 million provision for the three months ended December 31, 2022, with the change primarily due to higher earnings in the current period. Our income taxes are afected by the mix of earnings in the tax jurisdictons in which we operate, and by the presence of valuaton allowances in certain tax jurisdictons.</w:t>
      </w:r>
    </w:p>
    <w:p>
      <w:pPr>
        <w:spacing w:after="0" w:line="70" w:lineRule="exact"/>
        <w:rPr>
          <w:sz w:val="20"/>
          <w:szCs w:val="20"/>
          <w:color w:val="auto"/>
        </w:rPr>
      </w:pPr>
    </w:p>
    <w:p>
      <w:pPr>
        <w:ind w:right="20" w:firstLine="509"/>
        <w:spacing w:after="0" w:line="252" w:lineRule="auto"/>
        <w:rPr>
          <w:sz w:val="20"/>
          <w:szCs w:val="20"/>
          <w:color w:val="auto"/>
        </w:rPr>
      </w:pPr>
      <w:r>
        <w:rPr>
          <w:rFonts w:ascii="Calibri" w:cs="Calibri" w:eastAsia="Calibri" w:hAnsi="Calibri"/>
          <w:sz w:val="17"/>
          <w:szCs w:val="17"/>
          <w:color w:val="auto"/>
        </w:rPr>
        <w:t>For fscal 2024, the Company expects the Operatng tax rate to be in the range of 28% to 30%. We are not providing a forward-looking reconciliaton of the operatng tax rate range with an efectve tax rate range because, without unreasonable efort, we are unable to predict with reasonable certainty the maters we would allocate to “certain items,” including unusual gains and losses, costs associated with future restructurings, acquisiton-related expenses and litgaton outcomes. These items are uncertain, depend on various factors, and could have a material impact on the efectve tax rate in future periods.</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415925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9" w:right="359" w:bottom="1440" w:gutter="0" w:footer="0" w:header="0"/>
        </w:sectPr>
      </w:pPr>
    </w:p>
    <w:bookmarkStart w:id="21" w:name="page22"/>
    <w:bookmarkEnd w:id="21"/>
    <w:p>
      <w:pPr>
        <w:ind w:left="520"/>
        <w:spacing w:after="0"/>
        <w:rPr>
          <w:sz w:val="20"/>
          <w:szCs w:val="20"/>
          <w:color w:val="auto"/>
        </w:rPr>
      </w:pPr>
      <w:r>
        <w:rPr>
          <w:rFonts w:ascii="Calibri" w:cs="Calibri" w:eastAsia="Calibri" w:hAnsi="Calibri"/>
          <w:sz w:val="18"/>
          <w:szCs w:val="18"/>
          <w:i w:val="1"/>
          <w:iCs w:val="1"/>
          <w:color w:val="auto"/>
        </w:rPr>
        <w:t>Net Income (Loss) Atributable to Noncontrolling Interests</w:t>
      </w:r>
    </w:p>
    <w:p>
      <w:pPr>
        <w:spacing w:after="0" w:line="1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3000" w:type="dxa"/>
            <w:vAlign w:val="bottom"/>
            <w:gridSpan w:val="4"/>
          </w:tcPr>
          <w:p>
            <w:pPr>
              <w:jc w:val="right"/>
              <w:ind w:right="260"/>
              <w:spacing w:after="0"/>
              <w:rPr>
                <w:sz w:val="20"/>
                <w:szCs w:val="20"/>
                <w:color w:val="auto"/>
              </w:rPr>
            </w:pPr>
            <w:r>
              <w:rPr>
                <w:rFonts w:ascii="Calibri" w:cs="Calibri" w:eastAsia="Calibri" w:hAnsi="Calibri"/>
                <w:sz w:val="14"/>
                <w:szCs w:val="14"/>
                <w:b w:val="1"/>
                <w:bCs w:val="1"/>
                <w:color w:val="auto"/>
              </w:rPr>
              <w:t>Three Months Ended December 31</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3"/>
        </w:trPr>
        <w:tc>
          <w:tcPr>
            <w:tcW w:w="54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3"/>
        </w:trPr>
        <w:tc>
          <w:tcPr>
            <w:tcW w:w="5480" w:type="dxa"/>
            <w:vAlign w:val="bottom"/>
          </w:tcPr>
          <w:p>
            <w:pPr>
              <w:spacing w:after="0"/>
              <w:rPr>
                <w:sz w:val="14"/>
                <w:szCs w:val="14"/>
                <w:color w:val="auto"/>
              </w:rPr>
            </w:pPr>
          </w:p>
        </w:tc>
        <w:tc>
          <w:tcPr>
            <w:tcW w:w="1140" w:type="dxa"/>
            <w:vAlign w:val="bottom"/>
          </w:tcPr>
          <w:p>
            <w:pPr>
              <w:jc w:val="right"/>
              <w:ind w:right="119"/>
              <w:spacing w:after="0" w:line="164" w:lineRule="exact"/>
              <w:rPr>
                <w:sz w:val="20"/>
                <w:szCs w:val="20"/>
                <w:color w:val="auto"/>
              </w:rPr>
            </w:pPr>
            <w:r>
              <w:rPr>
                <w:rFonts w:ascii="Calibri" w:cs="Calibri" w:eastAsia="Calibri" w:hAnsi="Calibri"/>
                <w:sz w:val="14"/>
                <w:szCs w:val="14"/>
                <w:b w:val="1"/>
                <w:bCs w:val="1"/>
                <w:color w:val="auto"/>
              </w:rPr>
              <w:t>2023</w:t>
            </w:r>
          </w:p>
        </w:tc>
        <w:tc>
          <w:tcPr>
            <w:tcW w:w="440" w:type="dxa"/>
            <w:vAlign w:val="bottom"/>
          </w:tcPr>
          <w:p>
            <w:pPr>
              <w:spacing w:after="0"/>
              <w:rPr>
                <w:sz w:val="14"/>
                <w:szCs w:val="14"/>
                <w:color w:val="auto"/>
              </w:rPr>
            </w:pPr>
          </w:p>
        </w:tc>
        <w:tc>
          <w:tcPr>
            <w:tcW w:w="1420" w:type="dxa"/>
            <w:vAlign w:val="bottom"/>
            <w:gridSpan w:val="2"/>
          </w:tcPr>
          <w:p>
            <w:pPr>
              <w:jc w:val="right"/>
              <w:ind w:right="220"/>
              <w:spacing w:after="0" w:line="164" w:lineRule="exact"/>
              <w:rPr>
                <w:sz w:val="20"/>
                <w:szCs w:val="20"/>
                <w:color w:val="auto"/>
              </w:rPr>
            </w:pPr>
            <w:r>
              <w:rPr>
                <w:rFonts w:ascii="Calibri" w:cs="Calibri" w:eastAsia="Calibri" w:hAnsi="Calibri"/>
                <w:sz w:val="14"/>
                <w:szCs w:val="14"/>
                <w:b w:val="1"/>
                <w:bCs w:val="1"/>
                <w:color w:val="auto"/>
              </w:rPr>
              <w:t>2022</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3"/>
        </w:trPr>
        <w:tc>
          <w:tcPr>
            <w:tcW w:w="54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3"/>
        </w:trPr>
        <w:tc>
          <w:tcPr>
            <w:tcW w:w="5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(In</w:t>
            </w:r>
          </w:p>
        </w:tc>
        <w:tc>
          <w:tcPr>
            <w:tcW w:w="1420" w:type="dxa"/>
            <w:vAlign w:val="bottom"/>
            <w:gridSpan w:val="2"/>
          </w:tcPr>
          <w:p>
            <w:pPr>
              <w:jc w:val="right"/>
              <w:ind w:right="940"/>
              <w:spacing w:after="0" w:line="164" w:lineRule="exact"/>
              <w:rPr>
                <w:sz w:val="20"/>
                <w:szCs w:val="20"/>
                <w:color w:val="auto"/>
              </w:rPr>
            </w:pPr>
            <w:r>
              <w:rPr>
                <w:rFonts w:ascii="Calibri" w:cs="Calibri" w:eastAsia="Calibri" w:hAnsi="Calibri"/>
                <w:sz w:val="14"/>
                <w:szCs w:val="14"/>
                <w:b w:val="1"/>
                <w:bCs w:val="1"/>
                <w:color w:val="auto"/>
                <w:w w:val="91"/>
              </w:rPr>
              <w:t>millions)</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3"/>
        </w:trPr>
        <w:tc>
          <w:tcPr>
            <w:tcW w:w="5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07"/>
        </w:trPr>
        <w:tc>
          <w:tcPr>
            <w:tcW w:w="5480" w:type="dxa"/>
            <w:vAlign w:val="bottom"/>
            <w:shd w:val="clear" w:color="auto" w:fill="CFF0FC"/>
          </w:tcPr>
          <w:p>
            <w:pPr>
              <w:spacing w:after="0" w:line="207" w:lineRule="exact"/>
              <w:rPr>
                <w:sz w:val="20"/>
                <w:szCs w:val="20"/>
                <w:color w:val="auto"/>
              </w:rPr>
            </w:pPr>
            <w:r>
              <w:rPr>
                <w:rFonts w:ascii="Calibri" w:cs="Calibri" w:eastAsia="Calibri" w:hAnsi="Calibri"/>
                <w:sz w:val="18"/>
                <w:szCs w:val="18"/>
                <w:color w:val="auto"/>
              </w:rPr>
              <w:t>Equity in earnings of afliated companies,</w:t>
            </w:r>
          </w:p>
        </w:tc>
        <w:tc>
          <w:tcPr>
            <w:tcW w:w="1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2"/>
        </w:trPr>
        <w:tc>
          <w:tcPr>
            <w:tcW w:w="548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net of tax</w:t>
            </w:r>
          </w:p>
        </w:tc>
        <w:tc>
          <w:tcPr>
            <w:tcW w:w="1140" w:type="dxa"/>
            <w:vAlign w:val="bottom"/>
            <w:tcBorders>
              <w:bottom w:val="single" w:sz="8" w:color="CFF0FC"/>
            </w:tcBorders>
            <w:shd w:val="clear" w:color="auto" w:fill="CFF0FC"/>
          </w:tcPr>
          <w:p>
            <w:pPr>
              <w:jc w:val="right"/>
              <w:ind w:right="959"/>
              <w:spacing w:after="0" w:line="215" w:lineRule="exact"/>
              <w:rPr>
                <w:sz w:val="20"/>
                <w:szCs w:val="20"/>
                <w:color w:val="auto"/>
              </w:rPr>
            </w:pPr>
            <w:r>
              <w:rPr>
                <w:rFonts w:ascii="Calibri" w:cs="Calibri" w:eastAsia="Calibri" w:hAnsi="Calibri"/>
                <w:sz w:val="18"/>
                <w:szCs w:val="18"/>
                <w:color w:val="auto"/>
                <w:w w:val="87"/>
              </w:rPr>
              <w:t>$</w:t>
            </w:r>
          </w:p>
        </w:tc>
        <w:tc>
          <w:tcPr>
            <w:tcW w:w="4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1420" w:type="dxa"/>
            <w:vAlign w:val="bottom"/>
            <w:tcBorders>
              <w:bottom w:val="single" w:sz="8" w:color="CFF0FC"/>
            </w:tcBorders>
            <w:gridSpan w:val="2"/>
            <w:shd w:val="clear" w:color="auto" w:fill="CFF0FC"/>
          </w:tcPr>
          <w:p>
            <w:pPr>
              <w:jc w:val="right"/>
              <w:ind w:right="1040"/>
              <w:spacing w:after="0" w:line="215" w:lineRule="exact"/>
              <w:rPr>
                <w:sz w:val="20"/>
                <w:szCs w:val="20"/>
                <w:color w:val="auto"/>
              </w:rPr>
            </w:pPr>
            <w:r>
              <w:rPr>
                <w:rFonts w:ascii="Calibri" w:cs="Calibri" w:eastAsia="Calibri" w:hAnsi="Calibri"/>
                <w:sz w:val="18"/>
                <w:szCs w:val="18"/>
                <w:color w:val="auto"/>
              </w:rPr>
              <w:t>$</w:t>
            </w:r>
          </w:p>
        </w:tc>
        <w:tc>
          <w:tcPr>
            <w:tcW w:w="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07"/>
        </w:trPr>
        <w:tc>
          <w:tcPr>
            <w:tcW w:w="5480" w:type="dxa"/>
            <w:vAlign w:val="bottom"/>
          </w:tcPr>
          <w:p>
            <w:pPr>
              <w:spacing w:after="0" w:line="207" w:lineRule="exact"/>
              <w:rPr>
                <w:sz w:val="20"/>
                <w:szCs w:val="20"/>
                <w:color w:val="auto"/>
              </w:rPr>
            </w:pPr>
            <w:r>
              <w:rPr>
                <w:rFonts w:ascii="Calibri" w:cs="Calibri" w:eastAsia="Calibri" w:hAnsi="Calibri"/>
                <w:sz w:val="18"/>
                <w:szCs w:val="18"/>
                <w:color w:val="auto"/>
              </w:rPr>
              <w:t>Net income (loss) atributable to</w:t>
            </w: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5480" w:type="dxa"/>
            <w:vAlign w:val="bottom"/>
          </w:tcPr>
          <w:p>
            <w:pPr>
              <w:ind w:left="120"/>
              <w:spacing w:after="0" w:line="215" w:lineRule="exact"/>
              <w:rPr>
                <w:sz w:val="20"/>
                <w:szCs w:val="20"/>
                <w:color w:val="auto"/>
              </w:rPr>
            </w:pPr>
            <w:r>
              <w:rPr>
                <w:rFonts w:ascii="Calibri" w:cs="Calibri" w:eastAsia="Calibri" w:hAnsi="Calibri"/>
                <w:sz w:val="18"/>
                <w:szCs w:val="18"/>
                <w:color w:val="auto"/>
              </w:rPr>
              <w:t>noncontrolling interests, net of tax</w:t>
            </w:r>
          </w:p>
        </w:tc>
        <w:tc>
          <w:tcPr>
            <w:tcW w:w="1140" w:type="dxa"/>
            <w:vAlign w:val="bottom"/>
          </w:tcPr>
          <w:p>
            <w:pPr>
              <w:jc w:val="right"/>
              <w:ind w:right="959"/>
              <w:spacing w:after="0" w:line="215" w:lineRule="exact"/>
              <w:rPr>
                <w:sz w:val="20"/>
                <w:szCs w:val="20"/>
                <w:color w:val="auto"/>
              </w:rPr>
            </w:pPr>
            <w:r>
              <w:rPr>
                <w:rFonts w:ascii="Calibri" w:cs="Calibri" w:eastAsia="Calibri" w:hAnsi="Calibri"/>
                <w:sz w:val="18"/>
                <w:szCs w:val="18"/>
                <w:color w:val="auto"/>
                <w:w w:val="87"/>
              </w:rPr>
              <w:t>$</w:t>
            </w:r>
          </w:p>
        </w:tc>
        <w:tc>
          <w:tcPr>
            <w:tcW w:w="440" w:type="dxa"/>
            <w:vAlign w:val="bottom"/>
          </w:tcPr>
          <w:p>
            <w:pPr>
              <w:jc w:val="right"/>
              <w:spacing w:after="0" w:line="215" w:lineRule="exact"/>
              <w:rPr>
                <w:sz w:val="20"/>
                <w:szCs w:val="20"/>
                <w:color w:val="auto"/>
              </w:rPr>
            </w:pPr>
            <w:r>
              <w:rPr>
                <w:rFonts w:ascii="Calibri" w:cs="Calibri" w:eastAsia="Calibri" w:hAnsi="Calibri"/>
                <w:sz w:val="18"/>
                <w:szCs w:val="18"/>
                <w:color w:val="auto"/>
              </w:rPr>
              <w:t>11</w:t>
            </w:r>
          </w:p>
        </w:tc>
        <w:tc>
          <w:tcPr>
            <w:tcW w:w="1420" w:type="dxa"/>
            <w:vAlign w:val="bottom"/>
            <w:gridSpan w:val="2"/>
          </w:tcPr>
          <w:p>
            <w:pPr>
              <w:jc w:val="right"/>
              <w:ind w:right="1040"/>
              <w:spacing w:after="0" w:line="215" w:lineRule="exact"/>
              <w:rPr>
                <w:sz w:val="20"/>
                <w:szCs w:val="20"/>
                <w:color w:val="auto"/>
              </w:rPr>
            </w:pPr>
            <w:r>
              <w:rPr>
                <w:rFonts w:ascii="Calibri" w:cs="Calibri" w:eastAsia="Calibri" w:hAnsi="Calibri"/>
                <w:sz w:val="18"/>
                <w:szCs w:val="18"/>
                <w:color w:val="auto"/>
              </w:rPr>
              <w:t>$</w:t>
            </w:r>
          </w:p>
        </w:tc>
        <w:tc>
          <w:tcPr>
            <w:tcW w:w="420" w:type="dxa"/>
            <w:vAlign w:val="bottom"/>
          </w:tcPr>
          <w:p>
            <w:pPr>
              <w:jc w:val="right"/>
              <w:spacing w:after="0" w:line="215" w:lineRule="exact"/>
              <w:rPr>
                <w:sz w:val="20"/>
                <w:szCs w:val="20"/>
                <w:color w:val="auto"/>
              </w:rPr>
            </w:pPr>
            <w:r>
              <w:rPr>
                <w:rFonts w:ascii="Calibri" w:cs="Calibri" w:eastAsia="Calibri" w:hAnsi="Calibri"/>
                <w:sz w:val="18"/>
                <w:szCs w:val="18"/>
                <w:color w:val="auto"/>
              </w:rPr>
              <w:t>12</w:t>
            </w:r>
          </w:p>
        </w:tc>
        <w:tc>
          <w:tcPr>
            <w:tcW w:w="80" w:type="dxa"/>
            <w:vAlign w:val="bottom"/>
          </w:tcPr>
          <w:p>
            <w:pPr>
              <w:spacing w:after="0"/>
              <w:rPr>
                <w:sz w:val="18"/>
                <w:szCs w:val="18"/>
                <w:color w:val="auto"/>
              </w:rPr>
            </w:pPr>
          </w:p>
        </w:tc>
      </w:tr>
    </w:tbl>
    <w:p>
      <w:pPr>
        <w:spacing w:after="0" w:line="204"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Equity in earnings of afliated companies, net of tax, decreased by $1 million in the frst quarter of fscal 2024 compared to the same period of fscal 2023, primarily due to lower proftability at our equity afliate in Venezuela.</w:t>
      </w:r>
    </w:p>
    <w:p>
      <w:pPr>
        <w:spacing w:after="0" w:line="83"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Net income (loss) atributable to noncontrolling interests, net of tax, decreased by $1 million in the frst quarter of fscal 2024 compared to the same period of fscal 2023.</w:t>
      </w:r>
    </w:p>
    <w:p>
      <w:pPr>
        <w:spacing w:after="0" w:line="7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Net Income Atributable to Cabot Corporaton</w:t>
      </w:r>
    </w:p>
    <w:p>
      <w:pPr>
        <w:spacing w:after="0" w:line="82"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In the frst quarter fscal 2024, we reported Net income (loss) atributable to Cabot Corporaton of $50 million, or $0.88 per diluted common share. This compares to Net income (loss) atributable to Cabot Corporaton of $54 million, or $0.93 per diluted common share, in the frst quarter of fscal 2023. The lower net income in the frst quarter of fscal 2024 compared with the same period in fscal 2023 is primarily due to higher foreign currency losses of $40 million in Argentna, a higher provision for income taxes of $14 million, partally ofset by higher Total segment EBIT of $40 million and higher General unallocated income of $9 million.</w:t>
      </w:r>
    </w:p>
    <w:p>
      <w:pPr>
        <w:spacing w:after="0" w:line="8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First quarter of Fiscal 2024 versus First quarter of Fiscal 2023—By Business Segment</w:t>
      </w:r>
    </w:p>
    <w:p>
      <w:pPr>
        <w:spacing w:after="0" w:line="82"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Income (loss) before income taxes and equity in earnings of afliated companies, certain items, other unallocated items and Total segment EBIT for the three months ended December 31, 2023 and 2022 are set forth in the table below. The details of certain items and other unallocated items are shown below and in Note K of our Notes to the Consolidated Financial Statements.</w:t>
      </w:r>
    </w:p>
    <w:p>
      <w:pPr>
        <w:spacing w:after="0" w:line="13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2960" w:type="dxa"/>
            <w:vAlign w:val="bottom"/>
            <w:gridSpan w:val="4"/>
          </w:tcPr>
          <w:p>
            <w:pPr>
              <w:jc w:val="right"/>
              <w:ind w:right="136"/>
              <w:spacing w:after="0"/>
              <w:rPr>
                <w:sz w:val="20"/>
                <w:szCs w:val="20"/>
                <w:color w:val="auto"/>
              </w:rPr>
            </w:pPr>
            <w:r>
              <w:rPr>
                <w:rFonts w:ascii="Calibri" w:cs="Calibri" w:eastAsia="Calibri" w:hAnsi="Calibri"/>
                <w:sz w:val="14"/>
                <w:szCs w:val="14"/>
                <w:b w:val="1"/>
                <w:bCs w:val="1"/>
                <w:color w:val="auto"/>
              </w:rPr>
              <w:t>Three Months Ended December 31</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3"/>
        </w:trPr>
        <w:tc>
          <w:tcPr>
            <w:tcW w:w="54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3"/>
        </w:trPr>
        <w:tc>
          <w:tcPr>
            <w:tcW w:w="5480" w:type="dxa"/>
            <w:vAlign w:val="bottom"/>
          </w:tcPr>
          <w:p>
            <w:pPr>
              <w:spacing w:after="0"/>
              <w:rPr>
                <w:sz w:val="14"/>
                <w:szCs w:val="14"/>
                <w:color w:val="auto"/>
              </w:rPr>
            </w:pPr>
          </w:p>
        </w:tc>
        <w:tc>
          <w:tcPr>
            <w:tcW w:w="1120" w:type="dxa"/>
            <w:vAlign w:val="bottom"/>
          </w:tcPr>
          <w:p>
            <w:pPr>
              <w:jc w:val="right"/>
              <w:ind w:right="99"/>
              <w:spacing w:after="0" w:line="164" w:lineRule="exact"/>
              <w:rPr>
                <w:sz w:val="20"/>
                <w:szCs w:val="20"/>
                <w:color w:val="auto"/>
              </w:rPr>
            </w:pPr>
            <w:r>
              <w:rPr>
                <w:rFonts w:ascii="Calibri" w:cs="Calibri" w:eastAsia="Calibri" w:hAnsi="Calibri"/>
                <w:sz w:val="14"/>
                <w:szCs w:val="14"/>
                <w:b w:val="1"/>
                <w:bCs w:val="1"/>
                <w:color w:val="auto"/>
              </w:rPr>
              <w:t>2023</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right"/>
              <w:ind w:right="96"/>
              <w:spacing w:after="0" w:line="164" w:lineRule="exact"/>
              <w:rPr>
                <w:sz w:val="20"/>
                <w:szCs w:val="20"/>
                <w:color w:val="auto"/>
              </w:rPr>
            </w:pPr>
            <w:r>
              <w:rPr>
                <w:rFonts w:ascii="Calibri" w:cs="Calibri" w:eastAsia="Calibri" w:hAnsi="Calibri"/>
                <w:sz w:val="14"/>
                <w:szCs w:val="14"/>
                <w:b w:val="1"/>
                <w:bCs w:val="1"/>
                <w:color w:val="auto"/>
              </w:rPr>
              <w:t>2022</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3"/>
        </w:trPr>
        <w:tc>
          <w:tcPr>
            <w:tcW w:w="54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3"/>
        </w:trPr>
        <w:tc>
          <w:tcPr>
            <w:tcW w:w="5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(In</w:t>
            </w:r>
          </w:p>
        </w:tc>
        <w:tc>
          <w:tcPr>
            <w:tcW w:w="1380" w:type="dxa"/>
            <w:vAlign w:val="bottom"/>
            <w:gridSpan w:val="2"/>
          </w:tcPr>
          <w:p>
            <w:pPr>
              <w:jc w:val="right"/>
              <w:ind w:right="816"/>
              <w:spacing w:after="0" w:line="164" w:lineRule="exact"/>
              <w:rPr>
                <w:sz w:val="20"/>
                <w:szCs w:val="20"/>
                <w:color w:val="auto"/>
              </w:rPr>
            </w:pPr>
            <w:r>
              <w:rPr>
                <w:rFonts w:ascii="Calibri" w:cs="Calibri" w:eastAsia="Calibri" w:hAnsi="Calibri"/>
                <w:sz w:val="14"/>
                <w:szCs w:val="14"/>
                <w:b w:val="1"/>
                <w:bCs w:val="1"/>
                <w:color w:val="auto"/>
                <w:w w:val="91"/>
              </w:rPr>
              <w:t>millions)</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3"/>
        </w:trPr>
        <w:tc>
          <w:tcPr>
            <w:tcW w:w="5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07"/>
        </w:trPr>
        <w:tc>
          <w:tcPr>
            <w:tcW w:w="5480" w:type="dxa"/>
            <w:vAlign w:val="bottom"/>
            <w:shd w:val="clear" w:color="auto" w:fill="CFF0FC"/>
          </w:tcPr>
          <w:p>
            <w:pPr>
              <w:spacing w:after="0" w:line="207" w:lineRule="exact"/>
              <w:rPr>
                <w:sz w:val="20"/>
                <w:szCs w:val="20"/>
                <w:color w:val="auto"/>
              </w:rPr>
            </w:pPr>
            <w:r>
              <w:rPr>
                <w:rFonts w:ascii="Calibri" w:cs="Calibri" w:eastAsia="Calibri" w:hAnsi="Calibri"/>
                <w:sz w:val="18"/>
                <w:szCs w:val="18"/>
                <w:color w:val="auto"/>
              </w:rPr>
              <w:t>Income (loss) before income taxes and</w:t>
            </w:r>
          </w:p>
        </w:tc>
        <w:tc>
          <w:tcPr>
            <w:tcW w:w="1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2"/>
        </w:trPr>
        <w:tc>
          <w:tcPr>
            <w:tcW w:w="548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equity in earnings of afliated companies</w:t>
            </w:r>
          </w:p>
        </w:tc>
        <w:tc>
          <w:tcPr>
            <w:tcW w:w="1120" w:type="dxa"/>
            <w:vAlign w:val="bottom"/>
            <w:tcBorders>
              <w:bottom w:val="single" w:sz="8" w:color="CFF0FC"/>
            </w:tcBorders>
            <w:shd w:val="clear" w:color="auto" w:fill="CFF0FC"/>
          </w:tcPr>
          <w:p>
            <w:pPr>
              <w:jc w:val="right"/>
              <w:ind w:right="939"/>
              <w:spacing w:after="0" w:line="215" w:lineRule="exact"/>
              <w:rPr>
                <w:sz w:val="20"/>
                <w:szCs w:val="20"/>
                <w:color w:val="auto"/>
              </w:rPr>
            </w:pPr>
            <w:r>
              <w:rPr>
                <w:rFonts w:ascii="Calibri" w:cs="Calibri" w:eastAsia="Calibri" w:hAnsi="Calibri"/>
                <w:sz w:val="18"/>
                <w:szCs w:val="18"/>
                <w:color w:val="auto"/>
                <w:w w:val="87"/>
              </w:rPr>
              <w:t>$</w:t>
            </w:r>
          </w:p>
        </w:tc>
        <w:tc>
          <w:tcPr>
            <w:tcW w:w="4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94</w:t>
            </w:r>
          </w:p>
        </w:tc>
        <w:tc>
          <w:tcPr>
            <w:tcW w:w="28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jc w:val="right"/>
              <w:ind w:right="916"/>
              <w:spacing w:after="0" w:line="215" w:lineRule="exact"/>
              <w:rPr>
                <w:sz w:val="20"/>
                <w:szCs w:val="20"/>
                <w:color w:val="auto"/>
              </w:rPr>
            </w:pPr>
            <w:r>
              <w:rPr>
                <w:rFonts w:ascii="Calibri" w:cs="Calibri" w:eastAsia="Calibri" w:hAnsi="Calibri"/>
                <w:sz w:val="18"/>
                <w:szCs w:val="18"/>
                <w:color w:val="auto"/>
                <w:w w:val="87"/>
              </w:rPr>
              <w:t>$</w:t>
            </w:r>
          </w:p>
        </w:tc>
        <w:tc>
          <w:tcPr>
            <w:tcW w:w="4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84</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15"/>
        </w:trPr>
        <w:tc>
          <w:tcPr>
            <w:tcW w:w="5480" w:type="dxa"/>
            <w:vAlign w:val="bottom"/>
          </w:tcPr>
          <w:p>
            <w:pPr>
              <w:spacing w:after="0" w:line="215" w:lineRule="exact"/>
              <w:rPr>
                <w:sz w:val="20"/>
                <w:szCs w:val="20"/>
                <w:color w:val="auto"/>
              </w:rPr>
            </w:pPr>
            <w:r>
              <w:rPr>
                <w:rFonts w:ascii="Calibri" w:cs="Calibri" w:eastAsia="Calibri" w:hAnsi="Calibri"/>
                <w:sz w:val="18"/>
                <w:szCs w:val="18"/>
                <w:color w:val="auto"/>
              </w:rPr>
              <w:t>Less: Certain items</w:t>
            </w:r>
          </w:p>
        </w:tc>
        <w:tc>
          <w:tcPr>
            <w:tcW w:w="1120" w:type="dxa"/>
            <w:vAlign w:val="bottom"/>
          </w:tcPr>
          <w:p>
            <w:pPr>
              <w:spacing w:after="0"/>
              <w:rPr>
                <w:sz w:val="18"/>
                <w:szCs w:val="18"/>
                <w:color w:val="auto"/>
              </w:rPr>
            </w:pPr>
          </w:p>
        </w:tc>
        <w:tc>
          <w:tcPr>
            <w:tcW w:w="740" w:type="dxa"/>
            <w:vAlign w:val="bottom"/>
            <w:gridSpan w:val="2"/>
          </w:tcPr>
          <w:p>
            <w:pPr>
              <w:jc w:val="right"/>
              <w:ind w:right="148"/>
              <w:spacing w:after="0" w:line="215" w:lineRule="exact"/>
              <w:rPr>
                <w:sz w:val="20"/>
                <w:szCs w:val="20"/>
                <w:color w:val="auto"/>
              </w:rPr>
            </w:pPr>
            <w:r>
              <w:rPr>
                <w:rFonts w:ascii="Calibri" w:cs="Calibri" w:eastAsia="Calibri" w:hAnsi="Calibri"/>
                <w:sz w:val="18"/>
                <w:szCs w:val="18"/>
                <w:color w:val="auto"/>
              </w:rPr>
              <w:t>(42 )</w:t>
            </w:r>
          </w:p>
        </w:tc>
        <w:tc>
          <w:tcPr>
            <w:tcW w:w="1100" w:type="dxa"/>
            <w:vAlign w:val="bottom"/>
          </w:tcPr>
          <w:p>
            <w:pPr>
              <w:spacing w:after="0"/>
              <w:rPr>
                <w:sz w:val="18"/>
                <w:szCs w:val="18"/>
                <w:color w:val="auto"/>
              </w:rPr>
            </w:pPr>
          </w:p>
        </w:tc>
        <w:tc>
          <w:tcPr>
            <w:tcW w:w="54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(4 )</w:t>
            </w:r>
          </w:p>
        </w:tc>
      </w:tr>
      <w:tr>
        <w:trPr>
          <w:trHeight w:val="28"/>
        </w:trPr>
        <w:tc>
          <w:tcPr>
            <w:tcW w:w="5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48"/>
        </w:trPr>
        <w:tc>
          <w:tcPr>
            <w:tcW w:w="548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8"/>
                <w:szCs w:val="18"/>
                <w:color w:val="auto"/>
              </w:rPr>
              <w:t>Less: Other unallocated items</w:t>
            </w:r>
          </w:p>
        </w:tc>
        <w:tc>
          <w:tcPr>
            <w:tcW w:w="112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gridSpan w:val="2"/>
            <w:shd w:val="clear" w:color="auto" w:fill="CFF0FC"/>
          </w:tcPr>
          <w:p>
            <w:pPr>
              <w:jc w:val="right"/>
              <w:ind w:right="148"/>
              <w:spacing w:after="0" w:line="215" w:lineRule="exact"/>
              <w:rPr>
                <w:sz w:val="20"/>
                <w:szCs w:val="20"/>
                <w:color w:val="auto"/>
              </w:rPr>
            </w:pPr>
            <w:r>
              <w:rPr>
                <w:rFonts w:ascii="Calibri" w:cs="Calibri" w:eastAsia="Calibri" w:hAnsi="Calibri"/>
                <w:sz w:val="18"/>
                <w:szCs w:val="18"/>
                <w:color w:val="auto"/>
              </w:rPr>
              <w:t>(27 )</w:t>
            </w:r>
          </w:p>
        </w:tc>
        <w:tc>
          <w:tcPr>
            <w:tcW w:w="110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(35 )</w:t>
            </w:r>
          </w:p>
        </w:tc>
      </w:tr>
      <w:tr>
        <w:trPr>
          <w:trHeight w:val="236"/>
        </w:trPr>
        <w:tc>
          <w:tcPr>
            <w:tcW w:w="5480" w:type="dxa"/>
            <w:vAlign w:val="bottom"/>
            <w:tcBorders>
              <w:top w:val="single" w:sz="8" w:color="CFF0FC"/>
            </w:tcBorders>
          </w:tcPr>
          <w:p>
            <w:pPr>
              <w:spacing w:after="0"/>
              <w:rPr>
                <w:sz w:val="20"/>
                <w:szCs w:val="20"/>
                <w:color w:val="auto"/>
              </w:rPr>
            </w:pPr>
            <w:r>
              <w:rPr>
                <w:rFonts w:ascii="Calibri" w:cs="Calibri" w:eastAsia="Calibri" w:hAnsi="Calibri"/>
                <w:sz w:val="18"/>
                <w:szCs w:val="18"/>
                <w:color w:val="auto"/>
              </w:rPr>
              <w:t>Total segment EBIT</w:t>
            </w:r>
          </w:p>
        </w:tc>
        <w:tc>
          <w:tcPr>
            <w:tcW w:w="1120" w:type="dxa"/>
            <w:vAlign w:val="bottom"/>
            <w:tcBorders>
              <w:top w:val="single" w:sz="8" w:color="auto"/>
              <w:bottom w:val="single" w:sz="8" w:color="auto"/>
            </w:tcBorders>
          </w:tcPr>
          <w:p>
            <w:pPr>
              <w:jc w:val="right"/>
              <w:ind w:right="939"/>
              <w:spacing w:after="0" w:line="215" w:lineRule="exact"/>
              <w:rPr>
                <w:sz w:val="20"/>
                <w:szCs w:val="20"/>
                <w:color w:val="auto"/>
              </w:rPr>
            </w:pPr>
            <w:r>
              <w:rPr>
                <w:rFonts w:ascii="Calibri" w:cs="Calibri" w:eastAsia="Calibri" w:hAnsi="Calibri"/>
                <w:sz w:val="18"/>
                <w:szCs w:val="18"/>
                <w:color w:val="auto"/>
                <w:w w:val="87"/>
              </w:rPr>
              <w:t>$</w:t>
            </w:r>
          </w:p>
        </w:tc>
        <w:tc>
          <w:tcPr>
            <w:tcW w:w="46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163</w:t>
            </w:r>
          </w:p>
        </w:tc>
        <w:tc>
          <w:tcPr>
            <w:tcW w:w="280" w:type="dxa"/>
            <w:vAlign w:val="bottom"/>
            <w:tcBorders>
              <w:top w:val="single" w:sz="8" w:color="CFF0FC"/>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916"/>
              <w:spacing w:after="0" w:line="215" w:lineRule="exact"/>
              <w:rPr>
                <w:sz w:val="20"/>
                <w:szCs w:val="20"/>
                <w:color w:val="auto"/>
              </w:rPr>
            </w:pPr>
            <w:r>
              <w:rPr>
                <w:rFonts w:ascii="Calibri" w:cs="Calibri" w:eastAsia="Calibri" w:hAnsi="Calibri"/>
                <w:sz w:val="18"/>
                <w:szCs w:val="18"/>
                <w:color w:val="auto"/>
                <w:w w:val="87"/>
              </w:rPr>
              <w:t>$</w:t>
            </w:r>
          </w:p>
        </w:tc>
        <w:tc>
          <w:tcPr>
            <w:tcW w:w="46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123</w:t>
            </w:r>
          </w:p>
        </w:tc>
        <w:tc>
          <w:tcPr>
            <w:tcW w:w="80" w:type="dxa"/>
            <w:vAlign w:val="bottom"/>
            <w:tcBorders>
              <w:top w:val="single" w:sz="8" w:color="CFF0FC"/>
            </w:tcBorders>
          </w:tcPr>
          <w:p>
            <w:pPr>
              <w:spacing w:after="0"/>
              <w:rPr>
                <w:sz w:val="20"/>
                <w:szCs w:val="20"/>
                <w:color w:val="auto"/>
              </w:rPr>
            </w:pPr>
          </w:p>
        </w:tc>
      </w:tr>
      <w:tr>
        <w:trPr>
          <w:trHeight w:val="20"/>
        </w:trPr>
        <w:tc>
          <w:tcPr>
            <w:tcW w:w="54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-187960</wp:posOffset>
            </wp:positionV>
            <wp:extent cx="603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47"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In the frst quarter of fscal 2024, Income (loss) before income taxes and equity in earnings of afliated companies increased by $10 million and Total segment EBIT increased by $40 million. The increase in Income (loss) before income taxes and equity in earnings of afliated companies was largely driven by higher Total segment EBIT partally ofset by higher foreign currency losses in Argentna. Total segment EBIT was driven by higher volumes in both the Reinforcement Materials and Performance Chemicals segments (combined $13 million) and higher pricing and improved product mix, net of costs in Reinforcement Materials ($28 million).</w:t>
      </w:r>
    </w:p>
    <w:p>
      <w:pPr>
        <w:spacing w:after="0" w:line="80" w:lineRule="exact"/>
        <w:rPr>
          <w:sz w:val="20"/>
          <w:szCs w:val="20"/>
          <w:color w:val="auto"/>
        </w:rPr>
      </w:pPr>
    </w:p>
    <w:p>
      <w:pPr>
        <w:ind w:left="520"/>
        <w:spacing w:after="0"/>
        <w:rPr>
          <w:sz w:val="20"/>
          <w:szCs w:val="20"/>
          <w:color w:val="auto"/>
        </w:rPr>
      </w:pPr>
      <w:r>
        <w:rPr>
          <w:rFonts w:ascii="Calibri" w:cs="Calibri" w:eastAsia="Calibri" w:hAnsi="Calibri"/>
          <w:sz w:val="18"/>
          <w:szCs w:val="18"/>
          <w:i w:val="1"/>
          <w:iCs w:val="1"/>
          <w:color w:val="auto"/>
        </w:rPr>
        <w:t>Certain Items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Details of the certain items for the three months ended December 31, 2023 and 2022 are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20" w:type="dxa"/>
            <w:vAlign w:val="bottom"/>
            <w:gridSpan w:val="4"/>
          </w:tcPr>
          <w:p>
            <w:pPr>
              <w:jc w:val="right"/>
              <w:ind w:right="196"/>
              <w:spacing w:after="0"/>
              <w:rPr>
                <w:sz w:val="20"/>
                <w:szCs w:val="20"/>
                <w:color w:val="auto"/>
              </w:rPr>
            </w:pPr>
            <w:r>
              <w:rPr>
                <w:rFonts w:ascii="Calibri" w:cs="Calibri" w:eastAsia="Calibri" w:hAnsi="Calibri"/>
                <w:sz w:val="14"/>
                <w:szCs w:val="14"/>
                <w:b w:val="1"/>
                <w:bCs w:val="1"/>
                <w:color w:val="auto"/>
              </w:rPr>
              <w:t>Three Months Ended December 31</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
        </w:trPr>
        <w:tc>
          <w:tcPr>
            <w:tcW w:w="11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40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63"/>
        </w:trPr>
        <w:tc>
          <w:tcPr>
            <w:tcW w:w="11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Borders>
              <w:top w:val="single" w:sz="8" w:color="auto"/>
            </w:tcBorders>
          </w:tcPr>
          <w:p>
            <w:pPr>
              <w:jc w:val="right"/>
              <w:ind w:right="128"/>
              <w:spacing w:after="0" w:line="164" w:lineRule="exact"/>
              <w:rPr>
                <w:sz w:val="20"/>
                <w:szCs w:val="20"/>
                <w:color w:val="auto"/>
              </w:rPr>
            </w:pPr>
            <w:r>
              <w:rPr>
                <w:rFonts w:ascii="Calibri" w:cs="Calibri" w:eastAsia="Calibri" w:hAnsi="Calibri"/>
                <w:sz w:val="14"/>
                <w:szCs w:val="14"/>
                <w:b w:val="1"/>
                <w:bCs w:val="1"/>
                <w:color w:val="auto"/>
              </w:rPr>
              <w:t>2023</w:t>
            </w:r>
          </w:p>
        </w:tc>
        <w:tc>
          <w:tcPr>
            <w:tcW w:w="4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156"/>
              <w:spacing w:after="0" w:line="164" w:lineRule="exact"/>
              <w:rPr>
                <w:sz w:val="20"/>
                <w:szCs w:val="20"/>
                <w:color w:val="auto"/>
              </w:rPr>
            </w:pPr>
            <w:r>
              <w:rPr>
                <w:rFonts w:ascii="Calibri" w:cs="Calibri" w:eastAsia="Calibri" w:hAnsi="Calibri"/>
                <w:sz w:val="14"/>
                <w:szCs w:val="14"/>
                <w:b w:val="1"/>
                <w:bCs w:val="1"/>
                <w:color w:val="auto"/>
              </w:rPr>
              <w:t>2022</w:t>
            </w:r>
          </w:p>
        </w:tc>
        <w:tc>
          <w:tcPr>
            <w:tcW w:w="4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
        </w:trPr>
        <w:tc>
          <w:tcPr>
            <w:tcW w:w="11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63"/>
        </w:trPr>
        <w:tc>
          <w:tcPr>
            <w:tcW w:w="11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(In</w:t>
            </w:r>
          </w:p>
        </w:tc>
        <w:tc>
          <w:tcPr>
            <w:tcW w:w="1440" w:type="dxa"/>
            <w:vAlign w:val="bottom"/>
            <w:gridSpan w:val="2"/>
          </w:tcPr>
          <w:p>
            <w:pPr>
              <w:jc w:val="right"/>
              <w:ind w:right="876"/>
              <w:spacing w:after="0" w:line="164" w:lineRule="exact"/>
              <w:rPr>
                <w:sz w:val="20"/>
                <w:szCs w:val="20"/>
                <w:color w:val="auto"/>
              </w:rPr>
            </w:pPr>
            <w:r>
              <w:rPr>
                <w:rFonts w:ascii="Calibri" w:cs="Calibri" w:eastAsia="Calibri" w:hAnsi="Calibri"/>
                <w:sz w:val="14"/>
                <w:szCs w:val="14"/>
                <w:b w:val="1"/>
                <w:bCs w:val="1"/>
                <w:color w:val="auto"/>
                <w:w w:val="91"/>
              </w:rPr>
              <w:t>millions)</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
        </w:trPr>
        <w:tc>
          <w:tcPr>
            <w:tcW w:w="11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3"/>
        </w:trPr>
        <w:tc>
          <w:tcPr>
            <w:tcW w:w="1140" w:type="dxa"/>
            <w:vAlign w:val="bottom"/>
          </w:tcPr>
          <w:p>
            <w:pPr>
              <w:spacing w:after="0"/>
              <w:rPr>
                <w:sz w:val="19"/>
                <w:szCs w:val="19"/>
                <w:color w:val="auto"/>
              </w:rPr>
            </w:pPr>
          </w:p>
        </w:tc>
        <w:tc>
          <w:tcPr>
            <w:tcW w:w="4220" w:type="dxa"/>
            <w:vAlign w:val="bottom"/>
            <w:tcBorders>
              <w:bottom w:val="single" w:sz="8" w:color="CFF0FC"/>
            </w:tcBorders>
            <w:shd w:val="clear" w:color="auto" w:fill="CFF0FC"/>
          </w:tcPr>
          <w:p>
            <w:pPr>
              <w:ind w:left="100"/>
              <w:spacing w:after="0" w:line="215" w:lineRule="exact"/>
              <w:rPr>
                <w:sz w:val="20"/>
                <w:szCs w:val="20"/>
                <w:color w:val="auto"/>
              </w:rPr>
            </w:pPr>
            <w:r>
              <w:rPr>
                <w:rFonts w:ascii="Calibri" w:cs="Calibri" w:eastAsia="Calibri" w:hAnsi="Calibri"/>
                <w:sz w:val="18"/>
                <w:szCs w:val="18"/>
                <w:color w:val="auto"/>
              </w:rPr>
              <w:t>Argentna controlled currency devaluaton loss (Note B)</w:t>
            </w:r>
          </w:p>
        </w:tc>
        <w:tc>
          <w:tcPr>
            <w:tcW w:w="2400" w:type="dxa"/>
            <w:vAlign w:val="bottom"/>
            <w:tcBorders>
              <w:bottom w:val="single" w:sz="8" w:color="CFF0FC"/>
            </w:tcBorders>
            <w:gridSpan w:val="2"/>
            <w:shd w:val="clear" w:color="auto" w:fill="CFF0FC"/>
          </w:tcPr>
          <w:p>
            <w:pPr>
              <w:jc w:val="right"/>
              <w:ind w:right="968"/>
              <w:spacing w:after="0" w:line="215" w:lineRule="exact"/>
              <w:rPr>
                <w:sz w:val="20"/>
                <w:szCs w:val="20"/>
                <w:color w:val="auto"/>
              </w:rPr>
            </w:pPr>
            <w:r>
              <w:rPr>
                <w:rFonts w:ascii="Calibri" w:cs="Calibri" w:eastAsia="Calibri" w:hAnsi="Calibri"/>
                <w:sz w:val="18"/>
                <w:szCs w:val="18"/>
                <w:color w:val="auto"/>
              </w:rPr>
              <w:t>$</w:t>
            </w:r>
          </w:p>
        </w:tc>
        <w:tc>
          <w:tcPr>
            <w:tcW w:w="720" w:type="dxa"/>
            <w:vAlign w:val="bottom"/>
            <w:tcBorders>
              <w:bottom w:val="single" w:sz="8" w:color="CFF0FC"/>
            </w:tcBorders>
            <w:gridSpan w:val="2"/>
            <w:shd w:val="clear" w:color="auto" w:fill="CFF0FC"/>
          </w:tcPr>
          <w:p>
            <w:pPr>
              <w:jc w:val="right"/>
              <w:ind w:right="148"/>
              <w:spacing w:after="0" w:line="215" w:lineRule="exact"/>
              <w:rPr>
                <w:sz w:val="20"/>
                <w:szCs w:val="20"/>
                <w:color w:val="auto"/>
              </w:rPr>
            </w:pPr>
            <w:r>
              <w:rPr>
                <w:rFonts w:ascii="Calibri" w:cs="Calibri" w:eastAsia="Calibri" w:hAnsi="Calibri"/>
                <w:sz w:val="18"/>
                <w:szCs w:val="18"/>
                <w:color w:val="auto"/>
              </w:rPr>
              <w:t>(33 )</w:t>
            </w:r>
          </w:p>
        </w:tc>
        <w:tc>
          <w:tcPr>
            <w:tcW w:w="1160" w:type="dxa"/>
            <w:vAlign w:val="bottom"/>
            <w:tcBorders>
              <w:bottom w:val="single" w:sz="8" w:color="CFF0FC"/>
            </w:tcBorders>
            <w:shd w:val="clear" w:color="auto" w:fill="CFF0FC"/>
          </w:tcPr>
          <w:p>
            <w:pPr>
              <w:jc w:val="right"/>
              <w:ind w:right="976"/>
              <w:spacing w:after="0" w:line="215" w:lineRule="exact"/>
              <w:rPr>
                <w:sz w:val="20"/>
                <w:szCs w:val="20"/>
                <w:color w:val="auto"/>
              </w:rPr>
            </w:pPr>
            <w:r>
              <w:rPr>
                <w:rFonts w:ascii="Calibri" w:cs="Calibri" w:eastAsia="Calibri" w:hAnsi="Calibri"/>
                <w:sz w:val="18"/>
                <w:szCs w:val="18"/>
                <w:color w:val="auto"/>
                <w:w w:val="87"/>
              </w:rPr>
              <w:t>$</w:t>
            </w:r>
          </w:p>
        </w:tc>
        <w:tc>
          <w:tcPr>
            <w:tcW w:w="480" w:type="dxa"/>
            <w:vAlign w:val="bottom"/>
            <w:tcBorders>
              <w:bottom w:val="single" w:sz="8" w:color="CFF0FC"/>
            </w:tcBorders>
            <w:gridSpan w:val="2"/>
            <w:shd w:val="clear" w:color="auto" w:fill="CFF0FC"/>
          </w:tcPr>
          <w:p>
            <w:pPr>
              <w:jc w:val="right"/>
              <w:ind w:right="10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Pr>
          <w:p>
            <w:pPr>
              <w:spacing w:after="0"/>
              <w:rPr>
                <w:sz w:val="19"/>
                <w:szCs w:val="19"/>
                <w:color w:val="auto"/>
              </w:rPr>
            </w:pPr>
          </w:p>
        </w:tc>
      </w:tr>
      <w:tr>
        <w:trPr>
          <w:trHeight w:val="215"/>
        </w:trPr>
        <w:tc>
          <w:tcPr>
            <w:tcW w:w="1140" w:type="dxa"/>
            <w:vAlign w:val="bottom"/>
          </w:tcPr>
          <w:p>
            <w:pPr>
              <w:spacing w:after="0"/>
              <w:rPr>
                <w:sz w:val="18"/>
                <w:szCs w:val="18"/>
                <w:color w:val="auto"/>
              </w:rPr>
            </w:pPr>
          </w:p>
        </w:tc>
        <w:tc>
          <w:tcPr>
            <w:tcW w:w="4220" w:type="dxa"/>
            <w:vAlign w:val="bottom"/>
          </w:tcPr>
          <w:p>
            <w:pPr>
              <w:ind w:left="100"/>
              <w:spacing w:after="0" w:line="215" w:lineRule="exact"/>
              <w:rPr>
                <w:sz w:val="20"/>
                <w:szCs w:val="20"/>
                <w:color w:val="auto"/>
              </w:rPr>
            </w:pPr>
            <w:r>
              <w:rPr>
                <w:rFonts w:ascii="Calibri" w:cs="Calibri" w:eastAsia="Calibri" w:hAnsi="Calibri"/>
                <w:sz w:val="18"/>
                <w:szCs w:val="18"/>
                <w:color w:val="auto"/>
              </w:rPr>
              <w:t>Global restructuring actvites (Note H)</w:t>
            </w:r>
          </w:p>
        </w:tc>
        <w:tc>
          <w:tcPr>
            <w:tcW w:w="1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20" w:type="dxa"/>
            <w:vAlign w:val="bottom"/>
            <w:gridSpan w:val="2"/>
          </w:tcPr>
          <w:p>
            <w:pPr>
              <w:jc w:val="right"/>
              <w:ind w:right="148"/>
              <w:spacing w:after="0" w:line="215" w:lineRule="exact"/>
              <w:rPr>
                <w:sz w:val="20"/>
                <w:szCs w:val="20"/>
                <w:color w:val="auto"/>
              </w:rPr>
            </w:pPr>
            <w:r>
              <w:rPr>
                <w:rFonts w:ascii="Calibri" w:cs="Calibri" w:eastAsia="Calibri" w:hAnsi="Calibri"/>
                <w:sz w:val="18"/>
                <w:szCs w:val="18"/>
                <w:color w:val="auto"/>
              </w:rPr>
              <w:t>(9 )</w:t>
            </w:r>
          </w:p>
        </w:tc>
        <w:tc>
          <w:tcPr>
            <w:tcW w:w="1160" w:type="dxa"/>
            <w:vAlign w:val="bottom"/>
          </w:tcPr>
          <w:p>
            <w:pPr>
              <w:spacing w:after="0"/>
              <w:rPr>
                <w:sz w:val="18"/>
                <w:szCs w:val="18"/>
                <w:color w:val="auto"/>
              </w:rPr>
            </w:pPr>
          </w:p>
        </w:tc>
        <w:tc>
          <w:tcPr>
            <w:tcW w:w="48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Pr>
          <w:p>
            <w:pPr>
              <w:spacing w:after="0"/>
              <w:rPr>
                <w:sz w:val="18"/>
                <w:szCs w:val="18"/>
                <w:color w:val="auto"/>
              </w:rPr>
            </w:pPr>
          </w:p>
        </w:tc>
      </w:tr>
      <w:tr>
        <w:trPr>
          <w:trHeight w:val="28"/>
        </w:trPr>
        <w:tc>
          <w:tcPr>
            <w:tcW w:w="11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3"/>
        </w:trPr>
        <w:tc>
          <w:tcPr>
            <w:tcW w:w="1140" w:type="dxa"/>
            <w:vAlign w:val="bottom"/>
          </w:tcPr>
          <w:p>
            <w:pPr>
              <w:spacing w:after="0"/>
              <w:rPr>
                <w:sz w:val="19"/>
                <w:szCs w:val="19"/>
                <w:color w:val="auto"/>
              </w:rPr>
            </w:pPr>
          </w:p>
        </w:tc>
        <w:tc>
          <w:tcPr>
            <w:tcW w:w="4220" w:type="dxa"/>
            <w:vAlign w:val="bottom"/>
            <w:tcBorders>
              <w:bottom w:val="single" w:sz="8" w:color="CFF0FC"/>
            </w:tcBorders>
            <w:shd w:val="clear" w:color="auto" w:fill="CFF0FC"/>
          </w:tcPr>
          <w:p>
            <w:pPr>
              <w:ind w:left="100"/>
              <w:spacing w:after="0" w:line="215" w:lineRule="exact"/>
              <w:rPr>
                <w:sz w:val="20"/>
                <w:szCs w:val="20"/>
                <w:color w:val="auto"/>
              </w:rPr>
            </w:pPr>
            <w:r>
              <w:rPr>
                <w:rFonts w:ascii="Calibri" w:cs="Calibri" w:eastAsia="Calibri" w:hAnsi="Calibri"/>
                <w:sz w:val="18"/>
                <w:szCs w:val="18"/>
                <w:color w:val="auto"/>
              </w:rPr>
              <w:t>Gain on sale of land</w:t>
            </w:r>
          </w:p>
        </w:tc>
        <w:tc>
          <w:tcPr>
            <w:tcW w:w="126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gridSpan w:val="2"/>
            <w:shd w:val="clear" w:color="auto" w:fill="CFF0FC"/>
          </w:tcPr>
          <w:p>
            <w:pPr>
              <w:jc w:val="right"/>
              <w:ind w:right="228"/>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80" w:type="dxa"/>
            <w:vAlign w:val="bottom"/>
            <w:tcBorders>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15"/>
        </w:trPr>
        <w:tc>
          <w:tcPr>
            <w:tcW w:w="1140" w:type="dxa"/>
            <w:vAlign w:val="bottom"/>
          </w:tcPr>
          <w:p>
            <w:pPr>
              <w:spacing w:after="0"/>
              <w:rPr>
                <w:sz w:val="18"/>
                <w:szCs w:val="18"/>
                <w:color w:val="auto"/>
              </w:rPr>
            </w:pPr>
          </w:p>
        </w:tc>
        <w:tc>
          <w:tcPr>
            <w:tcW w:w="4220" w:type="dxa"/>
            <w:vAlign w:val="bottom"/>
          </w:tcPr>
          <w:p>
            <w:pPr>
              <w:ind w:left="100"/>
              <w:spacing w:after="0" w:line="215" w:lineRule="exact"/>
              <w:rPr>
                <w:sz w:val="20"/>
                <w:szCs w:val="20"/>
                <w:color w:val="auto"/>
              </w:rPr>
            </w:pPr>
            <w:r>
              <w:rPr>
                <w:rFonts w:ascii="Calibri" w:cs="Calibri" w:eastAsia="Calibri" w:hAnsi="Calibri"/>
                <w:sz w:val="18"/>
                <w:szCs w:val="18"/>
                <w:color w:val="auto"/>
              </w:rPr>
              <w:t>Loss on sale of business</w:t>
            </w:r>
          </w:p>
        </w:tc>
        <w:tc>
          <w:tcPr>
            <w:tcW w:w="1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20" w:type="dxa"/>
            <w:vAlign w:val="bottom"/>
            <w:gridSpan w:val="2"/>
          </w:tcPr>
          <w:p>
            <w:pPr>
              <w:jc w:val="right"/>
              <w:ind w:right="228"/>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Pr>
          <w:p>
            <w:pPr>
              <w:spacing w:after="0"/>
              <w:rPr>
                <w:sz w:val="18"/>
                <w:szCs w:val="18"/>
                <w:color w:val="auto"/>
              </w:rPr>
            </w:pPr>
          </w:p>
        </w:tc>
        <w:tc>
          <w:tcPr>
            <w:tcW w:w="48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(3 )</w:t>
            </w:r>
          </w:p>
        </w:tc>
        <w:tc>
          <w:tcPr>
            <w:tcW w:w="1120" w:type="dxa"/>
            <w:vAlign w:val="bottom"/>
          </w:tcPr>
          <w:p>
            <w:pPr>
              <w:spacing w:after="0"/>
              <w:rPr>
                <w:sz w:val="18"/>
                <w:szCs w:val="18"/>
                <w:color w:val="auto"/>
              </w:rPr>
            </w:pPr>
          </w:p>
        </w:tc>
      </w:tr>
      <w:tr>
        <w:trPr>
          <w:trHeight w:val="28"/>
        </w:trPr>
        <w:tc>
          <w:tcPr>
            <w:tcW w:w="11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3"/>
        </w:trPr>
        <w:tc>
          <w:tcPr>
            <w:tcW w:w="1140" w:type="dxa"/>
            <w:vAlign w:val="bottom"/>
          </w:tcPr>
          <w:p>
            <w:pPr>
              <w:spacing w:after="0"/>
              <w:rPr>
                <w:sz w:val="19"/>
                <w:szCs w:val="19"/>
                <w:color w:val="auto"/>
              </w:rPr>
            </w:pPr>
          </w:p>
        </w:tc>
        <w:tc>
          <w:tcPr>
            <w:tcW w:w="4220" w:type="dxa"/>
            <w:vAlign w:val="bottom"/>
            <w:tcBorders>
              <w:bottom w:val="single" w:sz="8" w:color="CFF0FC"/>
            </w:tcBorders>
            <w:shd w:val="clear" w:color="auto" w:fill="CFF0FC"/>
          </w:tcPr>
          <w:p>
            <w:pPr>
              <w:ind w:left="100"/>
              <w:spacing w:after="0" w:line="215" w:lineRule="exact"/>
              <w:rPr>
                <w:sz w:val="20"/>
                <w:szCs w:val="20"/>
                <w:color w:val="auto"/>
              </w:rPr>
            </w:pPr>
            <w:r>
              <w:rPr>
                <w:rFonts w:ascii="Calibri" w:cs="Calibri" w:eastAsia="Calibri" w:hAnsi="Calibri"/>
                <w:sz w:val="18"/>
                <w:szCs w:val="18"/>
                <w:color w:val="auto"/>
              </w:rPr>
              <w:t>Legal and environmental maters and reserves</w:t>
            </w:r>
          </w:p>
        </w:tc>
        <w:tc>
          <w:tcPr>
            <w:tcW w:w="126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gridSpan w:val="2"/>
            <w:shd w:val="clear" w:color="auto" w:fill="CFF0FC"/>
          </w:tcPr>
          <w:p>
            <w:pPr>
              <w:jc w:val="right"/>
              <w:ind w:right="228"/>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(1 )</w:t>
            </w:r>
          </w:p>
        </w:tc>
        <w:tc>
          <w:tcPr>
            <w:tcW w:w="1120" w:type="dxa"/>
            <w:vAlign w:val="bottom"/>
          </w:tcPr>
          <w:p>
            <w:pPr>
              <w:spacing w:after="0"/>
              <w:rPr>
                <w:sz w:val="19"/>
                <w:szCs w:val="19"/>
                <w:color w:val="auto"/>
              </w:rPr>
            </w:pPr>
          </w:p>
        </w:tc>
      </w:tr>
      <w:tr>
        <w:trPr>
          <w:trHeight w:val="219"/>
        </w:trPr>
        <w:tc>
          <w:tcPr>
            <w:tcW w:w="1140" w:type="dxa"/>
            <w:vAlign w:val="bottom"/>
          </w:tcPr>
          <w:p>
            <w:pPr>
              <w:spacing w:after="0"/>
              <w:rPr>
                <w:sz w:val="19"/>
                <w:szCs w:val="19"/>
                <w:color w:val="auto"/>
              </w:rPr>
            </w:pPr>
          </w:p>
        </w:tc>
        <w:tc>
          <w:tcPr>
            <w:tcW w:w="4220" w:type="dxa"/>
            <w:vAlign w:val="bottom"/>
          </w:tcPr>
          <w:p>
            <w:pPr>
              <w:ind w:left="100"/>
              <w:spacing w:after="0"/>
              <w:rPr>
                <w:sz w:val="20"/>
                <w:szCs w:val="20"/>
                <w:color w:val="auto"/>
              </w:rPr>
            </w:pPr>
            <w:r>
              <w:rPr>
                <w:rFonts w:ascii="Calibri" w:cs="Calibri" w:eastAsia="Calibri" w:hAnsi="Calibri"/>
                <w:sz w:val="18"/>
                <w:szCs w:val="18"/>
                <w:color w:val="auto"/>
              </w:rPr>
              <w:t>Acquisiton and integraton-related charges</w:t>
            </w:r>
          </w:p>
        </w:tc>
        <w:tc>
          <w:tcPr>
            <w:tcW w:w="1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20" w:type="dxa"/>
            <w:vAlign w:val="bottom"/>
            <w:gridSpan w:val="2"/>
          </w:tcPr>
          <w:p>
            <w:pPr>
              <w:jc w:val="right"/>
              <w:ind w:right="228"/>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Pr>
          <w:p>
            <w:pPr>
              <w:spacing w:after="0"/>
              <w:rPr>
                <w:sz w:val="19"/>
                <w:szCs w:val="19"/>
                <w:color w:val="auto"/>
              </w:rPr>
            </w:pPr>
          </w:p>
        </w:tc>
        <w:tc>
          <w:tcPr>
            <w:tcW w:w="48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(1 )</w:t>
            </w:r>
          </w:p>
        </w:tc>
        <w:tc>
          <w:tcPr>
            <w:tcW w:w="1120" w:type="dxa"/>
            <w:vAlign w:val="bottom"/>
          </w:tcPr>
          <w:p>
            <w:pPr>
              <w:spacing w:after="0"/>
              <w:rPr>
                <w:sz w:val="19"/>
                <w:szCs w:val="19"/>
                <w:color w:val="auto"/>
              </w:rPr>
            </w:pPr>
          </w:p>
        </w:tc>
      </w:tr>
      <w:tr>
        <w:trPr>
          <w:trHeight w:val="24"/>
        </w:trPr>
        <w:tc>
          <w:tcPr>
            <w:tcW w:w="11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6"/>
        </w:trPr>
        <w:tc>
          <w:tcPr>
            <w:tcW w:w="1140" w:type="dxa"/>
            <w:vAlign w:val="bottom"/>
          </w:tcPr>
          <w:p>
            <w:pPr>
              <w:spacing w:after="0"/>
              <w:rPr>
                <w:sz w:val="24"/>
                <w:szCs w:val="24"/>
                <w:color w:val="auto"/>
              </w:rPr>
            </w:pPr>
          </w:p>
        </w:tc>
        <w:tc>
          <w:tcPr>
            <w:tcW w:w="4220" w:type="dxa"/>
            <w:vAlign w:val="bottom"/>
            <w:shd w:val="clear" w:color="auto" w:fill="CFF0FC"/>
          </w:tcPr>
          <w:p>
            <w:pPr>
              <w:ind w:left="180"/>
              <w:spacing w:after="0"/>
              <w:rPr>
                <w:sz w:val="20"/>
                <w:szCs w:val="20"/>
                <w:color w:val="auto"/>
              </w:rPr>
            </w:pPr>
            <w:r>
              <w:rPr>
                <w:rFonts w:ascii="Calibri" w:cs="Calibri" w:eastAsia="Calibri" w:hAnsi="Calibri"/>
                <w:sz w:val="18"/>
                <w:szCs w:val="18"/>
                <w:color w:val="auto"/>
              </w:rPr>
              <w:t>Total certain items</w:t>
            </w:r>
          </w:p>
        </w:tc>
        <w:tc>
          <w:tcPr>
            <w:tcW w:w="2400" w:type="dxa"/>
            <w:vAlign w:val="bottom"/>
            <w:gridSpan w:val="2"/>
            <w:shd w:val="clear" w:color="auto" w:fill="CFF0FC"/>
          </w:tcPr>
          <w:p>
            <w:pPr>
              <w:jc w:val="right"/>
              <w:ind w:right="968"/>
              <w:spacing w:after="0" w:line="215" w:lineRule="exact"/>
              <w:rPr>
                <w:sz w:val="20"/>
                <w:szCs w:val="20"/>
                <w:color w:val="auto"/>
              </w:rPr>
            </w:pPr>
            <w:r>
              <w:rPr>
                <w:rFonts w:ascii="Calibri" w:cs="Calibri" w:eastAsia="Calibri" w:hAnsi="Calibri"/>
                <w:sz w:val="18"/>
                <w:szCs w:val="18"/>
                <w:color w:val="auto"/>
              </w:rPr>
              <w:t>$</w:t>
            </w:r>
          </w:p>
        </w:tc>
        <w:tc>
          <w:tcPr>
            <w:tcW w:w="720" w:type="dxa"/>
            <w:vAlign w:val="bottom"/>
            <w:gridSpan w:val="2"/>
            <w:shd w:val="clear" w:color="auto" w:fill="CFF0FC"/>
          </w:tcPr>
          <w:p>
            <w:pPr>
              <w:jc w:val="right"/>
              <w:ind w:right="148"/>
              <w:spacing w:after="0" w:line="215" w:lineRule="exact"/>
              <w:rPr>
                <w:sz w:val="20"/>
                <w:szCs w:val="20"/>
                <w:color w:val="auto"/>
              </w:rPr>
            </w:pPr>
            <w:r>
              <w:rPr>
                <w:rFonts w:ascii="Calibri" w:cs="Calibri" w:eastAsia="Calibri" w:hAnsi="Calibri"/>
                <w:sz w:val="18"/>
                <w:szCs w:val="18"/>
                <w:color w:val="auto"/>
              </w:rPr>
              <w:t>(42 )</w:t>
            </w:r>
          </w:p>
        </w:tc>
        <w:tc>
          <w:tcPr>
            <w:tcW w:w="1160" w:type="dxa"/>
            <w:vAlign w:val="bottom"/>
            <w:shd w:val="clear" w:color="auto" w:fill="CFF0FC"/>
          </w:tcPr>
          <w:p>
            <w:pPr>
              <w:jc w:val="right"/>
              <w:ind w:right="976"/>
              <w:spacing w:after="0" w:line="215" w:lineRule="exact"/>
              <w:rPr>
                <w:sz w:val="20"/>
                <w:szCs w:val="20"/>
                <w:color w:val="auto"/>
              </w:rPr>
            </w:pPr>
            <w:r>
              <w:rPr>
                <w:rFonts w:ascii="Calibri" w:cs="Calibri" w:eastAsia="Calibri" w:hAnsi="Calibri"/>
                <w:sz w:val="18"/>
                <w:szCs w:val="18"/>
                <w:color w:val="auto"/>
                <w:w w:val="87"/>
              </w:rPr>
              <w:t>$</w:t>
            </w:r>
          </w:p>
        </w:tc>
        <w:tc>
          <w:tcPr>
            <w:tcW w:w="480" w:type="dxa"/>
            <w:vAlign w:val="bottom"/>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(4 )</w:t>
            </w:r>
          </w:p>
        </w:tc>
        <w:tc>
          <w:tcPr>
            <w:tcW w:w="1120" w:type="dxa"/>
            <w:vAlign w:val="bottom"/>
          </w:tcPr>
          <w:p>
            <w:pPr>
              <w:spacing w:after="0"/>
              <w:rPr>
                <w:sz w:val="24"/>
                <w:szCs w:val="24"/>
                <w:color w:val="auto"/>
              </w:rPr>
            </w:pPr>
          </w:p>
        </w:tc>
      </w:tr>
      <w:tr>
        <w:trPr>
          <w:trHeight w:val="588"/>
        </w:trPr>
        <w:tc>
          <w:tcPr>
            <w:tcW w:w="1140" w:type="dxa"/>
            <w:vAlign w:val="bottom"/>
          </w:tcPr>
          <w:p>
            <w:pPr>
              <w:spacing w:after="0"/>
              <w:rPr>
                <w:sz w:val="24"/>
                <w:szCs w:val="24"/>
                <w:color w:val="auto"/>
              </w:rPr>
            </w:pPr>
          </w:p>
        </w:tc>
        <w:tc>
          <w:tcPr>
            <w:tcW w:w="4220" w:type="dxa"/>
            <w:vAlign w:val="bottom"/>
            <w:tcBorders>
              <w:top w:val="single" w:sz="8" w:color="CFF0FC"/>
            </w:tcBorders>
          </w:tcPr>
          <w:p>
            <w:pPr>
              <w:spacing w:after="0"/>
              <w:rPr>
                <w:sz w:val="24"/>
                <w:szCs w:val="24"/>
                <w:color w:val="auto"/>
              </w:rPr>
            </w:pPr>
          </w:p>
        </w:tc>
        <w:tc>
          <w:tcPr>
            <w:tcW w:w="1260" w:type="dxa"/>
            <w:vAlign w:val="bottom"/>
            <w:tcBorders>
              <w:top w:val="single" w:sz="8" w:color="CFF0FC"/>
            </w:tcBorders>
          </w:tcPr>
          <w:p>
            <w:pPr>
              <w:jc w:val="right"/>
              <w:ind w:right="810"/>
              <w:spacing w:after="0"/>
              <w:rPr>
                <w:sz w:val="20"/>
                <w:szCs w:val="20"/>
                <w:color w:val="auto"/>
              </w:rPr>
            </w:pPr>
            <w:r>
              <w:rPr>
                <w:rFonts w:ascii="Times New Roman" w:cs="Times New Roman" w:eastAsia="Times New Roman" w:hAnsi="Times New Roman"/>
                <w:sz w:val="18"/>
                <w:szCs w:val="18"/>
                <w:color w:val="auto"/>
              </w:rPr>
              <w:t>22</w:t>
            </w:r>
          </w:p>
        </w:tc>
        <w:tc>
          <w:tcPr>
            <w:tcW w:w="1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r>
      <w:tr>
        <w:trPr>
          <w:trHeight w:val="655"/>
        </w:trPr>
        <w:tc>
          <w:tcPr>
            <w:tcW w:w="114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-839470</wp:posOffset>
            </wp:positionV>
            <wp:extent cx="6032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-822325</wp:posOffset>
            </wp:positionV>
            <wp:extent cx="6032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-839470</wp:posOffset>
            </wp:positionV>
            <wp:extent cx="5143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-822325</wp:posOffset>
            </wp:positionV>
            <wp:extent cx="5143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22" w:name="page23"/>
    <w:bookmarkEnd w:id="22"/>
    <w:p>
      <w:pPr>
        <w:ind w:left="480"/>
        <w:spacing w:after="0"/>
        <w:rPr>
          <w:sz w:val="20"/>
          <w:szCs w:val="20"/>
          <w:color w:val="auto"/>
        </w:rPr>
      </w:pPr>
      <w:r>
        <w:rPr>
          <w:rFonts w:ascii="Calibri" w:cs="Calibri" w:eastAsia="Calibri" w:hAnsi="Calibri"/>
          <w:sz w:val="18"/>
          <w:szCs w:val="18"/>
          <w:i w:val="1"/>
          <w:iCs w:val="1"/>
          <w:color w:val="auto"/>
        </w:rPr>
        <w:t>Other Unallocated Items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140"/>
        <w:spacing w:after="0"/>
        <w:rPr>
          <w:sz w:val="20"/>
          <w:szCs w:val="20"/>
          <w:color w:val="auto"/>
        </w:rPr>
      </w:pPr>
      <w:r>
        <w:rPr>
          <w:rFonts w:ascii="Calibri" w:cs="Calibri" w:eastAsia="Calibri" w:hAnsi="Calibri"/>
          <w:sz w:val="18"/>
          <w:szCs w:val="18"/>
          <w:color w:val="auto"/>
        </w:rPr>
        <w:t>Interest expense</w:t>
      </w:r>
    </w:p>
    <w:p>
      <w:pPr>
        <w:spacing w:after="0" w:line="23" w:lineRule="exact"/>
        <w:rPr>
          <w:sz w:val="20"/>
          <w:szCs w:val="20"/>
          <w:color w:val="auto"/>
        </w:rPr>
      </w:pPr>
    </w:p>
    <w:p>
      <w:pPr>
        <w:ind w:left="1140"/>
        <w:spacing w:after="0"/>
        <w:rPr>
          <w:sz w:val="20"/>
          <w:szCs w:val="20"/>
          <w:color w:val="auto"/>
        </w:rPr>
      </w:pPr>
      <w:r>
        <w:rPr>
          <w:rFonts w:ascii="Calibri" w:cs="Calibri" w:eastAsia="Calibri" w:hAnsi="Calibri"/>
          <w:sz w:val="18"/>
          <w:szCs w:val="18"/>
          <w:color w:val="auto"/>
        </w:rPr>
        <w:t>Unallocated corporate costs</w:t>
      </w:r>
    </w:p>
    <w:p>
      <w:pPr>
        <w:spacing w:after="0" w:line="28" w:lineRule="exact"/>
        <w:rPr>
          <w:sz w:val="20"/>
          <w:szCs w:val="20"/>
          <w:color w:val="auto"/>
        </w:rPr>
      </w:pPr>
    </w:p>
    <w:p>
      <w:pPr>
        <w:ind w:left="1140"/>
        <w:spacing w:after="0"/>
        <w:rPr>
          <w:sz w:val="20"/>
          <w:szCs w:val="20"/>
          <w:color w:val="auto"/>
        </w:rPr>
      </w:pPr>
      <w:r>
        <w:rPr>
          <w:rFonts w:ascii="Calibri" w:cs="Calibri" w:eastAsia="Calibri" w:hAnsi="Calibri"/>
          <w:sz w:val="17"/>
          <w:szCs w:val="17"/>
          <w:color w:val="auto"/>
        </w:rPr>
        <w:t>General unallocated income (expense)</w:t>
      </w:r>
    </w:p>
    <w:p>
      <w:pPr>
        <w:spacing w:after="0" w:line="31" w:lineRule="exact"/>
        <w:rPr>
          <w:sz w:val="20"/>
          <w:szCs w:val="20"/>
          <w:color w:val="auto"/>
        </w:rPr>
      </w:pPr>
    </w:p>
    <w:p>
      <w:pPr>
        <w:ind w:left="1140"/>
        <w:spacing w:after="0"/>
        <w:rPr>
          <w:sz w:val="20"/>
          <w:szCs w:val="20"/>
          <w:color w:val="auto"/>
        </w:rPr>
      </w:pPr>
      <w:r>
        <w:rPr>
          <w:rFonts w:ascii="Calibri" w:cs="Calibri" w:eastAsia="Calibri" w:hAnsi="Calibri"/>
          <w:sz w:val="18"/>
          <w:szCs w:val="18"/>
          <w:color w:val="auto"/>
        </w:rPr>
        <w:t>Less: Equity in earnings of afliated</w:t>
      </w:r>
    </w:p>
    <w:p>
      <w:pPr>
        <w:ind w:left="1260"/>
        <w:spacing w:after="0" w:line="235" w:lineRule="auto"/>
        <w:rPr>
          <w:sz w:val="20"/>
          <w:szCs w:val="20"/>
          <w:color w:val="auto"/>
        </w:rPr>
      </w:pPr>
      <w:r>
        <w:rPr>
          <w:rFonts w:ascii="Calibri" w:cs="Calibri" w:eastAsia="Calibri" w:hAnsi="Calibri"/>
          <w:sz w:val="18"/>
          <w:szCs w:val="18"/>
          <w:color w:val="auto"/>
        </w:rPr>
        <w:t>companies, net of tax</w:t>
      </w:r>
    </w:p>
    <w:p>
      <w:pPr>
        <w:spacing w:after="0" w:line="65" w:lineRule="exact"/>
        <w:rPr>
          <w:sz w:val="20"/>
          <w:szCs w:val="20"/>
          <w:color w:val="auto"/>
        </w:rPr>
      </w:pPr>
    </w:p>
    <w:p>
      <w:pPr>
        <w:ind w:left="1140"/>
        <w:spacing w:after="0"/>
        <w:rPr>
          <w:sz w:val="20"/>
          <w:szCs w:val="20"/>
          <w:color w:val="auto"/>
        </w:rPr>
      </w:pPr>
      <w:r>
        <w:rPr>
          <w:rFonts w:ascii="Calibri" w:cs="Calibri" w:eastAsia="Calibri" w:hAnsi="Calibri"/>
          <w:sz w:val="18"/>
          <w:szCs w:val="18"/>
          <w:color w:val="auto"/>
        </w:rPr>
        <w:t>Total other unallocated items</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ind w:left="660"/>
        <w:spacing w:after="0"/>
        <w:rPr>
          <w:sz w:val="20"/>
          <w:szCs w:val="20"/>
          <w:color w:val="auto"/>
        </w:rPr>
      </w:pPr>
      <w:r>
        <w:rPr>
          <w:rFonts w:ascii="Calibri" w:cs="Calibri" w:eastAsia="Calibri" w:hAnsi="Calibri"/>
          <w:sz w:val="14"/>
          <w:szCs w:val="14"/>
          <w:b w:val="1"/>
          <w:bCs w:val="1"/>
          <w:color w:val="auto"/>
        </w:rPr>
        <w:t>Three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21685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1200" w:type="dxa"/>
            <w:vAlign w:val="bottom"/>
          </w:tcPr>
          <w:p>
            <w:pPr>
              <w:jc w:val="right"/>
              <w:ind w:right="555"/>
              <w:spacing w:after="0"/>
              <w:rPr>
                <w:sz w:val="20"/>
                <w:szCs w:val="20"/>
                <w:color w:val="auto"/>
              </w:rPr>
            </w:pPr>
            <w:r>
              <w:rPr>
                <w:rFonts w:ascii="Calibri" w:cs="Calibri" w:eastAsia="Calibri" w:hAnsi="Calibri"/>
                <w:sz w:val="14"/>
                <w:szCs w:val="14"/>
                <w:b w:val="1"/>
                <w:bCs w:val="1"/>
                <w:color w:val="auto"/>
              </w:rPr>
              <w:t>2023</w:t>
            </w: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jc w:val="right"/>
              <w:ind w:right="553"/>
              <w:spacing w:after="0"/>
              <w:rPr>
                <w:sz w:val="20"/>
                <w:szCs w:val="20"/>
                <w:color w:val="auto"/>
              </w:rPr>
            </w:pPr>
            <w:r>
              <w:rPr>
                <w:rFonts w:ascii="Calibri" w:cs="Calibri" w:eastAsia="Calibri" w:hAnsi="Calibri"/>
                <w:sz w:val="14"/>
                <w:szCs w:val="14"/>
                <w:b w:val="1"/>
                <w:bCs w:val="1"/>
                <w:color w:val="auto"/>
              </w:rPr>
              <w:t>2022</w:t>
            </w:r>
          </w:p>
        </w:tc>
        <w:tc>
          <w:tcPr>
            <w:tcW w:w="60" w:type="dxa"/>
            <w:vAlign w:val="bottom"/>
          </w:tcPr>
          <w:p>
            <w:pPr>
              <w:spacing w:after="0"/>
              <w:rPr>
                <w:sz w:val="14"/>
                <w:szCs w:val="14"/>
                <w:color w:val="auto"/>
              </w:rPr>
            </w:pPr>
          </w:p>
        </w:tc>
      </w:tr>
      <w:tr>
        <w:trPr>
          <w:trHeight w:val="33"/>
        </w:trPr>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63"/>
        </w:trPr>
        <w:tc>
          <w:tcPr>
            <w:tcW w:w="380" w:type="dxa"/>
            <w:vAlign w:val="bottom"/>
          </w:tcPr>
          <w:p>
            <w:pPr>
              <w:spacing w:after="0"/>
              <w:rPr>
                <w:sz w:val="14"/>
                <w:szCs w:val="14"/>
                <w:color w:val="auto"/>
              </w:rPr>
            </w:pPr>
          </w:p>
        </w:tc>
        <w:tc>
          <w:tcPr>
            <w:tcW w:w="120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(In</w:t>
            </w:r>
          </w:p>
        </w:tc>
        <w:tc>
          <w:tcPr>
            <w:tcW w:w="700" w:type="dxa"/>
            <w:vAlign w:val="bottom"/>
            <w:gridSpan w:val="2"/>
          </w:tcPr>
          <w:p>
            <w:pPr>
              <w:jc w:val="right"/>
              <w:ind w:right="130"/>
              <w:spacing w:after="0" w:line="164" w:lineRule="exact"/>
              <w:rPr>
                <w:sz w:val="20"/>
                <w:szCs w:val="20"/>
                <w:color w:val="auto"/>
              </w:rPr>
            </w:pPr>
            <w:r>
              <w:rPr>
                <w:rFonts w:ascii="Calibri" w:cs="Calibri" w:eastAsia="Calibri" w:hAnsi="Calibri"/>
                <w:sz w:val="14"/>
                <w:szCs w:val="14"/>
                <w:b w:val="1"/>
                <w:bCs w:val="1"/>
                <w:color w:val="auto"/>
                <w:w w:val="91"/>
              </w:rPr>
              <w:t>millions)</w:t>
            </w: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9"/>
        </w:trPr>
        <w:tc>
          <w:tcPr>
            <w:tcW w:w="380" w:type="dxa"/>
            <w:vAlign w:val="bottom"/>
          </w:tcPr>
          <w:p>
            <w:pPr>
              <w:jc w:val="right"/>
              <w:ind w:right="190"/>
              <w:spacing w:after="0"/>
              <w:rPr>
                <w:sz w:val="20"/>
                <w:szCs w:val="20"/>
                <w:color w:val="auto"/>
              </w:rPr>
            </w:pPr>
            <w:r>
              <w:rPr>
                <w:rFonts w:ascii="Calibri" w:cs="Calibri" w:eastAsia="Calibri" w:hAnsi="Calibri"/>
                <w:sz w:val="18"/>
                <w:szCs w:val="18"/>
                <w:color w:val="auto"/>
                <w:w w:val="87"/>
              </w:rPr>
              <w:t>$</w:t>
            </w:r>
          </w:p>
        </w:tc>
        <w:tc>
          <w:tcPr>
            <w:tcW w:w="1480" w:type="dxa"/>
            <w:vAlign w:val="bottom"/>
            <w:gridSpan w:val="2"/>
          </w:tcPr>
          <w:p>
            <w:pPr>
              <w:jc w:val="right"/>
              <w:ind w:right="139"/>
              <w:spacing w:after="0"/>
              <w:rPr>
                <w:sz w:val="20"/>
                <w:szCs w:val="20"/>
                <w:color w:val="auto"/>
              </w:rPr>
            </w:pPr>
            <w:r>
              <w:rPr>
                <w:rFonts w:ascii="Calibri" w:cs="Calibri" w:eastAsia="Calibri" w:hAnsi="Calibri"/>
                <w:sz w:val="18"/>
                <w:szCs w:val="18"/>
                <w:color w:val="auto"/>
              </w:rPr>
              <w:t>(22 )</w:t>
            </w:r>
          </w:p>
        </w:tc>
        <w:tc>
          <w:tcPr>
            <w:tcW w:w="420" w:type="dxa"/>
            <w:vAlign w:val="bottom"/>
          </w:tcPr>
          <w:p>
            <w:pPr>
              <w:jc w:val="right"/>
              <w:ind w:right="230"/>
              <w:spacing w:after="0"/>
              <w:rPr>
                <w:sz w:val="20"/>
                <w:szCs w:val="20"/>
                <w:color w:val="auto"/>
              </w:rPr>
            </w:pPr>
            <w:r>
              <w:rPr>
                <w:rFonts w:ascii="Calibri" w:cs="Calibri" w:eastAsia="Calibri" w:hAnsi="Calibri"/>
                <w:sz w:val="18"/>
                <w:szCs w:val="18"/>
                <w:color w:val="auto"/>
                <w:w w:val="87"/>
              </w:rPr>
              <w:t>$</w:t>
            </w:r>
          </w:p>
        </w:tc>
        <w:tc>
          <w:tcPr>
            <w:tcW w:w="1200" w:type="dxa"/>
            <w:vAlign w:val="bottom"/>
            <w:gridSpan w:val="2"/>
          </w:tcPr>
          <w:p>
            <w:pPr>
              <w:jc w:val="right"/>
              <w:spacing w:after="0"/>
              <w:rPr>
                <w:sz w:val="20"/>
                <w:szCs w:val="20"/>
                <w:color w:val="auto"/>
              </w:rPr>
            </w:pPr>
            <w:r>
              <w:rPr>
                <w:rFonts w:ascii="Calibri" w:cs="Calibri" w:eastAsia="Calibri" w:hAnsi="Calibri"/>
                <w:sz w:val="18"/>
                <w:szCs w:val="18"/>
                <w:color w:val="auto"/>
              </w:rPr>
              <w:t>(22 )</w:t>
            </w:r>
          </w:p>
        </w:tc>
      </w:tr>
      <w:tr>
        <w:trPr>
          <w:trHeight w:val="243"/>
        </w:trPr>
        <w:tc>
          <w:tcPr>
            <w:tcW w:w="380" w:type="dxa"/>
            <w:vAlign w:val="bottom"/>
          </w:tcPr>
          <w:p>
            <w:pPr>
              <w:spacing w:after="0"/>
              <w:rPr>
                <w:sz w:val="21"/>
                <w:szCs w:val="21"/>
                <w:color w:val="auto"/>
              </w:rPr>
            </w:pPr>
          </w:p>
        </w:tc>
        <w:tc>
          <w:tcPr>
            <w:tcW w:w="1480" w:type="dxa"/>
            <w:vAlign w:val="bottom"/>
            <w:gridSpan w:val="2"/>
          </w:tcPr>
          <w:p>
            <w:pPr>
              <w:jc w:val="right"/>
              <w:ind w:right="139"/>
              <w:spacing w:after="0"/>
              <w:rPr>
                <w:sz w:val="20"/>
                <w:szCs w:val="20"/>
                <w:color w:val="auto"/>
              </w:rPr>
            </w:pPr>
            <w:r>
              <w:rPr>
                <w:rFonts w:ascii="Calibri" w:cs="Calibri" w:eastAsia="Calibri" w:hAnsi="Calibri"/>
                <w:sz w:val="18"/>
                <w:szCs w:val="18"/>
                <w:color w:val="auto"/>
              </w:rPr>
              <w:t>(17 )</w:t>
            </w:r>
          </w:p>
        </w:tc>
        <w:tc>
          <w:tcPr>
            <w:tcW w:w="42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Calibri" w:cs="Calibri" w:eastAsia="Calibri" w:hAnsi="Calibri"/>
                <w:sz w:val="18"/>
                <w:szCs w:val="18"/>
                <w:color w:val="auto"/>
              </w:rPr>
              <w:t>(15 )</w:t>
            </w:r>
          </w:p>
        </w:tc>
      </w:tr>
      <w:tr>
        <w:trPr>
          <w:trHeight w:val="243"/>
        </w:trPr>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Calibri" w:cs="Calibri" w:eastAsia="Calibri" w:hAnsi="Calibri"/>
                <w:sz w:val="18"/>
                <w:szCs w:val="18"/>
                <w:color w:val="auto"/>
              </w:rPr>
              <w:t>13</w:t>
            </w: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color w:val="auto"/>
              </w:rPr>
              <w:t>4</w:t>
            </w:r>
          </w:p>
        </w:tc>
        <w:tc>
          <w:tcPr>
            <w:tcW w:w="60" w:type="dxa"/>
            <w:vAlign w:val="bottom"/>
          </w:tcPr>
          <w:p>
            <w:pPr>
              <w:spacing w:after="0"/>
              <w:rPr>
                <w:sz w:val="21"/>
                <w:szCs w:val="21"/>
                <w:color w:val="auto"/>
              </w:rPr>
            </w:pPr>
          </w:p>
        </w:tc>
      </w:tr>
      <w:tr>
        <w:trPr>
          <w:trHeight w:val="445"/>
        </w:trPr>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alibri" w:cs="Calibri" w:eastAsia="Calibri" w:hAnsi="Calibri"/>
                <w:sz w:val="18"/>
                <w:szCs w:val="18"/>
                <w:color w:val="auto"/>
              </w:rPr>
              <w:t>1</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color w:val="auto"/>
              </w:rPr>
              <w:t>2</w:t>
            </w:r>
          </w:p>
        </w:tc>
        <w:tc>
          <w:tcPr>
            <w:tcW w:w="60" w:type="dxa"/>
            <w:vAlign w:val="bottom"/>
          </w:tcPr>
          <w:p>
            <w:pPr>
              <w:spacing w:after="0"/>
              <w:rPr>
                <w:sz w:val="24"/>
                <w:szCs w:val="24"/>
                <w:color w:val="auto"/>
              </w:rPr>
            </w:pPr>
          </w:p>
        </w:tc>
      </w:tr>
      <w:tr>
        <w:trPr>
          <w:trHeight w:val="37"/>
        </w:trPr>
        <w:tc>
          <w:tcPr>
            <w:tcW w:w="380" w:type="dxa"/>
            <w:vAlign w:val="bottom"/>
          </w:tcPr>
          <w:p>
            <w:pPr>
              <w:spacing w:after="0"/>
              <w:rPr>
                <w:sz w:val="3"/>
                <w:szCs w:val="3"/>
                <w:color w:val="auto"/>
              </w:rPr>
            </w:pPr>
          </w:p>
        </w:tc>
        <w:tc>
          <w:tcPr>
            <w:tcW w:w="1480" w:type="dxa"/>
            <w:vAlign w:val="bottom"/>
            <w:gridSpan w:val="2"/>
          </w:tcPr>
          <w:p>
            <w:pPr>
              <w:spacing w:after="0"/>
              <w:rPr>
                <w:sz w:val="3"/>
                <w:szCs w:val="3"/>
                <w:color w:val="auto"/>
              </w:rPr>
            </w:pPr>
          </w:p>
        </w:tc>
        <w:tc>
          <w:tcPr>
            <w:tcW w:w="420" w:type="dxa"/>
            <w:vAlign w:val="bottom"/>
          </w:tcPr>
          <w:p>
            <w:pPr>
              <w:spacing w:after="0"/>
              <w:rPr>
                <w:sz w:val="3"/>
                <w:szCs w:val="3"/>
                <w:color w:val="auto"/>
              </w:rPr>
            </w:pPr>
          </w:p>
        </w:tc>
        <w:tc>
          <w:tcPr>
            <w:tcW w:w="1200" w:type="dxa"/>
            <w:vAlign w:val="bottom"/>
            <w:gridSpan w:val="2"/>
          </w:tcPr>
          <w:p>
            <w:pPr>
              <w:spacing w:after="0"/>
              <w:rPr>
                <w:sz w:val="3"/>
                <w:szCs w:val="3"/>
                <w:color w:val="auto"/>
              </w:rPr>
            </w:pPr>
          </w:p>
        </w:tc>
      </w:tr>
      <w:tr>
        <w:trPr>
          <w:trHeight w:val="208"/>
        </w:trPr>
        <w:tc>
          <w:tcPr>
            <w:tcW w:w="380" w:type="dxa"/>
            <w:vAlign w:val="bottom"/>
            <w:tcBorders>
              <w:top w:val="single" w:sz="8" w:color="auto"/>
            </w:tcBorders>
          </w:tcPr>
          <w:p>
            <w:pPr>
              <w:jc w:val="right"/>
              <w:ind w:right="190"/>
              <w:spacing w:after="0" w:line="208" w:lineRule="exact"/>
              <w:rPr>
                <w:sz w:val="20"/>
                <w:szCs w:val="20"/>
                <w:color w:val="auto"/>
              </w:rPr>
            </w:pPr>
            <w:r>
              <w:rPr>
                <w:rFonts w:ascii="Calibri" w:cs="Calibri" w:eastAsia="Calibri" w:hAnsi="Calibri"/>
                <w:sz w:val="18"/>
                <w:szCs w:val="18"/>
                <w:color w:val="auto"/>
                <w:w w:val="87"/>
              </w:rPr>
              <w:t>$</w:t>
            </w:r>
          </w:p>
        </w:tc>
        <w:tc>
          <w:tcPr>
            <w:tcW w:w="12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(27</w:t>
            </w:r>
          </w:p>
        </w:tc>
        <w:tc>
          <w:tcPr>
            <w:tcW w:w="280" w:type="dxa"/>
            <w:vAlign w:val="bottom"/>
          </w:tcPr>
          <w:p>
            <w:pPr>
              <w:jc w:val="right"/>
              <w:ind w:right="139"/>
              <w:spacing w:after="0" w:line="199" w:lineRule="exact"/>
              <w:rPr>
                <w:sz w:val="20"/>
                <w:szCs w:val="20"/>
                <w:color w:val="auto"/>
              </w:rPr>
            </w:pPr>
            <w:r>
              <w:rPr>
                <w:rFonts w:ascii="Calibri" w:cs="Calibri" w:eastAsia="Calibri" w:hAnsi="Calibri"/>
                <w:sz w:val="18"/>
                <w:szCs w:val="18"/>
                <w:color w:val="auto"/>
                <w:w w:val="72"/>
              </w:rPr>
              <w:t>)</w:t>
            </w:r>
          </w:p>
        </w:tc>
        <w:tc>
          <w:tcPr>
            <w:tcW w:w="420" w:type="dxa"/>
            <w:vAlign w:val="bottom"/>
            <w:tcBorders>
              <w:top w:val="single" w:sz="8" w:color="auto"/>
            </w:tcBorders>
          </w:tcPr>
          <w:p>
            <w:pPr>
              <w:jc w:val="right"/>
              <w:ind w:right="230"/>
              <w:spacing w:after="0" w:line="208" w:lineRule="exact"/>
              <w:rPr>
                <w:sz w:val="20"/>
                <w:szCs w:val="20"/>
                <w:color w:val="auto"/>
              </w:rPr>
            </w:pPr>
            <w:r>
              <w:rPr>
                <w:rFonts w:ascii="Calibri" w:cs="Calibri" w:eastAsia="Calibri" w:hAnsi="Calibri"/>
                <w:sz w:val="18"/>
                <w:szCs w:val="18"/>
                <w:color w:val="auto"/>
                <w:w w:val="87"/>
              </w:rPr>
              <w:t>$</w:t>
            </w:r>
          </w:p>
        </w:tc>
        <w:tc>
          <w:tcPr>
            <w:tcW w:w="11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(35</w:t>
            </w:r>
          </w:p>
        </w:tc>
        <w:tc>
          <w:tcPr>
            <w:tcW w:w="60" w:type="dxa"/>
            <w:vAlign w:val="bottom"/>
          </w:tcPr>
          <w:p>
            <w:pPr>
              <w:jc w:val="right"/>
              <w:spacing w:after="0" w:line="199" w:lineRule="exact"/>
              <w:rPr>
                <w:sz w:val="20"/>
                <w:szCs w:val="20"/>
                <w:color w:val="auto"/>
              </w:rPr>
            </w:pPr>
            <w:r>
              <w:rPr>
                <w:rFonts w:ascii="Calibri" w:cs="Calibri" w:eastAsia="Calibri" w:hAnsi="Calibri"/>
                <w:sz w:val="18"/>
                <w:szCs w:val="18"/>
                <w:color w:val="auto"/>
                <w:w w:val="72"/>
              </w:rPr>
              <w:t>)</w:t>
            </w:r>
          </w:p>
        </w:tc>
      </w:tr>
      <w:tr>
        <w:trPr>
          <w:trHeight w:val="28"/>
        </w:trPr>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-934085</wp:posOffset>
            </wp:positionV>
            <wp:extent cx="5700395" cy="1543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-3477895</wp:posOffset>
            </wp:positionH>
            <wp:positionV relativeFrom="paragraph">
              <wp:posOffset>-625475</wp:posOffset>
            </wp:positionV>
            <wp:extent cx="5700395" cy="1543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-3477895</wp:posOffset>
            </wp:positionH>
            <wp:positionV relativeFrom="paragraph">
              <wp:posOffset>-179070</wp:posOffset>
            </wp:positionV>
            <wp:extent cx="5700395" cy="1797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700395" cy="179705"/>
                    </a:xfrm>
                    <a:prstGeom prst="rect">
                      <a:avLst/>
                    </a:prstGeom>
                    <a:noFill/>
                  </pic:spPr>
                </pic:pic>
              </a:graphicData>
            </a:graphic>
          </wp:anchor>
        </w:drawing>
      </w:r>
    </w:p>
    <w:p>
      <w:pPr>
        <w:spacing w:after="0" w:line="167" w:lineRule="exact"/>
        <w:rPr>
          <w:sz w:val="20"/>
          <w:szCs w:val="20"/>
          <w:color w:val="auto"/>
        </w:rPr>
      </w:pPr>
    </w:p>
    <w:p>
      <w:pPr>
        <w:sectPr>
          <w:pgSz w:w="11900" w:h="16838" w:orient="portrait"/>
          <w:cols w:equalWidth="0" w:num="2">
            <w:col w:w="5900" w:space="720"/>
            <w:col w:w="4620"/>
          </w:cols>
          <w:pgMar w:left="320" w:top="328" w:right="339" w:bottom="1440" w:gutter="0" w:footer="0" w:header="0"/>
        </w:sectPr>
      </w:pPr>
    </w:p>
    <w:p>
      <w:pPr>
        <w:ind w:firstLine="509"/>
        <w:spacing w:after="0" w:line="235" w:lineRule="auto"/>
        <w:rPr>
          <w:sz w:val="20"/>
          <w:szCs w:val="20"/>
          <w:color w:val="auto"/>
        </w:rPr>
      </w:pPr>
      <w:r>
        <w:rPr>
          <w:rFonts w:ascii="Calibri" w:cs="Calibri" w:eastAsia="Calibri" w:hAnsi="Calibri"/>
          <w:sz w:val="18"/>
          <w:szCs w:val="18"/>
          <w:color w:val="auto"/>
        </w:rPr>
        <w:t>Total Other unallocated items increased by $8 million due to higher General unallocated income (expense) resultng from higher investment income on our cash and cash equivalent balances in Argentna.</w:t>
      </w:r>
    </w:p>
    <w:p>
      <w:pPr>
        <w:spacing w:after="0" w:line="8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A discussion of items that we refer to as “other unallocated items” can be found under the heading “Defniton of Terms and Non-GAAP Financial Measures”. The balances of unallocated corporate costs are primarily comprised of expenditures related to managing a public company that are not allocated to the segments and corporate business development costs related to ongoing corporate projects. The balances of General unallocated income (expense) consist of gains (losses) arising from foreign currency transactons, net of other foreign currency risk management actvites, interest and dividend income, the proft or loss related to the corporate adjustment for unearned revenue and unrealized holding gains (losses) for investments. General unallocated income (expense) does not include items of income or expense that are separately treated as Certain items.</w:t>
      </w:r>
    </w:p>
    <w:p>
      <w:pPr>
        <w:spacing w:after="0" w:line="8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Reinforcement Materials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Sales and EBIT for Reinforcement Materials for the frst quarter of fscal 2024 and 2023 were as follows:</w:t>
      </w:r>
    </w:p>
    <w:p>
      <w:pPr>
        <w:spacing w:after="0" w:line="1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120" w:type="dxa"/>
            <w:vAlign w:val="bottom"/>
            <w:gridSpan w:val="5"/>
          </w:tcPr>
          <w:p>
            <w:pPr>
              <w:ind w:left="280"/>
              <w:spacing w:after="0"/>
              <w:rPr>
                <w:sz w:val="20"/>
                <w:szCs w:val="20"/>
                <w:color w:val="auto"/>
              </w:rPr>
            </w:pPr>
            <w:r>
              <w:rPr>
                <w:rFonts w:ascii="Calibri" w:cs="Calibri" w:eastAsia="Calibri" w:hAnsi="Calibri"/>
                <w:sz w:val="14"/>
                <w:szCs w:val="14"/>
                <w:b w:val="1"/>
                <w:bCs w:val="1"/>
                <w:color w:val="auto"/>
              </w:rPr>
              <w:t>Three Months Ended December 31</w:t>
            </w:r>
          </w:p>
        </w:tc>
      </w:tr>
      <w:tr>
        <w:trPr>
          <w:trHeight w:val="33"/>
        </w:trPr>
        <w:tc>
          <w:tcPr>
            <w:tcW w:w="54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3"/>
        </w:trPr>
        <w:tc>
          <w:tcPr>
            <w:tcW w:w="5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ind w:right="561"/>
              <w:spacing w:after="0" w:line="164" w:lineRule="exact"/>
              <w:rPr>
                <w:sz w:val="20"/>
                <w:szCs w:val="20"/>
                <w:color w:val="auto"/>
              </w:rPr>
            </w:pPr>
            <w:r>
              <w:rPr>
                <w:rFonts w:ascii="Calibri" w:cs="Calibri" w:eastAsia="Calibri" w:hAnsi="Calibri"/>
                <w:sz w:val="14"/>
                <w:szCs w:val="14"/>
                <w:b w:val="1"/>
                <w:bCs w:val="1"/>
                <w:color w:val="auto"/>
              </w:rPr>
              <w:t>2023</w:t>
            </w: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jc w:val="right"/>
              <w:ind w:right="556"/>
              <w:spacing w:after="0" w:line="164" w:lineRule="exact"/>
              <w:rPr>
                <w:sz w:val="20"/>
                <w:szCs w:val="20"/>
                <w:color w:val="auto"/>
              </w:rPr>
            </w:pPr>
            <w:r>
              <w:rPr>
                <w:rFonts w:ascii="Calibri" w:cs="Calibri" w:eastAsia="Calibri" w:hAnsi="Calibri"/>
                <w:sz w:val="14"/>
                <w:szCs w:val="14"/>
                <w:b w:val="1"/>
                <w:bCs w:val="1"/>
                <w:color w:val="auto"/>
              </w:rPr>
              <w:t>2022</w:t>
            </w:r>
          </w:p>
        </w:tc>
        <w:tc>
          <w:tcPr>
            <w:tcW w:w="80" w:type="dxa"/>
            <w:vAlign w:val="bottom"/>
          </w:tcPr>
          <w:p>
            <w:pPr>
              <w:spacing w:after="0"/>
              <w:rPr>
                <w:sz w:val="14"/>
                <w:szCs w:val="14"/>
                <w:color w:val="auto"/>
              </w:rPr>
            </w:pPr>
          </w:p>
        </w:tc>
      </w:tr>
      <w:tr>
        <w:trPr>
          <w:trHeight w:val="33"/>
        </w:trPr>
        <w:tc>
          <w:tcPr>
            <w:tcW w:w="54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3"/>
        </w:trPr>
        <w:tc>
          <w:tcPr>
            <w:tcW w:w="5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center"/>
              <w:ind w:left="841"/>
              <w:spacing w:after="0" w:line="164" w:lineRule="exact"/>
              <w:rPr>
                <w:sz w:val="20"/>
                <w:szCs w:val="20"/>
                <w:color w:val="auto"/>
              </w:rPr>
            </w:pPr>
            <w:r>
              <w:rPr>
                <w:rFonts w:ascii="Calibri" w:cs="Calibri" w:eastAsia="Calibri" w:hAnsi="Calibri"/>
                <w:sz w:val="14"/>
                <w:szCs w:val="14"/>
                <w:b w:val="1"/>
                <w:bCs w:val="1"/>
                <w:color w:val="auto"/>
              </w:rPr>
              <w:t>(In</w:t>
            </w:r>
          </w:p>
        </w:tc>
        <w:tc>
          <w:tcPr>
            <w:tcW w:w="700" w:type="dxa"/>
            <w:vAlign w:val="bottom"/>
            <w:gridSpan w:val="2"/>
          </w:tcPr>
          <w:p>
            <w:pPr>
              <w:jc w:val="right"/>
              <w:ind w:right="220"/>
              <w:spacing w:after="0" w:line="164" w:lineRule="exact"/>
              <w:rPr>
                <w:sz w:val="20"/>
                <w:szCs w:val="20"/>
                <w:color w:val="auto"/>
              </w:rPr>
            </w:pPr>
            <w:r>
              <w:rPr>
                <w:rFonts w:ascii="Calibri" w:cs="Calibri" w:eastAsia="Calibri" w:hAnsi="Calibri"/>
                <w:sz w:val="14"/>
                <w:szCs w:val="14"/>
                <w:b w:val="1"/>
                <w:bCs w:val="1"/>
                <w:color w:val="auto"/>
                <w:w w:val="91"/>
              </w:rPr>
              <w:t>millions)</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3"/>
        </w:trPr>
        <w:tc>
          <w:tcPr>
            <w:tcW w:w="5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548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Reinforcement Materials Sales</w:t>
            </w:r>
          </w:p>
        </w:tc>
        <w:tc>
          <w:tcPr>
            <w:tcW w:w="380" w:type="dxa"/>
            <w:vAlign w:val="bottom"/>
            <w:tcBorders>
              <w:bottom w:val="single" w:sz="8" w:color="CFF0FC"/>
            </w:tcBorders>
            <w:shd w:val="clear" w:color="auto" w:fill="CFF0FC"/>
          </w:tcPr>
          <w:p>
            <w:pPr>
              <w:jc w:val="right"/>
              <w:ind w:right="190"/>
              <w:spacing w:after="0" w:line="215" w:lineRule="exact"/>
              <w:rPr>
                <w:sz w:val="20"/>
                <w:szCs w:val="20"/>
                <w:color w:val="auto"/>
              </w:rPr>
            </w:pPr>
            <w:r>
              <w:rPr>
                <w:rFonts w:ascii="Calibri" w:cs="Calibri" w:eastAsia="Calibri" w:hAnsi="Calibri"/>
                <w:sz w:val="18"/>
                <w:szCs w:val="18"/>
                <w:color w:val="auto"/>
                <w:w w:val="87"/>
              </w:rPr>
              <w:t>$</w:t>
            </w:r>
          </w:p>
        </w:tc>
        <w:tc>
          <w:tcPr>
            <w:tcW w:w="1200" w:type="dxa"/>
            <w:vAlign w:val="bottom"/>
            <w:tcBorders>
              <w:bottom w:val="single" w:sz="8" w:color="CFF0FC"/>
            </w:tcBorders>
            <w:shd w:val="clear" w:color="auto" w:fill="CFF0FC"/>
          </w:tcPr>
          <w:p>
            <w:pPr>
              <w:jc w:val="center"/>
              <w:ind w:left="821"/>
              <w:spacing w:after="0" w:line="215" w:lineRule="exact"/>
              <w:rPr>
                <w:sz w:val="20"/>
                <w:szCs w:val="20"/>
                <w:color w:val="auto"/>
              </w:rPr>
            </w:pPr>
            <w:r>
              <w:rPr>
                <w:rFonts w:ascii="Calibri" w:cs="Calibri" w:eastAsia="Calibri" w:hAnsi="Calibri"/>
                <w:sz w:val="18"/>
                <w:szCs w:val="18"/>
                <w:color w:val="auto"/>
                <w:w w:val="94"/>
              </w:rPr>
              <w:t>641</w:t>
            </w:r>
          </w:p>
        </w:tc>
        <w:tc>
          <w:tcPr>
            <w:tcW w:w="700" w:type="dxa"/>
            <w:vAlign w:val="bottom"/>
            <w:tcBorders>
              <w:bottom w:val="single" w:sz="8" w:color="CFF0FC"/>
            </w:tcBorders>
            <w:gridSpan w:val="2"/>
            <w:shd w:val="clear" w:color="auto" w:fill="CFF0FC"/>
          </w:tcPr>
          <w:p>
            <w:pPr>
              <w:jc w:val="right"/>
              <w:ind w:right="32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643</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15"/>
        </w:trPr>
        <w:tc>
          <w:tcPr>
            <w:tcW w:w="5480" w:type="dxa"/>
            <w:vAlign w:val="bottom"/>
          </w:tcPr>
          <w:p>
            <w:pPr>
              <w:spacing w:after="0" w:line="215" w:lineRule="exact"/>
              <w:rPr>
                <w:sz w:val="20"/>
                <w:szCs w:val="20"/>
                <w:color w:val="auto"/>
              </w:rPr>
            </w:pPr>
            <w:r>
              <w:rPr>
                <w:rFonts w:ascii="Calibri" w:cs="Calibri" w:eastAsia="Calibri" w:hAnsi="Calibri"/>
                <w:sz w:val="18"/>
                <w:szCs w:val="18"/>
                <w:color w:val="auto"/>
              </w:rPr>
              <w:t>Reinforcement Materials EBIT</w:t>
            </w:r>
          </w:p>
        </w:tc>
        <w:tc>
          <w:tcPr>
            <w:tcW w:w="38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w w:val="87"/>
              </w:rPr>
              <w:t>$</w:t>
            </w:r>
          </w:p>
        </w:tc>
        <w:tc>
          <w:tcPr>
            <w:tcW w:w="1200" w:type="dxa"/>
            <w:vAlign w:val="bottom"/>
          </w:tcPr>
          <w:p>
            <w:pPr>
              <w:jc w:val="center"/>
              <w:ind w:left="821"/>
              <w:spacing w:after="0" w:line="215" w:lineRule="exact"/>
              <w:rPr>
                <w:sz w:val="20"/>
                <w:szCs w:val="20"/>
                <w:color w:val="auto"/>
              </w:rPr>
            </w:pPr>
            <w:r>
              <w:rPr>
                <w:rFonts w:ascii="Calibri" w:cs="Calibri" w:eastAsia="Calibri" w:hAnsi="Calibri"/>
                <w:sz w:val="18"/>
                <w:szCs w:val="18"/>
                <w:color w:val="auto"/>
                <w:w w:val="94"/>
              </w:rPr>
              <w:t>129</w:t>
            </w:r>
          </w:p>
        </w:tc>
        <w:tc>
          <w:tcPr>
            <w:tcW w:w="700" w:type="dxa"/>
            <w:vAlign w:val="bottom"/>
            <w:gridSpan w:val="2"/>
          </w:tcPr>
          <w:p>
            <w:pPr>
              <w:jc w:val="right"/>
              <w:ind w:right="32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94</w:t>
            </w:r>
          </w:p>
        </w:tc>
        <w:tc>
          <w:tcPr>
            <w:tcW w:w="80" w:type="dxa"/>
            <w:vAlign w:val="bottom"/>
          </w:tcPr>
          <w:p>
            <w:pPr>
              <w:spacing w:after="0"/>
              <w:rPr>
                <w:sz w:val="18"/>
                <w:szCs w:val="18"/>
                <w:color w:val="auto"/>
              </w:rPr>
            </w:pPr>
          </w:p>
        </w:tc>
      </w:tr>
    </w:tbl>
    <w:p>
      <w:pPr>
        <w:spacing w:after="0" w:line="154"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Sales in Reinforcement Materials decreased by $2 million in the frst quarter of fscal 2024 compared to the same period of fscal 2023, primarily due to less favorable price and product mix (combined $27 million), partally ofset by higher volumes ($16 million) and the favorable impact from foreign currency translaton ($9 million). The less favorable price and product mix was primarily due to lower raw material costs in China that are generally passed through to our customers and were partally ofset by favorable price and product mix in the 2023 calendar year customer agreements. The higher volumes in the frst quarter of fscal 2024 were driven by higher volumes in Europe and Asia.</w:t>
      </w:r>
    </w:p>
    <w:p>
      <w:pPr>
        <w:spacing w:after="0" w:line="85"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EBIT in Reinforcement Materials in the frst quarter of fscal 2024 increased by $35 million compared to the same period of fscal 2023. During the frst quarter of fscal 2024, the segment had higher unit margins, net of costs ($28 million) and higher volumes ($5 million). The higher unit margins in the frst quarter of fscal 2024 were primarily driven by favorable pricing and product mix in the 2023 calendar year customer agreements. The higher volumes were driven by higher volumes in Europe and Asia. The higher costs were primarily driven by higher selling and administratve expense.</w:t>
      </w:r>
    </w:p>
    <w:p>
      <w:pPr>
        <w:spacing w:after="0" w:line="84" w:lineRule="exact"/>
        <w:rPr>
          <w:sz w:val="20"/>
          <w:szCs w:val="20"/>
          <w:color w:val="auto"/>
        </w:rPr>
      </w:pPr>
    </w:p>
    <w:p>
      <w:pPr>
        <w:ind w:right="400" w:firstLine="509"/>
        <w:spacing w:after="0" w:line="235" w:lineRule="auto"/>
        <w:rPr>
          <w:sz w:val="20"/>
          <w:szCs w:val="20"/>
          <w:color w:val="auto"/>
        </w:rPr>
      </w:pPr>
      <w:r>
        <w:rPr>
          <w:rFonts w:ascii="Calibri" w:cs="Calibri" w:eastAsia="Calibri" w:hAnsi="Calibri"/>
          <w:sz w:val="18"/>
          <w:szCs w:val="18"/>
          <w:color w:val="auto"/>
        </w:rPr>
        <w:t>As we look to the second quarter of the fscal year, we expect the Reinforcement Materials EBIT to improve sequentally due to higher pricing and product mix related to the outcome of negotatons on our calendar year 2024 customer agreements and modestly higher sequental volumes.</w:t>
      </w:r>
    </w:p>
    <w:p>
      <w:pPr>
        <w:spacing w:after="0" w:line="7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Performance Chemicals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Sales and EBIT for Performance Chemicals for the frst quarter of fscal 2024 and 2023 were as follows:</w:t>
      </w:r>
    </w:p>
    <w:p>
      <w:pPr>
        <w:spacing w:after="0" w:line="1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120" w:type="dxa"/>
            <w:vAlign w:val="bottom"/>
            <w:gridSpan w:val="5"/>
          </w:tcPr>
          <w:p>
            <w:pPr>
              <w:ind w:left="280"/>
              <w:spacing w:after="0"/>
              <w:rPr>
                <w:sz w:val="20"/>
                <w:szCs w:val="20"/>
                <w:color w:val="auto"/>
              </w:rPr>
            </w:pPr>
            <w:r>
              <w:rPr>
                <w:rFonts w:ascii="Calibri" w:cs="Calibri" w:eastAsia="Calibri" w:hAnsi="Calibri"/>
                <w:sz w:val="14"/>
                <w:szCs w:val="14"/>
                <w:b w:val="1"/>
                <w:bCs w:val="1"/>
                <w:color w:val="auto"/>
              </w:rPr>
              <w:t>Three Months Ended December 31</w:t>
            </w:r>
          </w:p>
        </w:tc>
      </w:tr>
      <w:tr>
        <w:trPr>
          <w:trHeight w:val="33"/>
        </w:trPr>
        <w:tc>
          <w:tcPr>
            <w:tcW w:w="54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3"/>
        </w:trPr>
        <w:tc>
          <w:tcPr>
            <w:tcW w:w="5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ind w:right="561"/>
              <w:spacing w:after="0" w:line="164" w:lineRule="exact"/>
              <w:rPr>
                <w:sz w:val="20"/>
                <w:szCs w:val="20"/>
                <w:color w:val="auto"/>
              </w:rPr>
            </w:pPr>
            <w:r>
              <w:rPr>
                <w:rFonts w:ascii="Calibri" w:cs="Calibri" w:eastAsia="Calibri" w:hAnsi="Calibri"/>
                <w:sz w:val="14"/>
                <w:szCs w:val="14"/>
                <w:b w:val="1"/>
                <w:bCs w:val="1"/>
                <w:color w:val="auto"/>
              </w:rPr>
              <w:t>2023</w:t>
            </w: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jc w:val="right"/>
              <w:ind w:right="556"/>
              <w:spacing w:after="0" w:line="164" w:lineRule="exact"/>
              <w:rPr>
                <w:sz w:val="20"/>
                <w:szCs w:val="20"/>
                <w:color w:val="auto"/>
              </w:rPr>
            </w:pPr>
            <w:r>
              <w:rPr>
                <w:rFonts w:ascii="Calibri" w:cs="Calibri" w:eastAsia="Calibri" w:hAnsi="Calibri"/>
                <w:sz w:val="14"/>
                <w:szCs w:val="14"/>
                <w:b w:val="1"/>
                <w:bCs w:val="1"/>
                <w:color w:val="auto"/>
              </w:rPr>
              <w:t>2022</w:t>
            </w:r>
          </w:p>
        </w:tc>
        <w:tc>
          <w:tcPr>
            <w:tcW w:w="80" w:type="dxa"/>
            <w:vAlign w:val="bottom"/>
          </w:tcPr>
          <w:p>
            <w:pPr>
              <w:spacing w:after="0"/>
              <w:rPr>
                <w:sz w:val="14"/>
                <w:szCs w:val="14"/>
                <w:color w:val="auto"/>
              </w:rPr>
            </w:pPr>
          </w:p>
        </w:tc>
      </w:tr>
      <w:tr>
        <w:trPr>
          <w:trHeight w:val="33"/>
        </w:trPr>
        <w:tc>
          <w:tcPr>
            <w:tcW w:w="54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3"/>
        </w:trPr>
        <w:tc>
          <w:tcPr>
            <w:tcW w:w="5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(In</w:t>
            </w:r>
          </w:p>
        </w:tc>
        <w:tc>
          <w:tcPr>
            <w:tcW w:w="700" w:type="dxa"/>
            <w:vAlign w:val="bottom"/>
            <w:gridSpan w:val="2"/>
          </w:tcPr>
          <w:p>
            <w:pPr>
              <w:jc w:val="right"/>
              <w:ind w:right="220"/>
              <w:spacing w:after="0" w:line="164" w:lineRule="exact"/>
              <w:rPr>
                <w:sz w:val="20"/>
                <w:szCs w:val="20"/>
                <w:color w:val="auto"/>
              </w:rPr>
            </w:pPr>
            <w:r>
              <w:rPr>
                <w:rFonts w:ascii="Calibri" w:cs="Calibri" w:eastAsia="Calibri" w:hAnsi="Calibri"/>
                <w:sz w:val="14"/>
                <w:szCs w:val="14"/>
                <w:b w:val="1"/>
                <w:bCs w:val="1"/>
                <w:color w:val="auto"/>
                <w:w w:val="91"/>
              </w:rPr>
              <w:t>millions)</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3"/>
        </w:trPr>
        <w:tc>
          <w:tcPr>
            <w:tcW w:w="5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548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Performance Chemicals Sales</w:t>
            </w:r>
          </w:p>
        </w:tc>
        <w:tc>
          <w:tcPr>
            <w:tcW w:w="380" w:type="dxa"/>
            <w:vAlign w:val="bottom"/>
            <w:tcBorders>
              <w:bottom w:val="single" w:sz="8" w:color="CFF0FC"/>
            </w:tcBorders>
            <w:shd w:val="clear" w:color="auto" w:fill="CFF0FC"/>
          </w:tcPr>
          <w:p>
            <w:pPr>
              <w:jc w:val="right"/>
              <w:ind w:right="190"/>
              <w:spacing w:after="0" w:line="215" w:lineRule="exact"/>
              <w:rPr>
                <w:sz w:val="20"/>
                <w:szCs w:val="20"/>
                <w:color w:val="auto"/>
              </w:rPr>
            </w:pPr>
            <w:r>
              <w:rPr>
                <w:rFonts w:ascii="Calibri" w:cs="Calibri" w:eastAsia="Calibri" w:hAnsi="Calibri"/>
                <w:sz w:val="18"/>
                <w:szCs w:val="18"/>
                <w:color w:val="auto"/>
                <w:w w:val="87"/>
              </w:rPr>
              <w:t>$</w:t>
            </w:r>
          </w:p>
        </w:tc>
        <w:tc>
          <w:tcPr>
            <w:tcW w:w="12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285</w:t>
            </w:r>
          </w:p>
        </w:tc>
        <w:tc>
          <w:tcPr>
            <w:tcW w:w="700" w:type="dxa"/>
            <w:vAlign w:val="bottom"/>
            <w:tcBorders>
              <w:bottom w:val="single" w:sz="8" w:color="CFF0FC"/>
            </w:tcBorders>
            <w:gridSpan w:val="2"/>
            <w:shd w:val="clear" w:color="auto" w:fill="CFF0FC"/>
          </w:tcPr>
          <w:p>
            <w:pPr>
              <w:jc w:val="right"/>
              <w:ind w:right="32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286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15"/>
        </w:trPr>
        <w:tc>
          <w:tcPr>
            <w:tcW w:w="5480" w:type="dxa"/>
            <w:vAlign w:val="bottom"/>
          </w:tcPr>
          <w:p>
            <w:pPr>
              <w:spacing w:after="0" w:line="215" w:lineRule="exact"/>
              <w:rPr>
                <w:sz w:val="20"/>
                <w:szCs w:val="20"/>
                <w:color w:val="auto"/>
              </w:rPr>
            </w:pPr>
            <w:r>
              <w:rPr>
                <w:rFonts w:ascii="Calibri" w:cs="Calibri" w:eastAsia="Calibri" w:hAnsi="Calibri"/>
                <w:sz w:val="18"/>
                <w:szCs w:val="18"/>
                <w:color w:val="auto"/>
              </w:rPr>
              <w:t>Performance Chemicals EBIT</w:t>
            </w:r>
          </w:p>
        </w:tc>
        <w:tc>
          <w:tcPr>
            <w:tcW w:w="38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w w:val="87"/>
              </w:rPr>
              <w:t>$</w:t>
            </w: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34</w:t>
            </w:r>
          </w:p>
        </w:tc>
        <w:tc>
          <w:tcPr>
            <w:tcW w:w="700" w:type="dxa"/>
            <w:vAlign w:val="bottom"/>
            <w:gridSpan w:val="2"/>
          </w:tcPr>
          <w:p>
            <w:pPr>
              <w:jc w:val="right"/>
              <w:ind w:right="32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29</w:t>
            </w:r>
          </w:p>
        </w:tc>
        <w:tc>
          <w:tcPr>
            <w:tcW w:w="80" w:type="dxa"/>
            <w:vAlign w:val="bottom"/>
          </w:tcPr>
          <w:p>
            <w:pPr>
              <w:spacing w:after="0"/>
              <w:rPr>
                <w:sz w:val="18"/>
                <w:szCs w:val="18"/>
                <w:color w:val="auto"/>
              </w:rPr>
            </w:pPr>
          </w:p>
        </w:tc>
      </w:tr>
    </w:tbl>
    <w:p>
      <w:pPr>
        <w:spacing w:after="0" w:line="195"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Sales in Performance Chemicals decreased by $1 million in the frst quarter of fscal 2024 compared to the same period of fscal 2023, primarily due to less favorable price and product mix (combined $22 million), partally ofset by higher volumes ($19 million) and the favorable impact from foreign currency translaton ($3 million). The less favorable price and product mix was primarily due to lower raw material costs that are generally passed through to our customers in our specialty carbons product line.</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415925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8"/>
          <w:szCs w:val="18"/>
          <w:color w:val="auto"/>
        </w:rPr>
        <w:t>The higher volumes in the frst quarter of fscal 2024 were primarily in our specialty carbons, specialty compounds and fumed metal oxides product lines.</w:t>
      </w:r>
    </w:p>
    <w:p>
      <w:pPr>
        <w:spacing w:after="0" w:line="82" w:lineRule="exact"/>
        <w:rPr>
          <w:sz w:val="20"/>
          <w:szCs w:val="20"/>
          <w:color w:val="auto"/>
        </w:rPr>
      </w:pPr>
    </w:p>
    <w:p>
      <w:pPr>
        <w:jc w:val="both"/>
        <w:ind w:right="220" w:firstLine="509"/>
        <w:spacing w:after="0" w:line="235" w:lineRule="auto"/>
        <w:rPr>
          <w:sz w:val="20"/>
          <w:szCs w:val="20"/>
          <w:color w:val="auto"/>
        </w:rPr>
      </w:pPr>
      <w:r>
        <w:rPr>
          <w:rFonts w:ascii="Calibri" w:cs="Calibri" w:eastAsia="Calibri" w:hAnsi="Calibri"/>
          <w:sz w:val="18"/>
          <w:szCs w:val="18"/>
          <w:color w:val="auto"/>
        </w:rPr>
        <w:t>EBIT in Performance Chemicals increased by $5 million in the frst quarter of fscal 2024 compared to the frst quarter of fscal 2023 primarily due to higher volumes ($7 million). The higher volumes in the frst quarter of fscal 2024 were primarily in our specialty carbons, specialty compounds and fumed metal oxides product lines.</w:t>
      </w:r>
    </w:p>
    <w:p>
      <w:pPr>
        <w:spacing w:after="0" w:line="84"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As we look ahead to the second quarter of the fscal year, we expect seasonally higher volumes will be more than ofset by higher fxed costs, including higher costs associated with maintenance actvites and the reducton of inventory levels.</w:t>
      </w:r>
    </w:p>
    <w:p>
      <w:pPr>
        <w:spacing w:after="0" w:line="7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Liquidity and Capital Resources</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Overview</w:t>
      </w:r>
    </w:p>
    <w:p>
      <w:pPr>
        <w:spacing w:after="0" w:line="82"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Our liquidity positon, as measured by cash and cash equivalents plus borrowing availability, decreased by $14 million during the frst three months of fscal 2024, which was largely due to a higher outstanding commercial paper balance at the end of the period. As of December 31, 2023, we had cash and cash equivalents of $244 million and borrowing availability under our revolving credit agreements of $1.0 billion. We have access to borrowings under the following two credit agreements:</w:t>
      </w:r>
    </w:p>
    <w:p>
      <w:pPr>
        <w:spacing w:after="0" w:line="98" w:lineRule="exact"/>
        <w:rPr>
          <w:sz w:val="20"/>
          <w:szCs w:val="20"/>
          <w:color w:val="auto"/>
        </w:rPr>
      </w:pPr>
    </w:p>
    <w:p>
      <w:pPr>
        <w:ind w:left="1260" w:right="240" w:hanging="368"/>
        <w:spacing w:after="0" w:line="235" w:lineRule="auto"/>
        <w:tabs>
          <w:tab w:leader="none" w:pos="126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$1 billion unsecured revolving credit agreement (the “U.S. Credit Agreement”) with JPMorgan Chase Bank, N.A., as Administratve Agent, Citbank, N.A., as Syndicaton Agent, and the other lenders party thereto, which matures in August 2027. The U.S. Credit Agreement supports our issuance of commercial paper, and borrowings under it may be used for working capital, leters of credit and other general corporate purposes.</w:t>
      </w:r>
    </w:p>
    <w:p>
      <w:pPr>
        <w:spacing w:after="0" w:line="84" w:lineRule="exact"/>
        <w:rPr>
          <w:rFonts w:ascii="Times New Roman" w:cs="Times New Roman" w:eastAsia="Times New Roman" w:hAnsi="Times New Roman"/>
          <w:sz w:val="18"/>
          <w:szCs w:val="18"/>
          <w:color w:val="auto"/>
        </w:rPr>
      </w:pPr>
    </w:p>
    <w:p>
      <w:pPr>
        <w:ind w:left="1260" w:right="60" w:hanging="368"/>
        <w:spacing w:after="0" w:line="235" w:lineRule="auto"/>
        <w:tabs>
          <w:tab w:leader="none" w:pos="126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€300 million unsecured revolving credit agreement (the “Euro Credit Agreement”, and together with the U.S. Credit Agreement, the “Credit Agreements”), with PNC Bank, Natonal Associaton, as Administratve Agent, and the other lenders party thereto, which matures in August 2027. Borrowings under the Euro Credit Agreement may be used for the repatriaton of earnings of our foreign subsidiaries to the United States, the repayment of indebtedness of our foreign subsidiaries owing to us or any of our subsidiaries and for working capital and general corporate purposes.</w:t>
      </w:r>
    </w:p>
    <w:p>
      <w:pPr>
        <w:spacing w:after="0" w:line="85" w:lineRule="exact"/>
        <w:rPr>
          <w:sz w:val="20"/>
          <w:szCs w:val="20"/>
          <w:color w:val="auto"/>
        </w:rPr>
      </w:pPr>
    </w:p>
    <w:p>
      <w:pPr>
        <w:jc w:val="both"/>
        <w:ind w:right="80" w:firstLine="509"/>
        <w:spacing w:after="0" w:line="235" w:lineRule="auto"/>
        <w:rPr>
          <w:sz w:val="20"/>
          <w:szCs w:val="20"/>
          <w:color w:val="auto"/>
        </w:rPr>
      </w:pPr>
      <w:r>
        <w:rPr>
          <w:rFonts w:ascii="Calibri" w:cs="Calibri" w:eastAsia="Calibri" w:hAnsi="Calibri"/>
          <w:sz w:val="18"/>
          <w:szCs w:val="18"/>
          <w:color w:val="auto"/>
        </w:rPr>
        <w:t>As of December 31, 2023, we were in compliance with the debt covenants under the Credit Agreements, which, with limited exceptons, require us to comply on a quarterly basis with a leverage test requiring the rato of consolidated net debt to consolidated EBITDA not to exceed 3.50 to 1.00. Consolidated net debt is defned as consolidated debt ofset by the lesser of (i) unrestricted cash and cash equivalents and (ii) $150 million.</w:t>
      </w:r>
    </w:p>
    <w:p>
      <w:pPr>
        <w:spacing w:after="0" w:line="84"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A signifcant porton of our business occurs outside the U.S. and our cash generaton does not always align geographically with our cash needs. The vast majority of our cash and cash equivalent holdings tend to be held outside the U.S. We generally use a combinaton of U.S. earnings, repatriaton of certain foreign earnings, commercial paper issuances and borrowings under our U.S. Credit Agreement to meet our U.S. cash needs. With the excepton of Argentna, which has currency controls that prevent the distributon of cash, we are generally able to move cash throughout the Company through our cash pooling structures, intercompany accounts and/or distributons, as needed. Although we repatriate certain foreign earnings, cash held by foreign subsidiaries is generally considered permanently reinvested and is used to fnance the subsidiaries’ operatonal actvites and future investments. We usually reduce our commercial paper balance and, if applicable, borrowings under our Credit Agreements, at quarter-end using cash derived from customer collectons, setlement of intercompany balances and short-term intercompany loans. If additonal funds are needed in the U.S., we expect to be able to repatriate cash, including cash from China, while paying any withholding or other taxes. Changes in regulatons and tax laws in the U.S. or foreign countries could restrict our ability to transfer funds or impose material costs on such transfers.</w:t>
      </w:r>
    </w:p>
    <w:p>
      <w:pPr>
        <w:spacing w:after="0" w:line="89"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In additon to the currency controls that prevent the distributon of cash in Argentna, there are also regulatons that require that all cash in Argentna be held in Argentne pesos and regulatons that place restrictons related to how and when suppliers of imported goods and services into Argentna can be paid. These regulatons likely come with increased costs and future regulatons could further restrict our operatons in Argentna.</w:t>
      </w:r>
    </w:p>
    <w:p>
      <w:pPr>
        <w:spacing w:after="0" w:line="84"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As of December 31, 2023, we had $1.0 billion of availability under our Credit Agreements. As of December 31, 2023, we had $124 million of borrowings under the Euro Credit Agreement and no outstanding borrowings under the U.S. Credit Agreement. There was $205 million of commercial paper outstanding as of December 31, 2023.</w:t>
      </w:r>
    </w:p>
    <w:p>
      <w:pPr>
        <w:spacing w:after="0" w:line="84"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We antcipate sufcient liquidity from (i) cash on hand; (ii) cash fows from operatng actvites; and (iii) cash available from the Credit Agreements and our commercial paper program to meet our operatonal and capital investment needs and fnancial obligatons for the foreseeable future. The liquidity we derive from cash fows from operatons is, to a large degree, predicated on our ability to collect our receivables in a tmely manner, the cost of our raw materials, and our ability to manage inventory levels.</w:t>
      </w:r>
    </w:p>
    <w:p>
      <w:pPr>
        <w:spacing w:after="0" w:line="80"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following discussion of the changes in our cash balance refers to the various sectons of our Consolidated Statements of Cash Flows.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415925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9" w:right="359" w:bottom="1440" w:gutter="0" w:footer="0" w:header="0"/>
        </w:sectPr>
      </w:pPr>
    </w:p>
    <w:bookmarkStart w:id="24" w:name="page25"/>
    <w:bookmarkEnd w:id="24"/>
    <w:p>
      <w:pPr>
        <w:spacing w:after="0"/>
        <w:rPr>
          <w:sz w:val="20"/>
          <w:szCs w:val="20"/>
          <w:color w:val="auto"/>
        </w:rPr>
      </w:pPr>
      <w:r>
        <w:rPr>
          <w:rFonts w:ascii="Calibri" w:cs="Calibri" w:eastAsia="Calibri" w:hAnsi="Calibri"/>
          <w:sz w:val="18"/>
          <w:szCs w:val="18"/>
          <w:b w:val="1"/>
          <w:bCs w:val="1"/>
          <w:i w:val="1"/>
          <w:iCs w:val="1"/>
          <w:color w:val="auto"/>
        </w:rPr>
        <w:t>Cash Flows from Operatng Actvites</w:t>
      </w:r>
    </w:p>
    <w:p>
      <w:pPr>
        <w:spacing w:after="0" w:line="82" w:lineRule="exact"/>
        <w:rPr>
          <w:sz w:val="20"/>
          <w:szCs w:val="20"/>
          <w:color w:val="auto"/>
        </w:rPr>
      </w:pPr>
    </w:p>
    <w:p>
      <w:pPr>
        <w:ind w:right="280" w:firstLine="509"/>
        <w:spacing w:after="0" w:line="235" w:lineRule="auto"/>
        <w:rPr>
          <w:sz w:val="20"/>
          <w:szCs w:val="20"/>
          <w:color w:val="auto"/>
        </w:rPr>
      </w:pPr>
      <w:r>
        <w:rPr>
          <w:rFonts w:ascii="Calibri" w:cs="Calibri" w:eastAsia="Calibri" w:hAnsi="Calibri"/>
          <w:sz w:val="18"/>
          <w:szCs w:val="18"/>
          <w:color w:val="auto"/>
        </w:rPr>
        <w:t>Cash provided by operatng actvites, which consists of net income adjusted for the various non-cash items included in income, changes in working capital and changes in certain other balance sheet accounts, totaled $105 million in the frst three months of fscal 2024 compared to $52 million of cash provided by operatng actvites during the same period of fscal 2023 primarily due to improved segment EBIT.</w:t>
      </w:r>
    </w:p>
    <w:p>
      <w:pPr>
        <w:spacing w:after="0" w:line="84" w:lineRule="exact"/>
        <w:rPr>
          <w:sz w:val="20"/>
          <w:szCs w:val="20"/>
          <w:color w:val="auto"/>
        </w:rPr>
      </w:pPr>
    </w:p>
    <w:p>
      <w:pPr>
        <w:ind w:right="220" w:firstLine="509"/>
        <w:spacing w:after="0" w:line="235" w:lineRule="auto"/>
        <w:rPr>
          <w:sz w:val="20"/>
          <w:szCs w:val="20"/>
          <w:color w:val="auto"/>
        </w:rPr>
      </w:pPr>
      <w:r>
        <w:rPr>
          <w:rFonts w:ascii="Calibri" w:cs="Calibri" w:eastAsia="Calibri" w:hAnsi="Calibri"/>
          <w:sz w:val="18"/>
          <w:szCs w:val="18"/>
          <w:color w:val="auto"/>
        </w:rPr>
        <w:t>Cash provided by operatng actvites in the frst three months of fscal 2024 was driven by business earnings excluding the non-cash impacts of depreciaton and amortzaton of $41 million and foreign exchange losses of $34 million, primarily related to devaluaton of the Argentne peso, which was partally ofset by an increase in net working capital of $46 million. The increase in net working capital was largely driven by a decrease in Accounts payable and accrued expenses and an increase in Inventories and Accounts and notes receivable.</w:t>
      </w:r>
    </w:p>
    <w:p>
      <w:pPr>
        <w:spacing w:after="0" w:line="84" w:lineRule="exact"/>
        <w:rPr>
          <w:sz w:val="20"/>
          <w:szCs w:val="20"/>
          <w:color w:val="auto"/>
        </w:rPr>
      </w:pPr>
    </w:p>
    <w:p>
      <w:pPr>
        <w:ind w:right="480" w:firstLine="509"/>
        <w:spacing w:after="0" w:line="235" w:lineRule="auto"/>
        <w:rPr>
          <w:sz w:val="20"/>
          <w:szCs w:val="20"/>
          <w:color w:val="auto"/>
        </w:rPr>
      </w:pPr>
      <w:r>
        <w:rPr>
          <w:rFonts w:ascii="Calibri" w:cs="Calibri" w:eastAsia="Calibri" w:hAnsi="Calibri"/>
          <w:sz w:val="18"/>
          <w:szCs w:val="18"/>
          <w:color w:val="auto"/>
        </w:rPr>
        <w:t>Cash used by operatng actvites in the frst three months of fscal 2023 was driven by business earnings excluding the non-cash impacts of depreciaton and amortzaton of $35 million, which was partally ofset by an increase in net working capital of $34 million. The increase in net working capital was largely driven by a decrease in Accounts payable and accrued expenses, partally ofset by a decrease in Accounts receivables.</w:t>
      </w:r>
    </w:p>
    <w:p>
      <w:pPr>
        <w:spacing w:after="0" w:line="7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Cash Flows from Investng Actvites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Investng actvites consumed $54 million of cash in the frst three months of fscal 2024 compared to $17 million in the frst three months of fscal</w:t>
      </w:r>
    </w:p>
    <w:p>
      <w:pPr>
        <w:spacing w:after="0" w:line="235" w:lineRule="auto"/>
        <w:rPr>
          <w:sz w:val="20"/>
          <w:szCs w:val="20"/>
          <w:color w:val="auto"/>
        </w:rPr>
      </w:pPr>
      <w:r>
        <w:rPr>
          <w:rFonts w:ascii="Calibri" w:cs="Calibri" w:eastAsia="Calibri" w:hAnsi="Calibri"/>
          <w:sz w:val="18"/>
          <w:szCs w:val="18"/>
          <w:color w:val="auto"/>
        </w:rPr>
        <w:t>2023.</w:t>
      </w:r>
    </w:p>
    <w:p>
      <w:pPr>
        <w:spacing w:after="0" w:line="8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the frst three months of fscal 2024, investng actvites included $54 million of capital expenditures for sustaining and compliance capital projects at our operatng facilites as well as growth-related capital, including capacity expansion capital projects.</w:t>
      </w:r>
    </w:p>
    <w:p>
      <w:pPr>
        <w:spacing w:after="0" w:line="8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the frst three months of fscal 2023, investng actvites included $35 million of capital expenditures for sustaining and compliance capital projects at our operatng facilites as well as growth-related capital, including capacity expansion projects, in Performance Chemicals, partally ofset by proceeds from the sale of land of $7 million, proceeds from the sale of our Purifcaton Solutons business of $6 million, and proceeds from insurance setlements of $6 million.</w:t>
      </w:r>
    </w:p>
    <w:p>
      <w:pPr>
        <w:spacing w:after="0" w:line="84"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Capital expenditures for fscal 2024 are expected to be between $250 million and $275 million. Our planned capital spending program for fscal 2024 is for sustaining, compliance and improvement capital projects at our operatng facilites as well as capacity expansion capital expenditures.</w:t>
      </w:r>
    </w:p>
    <w:p>
      <w:pPr>
        <w:spacing w:after="0" w:line="7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Cash Flows from Financing Actvites</w:t>
      </w:r>
    </w:p>
    <w:p>
      <w:pPr>
        <w:spacing w:after="0" w:line="82"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Financing actvites consumed $29 million of cash in the frst three months of fscal 2024 compared to $92 million of cash consumed during the same period of fscal 2023.</w:t>
      </w:r>
    </w:p>
    <w:p>
      <w:pPr>
        <w:spacing w:after="0" w:line="83"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In the frst three months of fscal 2024, fnancing actvites primarily consisted of share repurchases of $33 million, dividend payments to stockholders of $22 million, and cash dividends paid to noncontrolling interests of $12 million. These payments were partally ofset by net proceeds from commercial paper of $32 million and proceeds from sales of common stock of $7 million from stock opton exercises.</w:t>
      </w:r>
    </w:p>
    <w:p>
      <w:pPr>
        <w:spacing w:after="0" w:line="84"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In the frst three months of fscal 2023, fnancing actvites primarily consisted of the repayment of commercial paper of $48 million, dividend payments to stockholders of $21 million, share repurchases of $17 million, cash dividends paid to noncontrolling interests of $14 million and repayments of long-term debt of $6 million. These payments were partally ofset by proceeds from short-term borrowings of $11 million and proceeds from sales of common stock of $3 million from stock opton exercises.</w:t>
      </w:r>
    </w:p>
    <w:p>
      <w:pPr>
        <w:spacing w:after="0" w:line="8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Forward-Looking Informaton</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This report on Form 10-Q contains “forward-looking statements” under the Federal securites laws. These forward-looking statements address expectatons or projectons about the future, including our expectatons regarding our future business performance and overall prospects, including for margins, price and product mix, volumes and operatons in our Reinforcement Materials segment, for volumes and inventory levels in our Performance Chemicals segment, inventory levels and commercializaton eforts in our Aerogel product line, and for costs in both our Reinforcement Materials and Performance Chemicals segments; the impact and cost of restructuring actvites; demand for our products; the sufciency of our cash on hand, cash provided from operatons and cash available under our credit and commercial paper facilites to fund our cash requirements; antcipated capital spending; regulatory developments; cash requirements and uses of available cash, including future cash outlays associated with respirator liabilites and the tming of such outlays; amortzaton expenses; our operatng tax rate; and the possible outcome of legal and environmental proceedings. From tme to tme, we also provide forward-looking statements in other materials we release to the public and in oral statements made by authorized ofcers.</w:t>
      </w:r>
    </w:p>
    <w:p>
      <w:pPr>
        <w:spacing w:after="0" w:line="89"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Forward-looking statements are not guarantees of future performance and are subject to risks, uncertaintes, potentally inaccurate assumptons, and other factors, some of which are beyond our control or difcult to predict. If known or unknown risks materialize, our actual results could difer materially from those expressed in the forward-looking statements.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415925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25" w:name="page26"/>
    <w:bookmarkEnd w:id="25"/>
    <w:p>
      <w:pPr>
        <w:ind w:right="40" w:firstLine="749"/>
        <w:spacing w:after="0" w:line="235" w:lineRule="auto"/>
        <w:rPr>
          <w:sz w:val="20"/>
          <w:szCs w:val="20"/>
          <w:color w:val="auto"/>
        </w:rPr>
      </w:pPr>
      <w:r>
        <w:rPr>
          <w:rFonts w:ascii="Calibri" w:cs="Calibri" w:eastAsia="Calibri" w:hAnsi="Calibri"/>
          <w:sz w:val="18"/>
          <w:szCs w:val="18"/>
          <w:color w:val="auto"/>
        </w:rPr>
        <w:t>In additon to factors described elsewhere in this report, the following are some of the factors that could cause our actual results to difer materially from those expressed in our forward-looking statements: industry capacity utlizaton and competton from other specialty chemical companies; safety, health and environmental requirements and related constraints imposed on our business; regulatory and fnancial risks related to climate change developments; volatlity in the price and availability of energy and raw materials, including with respect to the Russian invasion of Ukraine and the U.S.-China trade relatonship; a signifcant adverse change in a customer relatonship or the failure of a customer to perform its obligatons under agreements with us; failure to achieve growth expectatons from new products, applicatons and technology developments; failure to realize benefts from acquisitons, alliances, or joint ventures or achieve our portolio management objectves; negatve or uncertain worldwide or regional economic conditons and market opportunites, including from trade relatons, global health maters or geo-politcal conficts; litgaton or legal proceedings; interest rates, tax rates, currency exchange controls, and fuctuatons in foreign currency, such as the recent currency movements in Argentna; our inability to complete capacity expansions or other development projects; and the accuracy of the assumptons we used in establishing reserves for our share of liability for respirator claims. These other factors and risks are discussed more fully in our 2023 10-K and in our subsequent SEC flings.</w:t>
      </w:r>
    </w:p>
    <w:p>
      <w:pPr>
        <w:spacing w:after="0" w:line="8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Item 3.  Quanttatve and Qualitatve Disclosures About Market Risk</w:t>
      </w:r>
    </w:p>
    <w:p>
      <w:pPr>
        <w:spacing w:after="0" w:line="82" w:lineRule="exact"/>
        <w:rPr>
          <w:sz w:val="20"/>
          <w:szCs w:val="20"/>
          <w:color w:val="auto"/>
        </w:rPr>
      </w:pPr>
    </w:p>
    <w:p>
      <w:pPr>
        <w:ind w:left="520"/>
        <w:spacing w:after="0"/>
        <w:rPr>
          <w:sz w:val="20"/>
          <w:szCs w:val="20"/>
          <w:color w:val="auto"/>
        </w:rPr>
      </w:pPr>
      <w:r>
        <w:rPr>
          <w:rFonts w:ascii="Calibri" w:cs="Calibri" w:eastAsia="Calibri" w:hAnsi="Calibri"/>
          <w:sz w:val="17"/>
          <w:szCs w:val="17"/>
          <w:color w:val="auto"/>
        </w:rPr>
        <w:t>Informaton about market risks for the period ended December 31, 2023 does not difer materially from that discussed under Item 7A of our 2023 10-</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K.</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Item 4.  Controls and Procedures</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As of December 31, 2023, we carried out an evaluaton, under the supervision and with the partcipaton of our management, including our principal executve ofcer and our principal fnancial ofcer, of the efectveness of our disclosure controls and procedures pursuant to Rule 13a-15 under the Securites Exchange Act of 1934, as amended. Based upon that evaluaton, our principal executve ofcer and our principal fnancial ofcer concluded that our disclosure controls and procedures were efectve as of that date.</w:t>
      </w:r>
    </w:p>
    <w:p>
      <w:pPr>
        <w:spacing w:after="0" w:line="84" w:lineRule="exact"/>
        <w:rPr>
          <w:sz w:val="20"/>
          <w:szCs w:val="20"/>
          <w:color w:val="auto"/>
        </w:rPr>
      </w:pPr>
    </w:p>
    <w:p>
      <w:pPr>
        <w:ind w:right="300" w:firstLine="509"/>
        <w:spacing w:after="0" w:line="235" w:lineRule="auto"/>
        <w:rPr>
          <w:sz w:val="20"/>
          <w:szCs w:val="20"/>
          <w:color w:val="auto"/>
        </w:rPr>
      </w:pPr>
      <w:r>
        <w:rPr>
          <w:rFonts w:ascii="Calibri" w:cs="Calibri" w:eastAsia="Calibri" w:hAnsi="Calibri"/>
          <w:sz w:val="18"/>
          <w:szCs w:val="18"/>
          <w:color w:val="auto"/>
        </w:rPr>
        <w:t>There were no changes in our internal controls over fnancial reportng that occurred during our fscal quarter ended December 31, 2023 that have materially afected, or are reasonably likely to materially afect, our internal control over fnancial reportng.</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415925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26" w:name="page27"/>
    <w:bookmarkEnd w:id="26"/>
    <w:p>
      <w:pPr>
        <w:spacing w:after="0"/>
        <w:rPr>
          <w:sz w:val="20"/>
          <w:szCs w:val="20"/>
          <w:color w:val="auto"/>
        </w:rPr>
      </w:pPr>
      <w:r>
        <w:rPr>
          <w:rFonts w:ascii="Calibri" w:cs="Calibri" w:eastAsia="Calibri" w:hAnsi="Calibri"/>
          <w:sz w:val="18"/>
          <w:szCs w:val="18"/>
          <w:b w:val="1"/>
          <w:bCs w:val="1"/>
          <w:i w:val="1"/>
          <w:iCs w:val="1"/>
          <w:color w:val="auto"/>
        </w:rPr>
        <w:t>Part II. Other Informaton</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Item 2.  Unregistered Sales of Equity Securites and Use of Proceeds</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Issuer Purchases of Equity Securites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table below sets forth informaton regarding Cabot’s purchases of its equity securites during the quarter ended December 31, 2023:</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2"/>
          </w:tcPr>
          <w:p>
            <w:pPr>
              <w:jc w:val="center"/>
              <w:ind w:right="100"/>
              <w:spacing w:after="0"/>
              <w:rPr>
                <w:sz w:val="20"/>
                <w:szCs w:val="20"/>
                <w:color w:val="auto"/>
              </w:rPr>
            </w:pPr>
            <w:r>
              <w:rPr>
                <w:rFonts w:ascii="Calibri" w:cs="Calibri" w:eastAsia="Calibri" w:hAnsi="Calibri"/>
                <w:sz w:val="14"/>
                <w:szCs w:val="14"/>
                <w:b w:val="1"/>
                <w:bCs w:val="1"/>
                <w:color w:val="auto"/>
              </w:rPr>
              <w:t>Maximum Number (or</w:t>
            </w:r>
          </w:p>
        </w:tc>
      </w:tr>
      <w:tr>
        <w:trPr>
          <w:trHeight w:val="176"/>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Calibri" w:cs="Calibri" w:eastAsia="Calibri" w:hAnsi="Calibri"/>
                <w:sz w:val="14"/>
                <w:szCs w:val="14"/>
                <w:b w:val="1"/>
                <w:bCs w:val="1"/>
                <w:color w:val="auto"/>
              </w:rPr>
              <w:t>Total Number of</w:t>
            </w:r>
          </w:p>
        </w:tc>
        <w:tc>
          <w:tcPr>
            <w:tcW w:w="220" w:type="dxa"/>
            <w:vAlign w:val="bottom"/>
          </w:tcPr>
          <w:p>
            <w:pPr>
              <w:spacing w:after="0"/>
              <w:rPr>
                <w:sz w:val="15"/>
                <w:szCs w:val="15"/>
                <w:color w:val="auto"/>
              </w:rPr>
            </w:pPr>
          </w:p>
        </w:tc>
        <w:tc>
          <w:tcPr>
            <w:tcW w:w="1680" w:type="dxa"/>
            <w:vAlign w:val="bottom"/>
            <w:gridSpan w:val="2"/>
          </w:tcPr>
          <w:p>
            <w:pPr>
              <w:jc w:val="center"/>
              <w:ind w:right="100"/>
              <w:spacing w:after="0"/>
              <w:rPr>
                <w:sz w:val="20"/>
                <w:szCs w:val="20"/>
                <w:color w:val="auto"/>
              </w:rPr>
            </w:pPr>
            <w:r>
              <w:rPr>
                <w:rFonts w:ascii="Calibri" w:cs="Calibri" w:eastAsia="Calibri" w:hAnsi="Calibri"/>
                <w:sz w:val="14"/>
                <w:szCs w:val="14"/>
                <w:b w:val="1"/>
                <w:bCs w:val="1"/>
                <w:color w:val="auto"/>
              </w:rPr>
              <w:t>Approximate Dollar</w:t>
            </w:r>
          </w:p>
        </w:tc>
      </w:tr>
      <w:tr>
        <w:trPr>
          <w:trHeight w:val="175"/>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Calibri" w:cs="Calibri" w:eastAsia="Calibri" w:hAnsi="Calibri"/>
                <w:sz w:val="14"/>
                <w:szCs w:val="14"/>
                <w:b w:val="1"/>
                <w:bCs w:val="1"/>
                <w:color w:val="auto"/>
              </w:rPr>
              <w:t>Shares Purchased</w:t>
            </w:r>
          </w:p>
        </w:tc>
        <w:tc>
          <w:tcPr>
            <w:tcW w:w="220" w:type="dxa"/>
            <w:vAlign w:val="bottom"/>
          </w:tcPr>
          <w:p>
            <w:pPr>
              <w:spacing w:after="0"/>
              <w:rPr>
                <w:sz w:val="15"/>
                <w:szCs w:val="15"/>
                <w:color w:val="auto"/>
              </w:rPr>
            </w:pPr>
          </w:p>
        </w:tc>
        <w:tc>
          <w:tcPr>
            <w:tcW w:w="1680" w:type="dxa"/>
            <w:vAlign w:val="bottom"/>
            <w:gridSpan w:val="2"/>
          </w:tcPr>
          <w:p>
            <w:pPr>
              <w:jc w:val="center"/>
              <w:ind w:right="120"/>
              <w:spacing w:after="0"/>
              <w:rPr>
                <w:sz w:val="20"/>
                <w:szCs w:val="20"/>
                <w:color w:val="auto"/>
              </w:rPr>
            </w:pPr>
            <w:r>
              <w:rPr>
                <w:rFonts w:ascii="Calibri" w:cs="Calibri" w:eastAsia="Calibri" w:hAnsi="Calibri"/>
                <w:sz w:val="14"/>
                <w:szCs w:val="14"/>
                <w:b w:val="1"/>
                <w:bCs w:val="1"/>
                <w:color w:val="auto"/>
              </w:rPr>
              <w:t>Value) of Shares that</w:t>
            </w:r>
          </w:p>
        </w:tc>
      </w:tr>
      <w:tr>
        <w:trPr>
          <w:trHeight w:val="176"/>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Calibri" w:cs="Calibri" w:eastAsia="Calibri" w:hAnsi="Calibri"/>
                <w:sz w:val="14"/>
                <w:szCs w:val="14"/>
                <w:b w:val="1"/>
                <w:bCs w:val="1"/>
                <w:color w:val="auto"/>
              </w:rPr>
              <w:t>Total Number of</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Calibri" w:cs="Calibri" w:eastAsia="Calibri" w:hAnsi="Calibri"/>
                <w:sz w:val="14"/>
                <w:szCs w:val="14"/>
                <w:b w:val="1"/>
                <w:bCs w:val="1"/>
                <w:color w:val="auto"/>
              </w:rPr>
              <w:t>as Part of Publicly</w:t>
            </w:r>
          </w:p>
        </w:tc>
        <w:tc>
          <w:tcPr>
            <w:tcW w:w="220" w:type="dxa"/>
            <w:vAlign w:val="bottom"/>
          </w:tcPr>
          <w:p>
            <w:pPr>
              <w:spacing w:after="0"/>
              <w:rPr>
                <w:sz w:val="15"/>
                <w:szCs w:val="15"/>
                <w:color w:val="auto"/>
              </w:rPr>
            </w:pPr>
          </w:p>
        </w:tc>
        <w:tc>
          <w:tcPr>
            <w:tcW w:w="1680" w:type="dxa"/>
            <w:vAlign w:val="bottom"/>
            <w:gridSpan w:val="2"/>
          </w:tcPr>
          <w:p>
            <w:pPr>
              <w:jc w:val="center"/>
              <w:ind w:right="100"/>
              <w:spacing w:after="0"/>
              <w:rPr>
                <w:sz w:val="20"/>
                <w:szCs w:val="20"/>
                <w:color w:val="auto"/>
              </w:rPr>
            </w:pPr>
            <w:r>
              <w:rPr>
                <w:rFonts w:ascii="Calibri" w:cs="Calibri" w:eastAsia="Calibri" w:hAnsi="Calibri"/>
                <w:sz w:val="14"/>
                <w:szCs w:val="14"/>
                <w:b w:val="1"/>
                <w:bCs w:val="1"/>
                <w:color w:val="auto"/>
              </w:rPr>
              <w:t>May Yet Be Purchased</w:t>
            </w:r>
          </w:p>
        </w:tc>
      </w:tr>
      <w:tr>
        <w:trPr>
          <w:trHeight w:val="159"/>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600" w:type="dxa"/>
            <w:vAlign w:val="bottom"/>
          </w:tcPr>
          <w:p>
            <w:pPr>
              <w:jc w:val="center"/>
              <w:spacing w:after="0" w:line="159" w:lineRule="exact"/>
              <w:rPr>
                <w:sz w:val="20"/>
                <w:szCs w:val="20"/>
                <w:color w:val="auto"/>
              </w:rPr>
            </w:pPr>
            <w:r>
              <w:rPr>
                <w:rFonts w:ascii="Calibri" w:cs="Calibri" w:eastAsia="Calibri" w:hAnsi="Calibri"/>
                <w:sz w:val="14"/>
                <w:szCs w:val="14"/>
                <w:b w:val="1"/>
                <w:bCs w:val="1"/>
                <w:color w:val="auto"/>
              </w:rPr>
              <w:t>Shares</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jc w:val="right"/>
              <w:ind w:right="277"/>
              <w:spacing w:after="0" w:line="159" w:lineRule="exact"/>
              <w:rPr>
                <w:sz w:val="20"/>
                <w:szCs w:val="20"/>
                <w:color w:val="auto"/>
              </w:rPr>
            </w:pPr>
            <w:r>
              <w:rPr>
                <w:rFonts w:ascii="Calibri" w:cs="Calibri" w:eastAsia="Calibri" w:hAnsi="Calibri"/>
                <w:sz w:val="14"/>
                <w:szCs w:val="14"/>
                <w:b w:val="1"/>
                <w:bCs w:val="1"/>
                <w:color w:val="auto"/>
              </w:rPr>
              <w:t>Average Price</w:t>
            </w:r>
          </w:p>
        </w:tc>
        <w:tc>
          <w:tcPr>
            <w:tcW w:w="220" w:type="dxa"/>
            <w:vAlign w:val="bottom"/>
          </w:tcPr>
          <w:p>
            <w:pPr>
              <w:spacing w:after="0"/>
              <w:rPr>
                <w:sz w:val="13"/>
                <w:szCs w:val="13"/>
                <w:color w:val="auto"/>
              </w:rPr>
            </w:pPr>
          </w:p>
        </w:tc>
        <w:tc>
          <w:tcPr>
            <w:tcW w:w="1540" w:type="dxa"/>
            <w:vAlign w:val="bottom"/>
          </w:tcPr>
          <w:p>
            <w:pPr>
              <w:jc w:val="center"/>
              <w:spacing w:after="0" w:line="159" w:lineRule="exact"/>
              <w:rPr>
                <w:sz w:val="20"/>
                <w:szCs w:val="20"/>
                <w:color w:val="auto"/>
              </w:rPr>
            </w:pPr>
            <w:r>
              <w:rPr>
                <w:rFonts w:ascii="Calibri" w:cs="Calibri" w:eastAsia="Calibri" w:hAnsi="Calibri"/>
                <w:sz w:val="14"/>
                <w:szCs w:val="14"/>
                <w:b w:val="1"/>
                <w:bCs w:val="1"/>
                <w:color w:val="auto"/>
              </w:rPr>
              <w:t>Announced Plans or</w:t>
            </w:r>
          </w:p>
        </w:tc>
        <w:tc>
          <w:tcPr>
            <w:tcW w:w="220" w:type="dxa"/>
            <w:vAlign w:val="bottom"/>
          </w:tcPr>
          <w:p>
            <w:pPr>
              <w:spacing w:after="0"/>
              <w:rPr>
                <w:sz w:val="13"/>
                <w:szCs w:val="13"/>
                <w:color w:val="auto"/>
              </w:rPr>
            </w:pPr>
          </w:p>
        </w:tc>
        <w:tc>
          <w:tcPr>
            <w:tcW w:w="1680" w:type="dxa"/>
            <w:vAlign w:val="bottom"/>
            <w:gridSpan w:val="2"/>
          </w:tcPr>
          <w:p>
            <w:pPr>
              <w:jc w:val="center"/>
              <w:ind w:right="100"/>
              <w:spacing w:after="0" w:line="159" w:lineRule="exact"/>
              <w:rPr>
                <w:sz w:val="20"/>
                <w:szCs w:val="20"/>
                <w:color w:val="auto"/>
              </w:rPr>
            </w:pPr>
            <w:r>
              <w:rPr>
                <w:rFonts w:ascii="Calibri" w:cs="Calibri" w:eastAsia="Calibri" w:hAnsi="Calibri"/>
                <w:sz w:val="14"/>
                <w:szCs w:val="14"/>
                <w:b w:val="1"/>
                <w:bCs w:val="1"/>
                <w:color w:val="auto"/>
              </w:rPr>
              <w:t>Under the Plans or</w:t>
            </w:r>
          </w:p>
        </w:tc>
      </w:tr>
      <w:tr>
        <w:trPr>
          <w:trHeight w:val="185"/>
        </w:trPr>
        <w:tc>
          <w:tcPr>
            <w:tcW w:w="4180" w:type="dxa"/>
            <w:vAlign w:val="bottom"/>
            <w:gridSpan w:val="3"/>
          </w:tcPr>
          <w:p>
            <w:pPr>
              <w:ind w:left="20"/>
              <w:spacing w:after="0"/>
              <w:rPr>
                <w:sz w:val="20"/>
                <w:szCs w:val="20"/>
                <w:color w:val="auto"/>
              </w:rPr>
            </w:pPr>
            <w:r>
              <w:rPr>
                <w:rFonts w:ascii="Calibri" w:cs="Calibri" w:eastAsia="Calibri" w:hAnsi="Calibri"/>
                <w:sz w:val="14"/>
                <w:szCs w:val="14"/>
                <w:b w:val="1"/>
                <w:bCs w:val="1"/>
                <w:color w:val="auto"/>
              </w:rPr>
              <w:t>Period</w:t>
            </w:r>
          </w:p>
        </w:tc>
        <w:tc>
          <w:tcPr>
            <w:tcW w:w="1600" w:type="dxa"/>
            <w:vAlign w:val="bottom"/>
          </w:tcPr>
          <w:p>
            <w:pPr>
              <w:jc w:val="center"/>
              <w:spacing w:after="0" w:line="185" w:lineRule="exact"/>
              <w:rPr>
                <w:sz w:val="20"/>
                <w:szCs w:val="20"/>
                <w:color w:val="auto"/>
              </w:rPr>
            </w:pPr>
            <w:r>
              <w:rPr>
                <w:rFonts w:ascii="Calibri" w:cs="Calibri" w:eastAsia="Calibri" w:hAnsi="Calibri"/>
                <w:sz w:val="14"/>
                <w:szCs w:val="14"/>
                <w:b w:val="1"/>
                <w:bCs w:val="1"/>
                <w:color w:val="auto"/>
                <w:w w:val="94"/>
              </w:rPr>
              <w:t>Purchased</w:t>
            </w:r>
            <w:r>
              <w:rPr>
                <w:rFonts w:ascii="Calibri" w:cs="Calibri" w:eastAsia="Calibri" w:hAnsi="Calibri"/>
                <w:sz w:val="19"/>
                <w:szCs w:val="19"/>
                <w:b w:val="1"/>
                <w:bCs w:val="1"/>
                <w:color w:val="auto"/>
                <w:w w:val="94"/>
                <w:vertAlign w:val="superscript"/>
              </w:rPr>
              <w:t>(1)(2)</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ind w:right="257"/>
              <w:spacing w:after="0"/>
              <w:rPr>
                <w:sz w:val="20"/>
                <w:szCs w:val="20"/>
                <w:color w:val="auto"/>
              </w:rPr>
            </w:pPr>
            <w:r>
              <w:rPr>
                <w:rFonts w:ascii="Calibri" w:cs="Calibri" w:eastAsia="Calibri" w:hAnsi="Calibri"/>
                <w:sz w:val="14"/>
                <w:szCs w:val="14"/>
                <w:b w:val="1"/>
                <w:bCs w:val="1"/>
                <w:color w:val="auto"/>
              </w:rPr>
              <w:t>Paid per Share</w:t>
            </w:r>
          </w:p>
        </w:tc>
        <w:tc>
          <w:tcPr>
            <w:tcW w:w="220" w:type="dxa"/>
            <w:vAlign w:val="bottom"/>
          </w:tcPr>
          <w:p>
            <w:pPr>
              <w:spacing w:after="0"/>
              <w:rPr>
                <w:sz w:val="16"/>
                <w:szCs w:val="16"/>
                <w:color w:val="auto"/>
              </w:rPr>
            </w:pPr>
          </w:p>
        </w:tc>
        <w:tc>
          <w:tcPr>
            <w:tcW w:w="1540" w:type="dxa"/>
            <w:vAlign w:val="bottom"/>
          </w:tcPr>
          <w:p>
            <w:pPr>
              <w:jc w:val="center"/>
              <w:spacing w:after="0" w:line="185" w:lineRule="exact"/>
              <w:rPr>
                <w:sz w:val="20"/>
                <w:szCs w:val="20"/>
                <w:color w:val="auto"/>
              </w:rPr>
            </w:pPr>
            <w:r>
              <w:rPr>
                <w:rFonts w:ascii="Calibri" w:cs="Calibri" w:eastAsia="Calibri" w:hAnsi="Calibri"/>
                <w:sz w:val="14"/>
                <w:szCs w:val="14"/>
                <w:b w:val="1"/>
                <w:bCs w:val="1"/>
                <w:color w:val="auto"/>
                <w:w w:val="97"/>
              </w:rPr>
              <w:t>Programs</w:t>
            </w:r>
            <w:r>
              <w:rPr>
                <w:rFonts w:ascii="Calibri" w:cs="Calibri" w:eastAsia="Calibri" w:hAnsi="Calibri"/>
                <w:sz w:val="19"/>
                <w:szCs w:val="19"/>
                <w:b w:val="1"/>
                <w:bCs w:val="1"/>
                <w:color w:val="auto"/>
                <w:w w:val="97"/>
                <w:vertAlign w:val="superscript"/>
              </w:rPr>
              <w:t>(1)</w:t>
            </w:r>
          </w:p>
        </w:tc>
        <w:tc>
          <w:tcPr>
            <w:tcW w:w="220" w:type="dxa"/>
            <w:vAlign w:val="bottom"/>
          </w:tcPr>
          <w:p>
            <w:pPr>
              <w:spacing w:after="0"/>
              <w:rPr>
                <w:sz w:val="16"/>
                <w:szCs w:val="16"/>
                <w:color w:val="auto"/>
              </w:rPr>
            </w:pPr>
          </w:p>
        </w:tc>
        <w:tc>
          <w:tcPr>
            <w:tcW w:w="1680" w:type="dxa"/>
            <w:vAlign w:val="bottom"/>
            <w:gridSpan w:val="2"/>
          </w:tcPr>
          <w:p>
            <w:pPr>
              <w:jc w:val="center"/>
              <w:ind w:right="100"/>
              <w:spacing w:after="0" w:line="185" w:lineRule="exact"/>
              <w:rPr>
                <w:sz w:val="20"/>
                <w:szCs w:val="20"/>
                <w:color w:val="auto"/>
              </w:rPr>
            </w:pPr>
            <w:r>
              <w:rPr>
                <w:rFonts w:ascii="Calibri" w:cs="Calibri" w:eastAsia="Calibri" w:hAnsi="Calibri"/>
                <w:sz w:val="14"/>
                <w:szCs w:val="14"/>
                <w:b w:val="1"/>
                <w:bCs w:val="1"/>
                <w:color w:val="auto"/>
                <w:w w:val="94"/>
              </w:rPr>
              <w:t>Programs</w:t>
            </w:r>
            <w:r>
              <w:rPr>
                <w:rFonts w:ascii="Calibri" w:cs="Calibri" w:eastAsia="Calibri" w:hAnsi="Calibri"/>
                <w:sz w:val="19"/>
                <w:szCs w:val="19"/>
                <w:b w:val="1"/>
                <w:bCs w:val="1"/>
                <w:color w:val="auto"/>
                <w:w w:val="94"/>
                <w:vertAlign w:val="superscript"/>
              </w:rPr>
              <w:t>(1)</w:t>
            </w:r>
          </w:p>
        </w:tc>
      </w:tr>
      <w:tr>
        <w:trPr>
          <w:trHeight w:val="21"/>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4180" w:type="dxa"/>
            <w:vAlign w:val="bottom"/>
            <w:tcBorders>
              <w:bottom w:val="single" w:sz="8" w:color="CFF0FC"/>
            </w:tcBorders>
            <w:gridSpan w:val="3"/>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October 1, 2023 - October 31, 2023</w:t>
            </w:r>
          </w:p>
        </w:tc>
        <w:tc>
          <w:tcPr>
            <w:tcW w:w="16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w:t>
            </w:r>
          </w:p>
        </w:tc>
        <w:tc>
          <w:tcPr>
            <w:tcW w:w="480" w:type="dxa"/>
            <w:vAlign w:val="bottom"/>
            <w:tcBorders>
              <w:bottom w:val="single" w:sz="8" w:color="CFF0FC"/>
            </w:tcBorders>
            <w:gridSpan w:val="2"/>
            <w:shd w:val="clear" w:color="auto" w:fill="CFF0FC"/>
          </w:tcPr>
          <w:p>
            <w:pPr>
              <w:jc w:val="right"/>
              <w:ind w:right="120"/>
              <w:spacing w:after="0" w:line="208" w:lineRule="exact"/>
              <w:rPr>
                <w:sz w:val="20"/>
                <w:szCs w:val="20"/>
                <w:color w:val="auto"/>
              </w:rPr>
            </w:pPr>
            <w:r>
              <w:rPr>
                <w:rFonts w:ascii="Calibri" w:cs="Calibri" w:eastAsia="Calibri" w:hAnsi="Calibri"/>
                <w:sz w:val="18"/>
                <w:szCs w:val="18"/>
                <w:color w:val="auto"/>
              </w:rPr>
              <w:t>$</w:t>
            </w:r>
          </w:p>
        </w:tc>
        <w:tc>
          <w:tcPr>
            <w:tcW w:w="13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w:t>
            </w:r>
          </w:p>
        </w:tc>
        <w:tc>
          <w:tcPr>
            <w:tcW w:w="1800" w:type="dxa"/>
            <w:vAlign w:val="bottom"/>
            <w:tcBorders>
              <w:bottom w:val="single" w:sz="8" w:color="CFF0FC"/>
            </w:tcBorders>
            <w:gridSpan w:val="2"/>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2,984,970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4180" w:type="dxa"/>
            <w:vAlign w:val="bottom"/>
            <w:gridSpan w:val="3"/>
          </w:tcPr>
          <w:p>
            <w:pPr>
              <w:ind w:left="20"/>
              <w:spacing w:after="0" w:line="215" w:lineRule="exact"/>
              <w:rPr>
                <w:sz w:val="20"/>
                <w:szCs w:val="20"/>
                <w:color w:val="auto"/>
              </w:rPr>
            </w:pPr>
            <w:r>
              <w:rPr>
                <w:rFonts w:ascii="Calibri" w:cs="Calibri" w:eastAsia="Calibri" w:hAnsi="Calibri"/>
                <w:sz w:val="18"/>
                <w:szCs w:val="18"/>
                <w:color w:val="auto"/>
              </w:rPr>
              <w:t>November 1, 2023 - November 30, 2023</w:t>
            </w:r>
          </w:p>
        </w:tc>
        <w:tc>
          <w:tcPr>
            <w:tcW w:w="1600" w:type="dxa"/>
            <w:vAlign w:val="bottom"/>
          </w:tcPr>
          <w:p>
            <w:pPr>
              <w:jc w:val="right"/>
              <w:spacing w:after="0" w:line="215" w:lineRule="exact"/>
              <w:rPr>
                <w:sz w:val="20"/>
                <w:szCs w:val="20"/>
                <w:color w:val="auto"/>
              </w:rPr>
            </w:pPr>
            <w:r>
              <w:rPr>
                <w:rFonts w:ascii="Calibri" w:cs="Calibri" w:eastAsia="Calibri" w:hAnsi="Calibri"/>
                <w:sz w:val="18"/>
                <w:szCs w:val="18"/>
                <w:color w:val="auto"/>
              </w:rPr>
              <w:t>191,954</w:t>
            </w:r>
          </w:p>
        </w:tc>
        <w:tc>
          <w:tcPr>
            <w:tcW w:w="48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76.74</w:t>
            </w:r>
          </w:p>
        </w:tc>
        <w:tc>
          <w:tcPr>
            <w:tcW w:w="17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191,954</w:t>
            </w:r>
          </w:p>
        </w:tc>
        <w:tc>
          <w:tcPr>
            <w:tcW w:w="180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2,793,016</w:t>
            </w:r>
          </w:p>
        </w:tc>
        <w:tc>
          <w:tcPr>
            <w:tcW w:w="100" w:type="dxa"/>
            <w:vAlign w:val="bottom"/>
          </w:tcPr>
          <w:p>
            <w:pPr>
              <w:spacing w:after="0"/>
              <w:rPr>
                <w:sz w:val="18"/>
                <w:szCs w:val="18"/>
                <w:color w:val="auto"/>
              </w:rPr>
            </w:pPr>
          </w:p>
        </w:tc>
      </w:tr>
      <w:tr>
        <w:trPr>
          <w:trHeight w:val="28"/>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4180" w:type="dxa"/>
            <w:vAlign w:val="bottom"/>
            <w:tcBorders>
              <w:bottom w:val="single" w:sz="8" w:color="CFF0FC"/>
            </w:tcBorders>
            <w:gridSpan w:val="3"/>
            <w:shd w:val="clear" w:color="auto" w:fill="CFF0FC"/>
          </w:tcPr>
          <w:p>
            <w:pPr>
              <w:ind w:left="20"/>
              <w:spacing w:after="0"/>
              <w:rPr>
                <w:sz w:val="20"/>
                <w:szCs w:val="20"/>
                <w:color w:val="auto"/>
              </w:rPr>
            </w:pPr>
            <w:r>
              <w:rPr>
                <w:rFonts w:ascii="Calibri" w:cs="Calibri" w:eastAsia="Calibri" w:hAnsi="Calibri"/>
                <w:sz w:val="18"/>
                <w:szCs w:val="18"/>
                <w:color w:val="auto"/>
              </w:rPr>
              <w:t>December 1, 2023 - December 31, 2023</w:t>
            </w:r>
          </w:p>
        </w:tc>
        <w:tc>
          <w:tcPr>
            <w:tcW w:w="16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68,140</w:t>
            </w:r>
          </w:p>
        </w:tc>
        <w:tc>
          <w:tcPr>
            <w:tcW w:w="4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Calibri" w:cs="Calibri" w:eastAsia="Calibri" w:hAnsi="Calibri"/>
                <w:sz w:val="18"/>
                <w:szCs w:val="18"/>
                <w:color w:val="auto"/>
              </w:rPr>
              <w:t>$</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8"/>
                <w:szCs w:val="18"/>
                <w:color w:val="auto"/>
              </w:rPr>
              <w:t>77.33</w:t>
            </w:r>
          </w:p>
        </w:tc>
        <w:tc>
          <w:tcPr>
            <w:tcW w:w="176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68,140</w:t>
            </w:r>
          </w:p>
        </w:tc>
        <w:tc>
          <w:tcPr>
            <w:tcW w:w="1800" w:type="dxa"/>
            <w:vAlign w:val="bottom"/>
            <w:tcBorders>
              <w:bottom w:val="single" w:sz="8" w:color="CFF0FC"/>
            </w:tcBorders>
            <w:gridSpan w:val="2"/>
            <w:shd w:val="clear" w:color="auto" w:fill="CFF0FC"/>
          </w:tcPr>
          <w:p>
            <w:pPr>
              <w:jc w:val="right"/>
              <w:spacing w:after="0"/>
              <w:rPr>
                <w:sz w:val="20"/>
                <w:szCs w:val="20"/>
                <w:color w:val="auto"/>
              </w:rPr>
            </w:pPr>
            <w:r>
              <w:rPr>
                <w:rFonts w:ascii="Calibri" w:cs="Calibri" w:eastAsia="Calibri" w:hAnsi="Calibri"/>
                <w:sz w:val="18"/>
                <w:szCs w:val="18"/>
                <w:color w:val="auto"/>
              </w:rPr>
              <w:t>2,724,876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4180" w:type="dxa"/>
            <w:vAlign w:val="bottom"/>
            <w:tcBorders>
              <w:top w:val="single" w:sz="8" w:color="CFF0FC"/>
            </w:tcBorders>
            <w:gridSpan w:val="3"/>
          </w:tcPr>
          <w:p>
            <w:pPr>
              <w:ind w:left="20"/>
              <w:spacing w:after="0"/>
              <w:rPr>
                <w:sz w:val="20"/>
                <w:szCs w:val="20"/>
                <w:color w:val="auto"/>
              </w:rPr>
            </w:pPr>
            <w:r>
              <w:rPr>
                <w:rFonts w:ascii="Calibri" w:cs="Calibri" w:eastAsia="Calibri" w:hAnsi="Calibri"/>
                <w:sz w:val="18"/>
                <w:szCs w:val="18"/>
                <w:color w:val="auto"/>
              </w:rPr>
              <w:t>Total</w:t>
            </w:r>
          </w:p>
        </w:tc>
        <w:tc>
          <w:tcPr>
            <w:tcW w:w="160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260,094</w:t>
            </w:r>
          </w:p>
        </w:tc>
        <w:tc>
          <w:tcPr>
            <w:tcW w:w="260" w:type="dxa"/>
            <w:vAlign w:val="bottom"/>
            <w:tcBorders>
              <w:top w:val="single" w:sz="8" w:color="CFF0FC"/>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1320" w:type="dxa"/>
            <w:vAlign w:val="bottom"/>
            <w:tcBorders>
              <w:top w:val="single" w:sz="8" w:color="CFF0FC"/>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154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260,094</w:t>
            </w:r>
          </w:p>
        </w:tc>
        <w:tc>
          <w:tcPr>
            <w:tcW w:w="220" w:type="dxa"/>
            <w:vAlign w:val="bottom"/>
            <w:tcBorders>
              <w:top w:val="single" w:sz="8" w:color="CFF0FC"/>
            </w:tcBorders>
          </w:tcPr>
          <w:p>
            <w:pPr>
              <w:spacing w:after="0"/>
              <w:rPr>
                <w:sz w:val="20"/>
                <w:szCs w:val="20"/>
                <w:color w:val="auto"/>
              </w:rPr>
            </w:pPr>
          </w:p>
        </w:tc>
        <w:tc>
          <w:tcPr>
            <w:tcW w:w="158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-187960</wp:posOffset>
            </wp:positionV>
            <wp:extent cx="768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-187960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jc w:val="both"/>
        <w:ind w:left="520" w:right="120" w:hanging="512"/>
        <w:spacing w:after="0" w:line="211" w:lineRule="auto"/>
        <w:tabs>
          <w:tab w:leader="none" w:pos="520" w:val="left"/>
        </w:tabs>
        <w:numPr>
          <w:ilvl w:val="0"/>
          <w:numId w:val="11"/>
        </w:numPr>
        <w:rPr>
          <w:rFonts w:ascii="Calibri" w:cs="Calibri" w:eastAsia="Calibri" w:hAnsi="Calibri"/>
          <w:sz w:val="24"/>
          <w:szCs w:val="24"/>
          <w:color w:val="auto"/>
          <w:vertAlign w:val="superscript"/>
        </w:rPr>
      </w:pPr>
      <w:r>
        <w:rPr>
          <w:rFonts w:ascii="Calibri" w:cs="Calibri" w:eastAsia="Calibri" w:hAnsi="Calibri"/>
          <w:sz w:val="18"/>
          <w:szCs w:val="18"/>
          <w:color w:val="auto"/>
        </w:rPr>
        <w:t>On July 13, 2018, Cabot publicly announced that the Board of Directors authorized the Company to repurchase up to an additonal ten million shares of its common stock on the open market or in privately negotated transactons, increasing the balance of shares available for repurchase at that tme to approximately eleven million shares. The current authorizaton does not have a set expiraton date.</w:t>
      </w:r>
    </w:p>
    <w:p>
      <w:pPr>
        <w:spacing w:after="0" w:line="31" w:lineRule="exact"/>
        <w:rPr>
          <w:rFonts w:ascii="Calibri" w:cs="Calibri" w:eastAsia="Calibri" w:hAnsi="Calibri"/>
          <w:sz w:val="24"/>
          <w:szCs w:val="24"/>
          <w:color w:val="auto"/>
          <w:vertAlign w:val="superscript"/>
        </w:rPr>
      </w:pPr>
    </w:p>
    <w:p>
      <w:pPr>
        <w:ind w:left="520" w:right="140" w:hanging="512"/>
        <w:spacing w:after="0" w:line="201" w:lineRule="auto"/>
        <w:tabs>
          <w:tab w:leader="none" w:pos="520" w:val="left"/>
        </w:tabs>
        <w:numPr>
          <w:ilvl w:val="0"/>
          <w:numId w:val="11"/>
        </w:numPr>
        <w:rPr>
          <w:rFonts w:ascii="Calibri" w:cs="Calibri" w:eastAsia="Calibri" w:hAnsi="Calibri"/>
          <w:sz w:val="24"/>
          <w:szCs w:val="24"/>
          <w:color w:val="auto"/>
          <w:vertAlign w:val="superscript"/>
        </w:rPr>
      </w:pPr>
      <w:r>
        <w:rPr>
          <w:rFonts w:ascii="Calibri" w:cs="Calibri" w:eastAsia="Calibri" w:hAnsi="Calibri"/>
          <w:sz w:val="18"/>
          <w:szCs w:val="18"/>
          <w:color w:val="auto"/>
        </w:rPr>
        <w:t>Total number of shares purchased does not include 167,738 shares withheld to pay taxes on the vestng of equity awards made under the Company's equity incentve plans or to pay the exercise price of optons exercised during the period.</w:t>
      </w:r>
    </w:p>
    <w:p>
      <w:pPr>
        <w:spacing w:after="0" w:line="7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Item 6.  Exhibits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ind w:left="520"/>
              <w:spacing w:after="0"/>
              <w:rPr>
                <w:sz w:val="20"/>
                <w:szCs w:val="20"/>
                <w:color w:val="auto"/>
              </w:rPr>
            </w:pPr>
            <w:r>
              <w:rPr>
                <w:rFonts w:ascii="Calibri" w:cs="Calibri" w:eastAsia="Calibri" w:hAnsi="Calibri"/>
                <w:sz w:val="14"/>
                <w:szCs w:val="14"/>
                <w:b w:val="1"/>
                <w:bCs w:val="1"/>
                <w:color w:val="auto"/>
              </w:rPr>
              <w:t>Exhibit No.</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7580" w:type="dxa"/>
            <w:vAlign w:val="bottom"/>
            <w:gridSpan w:val="9"/>
          </w:tcPr>
          <w:p>
            <w:pPr>
              <w:ind w:left="2520"/>
              <w:spacing w:after="0"/>
              <w:rPr>
                <w:sz w:val="20"/>
                <w:szCs w:val="20"/>
                <w:color w:val="auto"/>
              </w:rPr>
            </w:pPr>
            <w:r>
              <w:rPr>
                <w:rFonts w:ascii="Calibri" w:cs="Calibri" w:eastAsia="Calibri" w:hAnsi="Calibri"/>
                <w:sz w:val="14"/>
                <w:szCs w:val="14"/>
                <w:b w:val="1"/>
                <w:bCs w:val="1"/>
                <w:color w:val="auto"/>
              </w:rPr>
              <w:t>Descripton</w:t>
            </w:r>
          </w:p>
        </w:tc>
      </w:tr>
      <w:tr>
        <w:trPr>
          <w:trHeight w:val="33"/>
        </w:trPr>
        <w:tc>
          <w:tcPr>
            <w:tcW w:w="17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331"/>
        </w:trPr>
        <w:tc>
          <w:tcPr>
            <w:tcW w:w="1700" w:type="dxa"/>
            <w:vAlign w:val="bottom"/>
          </w:tcPr>
          <w:p>
            <w:pPr>
              <w:ind w:left="20"/>
              <w:spacing w:after="0"/>
              <w:rPr>
                <w:sz w:val="20"/>
                <w:szCs w:val="20"/>
                <w:color w:val="auto"/>
              </w:rPr>
            </w:pPr>
            <w:r>
              <w:rPr>
                <w:rFonts w:ascii="Calibri" w:cs="Calibri" w:eastAsia="Calibri" w:hAnsi="Calibri"/>
                <w:sz w:val="18"/>
                <w:szCs w:val="18"/>
                <w:color w:val="auto"/>
              </w:rPr>
              <w:t>Exhibit 3.1</w:t>
            </w:r>
          </w:p>
        </w:tc>
        <w:tc>
          <w:tcPr>
            <w:tcW w:w="140" w:type="dxa"/>
            <w:vAlign w:val="bottom"/>
          </w:tcPr>
          <w:p>
            <w:pPr>
              <w:spacing w:after="0"/>
              <w:rPr>
                <w:sz w:val="24"/>
                <w:szCs w:val="24"/>
                <w:color w:val="auto"/>
              </w:rPr>
            </w:pPr>
          </w:p>
        </w:tc>
        <w:tc>
          <w:tcPr>
            <w:tcW w:w="9380" w:type="dxa"/>
            <w:vAlign w:val="bottom"/>
            <w:tcBorders>
              <w:bottom w:val="single" w:sz="8" w:color="0000EE"/>
            </w:tcBorders>
            <w:gridSpan w:val="10"/>
          </w:tcPr>
          <w:p>
            <w:pPr>
              <w:spacing w:after="0"/>
              <w:rPr>
                <w:rFonts w:ascii="Calibri" w:cs="Calibri" w:eastAsia="Calibri" w:hAnsi="Calibri"/>
                <w:sz w:val="18"/>
                <w:szCs w:val="18"/>
                <w:color w:val="0000FF"/>
                <w:w w:val="99"/>
              </w:rPr>
            </w:pPr>
            <w:hyperlink r:id="rId200">
              <w:r>
                <w:rPr>
                  <w:rFonts w:ascii="Calibri" w:cs="Calibri" w:eastAsia="Calibri" w:hAnsi="Calibri"/>
                  <w:sz w:val="18"/>
                  <w:szCs w:val="18"/>
                  <w:color w:val="0000FF"/>
                  <w:w w:val="99"/>
                </w:rPr>
                <w:t>Restated Certfcate of Incorporaton of Cabot Corporaton efectve January 9, 2009 (incorporated herein by reference to Exhibit 3.1</w:t>
              </w:r>
            </w:hyperlink>
          </w:p>
        </w:tc>
        <w:tc>
          <w:tcPr>
            <w:tcW w:w="20" w:type="dxa"/>
            <w:vAlign w:val="bottom"/>
          </w:tcPr>
          <w:p>
            <w:pPr>
              <w:spacing w:after="0"/>
              <w:rPr>
                <w:sz w:val="24"/>
                <w:szCs w:val="24"/>
                <w:color w:val="auto"/>
              </w:rPr>
            </w:pPr>
          </w:p>
        </w:tc>
      </w:tr>
      <w:tr>
        <w:trPr>
          <w:trHeight w:val="196"/>
        </w:trPr>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60" w:type="dxa"/>
            <w:vAlign w:val="bottom"/>
            <w:tcBorders>
              <w:bottom w:val="single" w:sz="8" w:color="0000EE"/>
            </w:tcBorders>
            <w:gridSpan w:val="9"/>
          </w:tcPr>
          <w:p>
            <w:pPr>
              <w:spacing w:after="0" w:line="196" w:lineRule="exact"/>
              <w:rPr>
                <w:rFonts w:ascii="Calibri" w:cs="Calibri" w:eastAsia="Calibri" w:hAnsi="Calibri"/>
                <w:sz w:val="18"/>
                <w:szCs w:val="18"/>
                <w:color w:val="0000FF"/>
                <w:w w:val="98"/>
              </w:rPr>
            </w:pPr>
            <w:hyperlink r:id="rId200">
              <w:r>
                <w:rPr>
                  <w:rFonts w:ascii="Calibri" w:cs="Calibri" w:eastAsia="Calibri" w:hAnsi="Calibri"/>
                  <w:sz w:val="18"/>
                  <w:szCs w:val="18"/>
                  <w:color w:val="0000FF"/>
                  <w:w w:val="98"/>
                </w:rPr>
                <w:t>of Cabot’s Quarterly Report on Form 10-Q for the quarterly period ended December 31, 2008, fle reference 1-5667, fled with the</w:t>
              </w:r>
            </w:hyperlink>
          </w:p>
        </w:tc>
        <w:tc>
          <w:tcPr>
            <w:tcW w:w="140" w:type="dxa"/>
            <w:vAlign w:val="bottom"/>
            <w:gridSpan w:val="2"/>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tcBorders>
              <w:bottom w:val="single" w:sz="8" w:color="0000EE"/>
            </w:tcBorders>
            <w:gridSpan w:val="2"/>
          </w:tcPr>
          <w:p>
            <w:pPr>
              <w:spacing w:after="0" w:line="196" w:lineRule="exact"/>
              <w:rPr>
                <w:rFonts w:ascii="Calibri" w:cs="Calibri" w:eastAsia="Calibri" w:hAnsi="Calibri"/>
                <w:sz w:val="18"/>
                <w:szCs w:val="18"/>
                <w:color w:val="0000FF"/>
                <w:w w:val="96"/>
              </w:rPr>
            </w:pPr>
            <w:hyperlink r:id="rId200">
              <w:r>
                <w:rPr>
                  <w:rFonts w:ascii="Calibri" w:cs="Calibri" w:eastAsia="Calibri" w:hAnsi="Calibri"/>
                  <w:sz w:val="18"/>
                  <w:szCs w:val="18"/>
                  <w:color w:val="0000FF"/>
                  <w:w w:val="96"/>
                </w:rPr>
                <w:t>SEC on February 9, 2009).</w:t>
              </w:r>
            </w:hyperlink>
          </w:p>
        </w:tc>
        <w:tc>
          <w:tcPr>
            <w:tcW w:w="7580" w:type="dxa"/>
            <w:vAlign w:val="bottom"/>
            <w:gridSpan w:val="9"/>
          </w:tcPr>
          <w:p>
            <w:pPr>
              <w:spacing w:after="0"/>
              <w:rPr>
                <w:sz w:val="17"/>
                <w:szCs w:val="17"/>
                <w:color w:val="auto"/>
              </w:rPr>
            </w:pPr>
          </w:p>
        </w:tc>
      </w:tr>
      <w:tr>
        <w:trPr>
          <w:trHeight w:val="385"/>
        </w:trPr>
        <w:tc>
          <w:tcPr>
            <w:tcW w:w="1700" w:type="dxa"/>
            <w:vAlign w:val="bottom"/>
          </w:tcPr>
          <w:p>
            <w:pPr>
              <w:ind w:left="20"/>
              <w:spacing w:after="0"/>
              <w:rPr>
                <w:sz w:val="20"/>
                <w:szCs w:val="20"/>
                <w:color w:val="auto"/>
              </w:rPr>
            </w:pPr>
            <w:r>
              <w:rPr>
                <w:rFonts w:ascii="Calibri" w:cs="Calibri" w:eastAsia="Calibri" w:hAnsi="Calibri"/>
                <w:sz w:val="18"/>
                <w:szCs w:val="18"/>
                <w:color w:val="auto"/>
              </w:rPr>
              <w:t>Exhibit 3.2</w:t>
            </w:r>
          </w:p>
        </w:tc>
        <w:tc>
          <w:tcPr>
            <w:tcW w:w="140" w:type="dxa"/>
            <w:vAlign w:val="bottom"/>
          </w:tcPr>
          <w:p>
            <w:pPr>
              <w:spacing w:after="0"/>
              <w:rPr>
                <w:sz w:val="24"/>
                <w:szCs w:val="24"/>
                <w:color w:val="auto"/>
              </w:rPr>
            </w:pPr>
          </w:p>
        </w:tc>
        <w:tc>
          <w:tcPr>
            <w:tcW w:w="9380" w:type="dxa"/>
            <w:vAlign w:val="bottom"/>
            <w:tcBorders>
              <w:bottom w:val="single" w:sz="8" w:color="0000FF"/>
            </w:tcBorders>
            <w:gridSpan w:val="10"/>
          </w:tcPr>
          <w:p>
            <w:pPr>
              <w:spacing w:after="0"/>
              <w:rPr>
                <w:rFonts w:ascii="Calibri" w:cs="Calibri" w:eastAsia="Calibri" w:hAnsi="Calibri"/>
                <w:sz w:val="18"/>
                <w:szCs w:val="18"/>
                <w:color w:val="0000FF"/>
                <w:w w:val="97"/>
              </w:rPr>
            </w:pPr>
            <w:hyperlink r:id="rId201">
              <w:r>
                <w:rPr>
                  <w:rFonts w:ascii="Calibri" w:cs="Calibri" w:eastAsia="Calibri" w:hAnsi="Calibri"/>
                  <w:sz w:val="18"/>
                  <w:szCs w:val="18"/>
                  <w:color w:val="0000FF"/>
                  <w:w w:val="97"/>
                </w:rPr>
                <w:t>The By-laws of Cabot Corporaton as amended May 11, 2023 (incorporated herein by reference to Exhibit 3.1 of Cabot Corporaton’s</w:t>
              </w:r>
            </w:hyperlink>
          </w:p>
        </w:tc>
        <w:tc>
          <w:tcPr>
            <w:tcW w:w="20" w:type="dxa"/>
            <w:vAlign w:val="bottom"/>
          </w:tcPr>
          <w:p>
            <w:pPr>
              <w:spacing w:after="0"/>
              <w:rPr>
                <w:sz w:val="24"/>
                <w:szCs w:val="24"/>
                <w:color w:val="auto"/>
              </w:rPr>
            </w:pPr>
          </w:p>
        </w:tc>
      </w:tr>
      <w:tr>
        <w:trPr>
          <w:trHeight w:val="196"/>
        </w:trPr>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0" w:type="dxa"/>
            <w:vAlign w:val="bottom"/>
            <w:gridSpan w:val="11"/>
          </w:tcPr>
          <w:p>
            <w:pPr>
              <w:spacing w:after="0" w:line="196" w:lineRule="exact"/>
              <w:rPr>
                <w:rFonts w:ascii="Calibri" w:cs="Calibri" w:eastAsia="Calibri" w:hAnsi="Calibri"/>
                <w:sz w:val="18"/>
                <w:szCs w:val="18"/>
                <w:color w:val="0000FF"/>
              </w:rPr>
            </w:pPr>
            <w:hyperlink r:id="rId201">
              <w:r>
                <w:rPr>
                  <w:rFonts w:ascii="Calibri" w:cs="Calibri" w:eastAsia="Calibri" w:hAnsi="Calibri"/>
                  <w:sz w:val="18"/>
                  <w:szCs w:val="18"/>
                  <w:color w:val="0000FF"/>
                </w:rPr>
                <w:t>Current Report on Form 8-K, fle reference 1-5667, fled with the SEC on May 15, 2023).</w:t>
              </w:r>
            </w:hyperlink>
          </w:p>
        </w:tc>
      </w:tr>
      <w:tr>
        <w:trPr>
          <w:trHeight w:val="20"/>
        </w:trPr>
        <w:tc>
          <w:tcPr>
            <w:tcW w:w="17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180" w:type="dxa"/>
            <w:vAlign w:val="bottom"/>
            <w:gridSpan w:val="3"/>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r>
      <w:tr>
        <w:trPr>
          <w:trHeight w:val="385"/>
        </w:trPr>
        <w:tc>
          <w:tcPr>
            <w:tcW w:w="1700" w:type="dxa"/>
            <w:vAlign w:val="bottom"/>
          </w:tcPr>
          <w:p>
            <w:pPr>
              <w:ind w:left="20"/>
              <w:spacing w:after="0"/>
              <w:rPr>
                <w:sz w:val="20"/>
                <w:szCs w:val="20"/>
                <w:color w:val="auto"/>
              </w:rPr>
            </w:pPr>
            <w:r>
              <w:rPr>
                <w:rFonts w:ascii="Calibri" w:cs="Calibri" w:eastAsia="Calibri" w:hAnsi="Calibri"/>
                <w:sz w:val="18"/>
                <w:szCs w:val="18"/>
                <w:color w:val="auto"/>
              </w:rPr>
              <w:t>Exhibit 31.1*</w:t>
            </w:r>
          </w:p>
        </w:tc>
        <w:tc>
          <w:tcPr>
            <w:tcW w:w="140" w:type="dxa"/>
            <w:vAlign w:val="bottom"/>
          </w:tcPr>
          <w:p>
            <w:pPr>
              <w:spacing w:after="0"/>
              <w:rPr>
                <w:sz w:val="24"/>
                <w:szCs w:val="24"/>
                <w:color w:val="auto"/>
              </w:rPr>
            </w:pPr>
          </w:p>
        </w:tc>
        <w:tc>
          <w:tcPr>
            <w:tcW w:w="9400" w:type="dxa"/>
            <w:vAlign w:val="bottom"/>
            <w:gridSpan w:val="11"/>
          </w:tcPr>
          <w:p>
            <w:pPr>
              <w:spacing w:after="0"/>
              <w:rPr>
                <w:sz w:val="20"/>
                <w:szCs w:val="20"/>
                <w:color w:val="auto"/>
              </w:rPr>
            </w:pPr>
            <w:r>
              <w:rPr>
                <w:rFonts w:ascii="Calibri" w:cs="Calibri" w:eastAsia="Calibri" w:hAnsi="Calibri"/>
                <w:sz w:val="18"/>
                <w:szCs w:val="18"/>
                <w:color w:val="0000FF"/>
              </w:rPr>
              <w:t>Certfcaton of Principal Executve Ofcer required by Rule 13a-14(a) or Rule 15d-14(a) of the Exchange Act.</w:t>
            </w:r>
          </w:p>
        </w:tc>
      </w:tr>
      <w:tr>
        <w:trPr>
          <w:trHeight w:val="385"/>
        </w:trPr>
        <w:tc>
          <w:tcPr>
            <w:tcW w:w="1700" w:type="dxa"/>
            <w:vAlign w:val="bottom"/>
          </w:tcPr>
          <w:p>
            <w:pPr>
              <w:ind w:left="20"/>
              <w:spacing w:after="0"/>
              <w:rPr>
                <w:sz w:val="20"/>
                <w:szCs w:val="20"/>
                <w:color w:val="auto"/>
              </w:rPr>
            </w:pPr>
            <w:r>
              <w:rPr>
                <w:rFonts w:ascii="Calibri" w:cs="Calibri" w:eastAsia="Calibri" w:hAnsi="Calibri"/>
                <w:sz w:val="18"/>
                <w:szCs w:val="18"/>
                <w:color w:val="auto"/>
              </w:rPr>
              <w:t>Exhibit 31.2*</w:t>
            </w:r>
          </w:p>
        </w:tc>
        <w:tc>
          <w:tcPr>
            <w:tcW w:w="140" w:type="dxa"/>
            <w:vAlign w:val="bottom"/>
          </w:tcPr>
          <w:p>
            <w:pPr>
              <w:spacing w:after="0"/>
              <w:rPr>
                <w:sz w:val="24"/>
                <w:szCs w:val="24"/>
                <w:color w:val="auto"/>
              </w:rPr>
            </w:pPr>
          </w:p>
        </w:tc>
        <w:tc>
          <w:tcPr>
            <w:tcW w:w="7600" w:type="dxa"/>
            <w:vAlign w:val="bottom"/>
            <w:tcBorders>
              <w:top w:val="single" w:sz="8" w:color="0000FF"/>
              <w:bottom w:val="single" w:sz="8" w:color="0000FF"/>
            </w:tcBorders>
            <w:gridSpan w:val="4"/>
          </w:tcPr>
          <w:p>
            <w:pPr>
              <w:spacing w:after="0"/>
              <w:rPr>
                <w:sz w:val="20"/>
                <w:szCs w:val="20"/>
                <w:color w:val="auto"/>
              </w:rPr>
            </w:pPr>
            <w:r>
              <w:rPr>
                <w:rFonts w:ascii="Calibri" w:cs="Calibri" w:eastAsia="Calibri" w:hAnsi="Calibri"/>
                <w:sz w:val="18"/>
                <w:szCs w:val="18"/>
                <w:color w:val="0000FF"/>
                <w:w w:val="99"/>
              </w:rPr>
              <w:t>Certfcaton of Principal Financial Ofcer required by Rule 13a-14(a) or Rule 15d-14(a) of the Exchange Act.</w:t>
            </w:r>
          </w:p>
        </w:tc>
        <w:tc>
          <w:tcPr>
            <w:tcW w:w="20" w:type="dxa"/>
            <w:vAlign w:val="bottom"/>
            <w:tcBorders>
              <w:top w:val="single" w:sz="8" w:color="0000FF"/>
              <w:bottom w:val="single" w:sz="8" w:color="0000EE"/>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760" w:type="dxa"/>
            <w:vAlign w:val="bottom"/>
            <w:gridSpan w:val="5"/>
          </w:tcPr>
          <w:p>
            <w:pPr>
              <w:spacing w:after="0"/>
              <w:rPr>
                <w:sz w:val="24"/>
                <w:szCs w:val="24"/>
                <w:color w:val="auto"/>
              </w:rPr>
            </w:pPr>
          </w:p>
        </w:tc>
      </w:tr>
      <w:tr>
        <w:trPr>
          <w:trHeight w:val="385"/>
        </w:trPr>
        <w:tc>
          <w:tcPr>
            <w:tcW w:w="1700" w:type="dxa"/>
            <w:vAlign w:val="bottom"/>
          </w:tcPr>
          <w:p>
            <w:pPr>
              <w:ind w:left="20"/>
              <w:spacing w:after="0"/>
              <w:rPr>
                <w:sz w:val="20"/>
                <w:szCs w:val="20"/>
                <w:color w:val="auto"/>
              </w:rPr>
            </w:pPr>
            <w:r>
              <w:rPr>
                <w:rFonts w:ascii="Calibri" w:cs="Calibri" w:eastAsia="Calibri" w:hAnsi="Calibri"/>
                <w:sz w:val="18"/>
                <w:szCs w:val="18"/>
                <w:color w:val="auto"/>
              </w:rPr>
              <w:t>Exhibit 32**</w:t>
            </w:r>
          </w:p>
        </w:tc>
        <w:tc>
          <w:tcPr>
            <w:tcW w:w="140" w:type="dxa"/>
            <w:vAlign w:val="bottom"/>
          </w:tcPr>
          <w:p>
            <w:pPr>
              <w:spacing w:after="0"/>
              <w:rPr>
                <w:sz w:val="24"/>
                <w:szCs w:val="24"/>
                <w:color w:val="auto"/>
              </w:rPr>
            </w:pPr>
          </w:p>
        </w:tc>
        <w:tc>
          <w:tcPr>
            <w:tcW w:w="8260" w:type="dxa"/>
            <w:vAlign w:val="bottom"/>
            <w:tcBorders>
              <w:bottom w:val="single" w:sz="8" w:color="0000FF"/>
            </w:tcBorders>
            <w:gridSpan w:val="7"/>
          </w:tcPr>
          <w:p>
            <w:pPr>
              <w:spacing w:after="0"/>
              <w:rPr>
                <w:sz w:val="20"/>
                <w:szCs w:val="20"/>
                <w:color w:val="auto"/>
              </w:rPr>
            </w:pPr>
            <w:r>
              <w:rPr>
                <w:rFonts w:ascii="Calibri" w:cs="Calibri" w:eastAsia="Calibri" w:hAnsi="Calibri"/>
                <w:sz w:val="18"/>
                <w:szCs w:val="18"/>
                <w:color w:val="0000FF"/>
              </w:rPr>
              <w:t>Certfcatons of the Principal Executve Ofcer and the Principal Financial Ofcer pursuant to 18 U.S.C. Secton 1350.</w:t>
            </w:r>
          </w:p>
        </w:tc>
        <w:tc>
          <w:tcPr>
            <w:tcW w:w="20" w:type="dxa"/>
            <w:vAlign w:val="bottom"/>
            <w:tcBorders>
              <w:bottom w:val="single" w:sz="8" w:color="0000EE"/>
            </w:tcBorders>
          </w:tcPr>
          <w:p>
            <w:pPr>
              <w:spacing w:after="0"/>
              <w:rPr>
                <w:sz w:val="24"/>
                <w:szCs w:val="24"/>
                <w:color w:val="auto"/>
              </w:rPr>
            </w:pPr>
          </w:p>
        </w:tc>
        <w:tc>
          <w:tcPr>
            <w:tcW w:w="1120" w:type="dxa"/>
            <w:vAlign w:val="bottom"/>
            <w:gridSpan w:val="3"/>
          </w:tcPr>
          <w:p>
            <w:pPr>
              <w:spacing w:after="0"/>
              <w:rPr>
                <w:sz w:val="24"/>
                <w:szCs w:val="24"/>
                <w:color w:val="auto"/>
              </w:rPr>
            </w:pPr>
          </w:p>
        </w:tc>
      </w:tr>
      <w:tr>
        <w:trPr>
          <w:trHeight w:val="416"/>
        </w:trPr>
        <w:tc>
          <w:tcPr>
            <w:tcW w:w="1700" w:type="dxa"/>
            <w:vAlign w:val="bottom"/>
          </w:tcPr>
          <w:p>
            <w:pPr>
              <w:ind w:left="20"/>
              <w:spacing w:after="0"/>
              <w:rPr>
                <w:sz w:val="20"/>
                <w:szCs w:val="20"/>
                <w:color w:val="auto"/>
              </w:rPr>
            </w:pPr>
            <w:r>
              <w:rPr>
                <w:rFonts w:ascii="Calibri" w:cs="Calibri" w:eastAsia="Calibri" w:hAnsi="Calibri"/>
                <w:sz w:val="18"/>
                <w:szCs w:val="18"/>
                <w:color w:val="auto"/>
              </w:rPr>
              <w:t>Exhibit 101.INS*</w:t>
            </w:r>
          </w:p>
        </w:tc>
        <w:tc>
          <w:tcPr>
            <w:tcW w:w="140" w:type="dxa"/>
            <w:vAlign w:val="bottom"/>
          </w:tcPr>
          <w:p>
            <w:pPr>
              <w:spacing w:after="0"/>
              <w:rPr>
                <w:sz w:val="24"/>
                <w:szCs w:val="24"/>
                <w:color w:val="auto"/>
              </w:rPr>
            </w:pPr>
          </w:p>
        </w:tc>
        <w:tc>
          <w:tcPr>
            <w:tcW w:w="9400" w:type="dxa"/>
            <w:vAlign w:val="bottom"/>
            <w:gridSpan w:val="11"/>
          </w:tcPr>
          <w:p>
            <w:pPr>
              <w:spacing w:after="0"/>
              <w:rPr>
                <w:sz w:val="20"/>
                <w:szCs w:val="20"/>
                <w:color w:val="auto"/>
              </w:rPr>
            </w:pPr>
            <w:r>
              <w:rPr>
                <w:rFonts w:ascii="Calibri" w:cs="Calibri" w:eastAsia="Calibri" w:hAnsi="Calibri"/>
                <w:sz w:val="18"/>
                <w:szCs w:val="18"/>
                <w:color w:val="auto"/>
              </w:rPr>
              <w:t>Inline XBRL Instance Document – the instance document does not appear in the Interactve Data File because its XBRL tags are</w:t>
            </w:r>
          </w:p>
        </w:tc>
      </w:tr>
      <w:tr>
        <w:trPr>
          <w:trHeight w:val="216"/>
        </w:trPr>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0" w:type="dxa"/>
            <w:vAlign w:val="bottom"/>
            <w:gridSpan w:val="11"/>
          </w:tcPr>
          <w:p>
            <w:pPr>
              <w:spacing w:after="0" w:line="216" w:lineRule="exact"/>
              <w:rPr>
                <w:sz w:val="20"/>
                <w:szCs w:val="20"/>
                <w:color w:val="auto"/>
              </w:rPr>
            </w:pPr>
            <w:r>
              <w:rPr>
                <w:rFonts w:ascii="Calibri" w:cs="Calibri" w:eastAsia="Calibri" w:hAnsi="Calibri"/>
                <w:sz w:val="18"/>
                <w:szCs w:val="18"/>
                <w:color w:val="auto"/>
              </w:rPr>
              <w:t>embedded within the Inline XBRL document.</w:t>
            </w:r>
          </w:p>
        </w:tc>
      </w:tr>
      <w:tr>
        <w:trPr>
          <w:trHeight w:val="405"/>
        </w:trPr>
        <w:tc>
          <w:tcPr>
            <w:tcW w:w="1700" w:type="dxa"/>
            <w:vAlign w:val="bottom"/>
          </w:tcPr>
          <w:p>
            <w:pPr>
              <w:ind w:left="20"/>
              <w:spacing w:after="0"/>
              <w:rPr>
                <w:sz w:val="20"/>
                <w:szCs w:val="20"/>
                <w:color w:val="auto"/>
              </w:rPr>
            </w:pPr>
            <w:r>
              <w:rPr>
                <w:rFonts w:ascii="Calibri" w:cs="Calibri" w:eastAsia="Calibri" w:hAnsi="Calibri"/>
                <w:sz w:val="18"/>
                <w:szCs w:val="18"/>
                <w:color w:val="auto"/>
              </w:rPr>
              <w:t>Exhibit 101.SCH*</w:t>
            </w:r>
          </w:p>
        </w:tc>
        <w:tc>
          <w:tcPr>
            <w:tcW w:w="140" w:type="dxa"/>
            <w:vAlign w:val="bottom"/>
          </w:tcPr>
          <w:p>
            <w:pPr>
              <w:spacing w:after="0"/>
              <w:rPr>
                <w:sz w:val="24"/>
                <w:szCs w:val="24"/>
                <w:color w:val="auto"/>
              </w:rPr>
            </w:pPr>
          </w:p>
        </w:tc>
        <w:tc>
          <w:tcPr>
            <w:tcW w:w="9400" w:type="dxa"/>
            <w:vAlign w:val="bottom"/>
            <w:gridSpan w:val="11"/>
          </w:tcPr>
          <w:p>
            <w:pPr>
              <w:spacing w:after="0"/>
              <w:rPr>
                <w:sz w:val="20"/>
                <w:szCs w:val="20"/>
                <w:color w:val="auto"/>
              </w:rPr>
            </w:pPr>
            <w:r>
              <w:rPr>
                <w:rFonts w:ascii="Calibri" w:cs="Calibri" w:eastAsia="Calibri" w:hAnsi="Calibri"/>
                <w:sz w:val="18"/>
                <w:szCs w:val="18"/>
                <w:color w:val="auto"/>
              </w:rPr>
              <w:t>Inline XBRL Taxonomy Extension Schema With Embedded Linkbase Document.</w:t>
            </w:r>
          </w:p>
        </w:tc>
      </w:tr>
      <w:tr>
        <w:trPr>
          <w:trHeight w:val="405"/>
        </w:trPr>
        <w:tc>
          <w:tcPr>
            <w:tcW w:w="1700" w:type="dxa"/>
            <w:vAlign w:val="bottom"/>
          </w:tcPr>
          <w:p>
            <w:pPr>
              <w:ind w:left="20"/>
              <w:spacing w:after="0"/>
              <w:rPr>
                <w:sz w:val="20"/>
                <w:szCs w:val="20"/>
                <w:color w:val="auto"/>
              </w:rPr>
            </w:pPr>
            <w:r>
              <w:rPr>
                <w:rFonts w:ascii="Calibri" w:cs="Calibri" w:eastAsia="Calibri" w:hAnsi="Calibri"/>
                <w:sz w:val="18"/>
                <w:szCs w:val="18"/>
                <w:color w:val="auto"/>
              </w:rPr>
              <w:t>Exhibit 104*</w:t>
            </w:r>
          </w:p>
        </w:tc>
        <w:tc>
          <w:tcPr>
            <w:tcW w:w="140" w:type="dxa"/>
            <w:vAlign w:val="bottom"/>
          </w:tcPr>
          <w:p>
            <w:pPr>
              <w:spacing w:after="0"/>
              <w:rPr>
                <w:sz w:val="24"/>
                <w:szCs w:val="24"/>
                <w:color w:val="auto"/>
              </w:rPr>
            </w:pPr>
          </w:p>
        </w:tc>
        <w:tc>
          <w:tcPr>
            <w:tcW w:w="9400" w:type="dxa"/>
            <w:vAlign w:val="bottom"/>
            <w:gridSpan w:val="11"/>
          </w:tcPr>
          <w:p>
            <w:pPr>
              <w:spacing w:after="0"/>
              <w:rPr>
                <w:sz w:val="20"/>
                <w:szCs w:val="20"/>
                <w:color w:val="auto"/>
              </w:rPr>
            </w:pPr>
            <w:r>
              <w:rPr>
                <w:rFonts w:ascii="Calibri" w:cs="Calibri" w:eastAsia="Calibri" w:hAnsi="Calibri"/>
                <w:sz w:val="18"/>
                <w:szCs w:val="18"/>
                <w:color w:val="auto"/>
                <w:w w:val="98"/>
              </w:rPr>
              <w:t>The cover page from the Company’s Quarterly Report on Form 10-Q for the quarter ended December 31, 2023, formated in Inline</w:t>
            </w:r>
          </w:p>
        </w:tc>
      </w:tr>
      <w:tr>
        <w:trPr>
          <w:trHeight w:val="216"/>
        </w:trPr>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0" w:type="dxa"/>
            <w:vAlign w:val="bottom"/>
            <w:gridSpan w:val="11"/>
          </w:tcPr>
          <w:p>
            <w:pPr>
              <w:spacing w:after="0" w:line="216" w:lineRule="exact"/>
              <w:rPr>
                <w:sz w:val="20"/>
                <w:szCs w:val="20"/>
                <w:color w:val="auto"/>
              </w:rPr>
            </w:pPr>
            <w:r>
              <w:rPr>
                <w:rFonts w:ascii="Calibri" w:cs="Calibri" w:eastAsia="Calibri" w:hAnsi="Calibri"/>
                <w:sz w:val="18"/>
                <w:szCs w:val="18"/>
                <w:color w:val="auto"/>
              </w:rPr>
              <w:t>XBRL (included in Exhibit 101).</w:t>
            </w:r>
          </w:p>
        </w:tc>
      </w:tr>
      <w:tr>
        <w:trPr>
          <w:trHeight w:val="172"/>
        </w:trPr>
        <w:tc>
          <w:tcPr>
            <w:tcW w:w="1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78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3"/>
        </w:trPr>
        <w:tc>
          <w:tcPr>
            <w:tcW w:w="1700" w:type="dxa"/>
            <w:vAlign w:val="bottom"/>
          </w:tcPr>
          <w:p>
            <w:pPr>
              <w:spacing w:after="0" w:line="213" w:lineRule="exact"/>
              <w:rPr>
                <w:sz w:val="20"/>
                <w:szCs w:val="20"/>
                <w:color w:val="auto"/>
              </w:rPr>
            </w:pPr>
            <w:r>
              <w:rPr>
                <w:rFonts w:ascii="Calibri" w:cs="Calibri" w:eastAsia="Calibri" w:hAnsi="Calibri"/>
                <w:sz w:val="18"/>
                <w:szCs w:val="18"/>
                <w:color w:val="auto"/>
              </w:rPr>
              <w:t>* Filed herewith.</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7"/>
        </w:trPr>
        <w:tc>
          <w:tcPr>
            <w:tcW w:w="1700" w:type="dxa"/>
            <w:vAlign w:val="bottom"/>
          </w:tcPr>
          <w:p>
            <w:pPr>
              <w:spacing w:after="0"/>
              <w:rPr>
                <w:sz w:val="20"/>
                <w:szCs w:val="20"/>
                <w:color w:val="auto"/>
              </w:rPr>
            </w:pPr>
            <w:r>
              <w:rPr>
                <w:rFonts w:ascii="Calibri" w:cs="Calibri" w:eastAsia="Calibri" w:hAnsi="Calibri"/>
                <w:sz w:val="18"/>
                <w:szCs w:val="18"/>
                <w:color w:val="auto"/>
                <w:w w:val="99"/>
              </w:rPr>
              <w:t>** Furnished herewith.</w:t>
            </w: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415"/>
        </w:trPr>
        <w:tc>
          <w:tcPr>
            <w:tcW w:w="1700" w:type="dxa"/>
            <w:vAlign w:val="bottom"/>
          </w:tcPr>
          <w:p>
            <w:pPr>
              <w:spacing w:after="0"/>
              <w:rPr>
                <w:sz w:val="24"/>
                <w:szCs w:val="24"/>
                <w:color w:val="auto"/>
              </w:rPr>
            </w:pPr>
          </w:p>
        </w:tc>
        <w:tc>
          <w:tcPr>
            <w:tcW w:w="6320" w:type="dxa"/>
            <w:vAlign w:val="bottom"/>
            <w:gridSpan w:val="4"/>
          </w:tcPr>
          <w:p>
            <w:pPr>
              <w:jc w:val="right"/>
              <w:ind w:right="2228"/>
              <w:spacing w:after="0"/>
              <w:rPr>
                <w:sz w:val="20"/>
                <w:szCs w:val="20"/>
                <w:color w:val="auto"/>
              </w:rPr>
            </w:pPr>
            <w:r>
              <w:rPr>
                <w:rFonts w:ascii="Times New Roman" w:cs="Times New Roman" w:eastAsia="Times New Roman" w:hAnsi="Times New Roman"/>
                <w:sz w:val="18"/>
                <w:szCs w:val="18"/>
                <w:color w:val="auto"/>
              </w:rPr>
              <w:t>27</w:t>
            </w: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55"/>
        </w:trPr>
        <w:tc>
          <w:tcPr>
            <w:tcW w:w="17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7" w:name="page28"/>
    <w:bookmarkEnd w:id="27"/>
    <w:p>
      <w:pPr>
        <w:jc w:val="center"/>
        <w:ind w:right="-379"/>
        <w:spacing w:after="0"/>
        <w:rPr>
          <w:sz w:val="20"/>
          <w:szCs w:val="20"/>
          <w:color w:val="auto"/>
        </w:rPr>
      </w:pPr>
      <w:r>
        <w:rPr>
          <w:rFonts w:ascii="Calibri" w:cs="Calibri" w:eastAsia="Calibri" w:hAnsi="Calibri"/>
          <w:sz w:val="18"/>
          <w:szCs w:val="18"/>
          <w:b w:val="1"/>
          <w:bCs w:val="1"/>
          <w:color w:val="auto"/>
        </w:rPr>
        <w:t>SIGNATURES</w:t>
      </w:r>
    </w:p>
    <w:p>
      <w:pPr>
        <w:spacing w:after="0" w:line="163"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Pursuant to the requirements of the Securites Exchange Act of 1934, the registrant has duly caused this report to be signed on its behalf by the undersigned thereunto duly authorized.</w:t>
      </w:r>
    </w:p>
    <w:p>
      <w:pPr>
        <w:spacing w:after="0" w:line="118" w:lineRule="exact"/>
        <w:rPr>
          <w:sz w:val="20"/>
          <w:szCs w:val="20"/>
          <w:color w:val="auto"/>
        </w:rPr>
      </w:pPr>
    </w:p>
    <w:p>
      <w:pPr>
        <w:ind w:left="6440"/>
        <w:spacing w:after="0"/>
        <w:rPr>
          <w:sz w:val="20"/>
          <w:szCs w:val="20"/>
          <w:color w:val="auto"/>
        </w:rPr>
      </w:pPr>
      <w:r>
        <w:rPr>
          <w:rFonts w:ascii="Calibri" w:cs="Calibri" w:eastAsia="Calibri" w:hAnsi="Calibri"/>
          <w:sz w:val="18"/>
          <w:szCs w:val="18"/>
          <w:color w:val="auto"/>
        </w:rPr>
        <w:t>CABOT CORPORATION</w:t>
      </w:r>
    </w:p>
    <w:p>
      <w:pPr>
        <w:spacing w:after="0" w:line="320" w:lineRule="exact"/>
        <w:rPr>
          <w:sz w:val="20"/>
          <w:szCs w:val="20"/>
          <w:color w:val="auto"/>
        </w:rPr>
      </w:pPr>
    </w:p>
    <w:p>
      <w:pPr>
        <w:ind w:left="20"/>
        <w:spacing w:after="0"/>
        <w:tabs>
          <w:tab w:leader="none" w:pos="6420" w:val="left"/>
          <w:tab w:leader="none" w:pos="8200" w:val="left"/>
        </w:tabs>
        <w:rPr>
          <w:sz w:val="20"/>
          <w:szCs w:val="20"/>
          <w:color w:val="auto"/>
        </w:rPr>
      </w:pPr>
      <w:r>
        <w:rPr>
          <w:rFonts w:ascii="Calibri" w:cs="Calibri" w:eastAsia="Calibri" w:hAnsi="Calibri"/>
          <w:sz w:val="18"/>
          <w:szCs w:val="18"/>
          <w:color w:val="auto"/>
        </w:rPr>
        <w:t>Date: February 8, 2024</w:t>
      </w:r>
      <w:r>
        <w:rPr>
          <w:sz w:val="20"/>
          <w:szCs w:val="20"/>
          <w:color w:val="auto"/>
        </w:rPr>
        <w:tab/>
      </w:r>
      <w:r>
        <w:rPr>
          <w:rFonts w:ascii="Calibri" w:cs="Calibri" w:eastAsia="Calibri" w:hAnsi="Calibri"/>
          <w:sz w:val="18"/>
          <w:szCs w:val="18"/>
          <w:color w:val="auto"/>
        </w:rPr>
        <w:t>By:</w:t>
      </w:r>
      <w:r>
        <w:rPr>
          <w:sz w:val="20"/>
          <w:szCs w:val="20"/>
          <w:color w:val="auto"/>
        </w:rPr>
        <w:tab/>
      </w:r>
      <w:r>
        <w:rPr>
          <w:rFonts w:ascii="Calibri" w:cs="Calibri" w:eastAsia="Calibri" w:hAnsi="Calibri"/>
          <w:sz w:val="18"/>
          <w:szCs w:val="18"/>
          <w:color w:val="auto"/>
        </w:rPr>
        <w:t>/s/ Erica McLaughlin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23495</wp:posOffset>
            </wp:positionV>
            <wp:extent cx="28371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4">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17" w:lineRule="exact"/>
        <w:rPr>
          <w:sz w:val="20"/>
          <w:szCs w:val="20"/>
          <w:color w:val="auto"/>
        </w:rPr>
      </w:pPr>
    </w:p>
    <w:p>
      <w:pPr>
        <w:jc w:val="center"/>
        <w:ind w:left="6760"/>
        <w:spacing w:after="0"/>
        <w:rPr>
          <w:sz w:val="20"/>
          <w:szCs w:val="20"/>
          <w:color w:val="auto"/>
        </w:rPr>
      </w:pPr>
      <w:r>
        <w:rPr>
          <w:rFonts w:ascii="Calibri" w:cs="Calibri" w:eastAsia="Calibri" w:hAnsi="Calibri"/>
          <w:sz w:val="18"/>
          <w:szCs w:val="18"/>
          <w:b w:val="1"/>
          <w:bCs w:val="1"/>
          <w:color w:val="auto"/>
        </w:rPr>
        <w:t>Erica McLaughlin</w:t>
      </w:r>
    </w:p>
    <w:p>
      <w:pPr>
        <w:spacing w:after="0" w:line="23" w:lineRule="exact"/>
        <w:rPr>
          <w:sz w:val="20"/>
          <w:szCs w:val="20"/>
          <w:color w:val="auto"/>
        </w:rPr>
      </w:pPr>
    </w:p>
    <w:p>
      <w:pPr>
        <w:jc w:val="center"/>
        <w:ind w:left="6760"/>
        <w:spacing w:after="0"/>
        <w:rPr>
          <w:sz w:val="20"/>
          <w:szCs w:val="20"/>
          <w:color w:val="auto"/>
        </w:rPr>
      </w:pPr>
      <w:r>
        <w:rPr>
          <w:rFonts w:ascii="Calibri" w:cs="Calibri" w:eastAsia="Calibri" w:hAnsi="Calibri"/>
          <w:sz w:val="18"/>
          <w:szCs w:val="18"/>
          <w:b w:val="1"/>
          <w:bCs w:val="1"/>
          <w:color w:val="auto"/>
        </w:rPr>
        <w:t>Executve Vice President and Chief Financial Ofcer</w:t>
      </w:r>
    </w:p>
    <w:p>
      <w:pPr>
        <w:spacing w:after="0" w:line="23" w:lineRule="exact"/>
        <w:rPr>
          <w:sz w:val="20"/>
          <w:szCs w:val="20"/>
          <w:color w:val="auto"/>
        </w:rPr>
      </w:pPr>
    </w:p>
    <w:p>
      <w:pPr>
        <w:jc w:val="center"/>
        <w:ind w:left="6760"/>
        <w:spacing w:after="0"/>
        <w:rPr>
          <w:sz w:val="20"/>
          <w:szCs w:val="20"/>
          <w:color w:val="auto"/>
        </w:rPr>
      </w:pPr>
      <w:r>
        <w:rPr>
          <w:rFonts w:ascii="Calibri" w:cs="Calibri" w:eastAsia="Calibri" w:hAnsi="Calibri"/>
          <w:sz w:val="18"/>
          <w:szCs w:val="18"/>
          <w:b w:val="1"/>
          <w:bCs w:val="1"/>
          <w:color w:val="auto"/>
        </w:rPr>
        <w:t>(Duly Authorized Ofcer)</w:t>
      </w: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6420" w:val="left"/>
          <w:tab w:leader="none" w:pos="8280" w:val="left"/>
        </w:tabs>
        <w:rPr>
          <w:sz w:val="20"/>
          <w:szCs w:val="20"/>
          <w:color w:val="auto"/>
        </w:rPr>
      </w:pPr>
      <w:r>
        <w:rPr>
          <w:rFonts w:ascii="Calibri" w:cs="Calibri" w:eastAsia="Calibri" w:hAnsi="Calibri"/>
          <w:sz w:val="18"/>
          <w:szCs w:val="18"/>
          <w:color w:val="auto"/>
        </w:rPr>
        <w:t>Date: February 8, 2024</w:t>
      </w:r>
      <w:r>
        <w:rPr>
          <w:sz w:val="20"/>
          <w:szCs w:val="20"/>
          <w:color w:val="auto"/>
        </w:rPr>
        <w:tab/>
      </w:r>
      <w:r>
        <w:rPr>
          <w:rFonts w:ascii="Calibri" w:cs="Calibri" w:eastAsia="Calibri" w:hAnsi="Calibri"/>
          <w:sz w:val="18"/>
          <w:szCs w:val="18"/>
          <w:color w:val="auto"/>
        </w:rPr>
        <w:t>By:</w:t>
      </w:r>
      <w:r>
        <w:rPr>
          <w:sz w:val="20"/>
          <w:szCs w:val="20"/>
          <w:color w:val="auto"/>
        </w:rPr>
        <w:tab/>
      </w:r>
      <w:r>
        <w:rPr>
          <w:rFonts w:ascii="Calibri" w:cs="Calibri" w:eastAsia="Calibri" w:hAnsi="Calibri"/>
          <w:sz w:val="18"/>
          <w:szCs w:val="18"/>
          <w:color w:val="auto"/>
        </w:rPr>
        <w:t>/s/ Lisa m. Dumont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23495</wp:posOffset>
            </wp:positionV>
            <wp:extent cx="28371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5">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17" w:lineRule="exact"/>
        <w:rPr>
          <w:sz w:val="20"/>
          <w:szCs w:val="20"/>
          <w:color w:val="auto"/>
        </w:rPr>
      </w:pPr>
    </w:p>
    <w:p>
      <w:pPr>
        <w:ind w:left="8440"/>
        <w:spacing w:after="0"/>
        <w:rPr>
          <w:sz w:val="20"/>
          <w:szCs w:val="20"/>
          <w:color w:val="auto"/>
        </w:rPr>
      </w:pPr>
      <w:r>
        <w:rPr>
          <w:rFonts w:ascii="Calibri" w:cs="Calibri" w:eastAsia="Calibri" w:hAnsi="Calibri"/>
          <w:sz w:val="18"/>
          <w:szCs w:val="18"/>
          <w:b w:val="1"/>
          <w:bCs w:val="1"/>
          <w:color w:val="auto"/>
        </w:rPr>
        <w:t>Lisa M. Dumont</w:t>
      </w:r>
    </w:p>
    <w:p>
      <w:pPr>
        <w:spacing w:after="0" w:line="23" w:lineRule="exact"/>
        <w:rPr>
          <w:sz w:val="20"/>
          <w:szCs w:val="20"/>
          <w:color w:val="auto"/>
        </w:rPr>
      </w:pPr>
    </w:p>
    <w:p>
      <w:pPr>
        <w:ind w:left="7940"/>
        <w:spacing w:after="0"/>
        <w:rPr>
          <w:sz w:val="20"/>
          <w:szCs w:val="20"/>
          <w:color w:val="auto"/>
        </w:rPr>
      </w:pPr>
      <w:r>
        <w:rPr>
          <w:rFonts w:ascii="Calibri" w:cs="Calibri" w:eastAsia="Calibri" w:hAnsi="Calibri"/>
          <w:sz w:val="18"/>
          <w:szCs w:val="18"/>
          <w:b w:val="1"/>
          <w:bCs w:val="1"/>
          <w:color w:val="auto"/>
        </w:rPr>
        <w:t>Vice President and Controller</w:t>
      </w:r>
    </w:p>
    <w:p>
      <w:pPr>
        <w:ind w:left="8080"/>
        <w:spacing w:after="0" w:line="235" w:lineRule="auto"/>
        <w:rPr>
          <w:sz w:val="20"/>
          <w:szCs w:val="20"/>
          <w:color w:val="auto"/>
        </w:rPr>
      </w:pPr>
      <w:r>
        <w:rPr>
          <w:rFonts w:ascii="Calibri" w:cs="Calibri" w:eastAsia="Calibri" w:hAnsi="Calibri"/>
          <w:sz w:val="18"/>
          <w:szCs w:val="18"/>
          <w:b w:val="1"/>
          <w:bCs w:val="1"/>
          <w:color w:val="auto"/>
        </w:rPr>
        <w:t>(Chief Accountng Ofcer)</w:t>
      </w:r>
    </w:p>
    <w:p>
      <w:pPr>
        <w:spacing w:after="0" w:line="200" w:lineRule="exact"/>
        <w:rPr>
          <w:sz w:val="20"/>
          <w:szCs w:val="20"/>
          <w:color w:val="auto"/>
        </w:rPr>
      </w:pPr>
    </w:p>
    <w:p>
      <w:pPr>
        <w:spacing w:after="0" w:line="21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415925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328" w:right="719" w:bottom="1440" w:gutter="0" w:footer="0" w:header="0"/>
        </w:sectPr>
      </w:pPr>
    </w:p>
    <w:bookmarkStart w:id="28" w:name="page29"/>
    <w:bookmarkEnd w:id="28"/>
    <w:p>
      <w:pPr>
        <w:jc w:val="right"/>
        <w:spacing w:after="0"/>
        <w:rPr>
          <w:sz w:val="20"/>
          <w:szCs w:val="20"/>
          <w:color w:val="auto"/>
        </w:rPr>
      </w:pPr>
      <w:r>
        <w:rPr>
          <w:rFonts w:ascii="Calibri" w:cs="Calibri" w:eastAsia="Calibri" w:hAnsi="Calibri"/>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Principal Executve Ofcer Certfcaton</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I, Sean D. Keohane, certfy that:</w:t>
      </w:r>
    </w:p>
    <w:p>
      <w:pPr>
        <w:spacing w:after="0" w:line="104" w:lineRule="exact"/>
        <w:rPr>
          <w:sz w:val="20"/>
          <w:szCs w:val="20"/>
          <w:color w:val="auto"/>
        </w:rPr>
      </w:pPr>
    </w:p>
    <w:p>
      <w:pPr>
        <w:ind w:left="520" w:hanging="512"/>
        <w:spacing w:after="0"/>
        <w:tabs>
          <w:tab w:leader="none" w:pos="520" w:val="left"/>
        </w:tabs>
        <w:numPr>
          <w:ilvl w:val="0"/>
          <w:numId w:val="12"/>
        </w:numPr>
        <w:rPr>
          <w:rFonts w:ascii="Calibri" w:cs="Calibri" w:eastAsia="Calibri" w:hAnsi="Calibri"/>
          <w:sz w:val="18"/>
          <w:szCs w:val="18"/>
          <w:color w:val="auto"/>
        </w:rPr>
      </w:pPr>
      <w:r>
        <w:rPr>
          <w:rFonts w:ascii="Calibri" w:cs="Calibri" w:eastAsia="Calibri" w:hAnsi="Calibri"/>
          <w:sz w:val="18"/>
          <w:szCs w:val="18"/>
          <w:color w:val="auto"/>
        </w:rPr>
        <w:t>I have reviewed this quarterly report on Form 10-Q of Cabot Corporaton;</w:t>
      </w:r>
    </w:p>
    <w:p>
      <w:pPr>
        <w:spacing w:after="0" w:line="109" w:lineRule="exact"/>
        <w:rPr>
          <w:rFonts w:ascii="Calibri" w:cs="Calibri" w:eastAsia="Calibri" w:hAnsi="Calibri"/>
          <w:sz w:val="18"/>
          <w:szCs w:val="18"/>
          <w:color w:val="auto"/>
        </w:rPr>
      </w:pPr>
    </w:p>
    <w:p>
      <w:pPr>
        <w:jc w:val="both"/>
        <w:ind w:left="520" w:right="260" w:hanging="512"/>
        <w:spacing w:after="0" w:line="235" w:lineRule="auto"/>
        <w:tabs>
          <w:tab w:leader="none" w:pos="520" w:val="left"/>
        </w:tabs>
        <w:numPr>
          <w:ilvl w:val="0"/>
          <w:numId w:val="12"/>
        </w:numPr>
        <w:rPr>
          <w:rFonts w:ascii="Calibri" w:cs="Calibri" w:eastAsia="Calibri" w:hAnsi="Calibri"/>
          <w:sz w:val="18"/>
          <w:szCs w:val="18"/>
          <w:color w:val="auto"/>
        </w:rPr>
      </w:pPr>
      <w:r>
        <w:rPr>
          <w:rFonts w:ascii="Calibri" w:cs="Calibri" w:eastAsia="Calibri" w:hAnsi="Calibri"/>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Calibri" w:cs="Calibri" w:eastAsia="Calibri" w:hAnsi="Calibri"/>
          <w:sz w:val="18"/>
          <w:szCs w:val="18"/>
          <w:color w:val="auto"/>
        </w:rPr>
      </w:pPr>
    </w:p>
    <w:p>
      <w:pPr>
        <w:ind w:left="520" w:right="340" w:hanging="512"/>
        <w:spacing w:after="0" w:line="235" w:lineRule="auto"/>
        <w:tabs>
          <w:tab w:leader="none" w:pos="520" w:val="left"/>
        </w:tabs>
        <w:numPr>
          <w:ilvl w:val="0"/>
          <w:numId w:val="12"/>
        </w:numPr>
        <w:rPr>
          <w:rFonts w:ascii="Calibri" w:cs="Calibri" w:eastAsia="Calibri" w:hAnsi="Calibri"/>
          <w:sz w:val="18"/>
          <w:szCs w:val="18"/>
          <w:color w:val="auto"/>
        </w:rPr>
      </w:pPr>
      <w:r>
        <w:rPr>
          <w:rFonts w:ascii="Calibri" w:cs="Calibri" w:eastAsia="Calibri" w:hAnsi="Calibri"/>
          <w:sz w:val="18"/>
          <w:szCs w:val="18"/>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109" w:lineRule="exact"/>
        <w:rPr>
          <w:rFonts w:ascii="Calibri" w:cs="Calibri" w:eastAsia="Calibri" w:hAnsi="Calibri"/>
          <w:sz w:val="18"/>
          <w:szCs w:val="18"/>
          <w:color w:val="auto"/>
        </w:rPr>
      </w:pPr>
    </w:p>
    <w:p>
      <w:pPr>
        <w:ind w:left="520" w:right="220" w:hanging="512"/>
        <w:spacing w:after="0" w:line="235" w:lineRule="auto"/>
        <w:tabs>
          <w:tab w:leader="none" w:pos="520" w:val="left"/>
        </w:tabs>
        <w:numPr>
          <w:ilvl w:val="0"/>
          <w:numId w:val="12"/>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ofcer(s)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110" w:lineRule="exact"/>
        <w:rPr>
          <w:rFonts w:ascii="Calibri" w:cs="Calibri" w:eastAsia="Calibri" w:hAnsi="Calibri"/>
          <w:sz w:val="18"/>
          <w:szCs w:val="18"/>
          <w:color w:val="auto"/>
        </w:rPr>
      </w:pPr>
    </w:p>
    <w:p>
      <w:pPr>
        <w:ind w:left="1020" w:right="80" w:hanging="503"/>
        <w:spacing w:after="0" w:line="235" w:lineRule="auto"/>
        <w:tabs>
          <w:tab w:leader="none" w:pos="1020" w:val="left"/>
        </w:tabs>
        <w:numPr>
          <w:ilvl w:val="1"/>
          <w:numId w:val="12"/>
        </w:numPr>
        <w:rPr>
          <w:rFonts w:ascii="Calibri" w:cs="Calibri" w:eastAsia="Calibri" w:hAnsi="Calibri"/>
          <w:sz w:val="18"/>
          <w:szCs w:val="18"/>
          <w:color w:val="auto"/>
        </w:rPr>
      </w:pPr>
      <w:r>
        <w:rPr>
          <w:rFonts w:ascii="Calibri" w:cs="Calibri" w:eastAsia="Calibri" w:hAnsi="Calibri"/>
          <w:sz w:val="18"/>
          <w:szCs w:val="18"/>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110" w:lineRule="exact"/>
        <w:rPr>
          <w:rFonts w:ascii="Calibri" w:cs="Calibri" w:eastAsia="Calibri" w:hAnsi="Calibri"/>
          <w:sz w:val="18"/>
          <w:szCs w:val="18"/>
          <w:color w:val="auto"/>
        </w:rPr>
      </w:pPr>
    </w:p>
    <w:p>
      <w:pPr>
        <w:ind w:left="1020" w:right="420" w:hanging="503"/>
        <w:spacing w:after="0" w:line="235" w:lineRule="auto"/>
        <w:tabs>
          <w:tab w:leader="none" w:pos="1020" w:val="left"/>
        </w:tabs>
        <w:numPr>
          <w:ilvl w:val="1"/>
          <w:numId w:val="12"/>
        </w:numPr>
        <w:rPr>
          <w:rFonts w:ascii="Calibri" w:cs="Calibri" w:eastAsia="Calibri" w:hAnsi="Calibri"/>
          <w:sz w:val="18"/>
          <w:szCs w:val="18"/>
          <w:color w:val="auto"/>
        </w:rPr>
      </w:pPr>
      <w:r>
        <w:rPr>
          <w:rFonts w:ascii="Calibri" w:cs="Calibri" w:eastAsia="Calibri" w:hAnsi="Calibri"/>
          <w:sz w:val="18"/>
          <w:szCs w:val="18"/>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110" w:lineRule="exact"/>
        <w:rPr>
          <w:rFonts w:ascii="Calibri" w:cs="Calibri" w:eastAsia="Calibri" w:hAnsi="Calibri"/>
          <w:sz w:val="18"/>
          <w:szCs w:val="18"/>
          <w:color w:val="auto"/>
        </w:rPr>
      </w:pPr>
    </w:p>
    <w:p>
      <w:pPr>
        <w:jc w:val="both"/>
        <w:ind w:left="1020" w:right="520" w:hanging="503"/>
        <w:spacing w:after="0" w:line="258" w:lineRule="auto"/>
        <w:tabs>
          <w:tab w:leader="none" w:pos="1020" w:val="left"/>
        </w:tabs>
        <w:numPr>
          <w:ilvl w:val="1"/>
          <w:numId w:val="12"/>
        </w:numPr>
        <w:rPr>
          <w:rFonts w:ascii="Calibri" w:cs="Calibri" w:eastAsia="Calibri" w:hAnsi="Calibri"/>
          <w:sz w:val="17"/>
          <w:szCs w:val="17"/>
          <w:color w:val="auto"/>
        </w:rPr>
      </w:pPr>
      <w:r>
        <w:rPr>
          <w:rFonts w:ascii="Calibri" w:cs="Calibri" w:eastAsia="Calibri" w:hAnsi="Calibri"/>
          <w:sz w:val="17"/>
          <w:szCs w:val="17"/>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93" w:lineRule="exact"/>
        <w:rPr>
          <w:rFonts w:ascii="Calibri" w:cs="Calibri" w:eastAsia="Calibri" w:hAnsi="Calibri"/>
          <w:sz w:val="17"/>
          <w:szCs w:val="17"/>
          <w:color w:val="auto"/>
        </w:rPr>
      </w:pPr>
    </w:p>
    <w:p>
      <w:pPr>
        <w:ind w:left="1020" w:right="120" w:hanging="503"/>
        <w:spacing w:after="0" w:line="235" w:lineRule="auto"/>
        <w:tabs>
          <w:tab w:leader="none" w:pos="1020" w:val="left"/>
        </w:tabs>
        <w:numPr>
          <w:ilvl w:val="1"/>
          <w:numId w:val="12"/>
        </w:numPr>
        <w:rPr>
          <w:rFonts w:ascii="Calibri" w:cs="Calibri" w:eastAsia="Calibri" w:hAnsi="Calibri"/>
          <w:sz w:val="18"/>
          <w:szCs w:val="18"/>
          <w:color w:val="auto"/>
        </w:rPr>
      </w:pPr>
      <w:r>
        <w:rPr>
          <w:rFonts w:ascii="Calibri" w:cs="Calibri" w:eastAsia="Calibri" w:hAnsi="Calibri"/>
          <w:sz w:val="18"/>
          <w:szCs w:val="18"/>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110" w:lineRule="exact"/>
        <w:rPr>
          <w:rFonts w:ascii="Calibri" w:cs="Calibri" w:eastAsia="Calibri" w:hAnsi="Calibri"/>
          <w:sz w:val="18"/>
          <w:szCs w:val="18"/>
          <w:color w:val="auto"/>
        </w:rPr>
      </w:pPr>
    </w:p>
    <w:p>
      <w:pPr>
        <w:ind w:left="520" w:right="100" w:hanging="512"/>
        <w:spacing w:after="0" w:line="235" w:lineRule="auto"/>
        <w:tabs>
          <w:tab w:leader="none" w:pos="520" w:val="left"/>
        </w:tabs>
        <w:numPr>
          <w:ilvl w:val="0"/>
          <w:numId w:val="12"/>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ofcer(s) and I have disclosed, based on our most recent evaluaton of internal control over fnancial reportng, to the registrant’s auditors and the audit commitee of the registrant’s board of directors (or persons performing the equivalent functons):</w:t>
      </w:r>
    </w:p>
    <w:p>
      <w:pPr>
        <w:spacing w:after="0" w:line="109" w:lineRule="exact"/>
        <w:rPr>
          <w:rFonts w:ascii="Calibri" w:cs="Calibri" w:eastAsia="Calibri" w:hAnsi="Calibri"/>
          <w:sz w:val="18"/>
          <w:szCs w:val="18"/>
          <w:color w:val="auto"/>
        </w:rPr>
      </w:pPr>
    </w:p>
    <w:p>
      <w:pPr>
        <w:ind w:left="1020" w:right="120" w:hanging="503"/>
        <w:spacing w:after="0" w:line="235" w:lineRule="auto"/>
        <w:tabs>
          <w:tab w:leader="none" w:pos="1020" w:val="left"/>
        </w:tabs>
        <w:numPr>
          <w:ilvl w:val="1"/>
          <w:numId w:val="12"/>
        </w:numPr>
        <w:rPr>
          <w:rFonts w:ascii="Calibri" w:cs="Calibri" w:eastAsia="Calibri" w:hAnsi="Calibri"/>
          <w:sz w:val="18"/>
          <w:szCs w:val="18"/>
          <w:color w:val="auto"/>
        </w:rPr>
      </w:pPr>
      <w:r>
        <w:rPr>
          <w:rFonts w:ascii="Calibri" w:cs="Calibri" w:eastAsia="Calibri" w:hAnsi="Calibri"/>
          <w:sz w:val="18"/>
          <w:szCs w:val="18"/>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109" w:lineRule="exact"/>
        <w:rPr>
          <w:rFonts w:ascii="Calibri" w:cs="Calibri" w:eastAsia="Calibri" w:hAnsi="Calibri"/>
          <w:sz w:val="18"/>
          <w:szCs w:val="18"/>
          <w:color w:val="auto"/>
        </w:rPr>
      </w:pPr>
    </w:p>
    <w:p>
      <w:pPr>
        <w:ind w:left="1020" w:right="520" w:hanging="503"/>
        <w:spacing w:after="0" w:line="235" w:lineRule="auto"/>
        <w:tabs>
          <w:tab w:leader="none" w:pos="1020" w:val="left"/>
        </w:tabs>
        <w:numPr>
          <w:ilvl w:val="1"/>
          <w:numId w:val="12"/>
        </w:numPr>
        <w:rPr>
          <w:rFonts w:ascii="Calibri" w:cs="Calibri" w:eastAsia="Calibri" w:hAnsi="Calibri"/>
          <w:sz w:val="18"/>
          <w:szCs w:val="18"/>
          <w:color w:val="auto"/>
        </w:rPr>
      </w:pPr>
      <w:r>
        <w:rPr>
          <w:rFonts w:ascii="Calibri" w:cs="Calibri" w:eastAsia="Calibri" w:hAnsi="Calibri"/>
          <w:sz w:val="18"/>
          <w:szCs w:val="18"/>
          <w:color w:val="auto"/>
        </w:rPr>
        <w:t>any fraud, whether or not material, that involves management or other employees who have a signifcant role in the registrant’s internal control over fnancial reportng.</w:t>
      </w:r>
    </w:p>
    <w:p>
      <w:pPr>
        <w:spacing w:after="0" w:line="226" w:lineRule="exact"/>
        <w:rPr>
          <w:sz w:val="20"/>
          <w:szCs w:val="20"/>
          <w:color w:val="auto"/>
        </w:rPr>
      </w:pPr>
    </w:p>
    <w:p>
      <w:pPr>
        <w:ind w:left="20"/>
        <w:spacing w:after="0"/>
        <w:tabs>
          <w:tab w:leader="none" w:pos="8340" w:val="left"/>
        </w:tabs>
        <w:rPr>
          <w:sz w:val="20"/>
          <w:szCs w:val="20"/>
          <w:color w:val="auto"/>
        </w:rPr>
      </w:pPr>
      <w:r>
        <w:rPr>
          <w:rFonts w:ascii="Calibri" w:cs="Calibri" w:eastAsia="Calibri" w:hAnsi="Calibri"/>
          <w:sz w:val="18"/>
          <w:szCs w:val="18"/>
          <w:color w:val="auto"/>
        </w:rPr>
        <w:t>Date: February 8, 2024</w:t>
      </w:r>
      <w:r>
        <w:rPr>
          <w:sz w:val="20"/>
          <w:szCs w:val="20"/>
          <w:color w:val="auto"/>
        </w:rPr>
        <w:tab/>
      </w:r>
      <w:r>
        <w:rPr>
          <w:rFonts w:ascii="Calibri" w:cs="Calibri" w:eastAsia="Calibri" w:hAnsi="Calibri"/>
          <w:sz w:val="17"/>
          <w:szCs w:val="17"/>
          <w:color w:val="auto"/>
        </w:rPr>
        <w:t>/s/ SEAN KEOHANE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23495</wp:posOffset>
            </wp:positionV>
            <wp:extent cx="27946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7" w:lineRule="exact"/>
        <w:rPr>
          <w:sz w:val="20"/>
          <w:szCs w:val="20"/>
          <w:color w:val="auto"/>
        </w:rPr>
      </w:pPr>
    </w:p>
    <w:p>
      <w:pPr>
        <w:ind w:left="8420"/>
        <w:spacing w:after="0"/>
        <w:rPr>
          <w:sz w:val="20"/>
          <w:szCs w:val="20"/>
          <w:color w:val="auto"/>
        </w:rPr>
      </w:pPr>
      <w:r>
        <w:rPr>
          <w:rFonts w:ascii="Calibri" w:cs="Calibri" w:eastAsia="Calibri" w:hAnsi="Calibri"/>
          <w:sz w:val="18"/>
          <w:szCs w:val="18"/>
          <w:b w:val="1"/>
          <w:bCs w:val="1"/>
          <w:color w:val="auto"/>
        </w:rPr>
        <w:t>Sean D. Keohane</w:t>
      </w:r>
    </w:p>
    <w:p>
      <w:pPr>
        <w:spacing w:after="0" w:line="23" w:lineRule="exact"/>
        <w:rPr>
          <w:sz w:val="20"/>
          <w:szCs w:val="20"/>
          <w:color w:val="auto"/>
        </w:rPr>
      </w:pPr>
    </w:p>
    <w:p>
      <w:pPr>
        <w:ind w:left="8540"/>
        <w:spacing w:after="0"/>
        <w:rPr>
          <w:sz w:val="20"/>
          <w:szCs w:val="20"/>
          <w:color w:val="auto"/>
        </w:rPr>
      </w:pPr>
      <w:r>
        <w:rPr>
          <w:rFonts w:ascii="Calibri" w:cs="Calibri" w:eastAsia="Calibri" w:hAnsi="Calibri"/>
          <w:sz w:val="18"/>
          <w:szCs w:val="18"/>
          <w:b w:val="1"/>
          <w:bCs w:val="1"/>
          <w:color w:val="auto"/>
        </w:rPr>
        <w:t>President and</w:t>
      </w:r>
    </w:p>
    <w:p>
      <w:pPr>
        <w:ind w:left="8220"/>
        <w:spacing w:after="0" w:line="235" w:lineRule="auto"/>
        <w:rPr>
          <w:sz w:val="20"/>
          <w:szCs w:val="20"/>
          <w:color w:val="auto"/>
        </w:rPr>
      </w:pPr>
      <w:r>
        <w:rPr>
          <w:rFonts w:ascii="Calibri" w:cs="Calibri" w:eastAsia="Calibri" w:hAnsi="Calibri"/>
          <w:sz w:val="18"/>
          <w:szCs w:val="18"/>
          <w:b w:val="1"/>
          <w:bCs w:val="1"/>
          <w:color w:val="auto"/>
        </w:rPr>
        <w:t>Chief Executve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697230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9" w:name="page30"/>
    <w:bookmarkEnd w:id="29"/>
    <w:p>
      <w:pPr>
        <w:jc w:val="right"/>
        <w:spacing w:after="0"/>
        <w:rPr>
          <w:sz w:val="20"/>
          <w:szCs w:val="20"/>
          <w:color w:val="auto"/>
        </w:rPr>
      </w:pPr>
      <w:r>
        <w:rPr>
          <w:rFonts w:ascii="Calibri" w:cs="Calibri" w:eastAsia="Calibri" w:hAnsi="Calibri"/>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Principal Financial Ofcer Certfcaton</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I, Erica McLaughlin, certfy that:</w:t>
      </w:r>
    </w:p>
    <w:p>
      <w:pPr>
        <w:spacing w:after="0" w:line="104" w:lineRule="exact"/>
        <w:rPr>
          <w:sz w:val="20"/>
          <w:szCs w:val="20"/>
          <w:color w:val="auto"/>
        </w:rPr>
      </w:pPr>
    </w:p>
    <w:p>
      <w:pPr>
        <w:ind w:left="520" w:hanging="512"/>
        <w:spacing w:after="0"/>
        <w:tabs>
          <w:tab w:leader="none" w:pos="520" w:val="left"/>
        </w:tabs>
        <w:numPr>
          <w:ilvl w:val="0"/>
          <w:numId w:val="13"/>
        </w:numPr>
        <w:rPr>
          <w:rFonts w:ascii="Calibri" w:cs="Calibri" w:eastAsia="Calibri" w:hAnsi="Calibri"/>
          <w:sz w:val="18"/>
          <w:szCs w:val="18"/>
          <w:color w:val="auto"/>
        </w:rPr>
      </w:pPr>
      <w:r>
        <w:rPr>
          <w:rFonts w:ascii="Calibri" w:cs="Calibri" w:eastAsia="Calibri" w:hAnsi="Calibri"/>
          <w:sz w:val="18"/>
          <w:szCs w:val="18"/>
          <w:color w:val="auto"/>
        </w:rPr>
        <w:t>I have reviewed this quarterly report on Form 10-Q of Cabot Corporaton;</w:t>
      </w:r>
    </w:p>
    <w:p>
      <w:pPr>
        <w:spacing w:after="0" w:line="109" w:lineRule="exact"/>
        <w:rPr>
          <w:rFonts w:ascii="Calibri" w:cs="Calibri" w:eastAsia="Calibri" w:hAnsi="Calibri"/>
          <w:sz w:val="18"/>
          <w:szCs w:val="18"/>
          <w:color w:val="auto"/>
        </w:rPr>
      </w:pPr>
    </w:p>
    <w:p>
      <w:pPr>
        <w:jc w:val="both"/>
        <w:ind w:left="520" w:right="260" w:hanging="512"/>
        <w:spacing w:after="0" w:line="235" w:lineRule="auto"/>
        <w:tabs>
          <w:tab w:leader="none" w:pos="520" w:val="left"/>
        </w:tabs>
        <w:numPr>
          <w:ilvl w:val="0"/>
          <w:numId w:val="13"/>
        </w:numPr>
        <w:rPr>
          <w:rFonts w:ascii="Calibri" w:cs="Calibri" w:eastAsia="Calibri" w:hAnsi="Calibri"/>
          <w:sz w:val="18"/>
          <w:szCs w:val="18"/>
          <w:color w:val="auto"/>
        </w:rPr>
      </w:pPr>
      <w:r>
        <w:rPr>
          <w:rFonts w:ascii="Calibri" w:cs="Calibri" w:eastAsia="Calibri" w:hAnsi="Calibri"/>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Calibri" w:cs="Calibri" w:eastAsia="Calibri" w:hAnsi="Calibri"/>
          <w:sz w:val="18"/>
          <w:szCs w:val="18"/>
          <w:color w:val="auto"/>
        </w:rPr>
      </w:pPr>
    </w:p>
    <w:p>
      <w:pPr>
        <w:ind w:left="520" w:right="340" w:hanging="512"/>
        <w:spacing w:after="0" w:line="235" w:lineRule="auto"/>
        <w:tabs>
          <w:tab w:leader="none" w:pos="520" w:val="left"/>
        </w:tabs>
        <w:numPr>
          <w:ilvl w:val="0"/>
          <w:numId w:val="13"/>
        </w:numPr>
        <w:rPr>
          <w:rFonts w:ascii="Calibri" w:cs="Calibri" w:eastAsia="Calibri" w:hAnsi="Calibri"/>
          <w:sz w:val="18"/>
          <w:szCs w:val="18"/>
          <w:color w:val="auto"/>
        </w:rPr>
      </w:pPr>
      <w:r>
        <w:rPr>
          <w:rFonts w:ascii="Calibri" w:cs="Calibri" w:eastAsia="Calibri" w:hAnsi="Calibri"/>
          <w:sz w:val="18"/>
          <w:szCs w:val="18"/>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109" w:lineRule="exact"/>
        <w:rPr>
          <w:rFonts w:ascii="Calibri" w:cs="Calibri" w:eastAsia="Calibri" w:hAnsi="Calibri"/>
          <w:sz w:val="18"/>
          <w:szCs w:val="18"/>
          <w:color w:val="auto"/>
        </w:rPr>
      </w:pPr>
    </w:p>
    <w:p>
      <w:pPr>
        <w:ind w:left="520" w:right="220" w:hanging="512"/>
        <w:spacing w:after="0" w:line="235" w:lineRule="auto"/>
        <w:tabs>
          <w:tab w:leader="none" w:pos="520" w:val="left"/>
        </w:tabs>
        <w:numPr>
          <w:ilvl w:val="0"/>
          <w:numId w:val="13"/>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ofcer(s)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110" w:lineRule="exact"/>
        <w:rPr>
          <w:rFonts w:ascii="Calibri" w:cs="Calibri" w:eastAsia="Calibri" w:hAnsi="Calibri"/>
          <w:sz w:val="18"/>
          <w:szCs w:val="18"/>
          <w:color w:val="auto"/>
        </w:rPr>
      </w:pPr>
    </w:p>
    <w:p>
      <w:pPr>
        <w:ind w:left="1020" w:right="80" w:hanging="503"/>
        <w:spacing w:after="0" w:line="235" w:lineRule="auto"/>
        <w:tabs>
          <w:tab w:leader="none" w:pos="1020" w:val="left"/>
        </w:tabs>
        <w:numPr>
          <w:ilvl w:val="1"/>
          <w:numId w:val="13"/>
        </w:numPr>
        <w:rPr>
          <w:rFonts w:ascii="Calibri" w:cs="Calibri" w:eastAsia="Calibri" w:hAnsi="Calibri"/>
          <w:sz w:val="18"/>
          <w:szCs w:val="18"/>
          <w:color w:val="auto"/>
        </w:rPr>
      </w:pPr>
      <w:r>
        <w:rPr>
          <w:rFonts w:ascii="Calibri" w:cs="Calibri" w:eastAsia="Calibri" w:hAnsi="Calibri"/>
          <w:sz w:val="18"/>
          <w:szCs w:val="18"/>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110" w:lineRule="exact"/>
        <w:rPr>
          <w:rFonts w:ascii="Calibri" w:cs="Calibri" w:eastAsia="Calibri" w:hAnsi="Calibri"/>
          <w:sz w:val="18"/>
          <w:szCs w:val="18"/>
          <w:color w:val="auto"/>
        </w:rPr>
      </w:pPr>
    </w:p>
    <w:p>
      <w:pPr>
        <w:ind w:left="1020" w:right="420" w:hanging="503"/>
        <w:spacing w:after="0" w:line="235" w:lineRule="auto"/>
        <w:tabs>
          <w:tab w:leader="none" w:pos="1020" w:val="left"/>
        </w:tabs>
        <w:numPr>
          <w:ilvl w:val="1"/>
          <w:numId w:val="13"/>
        </w:numPr>
        <w:rPr>
          <w:rFonts w:ascii="Calibri" w:cs="Calibri" w:eastAsia="Calibri" w:hAnsi="Calibri"/>
          <w:sz w:val="18"/>
          <w:szCs w:val="18"/>
          <w:color w:val="auto"/>
        </w:rPr>
      </w:pPr>
      <w:r>
        <w:rPr>
          <w:rFonts w:ascii="Calibri" w:cs="Calibri" w:eastAsia="Calibri" w:hAnsi="Calibri"/>
          <w:sz w:val="18"/>
          <w:szCs w:val="18"/>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110" w:lineRule="exact"/>
        <w:rPr>
          <w:rFonts w:ascii="Calibri" w:cs="Calibri" w:eastAsia="Calibri" w:hAnsi="Calibri"/>
          <w:sz w:val="18"/>
          <w:szCs w:val="18"/>
          <w:color w:val="auto"/>
        </w:rPr>
      </w:pPr>
    </w:p>
    <w:p>
      <w:pPr>
        <w:jc w:val="both"/>
        <w:ind w:left="1020" w:right="520" w:hanging="503"/>
        <w:spacing w:after="0" w:line="258" w:lineRule="auto"/>
        <w:tabs>
          <w:tab w:leader="none" w:pos="1020" w:val="left"/>
        </w:tabs>
        <w:numPr>
          <w:ilvl w:val="1"/>
          <w:numId w:val="13"/>
        </w:numPr>
        <w:rPr>
          <w:rFonts w:ascii="Calibri" w:cs="Calibri" w:eastAsia="Calibri" w:hAnsi="Calibri"/>
          <w:sz w:val="17"/>
          <w:szCs w:val="17"/>
          <w:color w:val="auto"/>
        </w:rPr>
      </w:pPr>
      <w:r>
        <w:rPr>
          <w:rFonts w:ascii="Calibri" w:cs="Calibri" w:eastAsia="Calibri" w:hAnsi="Calibri"/>
          <w:sz w:val="17"/>
          <w:szCs w:val="17"/>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93" w:lineRule="exact"/>
        <w:rPr>
          <w:rFonts w:ascii="Calibri" w:cs="Calibri" w:eastAsia="Calibri" w:hAnsi="Calibri"/>
          <w:sz w:val="17"/>
          <w:szCs w:val="17"/>
          <w:color w:val="auto"/>
        </w:rPr>
      </w:pPr>
    </w:p>
    <w:p>
      <w:pPr>
        <w:ind w:left="1020" w:right="120" w:hanging="503"/>
        <w:spacing w:after="0" w:line="235" w:lineRule="auto"/>
        <w:tabs>
          <w:tab w:leader="none" w:pos="1020" w:val="left"/>
        </w:tabs>
        <w:numPr>
          <w:ilvl w:val="1"/>
          <w:numId w:val="13"/>
        </w:numPr>
        <w:rPr>
          <w:rFonts w:ascii="Calibri" w:cs="Calibri" w:eastAsia="Calibri" w:hAnsi="Calibri"/>
          <w:sz w:val="18"/>
          <w:szCs w:val="18"/>
          <w:color w:val="auto"/>
        </w:rPr>
      </w:pPr>
      <w:r>
        <w:rPr>
          <w:rFonts w:ascii="Calibri" w:cs="Calibri" w:eastAsia="Calibri" w:hAnsi="Calibri"/>
          <w:sz w:val="18"/>
          <w:szCs w:val="18"/>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110" w:lineRule="exact"/>
        <w:rPr>
          <w:rFonts w:ascii="Calibri" w:cs="Calibri" w:eastAsia="Calibri" w:hAnsi="Calibri"/>
          <w:sz w:val="18"/>
          <w:szCs w:val="18"/>
          <w:color w:val="auto"/>
        </w:rPr>
      </w:pPr>
    </w:p>
    <w:p>
      <w:pPr>
        <w:ind w:left="520" w:right="100" w:hanging="512"/>
        <w:spacing w:after="0" w:line="235" w:lineRule="auto"/>
        <w:tabs>
          <w:tab w:leader="none" w:pos="520" w:val="left"/>
        </w:tabs>
        <w:numPr>
          <w:ilvl w:val="0"/>
          <w:numId w:val="13"/>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ofcer(s) and I have disclosed, based on our most recent evaluaton of internal control over fnancial reportng, to the registrant’s auditors and the audit commitee of the registrant’s board of directors (or persons performing the equivalent functons):</w:t>
      </w:r>
    </w:p>
    <w:p>
      <w:pPr>
        <w:spacing w:after="0" w:line="109" w:lineRule="exact"/>
        <w:rPr>
          <w:rFonts w:ascii="Calibri" w:cs="Calibri" w:eastAsia="Calibri" w:hAnsi="Calibri"/>
          <w:sz w:val="18"/>
          <w:szCs w:val="18"/>
          <w:color w:val="auto"/>
        </w:rPr>
      </w:pPr>
    </w:p>
    <w:p>
      <w:pPr>
        <w:ind w:left="1020" w:right="120" w:hanging="503"/>
        <w:spacing w:after="0" w:line="235" w:lineRule="auto"/>
        <w:tabs>
          <w:tab w:leader="none" w:pos="1020" w:val="left"/>
        </w:tabs>
        <w:numPr>
          <w:ilvl w:val="1"/>
          <w:numId w:val="13"/>
        </w:numPr>
        <w:rPr>
          <w:rFonts w:ascii="Calibri" w:cs="Calibri" w:eastAsia="Calibri" w:hAnsi="Calibri"/>
          <w:sz w:val="18"/>
          <w:szCs w:val="18"/>
          <w:color w:val="auto"/>
        </w:rPr>
      </w:pPr>
      <w:r>
        <w:rPr>
          <w:rFonts w:ascii="Calibri" w:cs="Calibri" w:eastAsia="Calibri" w:hAnsi="Calibri"/>
          <w:sz w:val="18"/>
          <w:szCs w:val="18"/>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109" w:lineRule="exact"/>
        <w:rPr>
          <w:rFonts w:ascii="Calibri" w:cs="Calibri" w:eastAsia="Calibri" w:hAnsi="Calibri"/>
          <w:sz w:val="18"/>
          <w:szCs w:val="18"/>
          <w:color w:val="auto"/>
        </w:rPr>
      </w:pPr>
    </w:p>
    <w:p>
      <w:pPr>
        <w:ind w:left="1020" w:right="520" w:hanging="503"/>
        <w:spacing w:after="0" w:line="235" w:lineRule="auto"/>
        <w:tabs>
          <w:tab w:leader="none" w:pos="1020" w:val="left"/>
        </w:tabs>
        <w:numPr>
          <w:ilvl w:val="1"/>
          <w:numId w:val="13"/>
        </w:numPr>
        <w:rPr>
          <w:rFonts w:ascii="Calibri" w:cs="Calibri" w:eastAsia="Calibri" w:hAnsi="Calibri"/>
          <w:sz w:val="18"/>
          <w:szCs w:val="18"/>
          <w:color w:val="auto"/>
        </w:rPr>
      </w:pPr>
      <w:r>
        <w:rPr>
          <w:rFonts w:ascii="Calibri" w:cs="Calibri" w:eastAsia="Calibri" w:hAnsi="Calibri"/>
          <w:sz w:val="18"/>
          <w:szCs w:val="18"/>
          <w:color w:val="auto"/>
        </w:rPr>
        <w:t>any fraud, whether or not material, that involves management or other employees who have a signifcant role in the registrant’s internal control over fnancial reportng.</w:t>
      </w:r>
    </w:p>
    <w:p>
      <w:pPr>
        <w:spacing w:after="0" w:line="226" w:lineRule="exact"/>
        <w:rPr>
          <w:sz w:val="20"/>
          <w:szCs w:val="20"/>
          <w:color w:val="auto"/>
        </w:rPr>
      </w:pPr>
    </w:p>
    <w:p>
      <w:pPr>
        <w:ind w:left="20"/>
        <w:spacing w:after="0"/>
        <w:tabs>
          <w:tab w:leader="none" w:pos="8240" w:val="left"/>
        </w:tabs>
        <w:rPr>
          <w:sz w:val="20"/>
          <w:szCs w:val="20"/>
          <w:color w:val="auto"/>
        </w:rPr>
      </w:pPr>
      <w:r>
        <w:rPr>
          <w:rFonts w:ascii="Calibri" w:cs="Calibri" w:eastAsia="Calibri" w:hAnsi="Calibri"/>
          <w:sz w:val="18"/>
          <w:szCs w:val="18"/>
          <w:color w:val="auto"/>
        </w:rPr>
        <w:t>Date: February 8, 2024</w:t>
      </w:r>
      <w:r>
        <w:rPr>
          <w:sz w:val="20"/>
          <w:szCs w:val="20"/>
          <w:color w:val="auto"/>
        </w:rPr>
        <w:tab/>
      </w:r>
      <w:r>
        <w:rPr>
          <w:rFonts w:ascii="Calibri" w:cs="Calibri" w:eastAsia="Calibri" w:hAnsi="Calibri"/>
          <w:sz w:val="18"/>
          <w:szCs w:val="18"/>
          <w:color w:val="auto"/>
        </w:rPr>
        <w:t>/s/ Erica McLaughlin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23495</wp:posOffset>
            </wp:positionV>
            <wp:extent cx="27946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7" w:lineRule="exact"/>
        <w:rPr>
          <w:sz w:val="20"/>
          <w:szCs w:val="20"/>
          <w:color w:val="auto"/>
        </w:rPr>
      </w:pPr>
    </w:p>
    <w:p>
      <w:pPr>
        <w:ind w:left="8420"/>
        <w:spacing w:after="0"/>
        <w:rPr>
          <w:sz w:val="20"/>
          <w:szCs w:val="20"/>
          <w:color w:val="auto"/>
        </w:rPr>
      </w:pPr>
      <w:r>
        <w:rPr>
          <w:rFonts w:ascii="Calibri" w:cs="Calibri" w:eastAsia="Calibri" w:hAnsi="Calibri"/>
          <w:sz w:val="18"/>
          <w:szCs w:val="18"/>
          <w:b w:val="1"/>
          <w:bCs w:val="1"/>
          <w:color w:val="auto"/>
        </w:rPr>
        <w:t>Erica McLaughlin</w:t>
      </w:r>
    </w:p>
    <w:p>
      <w:pPr>
        <w:spacing w:after="0" w:line="23" w:lineRule="exact"/>
        <w:rPr>
          <w:sz w:val="20"/>
          <w:szCs w:val="20"/>
          <w:color w:val="auto"/>
        </w:rPr>
      </w:pPr>
    </w:p>
    <w:p>
      <w:pPr>
        <w:ind w:left="8000"/>
        <w:spacing w:after="0"/>
        <w:rPr>
          <w:sz w:val="20"/>
          <w:szCs w:val="20"/>
          <w:color w:val="auto"/>
        </w:rPr>
      </w:pPr>
      <w:r>
        <w:rPr>
          <w:rFonts w:ascii="Calibri" w:cs="Calibri" w:eastAsia="Calibri" w:hAnsi="Calibri"/>
          <w:sz w:val="18"/>
          <w:szCs w:val="18"/>
          <w:b w:val="1"/>
          <w:bCs w:val="1"/>
          <w:color w:val="auto"/>
        </w:rPr>
        <w:t>Executve Vice President and</w:t>
      </w:r>
    </w:p>
    <w:p>
      <w:pPr>
        <w:ind w:left="8240"/>
        <w:spacing w:after="0" w:line="235" w:lineRule="auto"/>
        <w:rPr>
          <w:sz w:val="20"/>
          <w:szCs w:val="20"/>
          <w:color w:val="auto"/>
        </w:rPr>
      </w:pPr>
      <w:r>
        <w:rPr>
          <w:rFonts w:ascii="Calibri" w:cs="Calibri" w:eastAsia="Calibri" w:hAnsi="Calibri"/>
          <w:sz w:val="18"/>
          <w:szCs w:val="18"/>
          <w:b w:val="1"/>
          <w:bCs w:val="1"/>
          <w:color w:val="auto"/>
        </w:rPr>
        <w:t>Chief Financial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697230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0" w:name="page31"/>
    <w:bookmarkEnd w:id="30"/>
    <w:p>
      <w:pPr>
        <w:jc w:val="right"/>
        <w:spacing w:after="0"/>
        <w:rPr>
          <w:sz w:val="20"/>
          <w:szCs w:val="20"/>
          <w:color w:val="auto"/>
        </w:rPr>
      </w:pPr>
      <w:r>
        <w:rPr>
          <w:rFonts w:ascii="Calibri" w:cs="Calibri" w:eastAsia="Calibri" w:hAnsi="Calibri"/>
          <w:sz w:val="18"/>
          <w:szCs w:val="18"/>
          <w:b w:val="1"/>
          <w:bCs w:val="1"/>
          <w:color w:val="auto"/>
        </w:rPr>
        <w:t>Exhibit 32</w:t>
      </w:r>
    </w:p>
    <w:p>
      <w:pPr>
        <w:spacing w:after="0" w:line="212"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Certfcatons Pursuant to 18 U.S.C. Secton 1350,</w:t>
      </w:r>
    </w:p>
    <w:p>
      <w:pPr>
        <w:jc w:val="center"/>
        <w:spacing w:after="0" w:line="235" w:lineRule="auto"/>
        <w:rPr>
          <w:sz w:val="20"/>
          <w:szCs w:val="20"/>
          <w:color w:val="auto"/>
        </w:rPr>
      </w:pPr>
      <w:r>
        <w:rPr>
          <w:rFonts w:ascii="Calibri" w:cs="Calibri" w:eastAsia="Calibri" w:hAnsi="Calibri"/>
          <w:sz w:val="18"/>
          <w:szCs w:val="18"/>
          <w:b w:val="1"/>
          <w:bCs w:val="1"/>
          <w:color w:val="auto"/>
        </w:rPr>
        <w:t>as Adopted Pursuant to Secton 906 of the</w:t>
      </w:r>
    </w:p>
    <w:p>
      <w:pPr>
        <w:jc w:val="center"/>
        <w:spacing w:after="0" w:line="236" w:lineRule="auto"/>
        <w:rPr>
          <w:sz w:val="20"/>
          <w:szCs w:val="20"/>
          <w:color w:val="auto"/>
        </w:rPr>
      </w:pPr>
      <w:r>
        <w:rPr>
          <w:rFonts w:ascii="Calibri" w:cs="Calibri" w:eastAsia="Calibri" w:hAnsi="Calibri"/>
          <w:sz w:val="18"/>
          <w:szCs w:val="18"/>
          <w:b w:val="1"/>
          <w:bCs w:val="1"/>
          <w:color w:val="auto"/>
        </w:rPr>
        <w:t>Sarbanes-Oxley Act of 2002</w:t>
      </w:r>
    </w:p>
    <w:p>
      <w:pPr>
        <w:spacing w:after="0" w:line="218"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In connecton with the fling of the Quarterly Report on Form 10-Q for the quarter ended December 31, 2023 (the “Report”) by Cabot Corporaton (the “Company”), each of the undersigned hereby certfes pursuant to 18 U.S.C. Secton 1350, as adopted pursuant to Secton 906 of the Sarbanes-Oxley Act of 2002, that, to his knowledge:</w:t>
      </w:r>
    </w:p>
    <w:p>
      <w:pPr>
        <w:spacing w:after="0" w:line="106" w:lineRule="exact"/>
        <w:rPr>
          <w:sz w:val="20"/>
          <w:szCs w:val="20"/>
          <w:color w:val="auto"/>
        </w:rPr>
      </w:pPr>
    </w:p>
    <w:p>
      <w:pPr>
        <w:ind w:left="1020" w:hanging="503"/>
        <w:spacing w:after="0"/>
        <w:tabs>
          <w:tab w:leader="none" w:pos="1020" w:val="left"/>
        </w:tabs>
        <w:numPr>
          <w:ilvl w:val="0"/>
          <w:numId w:val="14"/>
        </w:numPr>
        <w:rPr>
          <w:rFonts w:ascii="Calibri" w:cs="Calibri" w:eastAsia="Calibri" w:hAnsi="Calibri"/>
          <w:sz w:val="18"/>
          <w:szCs w:val="18"/>
          <w:color w:val="auto"/>
        </w:rPr>
      </w:pPr>
      <w:r>
        <w:rPr>
          <w:rFonts w:ascii="Calibri" w:cs="Calibri" w:eastAsia="Calibri" w:hAnsi="Calibri"/>
          <w:sz w:val="18"/>
          <w:szCs w:val="18"/>
          <w:color w:val="auto"/>
        </w:rPr>
        <w:t>The Report fully complies with the requirements of secton 13 (a) or 15 (d) of the Securites Exchange Act of 1934, as amended; and</w:t>
      </w:r>
    </w:p>
    <w:p>
      <w:pPr>
        <w:spacing w:after="0" w:line="109" w:lineRule="exact"/>
        <w:rPr>
          <w:rFonts w:ascii="Calibri" w:cs="Calibri" w:eastAsia="Calibri" w:hAnsi="Calibri"/>
          <w:sz w:val="18"/>
          <w:szCs w:val="18"/>
          <w:color w:val="auto"/>
        </w:rPr>
      </w:pPr>
    </w:p>
    <w:p>
      <w:pPr>
        <w:ind w:left="1020" w:right="660" w:hanging="503"/>
        <w:spacing w:after="0" w:line="235" w:lineRule="auto"/>
        <w:tabs>
          <w:tab w:leader="none" w:pos="1020" w:val="left"/>
        </w:tabs>
        <w:numPr>
          <w:ilvl w:val="0"/>
          <w:numId w:val="14"/>
        </w:numPr>
        <w:rPr>
          <w:rFonts w:ascii="Calibri" w:cs="Calibri" w:eastAsia="Calibri" w:hAnsi="Calibri"/>
          <w:sz w:val="18"/>
          <w:szCs w:val="18"/>
          <w:color w:val="auto"/>
        </w:rPr>
      </w:pPr>
      <w:r>
        <w:rPr>
          <w:rFonts w:ascii="Calibri" w:cs="Calibri" w:eastAsia="Calibri" w:hAnsi="Calibri"/>
          <w:sz w:val="18"/>
          <w:szCs w:val="18"/>
          <w:color w:val="auto"/>
        </w:rPr>
        <w:t>The informaton contained in the Report fairly presents, in all material respects, the fnancial conditon and results of operatons of the Company.</w:t>
      </w:r>
    </w:p>
    <w:p>
      <w:pPr>
        <w:spacing w:after="0" w:line="226" w:lineRule="exact"/>
        <w:rPr>
          <w:sz w:val="20"/>
          <w:szCs w:val="20"/>
          <w:color w:val="auto"/>
        </w:rPr>
      </w:pPr>
    </w:p>
    <w:p>
      <w:pPr>
        <w:ind w:left="20"/>
        <w:spacing w:after="0"/>
        <w:tabs>
          <w:tab w:leader="none" w:pos="8260" w:val="left"/>
        </w:tabs>
        <w:rPr>
          <w:sz w:val="20"/>
          <w:szCs w:val="20"/>
          <w:color w:val="auto"/>
        </w:rPr>
      </w:pPr>
      <w:r>
        <w:rPr>
          <w:rFonts w:ascii="Calibri" w:cs="Calibri" w:eastAsia="Calibri" w:hAnsi="Calibri"/>
          <w:sz w:val="18"/>
          <w:szCs w:val="18"/>
          <w:color w:val="auto"/>
        </w:rPr>
        <w:t>Date: February 8, 2024</w:t>
      </w:r>
      <w:r>
        <w:rPr>
          <w:sz w:val="20"/>
          <w:szCs w:val="20"/>
          <w:color w:val="auto"/>
        </w:rPr>
        <w:tab/>
      </w:r>
      <w:r>
        <w:rPr>
          <w:rFonts w:ascii="Calibri" w:cs="Calibri" w:eastAsia="Calibri" w:hAnsi="Calibri"/>
          <w:sz w:val="17"/>
          <w:szCs w:val="17"/>
          <w:color w:val="auto"/>
        </w:rPr>
        <w:t>/s/ Sean D. Keohane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7" w:lineRule="exact"/>
        <w:rPr>
          <w:sz w:val="20"/>
          <w:szCs w:val="20"/>
          <w:color w:val="auto"/>
        </w:rPr>
      </w:pPr>
    </w:p>
    <w:p>
      <w:pPr>
        <w:jc w:val="center"/>
        <w:ind w:left="6740"/>
        <w:spacing w:after="0"/>
        <w:rPr>
          <w:sz w:val="20"/>
          <w:szCs w:val="20"/>
          <w:color w:val="auto"/>
        </w:rPr>
      </w:pPr>
      <w:r>
        <w:rPr>
          <w:rFonts w:ascii="Calibri" w:cs="Calibri" w:eastAsia="Calibri" w:hAnsi="Calibri"/>
          <w:sz w:val="18"/>
          <w:szCs w:val="18"/>
          <w:b w:val="1"/>
          <w:bCs w:val="1"/>
          <w:color w:val="auto"/>
        </w:rPr>
        <w:t>Sean D. Keohane</w:t>
      </w:r>
    </w:p>
    <w:p>
      <w:pPr>
        <w:spacing w:after="0" w:line="23" w:lineRule="exact"/>
        <w:rPr>
          <w:sz w:val="20"/>
          <w:szCs w:val="20"/>
          <w:color w:val="auto"/>
        </w:rPr>
      </w:pPr>
    </w:p>
    <w:p>
      <w:pPr>
        <w:jc w:val="center"/>
        <w:ind w:left="6740"/>
        <w:spacing w:after="0"/>
        <w:rPr>
          <w:sz w:val="20"/>
          <w:szCs w:val="20"/>
          <w:color w:val="auto"/>
        </w:rPr>
      </w:pPr>
      <w:r>
        <w:rPr>
          <w:rFonts w:ascii="Calibri" w:cs="Calibri" w:eastAsia="Calibri" w:hAnsi="Calibri"/>
          <w:sz w:val="18"/>
          <w:szCs w:val="18"/>
          <w:b w:val="1"/>
          <w:bCs w:val="1"/>
          <w:color w:val="auto"/>
        </w:rPr>
        <w:t>President and Chief Executve Ofcer</w:t>
      </w:r>
    </w:p>
    <w:p>
      <w:pPr>
        <w:spacing w:after="0" w:line="320" w:lineRule="exact"/>
        <w:rPr>
          <w:sz w:val="20"/>
          <w:szCs w:val="20"/>
          <w:color w:val="auto"/>
        </w:rPr>
      </w:pPr>
    </w:p>
    <w:p>
      <w:pPr>
        <w:ind w:left="20"/>
        <w:spacing w:after="0"/>
        <w:tabs>
          <w:tab w:leader="none" w:pos="8200" w:val="left"/>
        </w:tabs>
        <w:rPr>
          <w:sz w:val="20"/>
          <w:szCs w:val="20"/>
          <w:color w:val="auto"/>
        </w:rPr>
      </w:pPr>
      <w:r>
        <w:rPr>
          <w:rFonts w:ascii="Calibri" w:cs="Calibri" w:eastAsia="Calibri" w:hAnsi="Calibri"/>
          <w:sz w:val="18"/>
          <w:szCs w:val="18"/>
          <w:color w:val="auto"/>
        </w:rPr>
        <w:t>Date: February 8, 2024</w:t>
      </w:r>
      <w:r>
        <w:rPr>
          <w:sz w:val="20"/>
          <w:szCs w:val="20"/>
          <w:color w:val="auto"/>
        </w:rPr>
        <w:tab/>
      </w:r>
      <w:r>
        <w:rPr>
          <w:rFonts w:ascii="Calibri" w:cs="Calibri" w:eastAsia="Calibri" w:hAnsi="Calibri"/>
          <w:sz w:val="18"/>
          <w:szCs w:val="18"/>
          <w:color w:val="auto"/>
        </w:rPr>
        <w:t>/s/ Erica McLaughlin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7" w:lineRule="exact"/>
        <w:rPr>
          <w:sz w:val="20"/>
          <w:szCs w:val="20"/>
          <w:color w:val="auto"/>
        </w:rPr>
      </w:pPr>
    </w:p>
    <w:p>
      <w:pPr>
        <w:ind w:left="8380"/>
        <w:spacing w:after="0"/>
        <w:rPr>
          <w:sz w:val="20"/>
          <w:szCs w:val="20"/>
          <w:color w:val="auto"/>
        </w:rPr>
      </w:pPr>
      <w:r>
        <w:rPr>
          <w:rFonts w:ascii="Calibri" w:cs="Calibri" w:eastAsia="Calibri" w:hAnsi="Calibri"/>
          <w:sz w:val="18"/>
          <w:szCs w:val="18"/>
          <w:b w:val="1"/>
          <w:bCs w:val="1"/>
          <w:color w:val="auto"/>
        </w:rPr>
        <w:t>Erica McLaughlin</w:t>
      </w:r>
    </w:p>
    <w:p>
      <w:pPr>
        <w:spacing w:after="0" w:line="23" w:lineRule="exact"/>
        <w:rPr>
          <w:sz w:val="20"/>
          <w:szCs w:val="20"/>
          <w:color w:val="auto"/>
        </w:rPr>
      </w:pPr>
    </w:p>
    <w:p>
      <w:pPr>
        <w:ind w:left="7960"/>
        <w:spacing w:after="0"/>
        <w:rPr>
          <w:sz w:val="20"/>
          <w:szCs w:val="20"/>
          <w:color w:val="auto"/>
        </w:rPr>
      </w:pPr>
      <w:r>
        <w:rPr>
          <w:rFonts w:ascii="Calibri" w:cs="Calibri" w:eastAsia="Calibri" w:hAnsi="Calibri"/>
          <w:sz w:val="18"/>
          <w:szCs w:val="18"/>
          <w:b w:val="1"/>
          <w:bCs w:val="1"/>
          <w:color w:val="auto"/>
        </w:rPr>
        <w:t>Executve Vice President and</w:t>
      </w:r>
    </w:p>
    <w:p>
      <w:pPr>
        <w:ind w:left="8200"/>
        <w:spacing w:after="0" w:line="235" w:lineRule="auto"/>
        <w:rPr>
          <w:sz w:val="20"/>
          <w:szCs w:val="20"/>
          <w:color w:val="auto"/>
        </w:rPr>
      </w:pPr>
      <w:r>
        <w:rPr>
          <w:rFonts w:ascii="Calibri" w:cs="Calibri" w:eastAsia="Calibri" w:hAnsi="Calibri"/>
          <w:sz w:val="18"/>
          <w:szCs w:val="18"/>
          <w:b w:val="1"/>
          <w:bCs w:val="1"/>
          <w:color w:val="auto"/>
        </w:rPr>
        <w:t>Chief Financial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705485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1" w:name="page32"/>
    <w:bookmarkEnd w:id="3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2"/>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3"/>
    </w:lvl>
  </w:abstractNum>
  <w:abstractNum w:abstractNumId="6">
    <w:nsid w:val="216231B"/>
    <w:multiLevelType w:val="hybridMultilevel"/>
    <w:lvl w:ilvl="0">
      <w:lvlJc w:val="left"/>
      <w:lvlText w:val="(%1)"/>
      <w:numFmt w:val="lowerLetter"/>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2" Type="http://schemas.openxmlformats.org/officeDocument/2006/relationships/image" Target="media/image193.png"/><Relationship Id="rId203" Type="http://schemas.openxmlformats.org/officeDocument/2006/relationships/image" Target="media/image194.png"/><Relationship Id="rId204" Type="http://schemas.openxmlformats.org/officeDocument/2006/relationships/image" Target="media/image195.png"/><Relationship Id="rId205" Type="http://schemas.openxmlformats.org/officeDocument/2006/relationships/image" Target="media/image196.png"/><Relationship Id="rId206" Type="http://schemas.openxmlformats.org/officeDocument/2006/relationships/image" Target="media/image197.png"/><Relationship Id="rId207" Type="http://schemas.openxmlformats.org/officeDocument/2006/relationships/image" Target="media/image198.png"/><Relationship Id="rId208" Type="http://schemas.openxmlformats.org/officeDocument/2006/relationships/image" Target="media/image199.png"/><Relationship Id="rId209" Type="http://schemas.openxmlformats.org/officeDocument/2006/relationships/image" Target="media/image200.png"/><Relationship Id="rId210" Type="http://schemas.openxmlformats.org/officeDocument/2006/relationships/image" Target="media/image201.png"/><Relationship Id="rId211" Type="http://schemas.openxmlformats.org/officeDocument/2006/relationships/image" Target="media/image202.png"/><Relationship Id="rId212" Type="http://schemas.openxmlformats.org/officeDocument/2006/relationships/image" Target="media/image203.png"/><Relationship Id="rId213" Type="http://schemas.openxmlformats.org/officeDocument/2006/relationships/image" Target="media/image204.png"/><Relationship Id="rId200" Type="http://schemas.openxmlformats.org/officeDocument/2006/relationships/hyperlink" Target="https://www.sec.gov/Archives/edgar/data/16040/000119312509022614/dex31.htm" TargetMode="External"/><Relationship Id="rId201" Type="http://schemas.openxmlformats.org/officeDocument/2006/relationships/hyperlink" Target="https://www.sec.gov/Archives/edgar/data/16040/000119312523145078/d511497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2024-02-08T13:42:24Z</dcterms:created>
  <dcterms:modified xsi:type="dcterms:W3CDTF">2024-02-08T13:42:24Z</dcterms:modified>
</cp:coreProperties>
</file>