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bt-20240331.htm"/>
      <w:bookmarkStart w:id="1" w:name="kscbt20240331"/>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before="40" w:after="283"/>
        <w:jc w:val="center"/>
        <w:rPr>
          <w:rFonts w:ascii="Calibri;sans-serif" w:hAnsi="Calibri;sans-serif"/>
          <w:b/>
          <w:color w:val="000000"/>
          <w:sz w:val="20"/>
        </w:rPr>
      </w:pPr>
      <w:r>
        <w:rPr>
          <w:rFonts w:ascii="Calibri;sans-serif" w:hAnsi="Calibri;sans-serif"/>
          <w:b/>
          <w:color w:val="000000"/>
          <w:sz w:val="20"/>
        </w:rPr>
        <w:t>WASHINGTON, DC 20549</w:t>
      </w:r>
    </w:p>
    <w:p>
      <w:pPr>
        <w:pStyle w:val="TextBody"/>
        <w:pBdr>
          <w:bottom w:val="single" w:sz="4" w:space="1" w:color="000000"/>
        </w:pBdr>
        <w:bidi w:val="0"/>
        <w:jc w:val="center"/>
        <w:rPr/>
      </w:pPr>
      <w:r>
        <w:rPr/>
        <w:t> </w:t>
      </w:r>
    </w:p>
    <w:p>
      <w:pPr>
        <w:pStyle w:val="TextBody"/>
        <w:bidi w:val="0"/>
        <w:spacing w:before="90" w:after="283"/>
        <w:jc w:val="center"/>
        <w:rPr>
          <w:rFonts w:ascii="Calibri;sans-serif" w:hAnsi="Calibri;sans-serif"/>
          <w:b/>
          <w:color w:val="000000"/>
          <w:sz w:val="36"/>
        </w:rPr>
      </w:pPr>
      <w:r>
        <w:rPr>
          <w:rFonts w:ascii="Calibri;sans-serif" w:hAnsi="Calibri;sans-serif"/>
          <w:b/>
          <w:color w:val="000000"/>
          <w:sz w:val="36"/>
        </w:rPr>
        <w:t>FORM 10-Q</w:t>
      </w:r>
    </w:p>
    <w:p>
      <w:pPr>
        <w:pStyle w:val="TextBody"/>
        <w:pBdr>
          <w:bottom w:val="single" w:sz="4" w:space="1" w:color="000000"/>
        </w:pBdr>
        <w:bidi w:val="0"/>
        <w:jc w:val="center"/>
        <w:rPr/>
      </w:pPr>
      <w:r>
        <w:rPr/>
        <w:t> </w:t>
      </w:r>
    </w:p>
    <w:tbl>
      <w:tblPr>
        <w:tblW w:w="8612" w:type="dxa"/>
        <w:jc w:val="left"/>
        <w:tblInd w:w="0" w:type="dxa"/>
        <w:tblLayout w:type="fixed"/>
        <w:tblCellMar>
          <w:top w:w="28" w:type="dxa"/>
          <w:left w:w="28" w:type="dxa"/>
          <w:bottom w:w="28" w:type="dxa"/>
          <w:right w:w="28" w:type="dxa"/>
        </w:tblCellMar>
      </w:tblPr>
      <w:tblGrid>
        <w:gridCol w:w="331"/>
        <w:gridCol w:w="8281"/>
      </w:tblGrid>
      <w:tr>
        <w:trPr/>
        <w:tc>
          <w:tcPr>
            <w:tcW w:w="331" w:type="dxa"/>
            <w:tcBorders/>
            <w:vAlign w:val="center"/>
          </w:tcPr>
          <w:p>
            <w:pPr>
              <w:pStyle w:val="TableContents"/>
              <w:bidi w:val="0"/>
              <w:spacing w:before="0" w:after="283"/>
              <w:jc w:val="left"/>
              <w:rPr>
                <w:sz w:val="4"/>
                <w:szCs w:val="4"/>
              </w:rPr>
            </w:pPr>
            <w:r>
              <w:rPr>
                <w:sz w:val="4"/>
                <w:szCs w:val="4"/>
              </w:rPr>
            </w:r>
          </w:p>
        </w:tc>
        <w:tc>
          <w:tcPr>
            <w:tcW w:w="82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90" w:after="283"/>
              <w:jc w:val="left"/>
              <w:rPr>
                <w:color w:val="000000"/>
              </w:rPr>
            </w:pPr>
            <w:r>
              <w:rPr>
                <w:color w:val="000000"/>
              </w:rPr>
              <w:t>☒</w:t>
            </w:r>
          </w:p>
        </w:tc>
        <w:tc>
          <w:tcPr>
            <w:tcW w:w="8281" w:type="dxa"/>
            <w:tcBorders/>
            <w:tcMar>
              <w:top w:w="0" w:type="dxa"/>
              <w:left w:w="0" w:type="dxa"/>
              <w:bottom w:w="0" w:type="dxa"/>
              <w:right w:w="0" w:type="dxa"/>
            </w:tcMar>
            <w:vAlign w:val="center"/>
          </w:tcPr>
          <w:p>
            <w:pPr>
              <w:pStyle w:val="TableContents"/>
              <w:bidi w:val="0"/>
              <w:spacing w:before="90" w:after="283"/>
              <w:jc w:val="left"/>
              <w:rPr>
                <w:rFonts w:ascii="Calibri;sans-serif" w:hAnsi="Calibri;sans-serif"/>
                <w:b/>
                <w:color w:val="000000"/>
                <w:sz w:val="20"/>
              </w:rPr>
            </w:pPr>
            <w:r>
              <w:rPr>
                <w:rFonts w:ascii="Calibri;sans-serif" w:hAnsi="Calibri;sans-serif"/>
                <w:b/>
                <w:color w:val="000000"/>
                <w:sz w:val="20"/>
              </w:rPr>
              <w:t>QUARTERLY REPORT PURSUANT TO SECTION 13 OR 15(d) OF THE SECURITIES EXCHANGE ACT OF 1934</w:t>
            </w:r>
          </w:p>
        </w:tc>
      </w:tr>
    </w:tbl>
    <w:p>
      <w:pPr>
        <w:pStyle w:val="TextBody"/>
        <w:bidi w:val="0"/>
        <w:spacing w:before="90" w:after="283"/>
        <w:jc w:val="center"/>
        <w:rPr>
          <w:rFonts w:ascii="Calibri;sans-serif" w:hAnsi="Calibri;sans-serif"/>
          <w:b/>
          <w:color w:val="000000"/>
          <w:sz w:val="20"/>
        </w:rPr>
      </w:pPr>
      <w:r>
        <w:rPr>
          <w:rFonts w:ascii="Calibri;sans-serif" w:hAnsi="Calibri;sans-serif"/>
          <w:b/>
          <w:color w:val="000000"/>
          <w:sz w:val="20"/>
        </w:rPr>
        <w:t>For the quarterly period ended March 31, 2024</w:t>
      </w:r>
    </w:p>
    <w:p>
      <w:pPr>
        <w:pStyle w:val="TextBody"/>
        <w:bidi w:val="0"/>
        <w:spacing w:before="90" w:after="283"/>
        <w:jc w:val="center"/>
        <w:rPr>
          <w:rFonts w:ascii="Calibri;sans-serif" w:hAnsi="Calibri;sans-serif"/>
          <w:b/>
          <w:color w:val="000000"/>
          <w:sz w:val="20"/>
        </w:rPr>
      </w:pPr>
      <w:r>
        <w:rPr>
          <w:rFonts w:ascii="Calibri;sans-serif" w:hAnsi="Calibri;sans-serif"/>
          <w:b/>
          <w:color w:val="000000"/>
          <w:sz w:val="20"/>
        </w:rPr>
        <w:t>or</w:t>
      </w:r>
    </w:p>
    <w:tbl>
      <w:tblPr>
        <w:tblW w:w="8657" w:type="dxa"/>
        <w:jc w:val="left"/>
        <w:tblInd w:w="0" w:type="dxa"/>
        <w:tblLayout w:type="fixed"/>
        <w:tblCellMar>
          <w:top w:w="28" w:type="dxa"/>
          <w:left w:w="28" w:type="dxa"/>
          <w:bottom w:w="28" w:type="dxa"/>
          <w:right w:w="28" w:type="dxa"/>
        </w:tblCellMar>
      </w:tblPr>
      <w:tblGrid>
        <w:gridCol w:w="331"/>
        <w:gridCol w:w="8326"/>
      </w:tblGrid>
      <w:tr>
        <w:trPr/>
        <w:tc>
          <w:tcPr>
            <w:tcW w:w="331" w:type="dxa"/>
            <w:tcBorders/>
            <w:vAlign w:val="center"/>
          </w:tcPr>
          <w:p>
            <w:pPr>
              <w:pStyle w:val="TableContents"/>
              <w:bidi w:val="0"/>
              <w:spacing w:before="0" w:after="283"/>
              <w:jc w:val="left"/>
              <w:rPr>
                <w:sz w:val="4"/>
                <w:szCs w:val="4"/>
              </w:rPr>
            </w:pPr>
            <w:r>
              <w:rPr>
                <w:sz w:val="4"/>
                <w:szCs w:val="4"/>
              </w:rPr>
            </w:r>
          </w:p>
        </w:tc>
        <w:tc>
          <w:tcPr>
            <w:tcW w:w="83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90" w:after="283"/>
              <w:jc w:val="left"/>
              <w:rPr>
                <w:color w:val="000000"/>
              </w:rPr>
            </w:pPr>
            <w:r>
              <w:rPr>
                <w:color w:val="000000"/>
              </w:rPr>
              <w:t>☐</w:t>
            </w:r>
          </w:p>
        </w:tc>
        <w:tc>
          <w:tcPr>
            <w:tcW w:w="8326" w:type="dxa"/>
            <w:tcBorders/>
            <w:tcMar>
              <w:top w:w="0" w:type="dxa"/>
              <w:left w:w="0" w:type="dxa"/>
              <w:bottom w:w="0" w:type="dxa"/>
              <w:right w:w="0" w:type="dxa"/>
            </w:tcMar>
            <w:vAlign w:val="center"/>
          </w:tcPr>
          <w:p>
            <w:pPr>
              <w:pStyle w:val="TableContents"/>
              <w:bidi w:val="0"/>
              <w:spacing w:before="90" w:after="283"/>
              <w:jc w:val="left"/>
              <w:rPr>
                <w:rFonts w:ascii="Calibri;sans-serif" w:hAnsi="Calibri;sans-serif"/>
                <w:b/>
                <w:color w:val="000000"/>
                <w:sz w:val="20"/>
              </w:rPr>
            </w:pPr>
            <w:r>
              <w:rPr>
                <w:rFonts w:ascii="Calibri;sans-serif" w:hAnsi="Calibri;sans-serif"/>
                <w:b/>
                <w:color w:val="000000"/>
                <w:sz w:val="20"/>
              </w:rPr>
              <w:t>TRANSITION REPORT PURSUANT TO SECTION 13 OR 15(d) OF THE SECURITIES EXCHANGE ACT OF 1934</w:t>
            </w:r>
          </w:p>
        </w:tc>
      </w:tr>
    </w:tbl>
    <w:p>
      <w:pPr>
        <w:pStyle w:val="TextBody"/>
        <w:bidi w:val="0"/>
        <w:spacing w:before="90" w:after="283"/>
        <w:jc w:val="center"/>
        <w:rPr>
          <w:rFonts w:ascii="Times New Roman" w:hAnsi="Times New Roman"/>
          <w:sz w:val="20"/>
        </w:rPr>
      </w:pPr>
      <w:r>
        <w:rPr>
          <w:rFonts w:ascii="Calibri;sans-serif" w:hAnsi="Calibri;sans-serif"/>
          <w:b/>
          <w:color w:val="000000"/>
          <w:sz w:val="20"/>
        </w:rPr>
        <w:t>For the transition period from to</w:t>
      </w:r>
      <w:r>
        <w:rPr>
          <w:rFonts w:ascii="Times New Roman" w:hAnsi="Times New Roman"/>
          <w:color w:val="000000"/>
          <w:sz w:val="20"/>
        </w:rPr>
        <w:t xml:space="preserve"> </w:t>
      </w:r>
    </w:p>
    <w:p>
      <w:pPr>
        <w:pStyle w:val="TextBody"/>
        <w:bidi w:val="0"/>
        <w:spacing w:before="90" w:after="283"/>
        <w:jc w:val="center"/>
        <w:rPr>
          <w:rFonts w:ascii="Calibri;sans-serif" w:hAnsi="Calibri;sans-serif"/>
          <w:b/>
          <w:color w:val="000000"/>
          <w:sz w:val="20"/>
        </w:rPr>
      </w:pPr>
      <w:r>
        <w:rPr>
          <w:rFonts w:ascii="Calibri;sans-serif" w:hAnsi="Calibri;sans-serif"/>
          <w:b/>
          <w:color w:val="000000"/>
          <w:sz w:val="20"/>
        </w:rPr>
        <w:t>Commission file number 1-5667</w:t>
      </w:r>
    </w:p>
    <w:p>
      <w:pPr>
        <w:pStyle w:val="TextBody"/>
        <w:pBdr>
          <w:bottom w:val="single" w:sz="4" w:space="1" w:color="000000"/>
        </w:pBdr>
        <w:bidi w:val="0"/>
        <w:jc w:val="center"/>
        <w:rPr/>
      </w:pPr>
      <w:r>
        <w:rPr/>
        <w:t> </w:t>
      </w:r>
    </w:p>
    <w:p>
      <w:pPr>
        <w:pStyle w:val="TextBody"/>
        <w:bidi w:val="0"/>
        <w:spacing w:before="90" w:after="283"/>
        <w:jc w:val="center"/>
        <w:rPr>
          <w:rFonts w:ascii="Calibri;sans-serif" w:hAnsi="Calibri;sans-serif"/>
          <w:b/>
          <w:color w:val="000000"/>
          <w:sz w:val="48"/>
        </w:rPr>
      </w:pPr>
      <w:r>
        <w:rPr>
          <w:rFonts w:ascii="Calibri;sans-serif" w:hAnsi="Calibri;sans-serif"/>
          <w:b/>
          <w:color w:val="000000"/>
          <w:sz w:val="48"/>
        </w:rPr>
        <w:t>Cabot Corporation</w:t>
      </w:r>
    </w:p>
    <w:p>
      <w:pPr>
        <w:pStyle w:val="TextBody"/>
        <w:bidi w:val="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542" w:type="dxa"/>
        <w:jc w:val="left"/>
        <w:tblInd w:w="0" w:type="dxa"/>
        <w:tblLayout w:type="fixed"/>
        <w:tblCellMar>
          <w:top w:w="28" w:type="dxa"/>
          <w:left w:w="28" w:type="dxa"/>
          <w:bottom w:w="28" w:type="dxa"/>
          <w:right w:w="28" w:type="dxa"/>
        </w:tblCellMar>
      </w:tblPr>
      <w:tblGrid>
        <w:gridCol w:w="2161"/>
        <w:gridCol w:w="1381"/>
      </w:tblGrid>
      <w:tr>
        <w:trPr/>
        <w:tc>
          <w:tcPr>
            <w:tcW w:w="21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90" w:after="283"/>
              <w:jc w:val="center"/>
              <w:rPr>
                <w:rFonts w:ascii="Calibri;sans-serif" w:hAnsi="Calibri;sans-serif"/>
                <w:b/>
                <w:color w:val="000000"/>
                <w:sz w:val="20"/>
              </w:rPr>
            </w:pPr>
            <w:r>
              <w:rPr>
                <w:rFonts w:ascii="Calibri;sans-serif" w:hAnsi="Calibri;sans-serif"/>
                <w:b/>
                <w:color w:val="000000"/>
                <w:sz w:val="20"/>
              </w:rPr>
              <w:t>Delaware</w:t>
            </w:r>
          </w:p>
        </w:tc>
        <w:tc>
          <w:tcPr>
            <w:tcW w:w="1381" w:type="dxa"/>
            <w:tcBorders/>
            <w:vAlign w:val="center"/>
          </w:tcPr>
          <w:p>
            <w:pPr>
              <w:pStyle w:val="TableContents"/>
              <w:bidi w:val="0"/>
              <w:spacing w:before="90" w:after="283"/>
              <w:jc w:val="center"/>
              <w:rPr>
                <w:rFonts w:ascii="Calibri;sans-serif" w:hAnsi="Calibri;sans-serif"/>
                <w:b/>
                <w:color w:val="000000"/>
                <w:sz w:val="20"/>
              </w:rPr>
            </w:pPr>
            <w:r>
              <w:rPr>
                <w:rFonts w:ascii="Calibri;sans-serif" w:hAnsi="Calibri;sans-serif"/>
                <w:b/>
                <w:color w:val="000000"/>
                <w:sz w:val="20"/>
              </w:rPr>
              <w:t>04-2271897</w:t>
            </w:r>
          </w:p>
        </w:tc>
      </w:tr>
      <w:tr>
        <w:trPr/>
        <w:tc>
          <w:tcPr>
            <w:tcW w:w="2161"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(State or other jurisdiction of</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incorporation or organization)</w:t>
            </w:r>
          </w:p>
        </w:tc>
        <w:tc>
          <w:tcPr>
            <w:tcW w:w="1381"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(I.R.S. Employer</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Identification No.)</w:t>
            </w:r>
          </w:p>
        </w:tc>
      </w:tr>
    </w:tbl>
    <w:p>
      <w:pPr>
        <w:pStyle w:val="TextBody"/>
        <w:bidi w:val="0"/>
        <w:jc w:val="left"/>
        <w:rPr/>
      </w:pPr>
      <w:r>
        <w:rPr/>
        <w:t> </w:t>
      </w:r>
    </w:p>
    <w:tbl>
      <w:tblPr>
        <w:tblW w:w="3917" w:type="dxa"/>
        <w:jc w:val="left"/>
        <w:tblInd w:w="0" w:type="dxa"/>
        <w:tblLayout w:type="fixed"/>
        <w:tblCellMar>
          <w:top w:w="28" w:type="dxa"/>
          <w:left w:w="28" w:type="dxa"/>
          <w:bottom w:w="28" w:type="dxa"/>
          <w:right w:w="28" w:type="dxa"/>
        </w:tblCellMar>
      </w:tblPr>
      <w:tblGrid>
        <w:gridCol w:w="2761"/>
        <w:gridCol w:w="1156"/>
      </w:tblGrid>
      <w:tr>
        <w:trPr/>
        <w:tc>
          <w:tcPr>
            <w:tcW w:w="27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761" w:type="dxa"/>
            <w:tcBorders/>
            <w:vAlign w:val="center"/>
          </w:tcPr>
          <w:p>
            <w:pPr>
              <w:pStyle w:val="TableContents"/>
              <w:bidi w:val="0"/>
              <w:jc w:val="center"/>
              <w:rPr>
                <w:rFonts w:ascii="Calibri;sans-serif" w:hAnsi="Calibri;sans-serif"/>
                <w:b/>
                <w:color w:val="000000"/>
                <w:sz w:val="20"/>
              </w:rPr>
            </w:pPr>
            <w:r>
              <w:rPr>
                <w:rFonts w:ascii="Calibri;sans-serif" w:hAnsi="Calibri;sans-serif"/>
                <w:b/>
                <w:color w:val="000000"/>
                <w:sz w:val="20"/>
              </w:rPr>
              <w:t>Two Seaport Lane, Suite 1400</w:t>
            </w:r>
          </w:p>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Boston, Massachusetts</w:t>
            </w:r>
          </w:p>
        </w:tc>
        <w:tc>
          <w:tcPr>
            <w:tcW w:w="1156" w:type="dxa"/>
            <w:tcBorders/>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02210-2019</w:t>
            </w:r>
          </w:p>
        </w:tc>
      </w:tr>
      <w:tr>
        <w:trPr/>
        <w:tc>
          <w:tcPr>
            <w:tcW w:w="2761"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1156"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before="90" w:after="283"/>
        <w:jc w:val="center"/>
        <w:rPr>
          <w:rFonts w:ascii="Calibri;sans-serif" w:hAnsi="Calibri;sans-serif"/>
          <w:b/>
          <w:color w:val="000000"/>
          <w:sz w:val="20"/>
        </w:rPr>
      </w:pPr>
      <w:r>
        <w:rPr>
          <w:rFonts w:ascii="Calibri;sans-serif" w:hAnsi="Calibri;sans-serif"/>
          <w:b/>
          <w:color w:val="000000"/>
          <w:sz w:val="20"/>
        </w:rPr>
        <w:t>Registrant’s telephone number, including area code: (617) 345-0100</w:t>
      </w:r>
    </w:p>
    <w:p>
      <w:pPr>
        <w:pStyle w:val="TextBody"/>
        <w:pBdr>
          <w:bottom w:val="single" w:sz="4" w:space="1" w:color="000000"/>
        </w:pBdr>
        <w:bidi w:val="0"/>
        <w:spacing w:before="0" w:after="90"/>
        <w:jc w:val="center"/>
        <w:rPr/>
      </w:pPr>
      <w:r>
        <w:rPr/>
        <w:t> </w:t>
      </w:r>
    </w:p>
    <w:p>
      <w:pPr>
        <w:pStyle w:val="TextBody"/>
        <w:bidi w:val="0"/>
        <w:spacing w:before="90" w:after="90"/>
        <w:jc w:val="left"/>
        <w:rPr>
          <w:rFonts w:ascii="Calibri;sans-serif" w:hAnsi="Calibri;sans-serif"/>
          <w:color w:val="000000"/>
          <w:sz w:val="19"/>
        </w:rPr>
      </w:pPr>
      <w:r>
        <w:rPr>
          <w:rFonts w:ascii="Calibri;sans-serif" w:hAnsi="Calibri;sans-serif"/>
          <w:color w:val="000000"/>
          <w:sz w:val="19"/>
        </w:rPr>
        <w:t>Securities registered pursuant to Section 12(b) of the Securities Exchange Act of 1934:</w:t>
      </w:r>
    </w:p>
    <w:tbl>
      <w:tblPr>
        <w:tblW w:w="7788" w:type="dxa"/>
        <w:jc w:val="left"/>
        <w:tblInd w:w="0" w:type="dxa"/>
        <w:tblLayout w:type="fixed"/>
        <w:tblCellMar>
          <w:top w:w="28" w:type="dxa"/>
          <w:left w:w="28" w:type="dxa"/>
          <w:bottom w:w="28" w:type="dxa"/>
          <w:right w:w="28" w:type="dxa"/>
        </w:tblCellMar>
      </w:tblPr>
      <w:tblGrid>
        <w:gridCol w:w="2941"/>
        <w:gridCol w:w="1426"/>
        <w:gridCol w:w="3421"/>
      </w:tblGrid>
      <w:tr>
        <w:trPr/>
        <w:tc>
          <w:tcPr>
            <w:tcW w:w="29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29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0" w:after="20"/>
              <w:jc w:val="center"/>
              <w:rPr>
                <w:rFonts w:ascii="Calibri;sans-serif" w:hAnsi="Calibri;sans-serif"/>
                <w:color w:val="000000"/>
                <w:sz w:val="18"/>
              </w:rPr>
            </w:pPr>
            <w:r>
              <w:rPr>
                <w:rFonts w:ascii="Calibri;sans-serif" w:hAnsi="Calibri;sans-serif"/>
                <w:color w:val="000000"/>
                <w:sz w:val="18"/>
              </w:rPr>
              <w:t>Title of each class</w:t>
            </w:r>
          </w:p>
        </w:tc>
        <w:tc>
          <w:tcPr>
            <w:tcW w:w="14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0" w:after="20"/>
              <w:jc w:val="center"/>
              <w:rPr>
                <w:rFonts w:ascii="Calibri;sans-serif" w:hAnsi="Calibri;sans-serif"/>
                <w:color w:val="000000"/>
                <w:sz w:val="18"/>
              </w:rPr>
            </w:pPr>
            <w:r>
              <w:rPr>
                <w:rFonts w:ascii="Calibri;sans-serif" w:hAnsi="Calibri;sans-serif"/>
                <w:color w:val="000000"/>
                <w:sz w:val="18"/>
              </w:rPr>
              <w:t>Trading symbol(s)</w:t>
            </w:r>
          </w:p>
        </w:tc>
        <w:tc>
          <w:tcPr>
            <w:tcW w:w="34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0" w:after="20"/>
              <w:jc w:val="center"/>
              <w:rPr>
                <w:rFonts w:ascii="Calibri;sans-serif" w:hAnsi="Calibri;sans-serif"/>
                <w:color w:val="000000"/>
                <w:sz w:val="18"/>
              </w:rPr>
            </w:pPr>
            <w:r>
              <w:rPr>
                <w:rFonts w:ascii="Calibri;sans-serif" w:hAnsi="Calibri;sans-serif"/>
                <w:color w:val="000000"/>
                <w:sz w:val="18"/>
              </w:rPr>
              <w:t>Name of each exchange on which registered</w:t>
            </w:r>
          </w:p>
        </w:tc>
      </w:tr>
      <w:tr>
        <w:trPr/>
        <w:tc>
          <w:tcPr>
            <w:tcW w:w="29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Common Stock, $1 par value per share</w:t>
            </w:r>
          </w:p>
        </w:tc>
        <w:tc>
          <w:tcPr>
            <w:tcW w:w="14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CBT</w:t>
            </w:r>
          </w:p>
        </w:tc>
        <w:tc>
          <w:tcPr>
            <w:tcW w:w="34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The New York Stock Exchange</w:t>
            </w:r>
          </w:p>
        </w:tc>
      </w:tr>
    </w:tbl>
    <w:p>
      <w:pPr>
        <w:pStyle w:val="TextBody"/>
        <w:bidi w:val="0"/>
        <w:spacing w:before="90" w:after="283"/>
        <w:jc w:val="left"/>
        <w:rPr>
          <w:rFonts w:ascii="Times New Roman" w:hAnsi="Times New Roman"/>
          <w:sz w:val="20"/>
        </w:rPr>
      </w:pPr>
      <w:r>
        <w:rPr>
          <w:rFonts w:ascii="Calibri;sans-serif" w:hAnsi="Calibri;sans-serif"/>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Calibri;sans-serif" w:hAnsi="Calibri;sans-serif"/>
          <w:color w:val="000000"/>
          <w:sz w:val="19"/>
        </w:rPr>
        <w:t xml:space="preserve">No </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Calibri;sans-serif" w:hAnsi="Calibri;sans-serif"/>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Calibri;sans-serif" w:hAnsi="Calibri;sans-serif"/>
          <w:color w:val="000000"/>
          <w:sz w:val="19"/>
        </w:rPr>
        <w:t xml:space="preserve">No </w:t>
      </w:r>
      <w:r>
        <w:rPr>
          <w:rFonts w:ascii="Times New Roman" w:hAnsi="Times New Roman"/>
          <w:color w:val="000000"/>
          <w:sz w:val="20"/>
        </w:rPr>
        <w:t>☐</w:t>
      </w:r>
    </w:p>
    <w:p>
      <w:pPr>
        <w:pStyle w:val="TextBody"/>
        <w:bidi w:val="0"/>
        <w:spacing w:before="90" w:after="283"/>
        <w:jc w:val="left"/>
        <w:rPr>
          <w:rFonts w:ascii="Calibri;sans-serif" w:hAnsi="Calibri;sans-serif"/>
          <w:color w:val="000000"/>
          <w:sz w:val="19"/>
        </w:rPr>
      </w:pPr>
      <w:r>
        <w:rPr>
          <w:rFonts w:ascii="Calibri;sans-serif" w:hAnsi="Calibri;sans-serif"/>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24" w:type="dxa"/>
        <w:jc w:val="left"/>
        <w:tblInd w:w="0" w:type="dxa"/>
        <w:tblLayout w:type="fixed"/>
        <w:tblCellMar>
          <w:top w:w="28" w:type="dxa"/>
          <w:left w:w="28" w:type="dxa"/>
          <w:bottom w:w="28" w:type="dxa"/>
          <w:right w:w="28" w:type="dxa"/>
        </w:tblCellMar>
      </w:tblPr>
      <w:tblGrid>
        <w:gridCol w:w="2236"/>
        <w:gridCol w:w="376"/>
        <w:gridCol w:w="2251"/>
        <w:gridCol w:w="361"/>
      </w:tblGrid>
      <w:tr>
        <w:trPr/>
        <w:tc>
          <w:tcPr>
            <w:tcW w:w="22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rFonts w:ascii="Calibri;sans-serif" w:hAnsi="Calibri;sans-serif"/>
                <w:color w:val="000000"/>
                <w:sz w:val="19"/>
              </w:rPr>
            </w:pPr>
            <w:r>
              <w:rPr>
                <w:rFonts w:ascii="Calibri;sans-serif" w:hAnsi="Calibri;sans-serif"/>
                <w:color w:val="000000"/>
                <w:sz w:val="19"/>
              </w:rPr>
              <w:t>Large accelerated filer</w:t>
            </w:r>
          </w:p>
        </w:tc>
        <w:tc>
          <w:tcPr>
            <w:tcW w:w="376" w:type="dxa"/>
            <w:tcBorders/>
            <w:vAlign w:val="center"/>
          </w:tcPr>
          <w:p>
            <w:pPr>
              <w:pStyle w:val="TableContents"/>
              <w:bidi w:val="0"/>
              <w:spacing w:before="0" w:after="283"/>
              <w:jc w:val="left"/>
              <w:rPr>
                <w:color w:val="000000"/>
              </w:rPr>
            </w:pPr>
            <w:r>
              <w:rPr>
                <w:color w:val="000000"/>
              </w:rPr>
              <w:t>☒</w:t>
            </w:r>
          </w:p>
        </w:tc>
        <w:tc>
          <w:tcPr>
            <w:tcW w:w="2251" w:type="dxa"/>
            <w:tcBorders/>
            <w:vAlign w:val="center"/>
          </w:tcPr>
          <w:p>
            <w:pPr>
              <w:pStyle w:val="TableContents"/>
              <w:bidi w:val="0"/>
              <w:spacing w:before="0" w:after="283"/>
              <w:jc w:val="left"/>
              <w:rPr>
                <w:rFonts w:ascii="Calibri;sans-serif" w:hAnsi="Calibri;sans-serif"/>
                <w:color w:val="000000"/>
                <w:sz w:val="19"/>
              </w:rPr>
            </w:pPr>
            <w:r>
              <w:rPr>
                <w:rFonts w:ascii="Calibri;sans-serif" w:hAnsi="Calibri;sans-serif"/>
                <w:color w:val="000000"/>
                <w:sz w:val="19"/>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23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25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236" w:type="dxa"/>
            <w:tcBorders/>
            <w:vAlign w:val="center"/>
          </w:tcPr>
          <w:p>
            <w:pPr>
              <w:pStyle w:val="TableContents"/>
              <w:bidi w:val="0"/>
              <w:spacing w:before="0" w:after="283"/>
              <w:jc w:val="left"/>
              <w:rPr>
                <w:rFonts w:ascii="Calibri;sans-serif" w:hAnsi="Calibri;sans-serif"/>
                <w:color w:val="000000"/>
                <w:sz w:val="19"/>
              </w:rPr>
            </w:pPr>
            <w:r>
              <w:rPr>
                <w:rFonts w:ascii="Calibri;sans-serif" w:hAnsi="Calibri;sans-serif"/>
                <w:color w:val="000000"/>
                <w:sz w:val="19"/>
              </w:rPr>
              <w:t>Non-accelerated filer</w:t>
            </w:r>
          </w:p>
        </w:tc>
        <w:tc>
          <w:tcPr>
            <w:tcW w:w="376" w:type="dxa"/>
            <w:tcBorders/>
            <w:vAlign w:val="center"/>
          </w:tcPr>
          <w:p>
            <w:pPr>
              <w:pStyle w:val="TableContents"/>
              <w:bidi w:val="0"/>
              <w:spacing w:before="0" w:after="283"/>
              <w:jc w:val="left"/>
              <w:rPr>
                <w:color w:val="000000"/>
              </w:rPr>
            </w:pPr>
            <w:r>
              <w:rPr>
                <w:color w:val="000000"/>
              </w:rPr>
              <w:t xml:space="preserve">☐ </w:t>
            </w:r>
          </w:p>
        </w:tc>
        <w:tc>
          <w:tcPr>
            <w:tcW w:w="2251" w:type="dxa"/>
            <w:tcBorders/>
            <w:vAlign w:val="center"/>
          </w:tcPr>
          <w:p>
            <w:pPr>
              <w:pStyle w:val="TableContents"/>
              <w:bidi w:val="0"/>
              <w:spacing w:before="0" w:after="283"/>
              <w:jc w:val="left"/>
              <w:rPr>
                <w:rFonts w:ascii="Calibri;sans-serif" w:hAnsi="Calibri;sans-serif"/>
                <w:color w:val="000000"/>
                <w:sz w:val="19"/>
              </w:rPr>
            </w:pPr>
            <w:r>
              <w:rPr>
                <w:rFonts w:ascii="Calibri;sans-serif" w:hAnsi="Calibri;sans-serif"/>
                <w:color w:val="000000"/>
                <w:sz w:val="19"/>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23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25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236" w:type="dxa"/>
            <w:tcBorders/>
            <w:vAlign w:val="center"/>
          </w:tcPr>
          <w:p>
            <w:pPr>
              <w:pStyle w:val="TableContents"/>
              <w:bidi w:val="0"/>
              <w:spacing w:before="0" w:after="283"/>
              <w:jc w:val="left"/>
              <w:rPr>
                <w:rFonts w:ascii="Calibri;sans-serif" w:hAnsi="Calibri;sans-serif"/>
                <w:color w:val="000000"/>
                <w:sz w:val="19"/>
              </w:rPr>
            </w:pPr>
            <w:r>
              <w:rPr>
                <w:rFonts w:ascii="Calibri;sans-serif" w:hAnsi="Calibri;sans-serif"/>
                <w:color w:val="000000"/>
                <w:sz w:val="19"/>
              </w:rPr>
              <w:t>Emerging growth company</w:t>
            </w:r>
          </w:p>
        </w:tc>
        <w:tc>
          <w:tcPr>
            <w:tcW w:w="376" w:type="dxa"/>
            <w:tcBorders/>
            <w:vAlign w:val="center"/>
          </w:tcPr>
          <w:p>
            <w:pPr>
              <w:pStyle w:val="TableContents"/>
              <w:bidi w:val="0"/>
              <w:spacing w:before="0" w:after="283"/>
              <w:jc w:val="left"/>
              <w:rPr>
                <w:color w:val="000000"/>
              </w:rPr>
            </w:pPr>
            <w:r>
              <w:rPr>
                <w:color w:val="000000"/>
              </w:rPr>
              <w:t>☐</w:t>
            </w:r>
          </w:p>
        </w:tc>
        <w:tc>
          <w:tcPr>
            <w:tcW w:w="225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90" w:after="283"/>
        <w:jc w:val="left"/>
        <w:rPr>
          <w:rFonts w:ascii="Times New Roman" w:hAnsi="Times New Roman"/>
          <w:sz w:val="20"/>
        </w:rPr>
      </w:pPr>
      <w:r>
        <w:rPr>
          <w:rFonts w:ascii="Calibri;sans-serif" w:hAnsi="Calibri;sans-serif"/>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Calibri;sans-serif" w:hAnsi="Calibri;sans-serif"/>
          <w:color w:val="000000"/>
          <w:sz w:val="19"/>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Calibri;sans-serif" w:hAnsi="Calibri;sans-serif"/>
          <w:color w:val="000000"/>
          <w:sz w:val="19"/>
        </w:rPr>
        <w:t xml:space="preserve">No </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Calibri;sans-serif" w:hAnsi="Calibri;sans-serif"/>
          <w:color w:val="000000"/>
          <w:sz w:val="19"/>
        </w:rPr>
        <w:t>The Company had 55,258,155</w:t>
      </w:r>
      <w:r>
        <w:rPr>
          <w:rFonts w:ascii="Times New Roman" w:hAnsi="Times New Roman"/>
          <w:color w:val="000000"/>
          <w:sz w:val="20"/>
        </w:rPr>
        <w:t xml:space="preserve"> </w:t>
      </w:r>
      <w:r>
        <w:rPr>
          <w:rFonts w:ascii="Calibri;sans-serif" w:hAnsi="Calibri;sans-serif"/>
          <w:color w:val="000000"/>
          <w:sz w:val="19"/>
        </w:rPr>
        <w:t>shares of common stock, $1.00 par value per share, outstanding as of May 6, 2024.</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INDEX</w:t>
      </w:r>
    </w:p>
    <w:p>
      <w:pPr>
        <w:pStyle w:val="TextBody"/>
        <w:bidi w:val="0"/>
        <w:jc w:val="left"/>
        <w:rPr/>
      </w:pPr>
      <w:r>
        <w:rPr/>
        <w:t> </w:t>
      </w:r>
    </w:p>
    <w:tbl>
      <w:tblPr>
        <w:tblW w:w="8729" w:type="dxa"/>
        <w:jc w:val="left"/>
        <w:tblInd w:w="0" w:type="dxa"/>
        <w:tblLayout w:type="fixed"/>
        <w:tblCellMar>
          <w:top w:w="28" w:type="dxa"/>
          <w:left w:w="28" w:type="dxa"/>
          <w:bottom w:w="28" w:type="dxa"/>
          <w:right w:w="28" w:type="dxa"/>
        </w:tblCellMar>
      </w:tblPr>
      <w:tblGrid>
        <w:gridCol w:w="631"/>
        <w:gridCol w:w="646"/>
        <w:gridCol w:w="7021"/>
        <w:gridCol w:w="431"/>
      </w:tblGrid>
      <w:tr>
        <w:trPr/>
        <w:tc>
          <w:tcPr>
            <w:tcW w:w="6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631" w:type="dxa"/>
            <w:tcBorders/>
            <w:vAlign w:val="center"/>
          </w:tcPr>
          <w:p>
            <w:pPr>
              <w:pStyle w:val="TableContents"/>
              <w:pBdr/>
              <w:bidi w:val="0"/>
              <w:spacing w:before="0" w:after="283"/>
              <w:ind w:left="0" w:right="0" w:hanging="240"/>
              <w:jc w:val="left"/>
              <w:rPr>
                <w:rFonts w:ascii="Calibri;sans-serif" w:hAnsi="Calibri;sans-serif"/>
                <w:color w:val="000000"/>
                <w:sz w:val="20"/>
              </w:rPr>
            </w:pPr>
            <w:r>
              <w:rPr>
                <w:rFonts w:ascii="Calibri;sans-serif" w:hAnsi="Calibri;sans-serif"/>
                <w:color w:val="000000"/>
                <w:sz w:val="20"/>
              </w:rPr>
              <w:t>Part I.</w:t>
            </w:r>
          </w:p>
        </w:tc>
        <w:tc>
          <w:tcPr>
            <w:tcW w:w="7667" w:type="dxa"/>
            <w:gridSpan w:val="2"/>
            <w:tcBorders/>
            <w:vAlign w:val="center"/>
          </w:tcPr>
          <w:p>
            <w:pPr>
              <w:pStyle w:val="TableContents"/>
              <w:bidi w:val="0"/>
              <w:spacing w:before="0" w:after="283"/>
              <w:jc w:val="left"/>
              <w:rPr/>
            </w:pPr>
            <w:hyperlink w:anchor="part_i_financial_information">
              <w:r>
                <w:rPr>
                  <w:rStyle w:val="InternetLink"/>
                  <w:rFonts w:ascii="Calibri;sans-serif" w:hAnsi="Calibri;sans-serif"/>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431" w:type="dxa"/>
            <w:tcBorders/>
            <w:vAlign w:val="center"/>
          </w:tcPr>
          <w:p>
            <w:pPr>
              <w:pStyle w:val="TableContents"/>
              <w:bidi w:val="0"/>
              <w:spacing w:before="0" w:after="283"/>
              <w:jc w:val="right"/>
              <w:rPr/>
            </w:pPr>
            <w:r>
              <w:rPr/>
              <w:t> </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7021" w:type="dxa"/>
            <w:tcBorders/>
            <w:vAlign w:val="center"/>
          </w:tcPr>
          <w:p>
            <w:pPr>
              <w:pStyle w:val="TableContents"/>
              <w:bidi w:val="0"/>
              <w:spacing w:before="0" w:after="283"/>
              <w:jc w:val="left"/>
              <w:rPr/>
            </w:pPr>
            <w:hyperlink w:anchor="item_1financial_statements">
              <w:r>
                <w:rPr>
                  <w:rStyle w:val="InternetLink"/>
                  <w:rFonts w:ascii="Calibri;sans-serif" w:hAnsi="Calibri;sans-serif"/>
                  <w:color w:val="0000FF"/>
                  <w:sz w:val="20"/>
                  <w:u w:val="single"/>
                </w:rPr>
                <w:t>Financial Statements (unaudited)</w:t>
              </w:r>
            </w:hyperlink>
          </w:p>
        </w:tc>
        <w:tc>
          <w:tcPr>
            <w:tcW w:w="431" w:type="dxa"/>
            <w:tcBorders/>
            <w:vAlign w:val="center"/>
          </w:tcPr>
          <w:p>
            <w:pPr>
              <w:pStyle w:val="TableContents"/>
              <w:bidi w:val="0"/>
              <w:spacing w:before="0" w:after="283"/>
              <w:jc w:val="right"/>
              <w:rPr/>
            </w:pPr>
            <w:r>
              <w:rPr/>
              <w:t> </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ind w:left="0" w:right="0" w:firstLine="240"/>
              <w:jc w:val="left"/>
              <w:rPr>
                <w:sz w:val="4"/>
                <w:szCs w:val="4"/>
              </w:rPr>
            </w:pPr>
            <w:r>
              <w:rPr>
                <w:sz w:val="4"/>
                <w:szCs w:val="4"/>
              </w:rPr>
            </w:r>
          </w:p>
        </w:tc>
        <w:tc>
          <w:tcPr>
            <w:tcW w:w="7021" w:type="dxa"/>
            <w:tcBorders/>
            <w:vAlign w:val="center"/>
          </w:tcPr>
          <w:p>
            <w:pPr>
              <w:pStyle w:val="TableContents"/>
              <w:pBdr/>
              <w:bidi w:val="0"/>
              <w:spacing w:before="0" w:after="283"/>
              <w:ind w:left="0" w:right="0" w:hanging="240"/>
              <w:jc w:val="left"/>
              <w:rPr/>
            </w:pPr>
            <w:hyperlink w:anchor="consolidated_statements_operations">
              <w:r>
                <w:rPr>
                  <w:rStyle w:val="InternetLink"/>
                  <w:rFonts w:ascii="Calibri;sans-serif" w:hAnsi="Calibri;sans-serif"/>
                  <w:color w:val="0000FF"/>
                  <w:sz w:val="20"/>
                  <w:u w:val="single"/>
                </w:rPr>
                <w:t>Consolidated Statements of Operations</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ind w:left="0" w:right="0" w:firstLine="240"/>
              <w:jc w:val="left"/>
              <w:rPr>
                <w:sz w:val="4"/>
                <w:szCs w:val="4"/>
              </w:rPr>
            </w:pPr>
            <w:r>
              <w:rPr>
                <w:sz w:val="4"/>
                <w:szCs w:val="4"/>
              </w:rPr>
            </w:r>
          </w:p>
        </w:tc>
        <w:tc>
          <w:tcPr>
            <w:tcW w:w="7021" w:type="dxa"/>
            <w:tcBorders/>
            <w:vAlign w:val="center"/>
          </w:tcPr>
          <w:p>
            <w:pPr>
              <w:pStyle w:val="TableContents"/>
              <w:pBdr/>
              <w:bidi w:val="0"/>
              <w:spacing w:before="0" w:after="283"/>
              <w:ind w:left="0" w:right="0" w:hanging="240"/>
              <w:jc w:val="left"/>
              <w:rPr/>
            </w:pPr>
            <w:hyperlink w:anchor="consolidated_statements_comprehensive_lo">
              <w:r>
                <w:rPr>
                  <w:rStyle w:val="InternetLink"/>
                  <w:rFonts w:ascii="Calibri;sans-serif" w:hAnsi="Calibri;sans-serif"/>
                  <w:color w:val="0000FF"/>
                  <w:sz w:val="20"/>
                  <w:u w:val="single"/>
                </w:rPr>
                <w:t>Consolidated Statements of Comprehensive Income (Loss)</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pPr>
            <w:hyperlink w:anchor="consolidated_balance_sheets">
              <w:r>
                <w:rPr>
                  <w:rStyle w:val="InternetLink"/>
                  <w:rFonts w:ascii="Calibri;sans-serif" w:hAnsi="Calibri;sans-serif"/>
                  <w:color w:val="0000FF"/>
                  <w:sz w:val="20"/>
                  <w:u w:val="single"/>
                </w:rPr>
                <w:t>Consolidated Balance Sheets</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ind w:left="0" w:right="0" w:firstLine="240"/>
              <w:jc w:val="left"/>
              <w:rPr>
                <w:sz w:val="4"/>
                <w:szCs w:val="4"/>
              </w:rPr>
            </w:pPr>
            <w:r>
              <w:rPr>
                <w:sz w:val="4"/>
                <w:szCs w:val="4"/>
              </w:rPr>
            </w:r>
          </w:p>
        </w:tc>
        <w:tc>
          <w:tcPr>
            <w:tcW w:w="7021" w:type="dxa"/>
            <w:tcBorders/>
            <w:vAlign w:val="center"/>
          </w:tcPr>
          <w:p>
            <w:pPr>
              <w:pStyle w:val="TableContents"/>
              <w:pBdr/>
              <w:bidi w:val="0"/>
              <w:spacing w:before="0" w:after="283"/>
              <w:ind w:left="0" w:right="0" w:hanging="240"/>
              <w:jc w:val="left"/>
              <w:rPr/>
            </w:pPr>
            <w:hyperlink w:anchor="consolidated_statements_cash_flows">
              <w:r>
                <w:rPr>
                  <w:rStyle w:val="InternetLink"/>
                  <w:rFonts w:ascii="Calibri;sans-serif" w:hAnsi="Calibri;sans-serif"/>
                  <w:color w:val="0000FF"/>
                  <w:sz w:val="20"/>
                  <w:u w:val="single"/>
                </w:rPr>
                <w:t>Consolidated Statements of Cash Flows</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ind w:left="0" w:right="0" w:firstLine="240"/>
              <w:jc w:val="left"/>
              <w:rPr/>
            </w:pPr>
            <w:r>
              <w:rPr/>
              <w:t> </w:t>
            </w:r>
          </w:p>
        </w:tc>
        <w:tc>
          <w:tcPr>
            <w:tcW w:w="7021" w:type="dxa"/>
            <w:tcBorders/>
            <w:vAlign w:val="center"/>
          </w:tcPr>
          <w:p>
            <w:pPr>
              <w:pStyle w:val="TableContents"/>
              <w:pBdr/>
              <w:bidi w:val="0"/>
              <w:spacing w:before="0" w:after="283"/>
              <w:ind w:left="0" w:right="0" w:hanging="240"/>
              <w:jc w:val="left"/>
              <w:rPr/>
            </w:pPr>
            <w:hyperlink w:anchor="consolidated_statements_changes_equity">
              <w:r>
                <w:rPr>
                  <w:rStyle w:val="InternetLink"/>
                  <w:rFonts w:ascii="Calibri;sans-serif" w:hAnsi="Calibri;sans-serif"/>
                  <w:color w:val="0000FF"/>
                  <w:sz w:val="20"/>
                  <w:u w:val="single"/>
                </w:rPr>
                <w:t>Consolidated Statements of Changes in Stockholders’ Equity</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pPr>
            <w:hyperlink w:anchor="notes_to_consolidated_financial_statemen">
              <w:r>
                <w:rPr>
                  <w:rStyle w:val="InternetLink"/>
                  <w:rFonts w:ascii="Calibri;sans-serif" w:hAnsi="Calibri;sans-serif"/>
                  <w:color w:val="0000FF"/>
                  <w:sz w:val="20"/>
                  <w:u w:val="single"/>
                </w:rPr>
                <w:t>Notes to the Consolidated Financial Statements</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pPr>
            <w:r>
              <w:rPr/>
              <w:t> </w:t>
            </w:r>
          </w:p>
        </w:tc>
        <w:tc>
          <w:tcPr>
            <w:tcW w:w="7021"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7021" w:type="dxa"/>
            <w:tcBorders/>
            <w:vAlign w:val="center"/>
          </w:tcPr>
          <w:p>
            <w:pPr>
              <w:pStyle w:val="TableContents"/>
              <w:bidi w:val="0"/>
              <w:spacing w:before="0" w:after="283"/>
              <w:jc w:val="left"/>
              <w:rPr/>
            </w:pPr>
            <w:hyperlink w:anchor="item_2_managements_discussion_analysis_f">
              <w:r>
                <w:rPr>
                  <w:rStyle w:val="InternetLink"/>
                  <w:rFonts w:ascii="Calibri;sans-serif" w:hAnsi="Calibri;sans-serif"/>
                  <w:color w:val="0000FF"/>
                  <w:sz w:val="20"/>
                  <w:u w:val="single"/>
                </w:rPr>
                <w:t>Management’s Discussion and Analysis of Financial Condition and Results of Operations</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3.</w:t>
            </w:r>
          </w:p>
        </w:tc>
        <w:tc>
          <w:tcPr>
            <w:tcW w:w="7021" w:type="dxa"/>
            <w:tcBorders/>
            <w:vAlign w:val="center"/>
          </w:tcPr>
          <w:p>
            <w:pPr>
              <w:pStyle w:val="TableContents"/>
              <w:bidi w:val="0"/>
              <w:spacing w:before="0" w:after="283"/>
              <w:jc w:val="left"/>
              <w:rPr/>
            </w:pPr>
            <w:hyperlink w:anchor="item_3_quantitative_qualitative_disclosu">
              <w:r>
                <w:rPr>
                  <w:rStyle w:val="InternetLink"/>
                  <w:rFonts w:ascii="Calibri;sans-serif" w:hAnsi="Calibri;sans-serif"/>
                  <w:color w:val="0000FF"/>
                  <w:sz w:val="20"/>
                  <w:u w:val="single"/>
                </w:rPr>
                <w:t>Quantitative and Qualitative Disclosures About Market Risk</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4.</w:t>
            </w:r>
          </w:p>
        </w:tc>
        <w:tc>
          <w:tcPr>
            <w:tcW w:w="7021" w:type="dxa"/>
            <w:tcBorders/>
            <w:vAlign w:val="center"/>
          </w:tcPr>
          <w:p>
            <w:pPr>
              <w:pStyle w:val="TableContents"/>
              <w:bidi w:val="0"/>
              <w:spacing w:before="0" w:after="283"/>
              <w:jc w:val="left"/>
              <w:rPr/>
            </w:pPr>
            <w:hyperlink w:anchor="item_4_controls_procedures">
              <w:r>
                <w:rPr>
                  <w:rStyle w:val="InternetLink"/>
                  <w:rFonts w:ascii="Calibri;sans-serif" w:hAnsi="Calibri;sans-serif"/>
                  <w:color w:val="0000FF"/>
                  <w:sz w:val="20"/>
                  <w:u w:val="single"/>
                </w:rPr>
                <w:t>Controls and Procedures</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r>
      <w:tr>
        <w:trPr/>
        <w:tc>
          <w:tcPr>
            <w:tcW w:w="631" w:type="dxa"/>
            <w:tcBorders/>
            <w:vAlign w:val="center"/>
          </w:tcPr>
          <w:p>
            <w:pPr>
              <w:pStyle w:val="TableContents"/>
              <w:bidi w:val="0"/>
              <w:spacing w:before="0" w:after="283"/>
              <w:jc w:val="left"/>
              <w:rPr/>
            </w:pPr>
            <w:r>
              <w:rPr/>
              <w:t> </w:t>
            </w:r>
          </w:p>
        </w:tc>
        <w:tc>
          <w:tcPr>
            <w:tcW w:w="7667" w:type="dxa"/>
            <w:gridSpan w:val="2"/>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ind w:left="0" w:right="0" w:firstLine="240"/>
              <w:jc w:val="right"/>
              <w:rPr/>
            </w:pPr>
            <w:r>
              <w:rPr/>
              <w:t> </w:t>
            </w:r>
          </w:p>
        </w:tc>
      </w:tr>
      <w:tr>
        <w:trPr/>
        <w:tc>
          <w:tcPr>
            <w:tcW w:w="631" w:type="dxa"/>
            <w:tcBorders/>
            <w:vAlign w:val="center"/>
          </w:tcPr>
          <w:p>
            <w:pPr>
              <w:pStyle w:val="TableContents"/>
              <w:pBdr/>
              <w:bidi w:val="0"/>
              <w:spacing w:before="0" w:after="283"/>
              <w:ind w:left="0" w:right="0" w:hanging="240"/>
              <w:jc w:val="left"/>
              <w:rPr>
                <w:rFonts w:ascii="Calibri;sans-serif" w:hAnsi="Calibri;sans-serif"/>
                <w:color w:val="000000"/>
                <w:sz w:val="20"/>
              </w:rPr>
            </w:pPr>
            <w:r>
              <w:rPr>
                <w:rFonts w:ascii="Calibri;sans-serif" w:hAnsi="Calibri;sans-serif"/>
                <w:color w:val="000000"/>
                <w:sz w:val="20"/>
              </w:rPr>
              <w:t>Part II.</w:t>
            </w:r>
          </w:p>
        </w:tc>
        <w:tc>
          <w:tcPr>
            <w:tcW w:w="7667" w:type="dxa"/>
            <w:gridSpan w:val="2"/>
            <w:tcBorders/>
            <w:vAlign w:val="center"/>
          </w:tcPr>
          <w:p>
            <w:pPr>
              <w:pStyle w:val="TableContents"/>
              <w:bidi w:val="0"/>
              <w:spacing w:before="0" w:after="283"/>
              <w:jc w:val="left"/>
              <w:rPr/>
            </w:pPr>
            <w:hyperlink w:anchor="part_ii_or_information">
              <w:r>
                <w:rPr>
                  <w:rStyle w:val="InternetLink"/>
                  <w:rFonts w:ascii="Calibri;sans-serif" w:hAnsi="Calibri;sans-serif"/>
                  <w:color w:val="0000FF"/>
                  <w:sz w:val="20"/>
                  <w:u w:val="single"/>
                </w:rPr>
                <w:t>Other Information</w:t>
              </w:r>
            </w:hyperlink>
            <w:hyperlink w:anchor="part_ii_or_information">
              <w:r>
                <w:rPr>
                  <w:rStyle w:val="InternetLink"/>
                  <w:rFonts w:ascii="Times New Roman" w:hAnsi="Times New Roman"/>
                  <w:color w:val="0000FF"/>
                  <w:sz w:val="20"/>
                </w:rPr>
                <w:t xml:space="preserve"> </w:t>
              </w:r>
            </w:hyperlink>
          </w:p>
        </w:tc>
        <w:tc>
          <w:tcPr>
            <w:tcW w:w="431" w:type="dxa"/>
            <w:tcBorders/>
            <w:vAlign w:val="center"/>
          </w:tcPr>
          <w:p>
            <w:pPr>
              <w:pStyle w:val="TableContents"/>
              <w:bidi w:val="0"/>
              <w:spacing w:before="0" w:after="283"/>
              <w:ind w:left="0" w:right="0" w:firstLine="240"/>
              <w:jc w:val="right"/>
              <w:rPr/>
            </w:pPr>
            <w:r>
              <w:rPr/>
              <w:t> </w:t>
            </w:r>
          </w:p>
        </w:tc>
      </w:tr>
      <w:tr>
        <w:trPr/>
        <w:tc>
          <w:tcPr>
            <w:tcW w:w="631" w:type="dxa"/>
            <w:tcBorders/>
            <w:vAlign w:val="center"/>
          </w:tcPr>
          <w:p>
            <w:pPr>
              <w:pStyle w:val="TableContents"/>
              <w:pBdr/>
              <w:bidi w:val="0"/>
              <w:spacing w:before="0" w:after="283"/>
              <w:ind w:left="0" w:right="0" w:hanging="240"/>
              <w:jc w:val="left"/>
              <w:rPr/>
            </w:pPr>
            <w:r>
              <w:rPr/>
              <w:t> </w:t>
            </w:r>
          </w:p>
        </w:tc>
        <w:tc>
          <w:tcPr>
            <w:tcW w:w="7667" w:type="dxa"/>
            <w:gridSpan w:val="2"/>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r>
      <w:tr>
        <w:trPr/>
        <w:tc>
          <w:tcPr>
            <w:tcW w:w="63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7021" w:type="dxa"/>
            <w:tcBorders/>
            <w:vAlign w:val="center"/>
          </w:tcPr>
          <w:p>
            <w:pPr>
              <w:pStyle w:val="TableContents"/>
              <w:bidi w:val="0"/>
              <w:spacing w:before="0" w:after="283"/>
              <w:jc w:val="left"/>
              <w:rPr/>
            </w:pPr>
            <w:hyperlink w:anchor="item_2_unregistered_sales_equity_securit">
              <w:r>
                <w:rPr>
                  <w:rStyle w:val="InternetLink"/>
                  <w:rFonts w:ascii="Calibri;sans-serif" w:hAnsi="Calibri;sans-serif"/>
                  <w:color w:val="0000FF"/>
                  <w:sz w:val="20"/>
                  <w:u w:val="single"/>
                </w:rPr>
                <w:t>Unregistered Sales of Equity Securities and Use of Proceeds</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w:t>
            </w:r>
          </w:p>
        </w:tc>
      </w:tr>
      <w:tr>
        <w:trPr/>
        <w:tc>
          <w:tcPr>
            <w:tcW w:w="6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6.</w:t>
            </w:r>
          </w:p>
        </w:tc>
        <w:tc>
          <w:tcPr>
            <w:tcW w:w="7021" w:type="dxa"/>
            <w:tcBorders/>
            <w:vAlign w:val="center"/>
          </w:tcPr>
          <w:p>
            <w:pPr>
              <w:pStyle w:val="TableContents"/>
              <w:bidi w:val="0"/>
              <w:spacing w:before="0" w:after="283"/>
              <w:jc w:val="left"/>
              <w:rPr/>
            </w:pPr>
            <w:hyperlink w:anchor="item_6_exhibits">
              <w:r>
                <w:rPr>
                  <w:rStyle w:val="InternetLink"/>
                  <w:rFonts w:ascii="Calibri;sans-serif" w:hAnsi="Calibri;sans-serif"/>
                  <w:color w:val="0000FF"/>
                  <w:sz w:val="20"/>
                  <w:u w:val="single"/>
                </w:rPr>
                <w:t>Exhibits</w:t>
              </w:r>
            </w:hyperlink>
          </w:p>
        </w:tc>
        <w:tc>
          <w:tcPr>
            <w:tcW w:w="431" w:type="dxa"/>
            <w:tcBorders/>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i/>
          <w:color w:val="000000"/>
          <w:sz w:val="20"/>
        </w:rPr>
      </w:pPr>
      <w:bookmarkStart w:id="2" w:name="part_i_financial_information"/>
      <w:bookmarkEnd w:id="2"/>
      <w:r>
        <w:rPr>
          <w:rFonts w:ascii="Calibri;sans-serif" w:hAnsi="Calibri;sans-serif"/>
          <w:b/>
          <w:i/>
          <w:color w:val="000000"/>
          <w:sz w:val="20"/>
        </w:rPr>
        <w:t>Part I. Financial Information</w:t>
      </w:r>
    </w:p>
    <w:p>
      <w:pPr>
        <w:pStyle w:val="TextBody"/>
        <w:bidi w:val="0"/>
        <w:spacing w:before="90" w:after="283"/>
        <w:jc w:val="left"/>
        <w:rPr>
          <w:rFonts w:ascii="Calibri;sans-serif" w:hAnsi="Calibri;sans-serif"/>
          <w:b/>
          <w:i/>
          <w:color w:val="000000"/>
          <w:sz w:val="20"/>
        </w:rPr>
      </w:pPr>
      <w:bookmarkStart w:id="3" w:name="item_1financial_statements"/>
      <w:bookmarkEnd w:id="3"/>
      <w:r>
        <w:rPr>
          <w:rFonts w:ascii="Calibri;sans-serif" w:hAnsi="Calibri;sans-serif"/>
          <w:b/>
          <w:i/>
          <w:color w:val="000000"/>
          <w:sz w:val="20"/>
        </w:rPr>
        <w:t>Item 1. Financial Statements</w:t>
      </w:r>
    </w:p>
    <w:p>
      <w:pPr>
        <w:pStyle w:val="TextBody"/>
        <w:bidi w:val="0"/>
        <w:spacing w:before="180" w:after="283"/>
        <w:jc w:val="center"/>
        <w:rPr>
          <w:rFonts w:ascii="Calibri;sans-serif" w:hAnsi="Calibri;sans-serif"/>
          <w:b/>
          <w:color w:val="000000"/>
          <w:sz w:val="20"/>
        </w:rPr>
      </w:pPr>
      <w:r>
        <w:rPr>
          <w:rFonts w:ascii="Calibri;sans-serif" w:hAnsi="Calibri;sans-serif"/>
          <w:b/>
          <w:color w:val="000000"/>
          <w:sz w:val="20"/>
        </w:rPr>
        <w:t>CABOT CORPORATION</w:t>
      </w:r>
    </w:p>
    <w:p>
      <w:pPr>
        <w:pStyle w:val="TextBody"/>
        <w:bidi w:val="0"/>
        <w:jc w:val="center"/>
        <w:rPr>
          <w:rFonts w:ascii="Calibri;sans-serif" w:hAnsi="Calibri;sans-serif"/>
          <w:b/>
          <w:color w:val="000000"/>
          <w:sz w:val="20"/>
        </w:rPr>
      </w:pPr>
      <w:bookmarkStart w:id="4" w:name="consolidated_statements_operations"/>
      <w:bookmarkEnd w:id="4"/>
      <w:r>
        <w:rPr>
          <w:rFonts w:ascii="Calibri;sans-serif" w:hAnsi="Calibri;sans-serif"/>
          <w:b/>
          <w:color w:val="000000"/>
          <w:sz w:val="20"/>
        </w:rPr>
        <w:t>CONSOLIDATED STATEMENTS OF OPERATIONS</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left"/>
        <w:rPr/>
      </w:pPr>
      <w:r>
        <w:rPr/>
        <w:t> </w:t>
      </w:r>
    </w:p>
    <w:tbl>
      <w:tblPr>
        <w:tblW w:w="10185" w:type="dxa"/>
        <w:jc w:val="left"/>
        <w:tblInd w:w="0" w:type="dxa"/>
        <w:tblLayout w:type="fixed"/>
        <w:tblCellMar>
          <w:top w:w="28" w:type="dxa"/>
          <w:left w:w="28" w:type="dxa"/>
          <w:bottom w:w="28" w:type="dxa"/>
          <w:right w:w="28" w:type="dxa"/>
        </w:tblCellMar>
      </w:tblPr>
      <w:tblGrid>
        <w:gridCol w:w="4981"/>
        <w:gridCol w:w="146"/>
        <w:gridCol w:w="251"/>
        <w:gridCol w:w="680"/>
        <w:gridCol w:w="197"/>
        <w:gridCol w:w="174"/>
        <w:gridCol w:w="251"/>
        <w:gridCol w:w="680"/>
        <w:gridCol w:w="166"/>
        <w:gridCol w:w="146"/>
        <w:gridCol w:w="227"/>
        <w:gridCol w:w="616"/>
        <w:gridCol w:w="179"/>
        <w:gridCol w:w="157"/>
        <w:gridCol w:w="227"/>
        <w:gridCol w:w="616"/>
        <w:gridCol w:w="4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67"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 except per share amounts)</w:t>
            </w:r>
          </w:p>
        </w:tc>
        <w:tc>
          <w:tcPr>
            <w:tcW w:w="491" w:type="dxa"/>
            <w:tcBorders/>
            <w:shd w:fill="FFFFFF" w:val="clear"/>
            <w:vAlign w:val="center"/>
          </w:tcPr>
          <w:p>
            <w:pPr>
              <w:pStyle w:val="TableContents"/>
              <w:bidi w:val="0"/>
              <w:spacing w:before="0" w:after="283"/>
              <w:jc w:val="center"/>
              <w:rPr/>
            </w:pPr>
            <w:r>
              <w:rPr/>
              <w:t> </w:t>
            </w:r>
          </w:p>
        </w:tc>
      </w:tr>
      <w:tr>
        <w:trPr/>
        <w:tc>
          <w:tcPr>
            <w:tcW w:w="49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sales and other operating revenues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w:t>
            </w:r>
          </w:p>
        </w:tc>
        <w:tc>
          <w:tcPr>
            <w:tcW w:w="197"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1,977</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1,998</w:t>
            </w:r>
          </w:p>
        </w:tc>
        <w:tc>
          <w:tcPr>
            <w:tcW w:w="491" w:type="dxa"/>
            <w:tcBorders/>
            <w:shd w:fill="CFF0FC" w:val="cle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1,607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246</w:t>
            </w:r>
          </w:p>
        </w:tc>
        <w:tc>
          <w:tcPr>
            <w:tcW w:w="197"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464</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391</w:t>
            </w:r>
          </w:p>
        </w:tc>
        <w:tc>
          <w:tcPr>
            <w:tcW w:w="491" w:type="dxa"/>
            <w:tcBorders/>
            <w:shd w:fill="CFF0FC" w:val="cle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Selling and administrative expenses</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w:t>
            </w:r>
          </w:p>
        </w:tc>
        <w:tc>
          <w:tcPr>
            <w:tcW w:w="491" w:type="dxa"/>
            <w:tcBorders/>
            <w:shd w:fill="FFFFFF" w:val="cle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Research and technical expenses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197"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491" w:type="dxa"/>
            <w:tcBorders/>
            <w:shd w:fill="CFF0FC" w:val="cle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on sale of business</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8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156</w:t>
            </w:r>
          </w:p>
        </w:tc>
        <w:tc>
          <w:tcPr>
            <w:tcW w:w="197"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292</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234</w:t>
            </w:r>
          </w:p>
        </w:tc>
        <w:tc>
          <w:tcPr>
            <w:tcW w:w="491" w:type="dxa"/>
            <w:tcBorders/>
            <w:shd w:fill="CFF0FC" w:val="cle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491" w:type="dxa"/>
            <w:tcBorders/>
            <w:shd w:fill="FFFFFF" w:val="cle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19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4"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17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57"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w:t>
            </w:r>
          </w:p>
        </w:tc>
        <w:tc>
          <w:tcPr>
            <w:tcW w:w="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4" w:type="dxa"/>
            <w:tcBorders/>
            <w:shd w:fill="FFFFFF" w:val="cle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57" w:type="dxa"/>
            <w:tcBorders/>
            <w:shd w:fill="FFFFFF" w:val="cle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498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Income (loss) from operations before income taxes </w:t>
              <w:br/>
              <w:t>   and equity in earnings of affiliated companies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w:t>
            </w:r>
          </w:p>
        </w:tc>
        <w:tc>
          <w:tcPr>
            <w:tcW w:w="197"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236</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194</w:t>
            </w:r>
          </w:p>
        </w:tc>
        <w:tc>
          <w:tcPr>
            <w:tcW w:w="491" w:type="dxa"/>
            <w:tcBorders/>
            <w:shd w:fill="CFF0FC" w:val="cle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w:t>
            </w:r>
          </w:p>
        </w:tc>
        <w:tc>
          <w:tcPr>
            <w:tcW w:w="19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4"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17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57"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9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Equity in earnings of affiliated companies, net of tax</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97"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158</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right"/>
              <w:rPr/>
            </w:pPr>
            <w:r>
              <w:rPr/>
              <w:t> </w:t>
            </w:r>
          </w:p>
        </w:tc>
        <w:tc>
          <w:tcPr>
            <w:tcW w:w="2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 xml:space="preserve">Net income (loss) attributable to noncontrolling interests, net </w:t>
              <w:br/>
              <w:t>   of tax</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 attributable to Cabot Corporation</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981" w:type="dxa"/>
            <w:tcBorders/>
            <w:shd w:fill="CFF0FC" w:val="clear"/>
            <w:vAlign w:val="center"/>
          </w:tcPr>
          <w:p>
            <w:pPr>
              <w:pStyle w:val="TableContents"/>
              <w:bidi w:val="0"/>
              <w:spacing w:before="0" w:after="283"/>
              <w:ind w:left="300" w:right="0" w:firstLine="3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righ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4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righ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498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55.4</w:t>
            </w:r>
          </w:p>
        </w:tc>
        <w:tc>
          <w:tcPr>
            <w:tcW w:w="197"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55.3</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56.3</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55.8</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55.8</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56.7</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4981"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right"/>
              <w:rPr/>
            </w:pPr>
            <w:r>
              <w:rPr/>
              <w:t> </w:t>
            </w:r>
          </w:p>
        </w:tc>
        <w:tc>
          <w:tcPr>
            <w:tcW w:w="843"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49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Earnings (loss) per common share:</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right"/>
              <w:rPr/>
            </w:pPr>
            <w:r>
              <w:rPr/>
              <w:t> </w:t>
            </w:r>
          </w:p>
        </w:tc>
        <w:tc>
          <w:tcPr>
            <w:tcW w:w="843"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498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w:t>
            </w:r>
          </w:p>
        </w:tc>
        <w:tc>
          <w:tcPr>
            <w:tcW w:w="197"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2.24</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498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w:t>
            </w:r>
          </w:p>
        </w:tc>
        <w:tc>
          <w:tcPr>
            <w:tcW w:w="197"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1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2.37</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1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2.23</w:t>
            </w:r>
          </w:p>
        </w:tc>
        <w:tc>
          <w:tcPr>
            <w:tcW w:w="4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Calibri;sans-serif" w:hAnsi="Calibri;sans-serif"/>
          <w:color w:val="000000"/>
          <w:sz w:val="20"/>
        </w:rPr>
      </w:pPr>
      <w:r>
        <w:rPr>
          <w:rFonts w:ascii="Calibri;sans-serif" w:hAnsi="Calibr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CABOT CORPORATION</w:t>
      </w:r>
    </w:p>
    <w:p>
      <w:pPr>
        <w:pStyle w:val="TextBody"/>
        <w:bidi w:val="0"/>
        <w:jc w:val="center"/>
        <w:rPr>
          <w:rFonts w:ascii="Calibri;sans-serif" w:hAnsi="Calibri;sans-serif"/>
          <w:b/>
          <w:color w:val="000000"/>
          <w:sz w:val="20"/>
        </w:rPr>
      </w:pPr>
      <w:bookmarkStart w:id="5" w:name="consolidated_statements_comprehensive_lo"/>
      <w:bookmarkEnd w:id="5"/>
      <w:r>
        <w:rPr>
          <w:rFonts w:ascii="Calibri;sans-serif" w:hAnsi="Calibri;sans-serif"/>
          <w:b/>
          <w:color w:val="000000"/>
          <w:sz w:val="20"/>
        </w:rPr>
        <w:t>CONSOLIDATED STATEMENTS OF COMPREHENSIVE INCOME (LOSS)</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52"/>
        <w:gridCol w:w="146"/>
        <w:gridCol w:w="268"/>
        <w:gridCol w:w="477"/>
        <w:gridCol w:w="210"/>
        <w:gridCol w:w="185"/>
        <w:gridCol w:w="268"/>
        <w:gridCol w:w="534"/>
        <w:gridCol w:w="166"/>
        <w:gridCol w:w="146"/>
        <w:gridCol w:w="246"/>
        <w:gridCol w:w="491"/>
        <w:gridCol w:w="193"/>
        <w:gridCol w:w="170"/>
        <w:gridCol w:w="246"/>
        <w:gridCol w:w="491"/>
        <w:gridCol w:w="616"/>
      </w:tblGrid>
      <w:tr>
        <w:trPr/>
        <w:tc>
          <w:tcPr>
            <w:tcW w:w="5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3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1"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616" w:type="dxa"/>
            <w:tcBorders/>
            <w:shd w:fill="FFFFFF" w:val="clear"/>
            <w:vAlign w:val="center"/>
          </w:tcPr>
          <w:p>
            <w:pPr>
              <w:pStyle w:val="TableContents"/>
              <w:bidi w:val="0"/>
              <w:spacing w:before="0" w:after="283"/>
              <w:jc w:val="center"/>
              <w:rPr/>
            </w:pPr>
            <w:r>
              <w:rPr/>
              <w:t> </w:t>
            </w:r>
          </w:p>
        </w:tc>
      </w:tr>
      <w:tr>
        <w:trPr/>
        <w:tc>
          <w:tcPr>
            <w:tcW w:w="53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158</w:t>
            </w:r>
          </w:p>
        </w:tc>
        <w:tc>
          <w:tcPr>
            <w:tcW w:w="193"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w:t>
            </w:r>
          </w:p>
        </w:tc>
        <w:tc>
          <w:tcPr>
            <w:tcW w:w="616" w:type="dxa"/>
            <w:tcBorders/>
            <w:shd w:fill="CFF0FC" w:val="clear"/>
            <w:vAlign w:val="center"/>
          </w:tcPr>
          <w:p>
            <w:pPr>
              <w:pStyle w:val="TableContents"/>
              <w:bidi w:val="0"/>
              <w:spacing w:before="0" w:after="283"/>
              <w:jc w:val="left"/>
              <w:rPr/>
            </w:pPr>
            <w:r>
              <w:rPr/>
              <w:t> </w:t>
            </w:r>
          </w:p>
        </w:tc>
      </w:tr>
      <w:tr>
        <w:trPr/>
        <w:tc>
          <w:tcPr>
            <w:tcW w:w="53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745"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8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ind w:left="0" w:right="0" w:firstLine="200"/>
              <w:jc w:val="left"/>
              <w:rPr/>
            </w:pPr>
            <w:r>
              <w:rPr/>
              <w:t> </w:t>
            </w:r>
          </w:p>
        </w:tc>
      </w:tr>
      <w:tr>
        <w:trPr/>
        <w:tc>
          <w:tcPr>
            <w:tcW w:w="5352"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Foreign currency translation adjustment, net of tax</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1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5"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w:t>
            </w:r>
          </w:p>
        </w:tc>
        <w:tc>
          <w:tcPr>
            <w:tcW w:w="193"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w:t>
            </w:r>
          </w:p>
        </w:tc>
        <w:tc>
          <w:tcPr>
            <w:tcW w:w="616" w:type="dxa"/>
            <w:tcBorders/>
            <w:shd w:fill="CFF0FC" w:val="clear"/>
            <w:vAlign w:val="center"/>
          </w:tcPr>
          <w:p>
            <w:pPr>
              <w:pStyle w:val="TableContents"/>
              <w:bidi w:val="0"/>
              <w:spacing w:before="0" w:after="283"/>
              <w:ind w:left="0" w:right="0" w:firstLine="200"/>
              <w:jc w:val="left"/>
              <w:rPr/>
            </w:pPr>
            <w:r>
              <w:rPr/>
              <w:t> </w:t>
            </w:r>
          </w:p>
        </w:tc>
      </w:tr>
      <w:tr>
        <w:trPr/>
        <w:tc>
          <w:tcPr>
            <w:tcW w:w="53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Derivatives: net investment hedges</w:t>
            </w:r>
          </w:p>
        </w:tc>
        <w:tc>
          <w:tcPr>
            <w:tcW w:w="146" w:type="dxa"/>
            <w:tcBorders/>
            <w:shd w:fill="FFFFFF" w:val="clear"/>
            <w:vAlign w:val="center"/>
          </w:tcPr>
          <w:p>
            <w:pPr>
              <w:pStyle w:val="TableContents"/>
              <w:bidi w:val="0"/>
              <w:spacing w:before="0" w:after="283"/>
              <w:jc w:val="left"/>
              <w:rPr/>
            </w:pPr>
            <w:r>
              <w:rPr/>
              <w:t> </w:t>
            </w:r>
          </w:p>
        </w:tc>
        <w:tc>
          <w:tcPr>
            <w:tcW w:w="745" w:type="dxa"/>
            <w:gridSpan w:val="2"/>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right"/>
              <w:rPr/>
            </w:pPr>
            <w:r>
              <w:rPr/>
              <w:t> </w:t>
            </w:r>
          </w:p>
        </w:tc>
        <w:tc>
          <w:tcPr>
            <w:tcW w:w="8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616" w:type="dxa"/>
            <w:tcBorders/>
            <w:shd w:fill="FFFFFF" w:val="clear"/>
            <w:vAlign w:val="center"/>
          </w:tcPr>
          <w:p>
            <w:pPr>
              <w:pStyle w:val="TableContents"/>
              <w:bidi w:val="0"/>
              <w:spacing w:before="0" w:after="283"/>
              <w:ind w:left="0" w:right="0" w:firstLine="400"/>
              <w:jc w:val="right"/>
              <w:rPr/>
            </w:pPr>
            <w:r>
              <w:rPr/>
              <w:t> </w:t>
            </w:r>
          </w:p>
        </w:tc>
      </w:tr>
      <w:tr>
        <w:trPr/>
        <w:tc>
          <w:tcPr>
            <w:tcW w:w="5352"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(Gains) losses reclassified to interest expense, net of tax</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47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1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5"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9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616" w:type="dxa"/>
            <w:tcBorders/>
            <w:shd w:fill="CFF0FC" w:val="cle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5352"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(Gains) losses excluded from effectiveness testing and amortized to interest expense, net of tax</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9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616" w:type="dxa"/>
            <w:tcBorders/>
            <w:shd w:fill="FFFFFF" w:val="clear"/>
            <w:vAlign w:val="center"/>
          </w:tcPr>
          <w:p>
            <w:pPr>
              <w:pStyle w:val="TableContents"/>
              <w:bidi w:val="0"/>
              <w:spacing w:before="0" w:after="283"/>
              <w:ind w:left="0" w:right="0" w:firstLine="200"/>
              <w:jc w:val="left"/>
              <w:rPr/>
            </w:pPr>
            <w:r>
              <w:rPr/>
              <w:t> </w:t>
            </w:r>
          </w:p>
        </w:tc>
      </w:tr>
      <w:tr>
        <w:trPr/>
        <w:tc>
          <w:tcPr>
            <w:tcW w:w="5352"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Pension and other post-retirement benefit liability adjustments, net of tax</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5"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0"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535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Other comprehensive income (loss), net of tax (provision) benefit of $ 11, $ —, $ 12</w:t>
            </w:r>
            <w:r>
              <w:rPr>
                <w:rFonts w:ascii="Times New Roman" w:hAnsi="Times New Roman"/>
                <w:color w:val="000000"/>
                <w:sz w:val="20"/>
              </w:rPr>
              <w:t> </w:t>
            </w:r>
            <w:r>
              <w:rPr>
                <w:rFonts w:ascii="Calibri;sans-serif" w:hAnsi="Calibri;sans-serif"/>
                <w:color w:val="000000"/>
                <w:sz w:val="20"/>
              </w:rPr>
              <w:t>and $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5"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Comprehensive income (loss)</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282</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Net income (loss) attributable to noncontrolling interests, net </w:t>
              <w:br/>
              <w:t>   of tax</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w:t>
            </w:r>
          </w:p>
        </w:tc>
        <w:tc>
          <w:tcPr>
            <w:tcW w:w="19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616" w:type="dxa"/>
            <w:tcBorders/>
            <w:shd w:fill="FFFFFF" w:val="clear"/>
            <w:vAlign w:val="center"/>
          </w:tcPr>
          <w:p>
            <w:pPr>
              <w:pStyle w:val="TableContents"/>
              <w:bidi w:val="0"/>
              <w:spacing w:before="0" w:after="283"/>
              <w:ind w:left="0" w:right="0" w:firstLine="200"/>
              <w:jc w:val="left"/>
              <w:rPr/>
            </w:pPr>
            <w:r>
              <w:rPr/>
              <w:t> </w:t>
            </w:r>
          </w:p>
        </w:tc>
      </w:tr>
      <w:tr>
        <w:trPr/>
        <w:tc>
          <w:tcPr>
            <w:tcW w:w="5352"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Foreign currency translation adjustment attributable to </w:t>
              <w:br/>
              <w:t>   noncontrolling interests, net of tax</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5" w:type="dxa"/>
            <w:tcBorders/>
            <w:shd w:fill="CFF0FC" w:val="cle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Comprehensive income (loss)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Comprehensive income (loss) attributable to Cabot Corporation</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179</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254</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Calibri;sans-serif" w:hAnsi="Calibri;sans-serif"/>
          <w:color w:val="000000"/>
          <w:sz w:val="20"/>
        </w:rPr>
      </w:pPr>
      <w:r>
        <w:rPr>
          <w:rFonts w:ascii="Calibri;sans-serif" w:hAnsi="Calibr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CABOT CORPORATION</w:t>
      </w:r>
    </w:p>
    <w:p>
      <w:pPr>
        <w:pStyle w:val="TextBody"/>
        <w:bidi w:val="0"/>
        <w:jc w:val="center"/>
        <w:rPr>
          <w:rFonts w:ascii="Calibri;sans-serif" w:hAnsi="Calibri;sans-serif"/>
          <w:b/>
          <w:color w:val="000000"/>
          <w:sz w:val="20"/>
        </w:rPr>
      </w:pPr>
      <w:bookmarkStart w:id="6" w:name="consolidated_balance_sheets"/>
      <w:bookmarkEnd w:id="6"/>
      <w:r>
        <w:rPr>
          <w:rFonts w:ascii="Calibri;sans-serif" w:hAnsi="Calibri;sans-serif"/>
          <w:b/>
          <w:color w:val="000000"/>
          <w:sz w:val="20"/>
        </w:rPr>
        <w:t>CONSOLIDATED BALANCE SHEETS</w:t>
      </w:r>
    </w:p>
    <w:p>
      <w:pPr>
        <w:pStyle w:val="TextBody"/>
        <w:bidi w:val="0"/>
        <w:jc w:val="center"/>
        <w:rPr>
          <w:rFonts w:ascii="Calibri;sans-serif" w:hAnsi="Calibri;sans-serif"/>
          <w:b/>
          <w:color w:val="000000"/>
          <w:sz w:val="20"/>
        </w:rPr>
      </w:pPr>
      <w:r>
        <w:rPr>
          <w:rFonts w:ascii="Calibri;sans-serif" w:hAnsi="Calibri;sans-serif"/>
          <w:b/>
          <w:color w:val="000000"/>
          <w:sz w:val="20"/>
        </w:rPr>
        <w:t>ASSETS</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left"/>
        <w:rPr/>
      </w:pPr>
      <w:r>
        <w:rPr/>
        <w:t> </w:t>
      </w:r>
    </w:p>
    <w:tbl>
      <w:tblPr>
        <w:tblW w:w="8910" w:type="dxa"/>
        <w:jc w:val="left"/>
        <w:tblInd w:w="0" w:type="dxa"/>
        <w:tblLayout w:type="fixed"/>
        <w:tblCellMar>
          <w:top w:w="28" w:type="dxa"/>
          <w:left w:w="28" w:type="dxa"/>
          <w:bottom w:w="28" w:type="dxa"/>
          <w:right w:w="28" w:type="dxa"/>
        </w:tblCellMar>
      </w:tblPr>
      <w:tblGrid>
        <w:gridCol w:w="4911"/>
        <w:gridCol w:w="146"/>
        <w:gridCol w:w="300"/>
        <w:gridCol w:w="900"/>
        <w:gridCol w:w="166"/>
        <w:gridCol w:w="146"/>
        <w:gridCol w:w="383"/>
        <w:gridCol w:w="1147"/>
        <w:gridCol w:w="811"/>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42"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811" w:type="dxa"/>
            <w:tcBorders/>
            <w:shd w:fill="FFFFFF" w:val="clear"/>
            <w:vAlign w:val="center"/>
          </w:tcPr>
          <w:p>
            <w:pPr>
              <w:pStyle w:val="TableContents"/>
              <w:bidi w:val="0"/>
              <w:spacing w:before="0" w:after="283"/>
              <w:jc w:val="center"/>
              <w:rPr/>
            </w:pPr>
            <w:r>
              <w:rPr/>
              <w:t> </w:t>
            </w:r>
          </w:p>
        </w:tc>
      </w:tr>
      <w:tr>
        <w:trPr/>
        <w:tc>
          <w:tcPr>
            <w:tcW w:w="49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12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Cash and cash equivalents</w:t>
            </w:r>
          </w:p>
        </w:tc>
        <w:tc>
          <w:tcPr>
            <w:tcW w:w="146" w:type="dxa"/>
            <w:tcBorders/>
            <w:shd w:fill="FFFFFF" w:val="clear"/>
            <w:vAlign w:val="center"/>
          </w:tcPr>
          <w:p>
            <w:pPr>
              <w:pStyle w:val="TableContents"/>
              <w:bidi w:val="0"/>
              <w:spacing w:before="0" w:after="283"/>
              <w:jc w:val="right"/>
              <w:rPr/>
            </w:pPr>
            <w:r>
              <w:rPr/>
              <w:t> </w:t>
            </w:r>
          </w:p>
        </w:tc>
        <w:tc>
          <w:tcPr>
            <w:tcW w:w="30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0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238</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Accounts and notes receivable, net of reserve for doubtful</w:t>
              <w:br/>
              <w:t>   accounts of $5</w:t>
            </w:r>
            <w:r>
              <w:rPr>
                <w:rFonts w:ascii="Times New Roman" w:hAnsi="Times New Roman"/>
                <w:color w:val="000000"/>
                <w:sz w:val="20"/>
              </w:rPr>
              <w:t> </w:t>
            </w:r>
            <w:r>
              <w:rPr>
                <w:rFonts w:ascii="Calibri;sans-serif" w:hAnsi="Calibri;sans-serif"/>
                <w:color w:val="000000"/>
                <w:sz w:val="20"/>
              </w:rPr>
              <w:t>and $2</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695</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49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Calibri;sans-serif" w:hAnsi="Calibri;sans-serif"/>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Calibri;sans-serif" w:hAnsi="Calibri;sans-serif"/>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374</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911" w:type="dxa"/>
            <w:tcBorders/>
            <w:shd w:fill="FFFFFF" w:val="clear"/>
            <w:vAlign w:val="center"/>
          </w:tcPr>
          <w:p>
            <w:pPr>
              <w:pStyle w:val="TableContents"/>
              <w:bidi w:val="0"/>
              <w:spacing w:before="0" w:after="283"/>
              <w:ind w:left="600" w:right="0" w:firstLine="600"/>
              <w:jc w:val="left"/>
              <w:rPr>
                <w:rFonts w:ascii="Calibri;sans-serif" w:hAnsi="Calibri;sans-serif"/>
                <w:color w:val="000000"/>
                <w:sz w:val="20"/>
              </w:rPr>
            </w:pPr>
            <w:r>
              <w:rPr>
                <w:rFonts w:ascii="Calibri;sans-serif" w:hAnsi="Calibri;sans-serif"/>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585</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911" w:type="dxa"/>
            <w:tcBorders/>
            <w:shd w:fill="FFFFFF" w:val="clear"/>
            <w:vAlign w:val="center"/>
          </w:tcPr>
          <w:p>
            <w:pPr>
              <w:pStyle w:val="TableContents"/>
              <w:bidi w:val="0"/>
              <w:spacing w:before="0" w:after="283"/>
              <w:ind w:left="600" w:right="0" w:firstLine="600"/>
              <w:jc w:val="left"/>
              <w:rPr>
                <w:rFonts w:ascii="Calibri;sans-serif" w:hAnsi="Calibri;sans-serif"/>
                <w:color w:val="000000"/>
                <w:sz w:val="20"/>
              </w:rPr>
            </w:pPr>
            <w:r>
              <w:rPr>
                <w:rFonts w:ascii="Calibri;sans-serif" w:hAnsi="Calibri;sans-serif"/>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1,626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Property, plant and equipment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3,827</w:t>
            </w:r>
          </w:p>
        </w:tc>
        <w:tc>
          <w:tcPr>
            <w:tcW w:w="811" w:type="dxa"/>
            <w:tcBorders/>
            <w:shd w:fill="CFF0FC" w:val="clear"/>
            <w:vAlign w:val="center"/>
          </w:tcPr>
          <w:p>
            <w:pPr>
              <w:pStyle w:val="TableContents"/>
              <w:bidi w:val="0"/>
              <w:spacing w:before="0" w:after="283"/>
              <w:jc w:val="left"/>
              <w:rPr/>
            </w:pPr>
            <w:r>
              <w:rPr/>
              <w:t> </w:t>
            </w:r>
          </w:p>
        </w:tc>
      </w:tr>
      <w:tr>
        <w:trPr/>
        <w:tc>
          <w:tcPr>
            <w:tcW w:w="49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Accumulated depreciation</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(2,415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Calibri;sans-serif" w:hAnsi="Calibri;sans-serif"/>
                <w:color w:val="000000"/>
                <w:sz w:val="20"/>
              </w:rPr>
            </w:pPr>
            <w:r>
              <w:rPr>
                <w:rFonts w:ascii="Calibri;sans-serif" w:hAnsi="Calibri;sans-serif"/>
                <w:color w:val="000000"/>
                <w:sz w:val="20"/>
              </w:rPr>
              <w:t>)</w:t>
            </w:r>
          </w:p>
        </w:tc>
      </w:tr>
      <w:tr>
        <w:trPr/>
        <w:tc>
          <w:tcPr>
            <w:tcW w:w="4911" w:type="dxa"/>
            <w:tcBorders/>
            <w:shd w:fill="CFF0FC" w:val="clear"/>
            <w:vAlign w:val="center"/>
          </w:tcPr>
          <w:p>
            <w:pPr>
              <w:pStyle w:val="TableContents"/>
              <w:bidi w:val="0"/>
              <w:spacing w:before="0" w:after="283"/>
              <w:ind w:left="600" w:right="0" w:firstLine="600"/>
              <w:jc w:val="left"/>
              <w:rPr>
                <w:rFonts w:ascii="Calibri;sans-serif" w:hAnsi="Calibri;sans-serif"/>
                <w:color w:val="000000"/>
                <w:sz w:val="20"/>
              </w:rPr>
            </w:pPr>
            <w:r>
              <w:rPr>
                <w:rFonts w:ascii="Calibri;sans-serif" w:hAnsi="Calibri;sans-serif"/>
                <w:color w:val="000000"/>
                <w:sz w:val="20"/>
              </w:rPr>
              <w:t>Net property, plant and equipment</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w:t>
            </w:r>
          </w:p>
        </w:tc>
        <w:tc>
          <w:tcPr>
            <w:tcW w:w="811" w:type="dxa"/>
            <w:tcBorders/>
            <w:shd w:fill="FFFFFF" w:val="clear"/>
            <w:vAlign w:val="center"/>
          </w:tcPr>
          <w:p>
            <w:pPr>
              <w:pStyle w:val="TableContents"/>
              <w:bidi w:val="0"/>
              <w:spacing w:before="0" w:after="283"/>
              <w:jc w:val="left"/>
              <w:rPr/>
            </w:pPr>
            <w:r>
              <w:rPr/>
              <w:t> </w:t>
            </w:r>
          </w:p>
        </w:tc>
      </w:tr>
      <w:tr>
        <w:trPr/>
        <w:tc>
          <w:tcPr>
            <w:tcW w:w="49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Equity affiliates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w:t>
            </w:r>
          </w:p>
        </w:tc>
        <w:tc>
          <w:tcPr>
            <w:tcW w:w="811" w:type="dxa"/>
            <w:tcBorders/>
            <w:shd w:fill="CFF0FC" w:val="clear"/>
            <w:vAlign w:val="center"/>
          </w:tcPr>
          <w:p>
            <w:pPr>
              <w:pStyle w:val="TableContents"/>
              <w:bidi w:val="0"/>
              <w:spacing w:before="0" w:after="283"/>
              <w:jc w:val="left"/>
              <w:rPr/>
            </w:pPr>
            <w:r>
              <w:rPr/>
              <w:t> </w:t>
            </w:r>
          </w:p>
        </w:tc>
      </w:tr>
      <w:tr>
        <w:trPr/>
        <w:tc>
          <w:tcPr>
            <w:tcW w:w="49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w:t>
            </w:r>
          </w:p>
        </w:tc>
        <w:tc>
          <w:tcPr>
            <w:tcW w:w="811" w:type="dxa"/>
            <w:tcBorders/>
            <w:shd w:fill="FFFFFF" w:val="clear"/>
            <w:vAlign w:val="center"/>
          </w:tcPr>
          <w:p>
            <w:pPr>
              <w:pStyle w:val="TableContents"/>
              <w:bidi w:val="0"/>
              <w:spacing w:before="0" w:after="283"/>
              <w:jc w:val="left"/>
              <w:rPr/>
            </w:pPr>
            <w:r>
              <w:rPr/>
              <w:t> </w:t>
            </w:r>
          </w:p>
        </w:tc>
      </w:tr>
      <w:tr>
        <w:trPr/>
        <w:tc>
          <w:tcPr>
            <w:tcW w:w="49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w:t>
            </w:r>
          </w:p>
        </w:tc>
        <w:tc>
          <w:tcPr>
            <w:tcW w:w="811" w:type="dxa"/>
            <w:tcBorders/>
            <w:shd w:fill="CFF0FC" w:val="clear"/>
            <w:vAlign w:val="center"/>
          </w:tcPr>
          <w:p>
            <w:pPr>
              <w:pStyle w:val="TableContents"/>
              <w:bidi w:val="0"/>
              <w:spacing w:before="0" w:after="283"/>
              <w:jc w:val="left"/>
              <w:rPr/>
            </w:pPr>
            <w:r>
              <w:rPr/>
              <w:t> </w:t>
            </w:r>
          </w:p>
        </w:tc>
      </w:tr>
      <w:tr>
        <w:trPr/>
        <w:tc>
          <w:tcPr>
            <w:tcW w:w="49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assets</w:t>
            </w:r>
          </w:p>
        </w:tc>
        <w:tc>
          <w:tcPr>
            <w:tcW w:w="146" w:type="dxa"/>
            <w:tcBorders/>
            <w:shd w:fill="CFF0FC" w:val="clear"/>
            <w:vAlign w:val="center"/>
          </w:tcPr>
          <w:p>
            <w:pPr>
              <w:pStyle w:val="TableContents"/>
              <w:bidi w:val="0"/>
              <w:spacing w:before="0" w:after="283"/>
              <w:jc w:val="righ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3,604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CABOT CORPORATION</w:t>
      </w:r>
    </w:p>
    <w:p>
      <w:pPr>
        <w:pStyle w:val="TextBody"/>
        <w:bidi w:val="0"/>
        <w:jc w:val="center"/>
        <w:rPr>
          <w:rFonts w:ascii="Calibri;sans-serif" w:hAnsi="Calibri;sans-serif"/>
          <w:b/>
          <w:color w:val="000000"/>
          <w:sz w:val="20"/>
        </w:rPr>
      </w:pPr>
      <w:r>
        <w:rPr>
          <w:rFonts w:ascii="Calibri;sans-serif" w:hAnsi="Calibri;sans-serif"/>
          <w:b/>
          <w:color w:val="000000"/>
          <w:sz w:val="20"/>
        </w:rPr>
        <w:t>CONSOLIDATED BALANCE SHEETS</w:t>
      </w:r>
    </w:p>
    <w:p>
      <w:pPr>
        <w:pStyle w:val="TextBody"/>
        <w:bidi w:val="0"/>
        <w:jc w:val="center"/>
        <w:rPr>
          <w:rFonts w:ascii="Calibri;sans-serif" w:hAnsi="Calibri;sans-serif"/>
          <w:b/>
          <w:color w:val="000000"/>
          <w:sz w:val="20"/>
        </w:rPr>
      </w:pPr>
      <w:r>
        <w:rPr>
          <w:rFonts w:ascii="Calibri;sans-serif" w:hAnsi="Calibri;sans-serif"/>
          <w:b/>
          <w:color w:val="000000"/>
          <w:sz w:val="20"/>
        </w:rPr>
        <w:t>LIABILITIES AND STOCKHOLDERS’ EQUITY</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52"/>
        <w:gridCol w:w="146"/>
        <w:gridCol w:w="267"/>
        <w:gridCol w:w="724"/>
        <w:gridCol w:w="166"/>
        <w:gridCol w:w="146"/>
        <w:gridCol w:w="326"/>
        <w:gridCol w:w="884"/>
        <w:gridCol w:w="594"/>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13"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 except share</w:t>
            </w:r>
          </w:p>
        </w:tc>
        <w:tc>
          <w:tcPr>
            <w:tcW w:w="594" w:type="dxa"/>
            <w:tcBorders/>
            <w:shd w:fill="FFFFFF" w:val="clear"/>
            <w:vAlign w:val="center"/>
          </w:tcPr>
          <w:p>
            <w:pPr>
              <w:pStyle w:val="TableContents"/>
              <w:bidi w:val="0"/>
              <w:spacing w:before="0" w:after="283"/>
              <w:jc w:val="center"/>
              <w:rPr/>
            </w:pPr>
            <w:r>
              <w:rPr/>
              <w:t> </w:t>
            </w:r>
          </w:p>
        </w:tc>
      </w:tr>
      <w:tr>
        <w:trPr/>
        <w:tc>
          <w:tcPr>
            <w:tcW w:w="69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13"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and per share amounts)</w:t>
            </w:r>
          </w:p>
        </w:tc>
        <w:tc>
          <w:tcPr>
            <w:tcW w:w="594" w:type="dxa"/>
            <w:tcBorders/>
            <w:shd w:fill="FFFFFF" w:val="clear"/>
            <w:vAlign w:val="center"/>
          </w:tcPr>
          <w:p>
            <w:pPr>
              <w:pStyle w:val="TableContents"/>
              <w:bidi w:val="0"/>
              <w:spacing w:before="0" w:after="283"/>
              <w:jc w:val="center"/>
              <w:rPr/>
            </w:pPr>
            <w:r>
              <w:rPr/>
              <w:t> </w:t>
            </w:r>
          </w:p>
        </w:tc>
      </w:tr>
      <w:tr>
        <w:trPr/>
        <w:tc>
          <w:tcPr>
            <w:tcW w:w="69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liabilities:</w:t>
            </w:r>
          </w:p>
        </w:tc>
        <w:tc>
          <w:tcPr>
            <w:tcW w:w="146" w:type="dxa"/>
            <w:tcBorders/>
            <w:shd w:fill="CFF0FC" w:val="clear"/>
            <w:vAlign w:val="center"/>
          </w:tcPr>
          <w:p>
            <w:pPr>
              <w:pStyle w:val="TableContents"/>
              <w:bidi w:val="0"/>
              <w:spacing w:before="0" w:after="283"/>
              <w:jc w:val="righ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0" w:type="dxa"/>
            <w:gridSpan w:val="2"/>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Short-term borrowings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2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8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952"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Accounts payable and accrued liabilities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600</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Income taxes payable</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952"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Current portion of long-term debt</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52"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current liabilities</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1,094</w:t>
            </w:r>
          </w:p>
        </w:tc>
        <w:tc>
          <w:tcPr>
            <w:tcW w:w="594" w:type="dxa"/>
            <w:tcBorders/>
            <w:shd w:fill="CFF0FC" w:val="clear"/>
            <w:vAlign w:val="center"/>
          </w:tcPr>
          <w:p>
            <w:pPr>
              <w:pStyle w:val="TableContents"/>
              <w:bidi w:val="0"/>
              <w:spacing w:before="0" w:after="283"/>
              <w:jc w:val="left"/>
              <w:rPr/>
            </w:pPr>
            <w:r>
              <w:rPr/>
              <w:t> </w:t>
            </w:r>
          </w:p>
        </w:tc>
      </w:tr>
      <w:tr>
        <w:trPr/>
        <w:tc>
          <w:tcPr>
            <w:tcW w:w="69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Deferred income taxes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w:t>
            </w:r>
          </w:p>
        </w:tc>
        <w:tc>
          <w:tcPr>
            <w:tcW w:w="594" w:type="dxa"/>
            <w:tcBorders/>
            <w:shd w:fill="FFFFFF" w:val="clear"/>
            <w:vAlign w:val="center"/>
          </w:tcPr>
          <w:p>
            <w:pPr>
              <w:pStyle w:val="TableContents"/>
              <w:bidi w:val="0"/>
              <w:spacing w:before="0" w:after="283"/>
              <w:jc w:val="left"/>
              <w:rPr/>
            </w:pPr>
            <w:r>
              <w:rPr/>
              <w:t> </w:t>
            </w:r>
          </w:p>
        </w:tc>
      </w:tr>
      <w:tr>
        <w:trPr/>
        <w:tc>
          <w:tcPr>
            <w:tcW w:w="69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liabilities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w:t>
            </w:r>
          </w:p>
        </w:tc>
        <w:tc>
          <w:tcPr>
            <w:tcW w:w="594" w:type="dxa"/>
            <w:tcBorders/>
            <w:shd w:fill="CFF0FC" w:val="clear"/>
            <w:vAlign w:val="center"/>
          </w:tcPr>
          <w:p>
            <w:pPr>
              <w:pStyle w:val="TableContents"/>
              <w:bidi w:val="0"/>
              <w:spacing w:before="0" w:after="283"/>
              <w:jc w:val="left"/>
              <w:rPr/>
            </w:pPr>
            <w:r>
              <w:rPr/>
              <w:t> </w:t>
            </w:r>
          </w:p>
        </w:tc>
      </w:tr>
      <w:tr>
        <w:trPr/>
        <w:tc>
          <w:tcPr>
            <w:tcW w:w="6952"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Contingencies</w:t>
            </w:r>
            <w:r>
              <w:rPr>
                <w:rFonts w:ascii="Times New Roman" w:hAnsi="Times New Roman"/>
                <w:color w:val="000000"/>
                <w:sz w:val="20"/>
              </w:rPr>
              <w:t> </w:t>
            </w:r>
            <w:r>
              <w:rPr>
                <w:rFonts w:ascii="Calibri;sans-serif" w:hAnsi="Calibri;sans-serif"/>
                <w:color w:val="000000"/>
                <w:sz w:val="20"/>
              </w:rPr>
              <w:t>(Note E)</w:t>
            </w:r>
          </w:p>
        </w:tc>
        <w:tc>
          <w:tcPr>
            <w:tcW w:w="146" w:type="dxa"/>
            <w:tcBorders/>
            <w:shd w:fill="FFFFFF" w:val="clear"/>
            <w:vAlign w:val="center"/>
          </w:tcPr>
          <w:p>
            <w:pPr>
              <w:pStyle w:val="TableContents"/>
              <w:bidi w:val="0"/>
              <w:spacing w:before="0" w:after="283"/>
              <w:jc w:val="righ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jc w:val="right"/>
              <w:rPr/>
            </w:pPr>
            <w:r>
              <w:rPr/>
              <w:t> </w:t>
            </w:r>
          </w:p>
        </w:tc>
      </w:tr>
      <w:tr>
        <w:trPr/>
        <w:tc>
          <w:tcPr>
            <w:tcW w:w="69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Stockholders' equity:</w:t>
            </w:r>
          </w:p>
        </w:tc>
        <w:tc>
          <w:tcPr>
            <w:tcW w:w="146" w:type="dxa"/>
            <w:tcBorders/>
            <w:shd w:fill="CFF0FC" w:val="clear"/>
            <w:vAlign w:val="center"/>
          </w:tcPr>
          <w:p>
            <w:pPr>
              <w:pStyle w:val="TableContents"/>
              <w:bidi w:val="0"/>
              <w:spacing w:before="0" w:after="283"/>
              <w:jc w:val="righ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0" w:type="dxa"/>
            <w:gridSpan w:val="2"/>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ind w:left="0" w:right="0" w:firstLine="200"/>
              <w:jc w:val="righ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Preferred stock:</w:t>
            </w:r>
          </w:p>
        </w:tc>
        <w:tc>
          <w:tcPr>
            <w:tcW w:w="146" w:type="dxa"/>
            <w:tcBorders/>
            <w:shd w:fill="FFFFFF" w:val="clear"/>
            <w:vAlign w:val="center"/>
          </w:tcPr>
          <w:p>
            <w:pPr>
              <w:pStyle w:val="TableContents"/>
              <w:bidi w:val="0"/>
              <w:spacing w:before="0" w:after="283"/>
              <w:jc w:val="righ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952"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Calibri;sans-serif" w:hAnsi="Calibri;sans-serif"/>
                <w:color w:val="000000"/>
                <w:sz w:val="20"/>
              </w:rPr>
              <w:t>Authorized: 2,000,000</w:t>
            </w:r>
            <w:r>
              <w:rPr>
                <w:rFonts w:ascii="Times New Roman" w:hAnsi="Times New Roman"/>
                <w:color w:val="000000"/>
                <w:sz w:val="20"/>
              </w:rPr>
              <w:t> </w:t>
            </w:r>
            <w:r>
              <w:rPr>
                <w:rFonts w:ascii="Calibri;sans-serif" w:hAnsi="Calibri;sans-serif"/>
                <w:color w:val="000000"/>
                <w:sz w:val="20"/>
              </w:rPr>
              <w:t>shares of $1</w:t>
            </w:r>
            <w:r>
              <w:rPr>
                <w:rFonts w:ascii="Times New Roman" w:hAnsi="Times New Roman"/>
                <w:color w:val="000000"/>
                <w:sz w:val="20"/>
              </w:rPr>
              <w:t> </w:t>
            </w:r>
            <w:r>
              <w:rPr>
                <w:rFonts w:ascii="Calibri;sans-serif" w:hAnsi="Calibri;sans-serif"/>
                <w:color w:val="000000"/>
                <w:sz w:val="20"/>
              </w:rPr>
              <w:t>par value, Issued and Outstanding: None</w:t>
            </w:r>
            <w:r>
              <w:rPr>
                <w:rFonts w:ascii="Times New Roman" w:hAnsi="Times New Roman"/>
                <w:color w:val="000000"/>
                <w:sz w:val="20"/>
              </w:rPr>
              <w:t> </w:t>
            </w:r>
            <w:r>
              <w:rPr>
                <w:rFonts w:ascii="Calibri;sans-serif" w:hAnsi="Calibri;sans-serif"/>
                <w:color w:val="000000"/>
                <w:sz w:val="20"/>
              </w:rPr>
              <w:t>and none</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color w:val="000000"/>
              </w:rPr>
            </w:pPr>
            <w:r>
              <w:rPr>
                <w:color w:val="000000"/>
              </w:rPr>
              <w:t>—</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Common stock:</w:t>
            </w:r>
          </w:p>
        </w:tc>
        <w:tc>
          <w:tcPr>
            <w:tcW w:w="146" w:type="dxa"/>
            <w:tcBorders/>
            <w:shd w:fill="FFFFFF" w:val="clear"/>
            <w:vAlign w:val="center"/>
          </w:tcPr>
          <w:p>
            <w:pPr>
              <w:pStyle w:val="TableContents"/>
              <w:bidi w:val="0"/>
              <w:spacing w:before="0" w:after="283"/>
              <w:jc w:val="righ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0" w:type="dxa"/>
            <w:gridSpan w:val="2"/>
            <w:tcBorders/>
            <w:shd w:fill="FFFFFF" w:val="clear"/>
            <w:vAlign w:val="center"/>
          </w:tcPr>
          <w:p>
            <w:pPr>
              <w:pStyle w:val="TableContents"/>
              <w:bidi w:val="0"/>
              <w:spacing w:before="0" w:after="283"/>
              <w:jc w:val="right"/>
              <w:rPr/>
            </w:pPr>
            <w:r>
              <w:rPr/>
              <w:t> </w:t>
            </w:r>
          </w:p>
        </w:tc>
        <w:tc>
          <w:tcPr>
            <w:tcW w:w="594" w:type="dxa"/>
            <w:tcBorders/>
            <w:shd w:fill="FFFFFF" w:val="clear"/>
            <w:vAlign w:val="center"/>
          </w:tcPr>
          <w:p>
            <w:pPr>
              <w:pStyle w:val="TableContents"/>
              <w:bidi w:val="0"/>
              <w:spacing w:before="0" w:after="283"/>
              <w:ind w:left="0" w:right="0" w:firstLine="400"/>
              <w:jc w:val="right"/>
              <w:rPr/>
            </w:pPr>
            <w:r>
              <w:rPr/>
              <w:t> </w:t>
            </w:r>
          </w:p>
        </w:tc>
      </w:tr>
      <w:tr>
        <w:trPr/>
        <w:tc>
          <w:tcPr>
            <w:tcW w:w="6952"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Calibri;sans-serif" w:hAnsi="Calibri;sans-serif"/>
                <w:color w:val="000000"/>
                <w:sz w:val="20"/>
              </w:rPr>
              <w:t>Authorized: 200,000,000</w:t>
            </w:r>
            <w:r>
              <w:rPr>
                <w:rFonts w:ascii="Times New Roman" w:hAnsi="Times New Roman"/>
                <w:color w:val="000000"/>
                <w:sz w:val="20"/>
              </w:rPr>
              <w:t> </w:t>
            </w:r>
            <w:r>
              <w:rPr>
                <w:rFonts w:ascii="Calibri;sans-serif" w:hAnsi="Calibri;sans-serif"/>
                <w:color w:val="000000"/>
                <w:sz w:val="20"/>
              </w:rPr>
              <w:t>shares of $1</w:t>
            </w:r>
            <w:r>
              <w:rPr>
                <w:rFonts w:ascii="Times New Roman" w:hAnsi="Times New Roman"/>
                <w:color w:val="000000"/>
                <w:sz w:val="20"/>
              </w:rPr>
              <w:t> </w:t>
            </w:r>
            <w:r>
              <w:rPr>
                <w:rFonts w:ascii="Calibri;sans-serif" w:hAnsi="Calibri;sans-serif"/>
                <w:color w:val="000000"/>
                <w:sz w:val="20"/>
              </w:rPr>
              <w:t>par value, Issued: 55,391,349</w:t>
            </w:r>
            <w:r>
              <w:rPr>
                <w:rFonts w:ascii="Times New Roman" w:hAnsi="Times New Roman"/>
                <w:color w:val="000000"/>
                <w:sz w:val="20"/>
              </w:rPr>
              <w:t> </w:t>
            </w:r>
            <w:r>
              <w:rPr>
                <w:rFonts w:ascii="Calibri;sans-serif" w:hAnsi="Calibri;sans-serif"/>
                <w:color w:val="000000"/>
                <w:sz w:val="20"/>
              </w:rPr>
              <w:t>and 55,379,636</w:t>
            </w:r>
            <w:r>
              <w:rPr>
                <w:rFonts w:ascii="Times New Roman" w:hAnsi="Times New Roman"/>
                <w:color w:val="000000"/>
                <w:sz w:val="20"/>
              </w:rPr>
              <w:t> </w:t>
            </w:r>
            <w:r>
              <w:rPr>
                <w:rFonts w:ascii="Calibri;sans-serif" w:hAnsi="Calibri;sans-serif"/>
                <w:color w:val="000000"/>
                <w:sz w:val="20"/>
              </w:rPr>
              <w:t>shares, Outstanding: 55,258,040</w:t>
            </w:r>
            <w:r>
              <w:rPr>
                <w:rFonts w:ascii="Times New Roman" w:hAnsi="Times New Roman"/>
                <w:color w:val="000000"/>
                <w:sz w:val="20"/>
              </w:rPr>
              <w:t> </w:t>
            </w:r>
            <w:r>
              <w:rPr>
                <w:rFonts w:ascii="Calibri;sans-serif" w:hAnsi="Calibri;sans-serif"/>
                <w:color w:val="000000"/>
                <w:sz w:val="20"/>
              </w:rPr>
              <w:t>and 55,243,804</w:t>
            </w:r>
            <w:r>
              <w:rPr>
                <w:rFonts w:ascii="Times New Roman" w:hAnsi="Times New Roman"/>
                <w:color w:val="000000"/>
                <w:sz w:val="20"/>
              </w:rPr>
              <w:t> </w:t>
            </w:r>
            <w:r>
              <w:rPr>
                <w:rFonts w:ascii="Calibri;sans-serif" w:hAnsi="Calibri;sans-serif"/>
                <w:color w:val="000000"/>
                <w:sz w:val="20"/>
              </w:rPr>
              <w:t>shares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w:t>
            </w:r>
          </w:p>
        </w:tc>
        <w:tc>
          <w:tcPr>
            <w:tcW w:w="594" w:type="dxa"/>
            <w:tcBorders/>
            <w:shd w:fill="CFF0FC" w:val="clear"/>
            <w:vAlign w:val="center"/>
          </w:tcPr>
          <w:p>
            <w:pPr>
              <w:pStyle w:val="TableContents"/>
              <w:bidi w:val="0"/>
              <w:spacing w:before="0" w:after="283"/>
              <w:ind w:left="0" w:right="0" w:firstLine="400"/>
              <w:jc w:val="left"/>
              <w:rPr/>
            </w:pPr>
            <w:r>
              <w:rPr/>
              <w:t> </w:t>
            </w:r>
          </w:p>
        </w:tc>
      </w:tr>
      <w:tr>
        <w:trPr/>
        <w:tc>
          <w:tcPr>
            <w:tcW w:w="6952"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Calibri;sans-serif" w:hAnsi="Calibri;sans-serif"/>
                <w:color w:val="000000"/>
                <w:sz w:val="20"/>
              </w:rPr>
              <w:t>Less cost of 133,309</w:t>
            </w:r>
            <w:r>
              <w:rPr>
                <w:rFonts w:ascii="Times New Roman" w:hAnsi="Times New Roman"/>
                <w:color w:val="000000"/>
                <w:sz w:val="20"/>
              </w:rPr>
              <w:t> </w:t>
            </w:r>
            <w:r>
              <w:rPr>
                <w:rFonts w:ascii="Calibri;sans-serif" w:hAnsi="Calibri;sans-serif"/>
                <w:color w:val="000000"/>
                <w:sz w:val="20"/>
              </w:rPr>
              <w:t>and 135,832</w:t>
            </w:r>
            <w:r>
              <w:rPr>
                <w:rFonts w:ascii="Times New Roman" w:hAnsi="Times New Roman"/>
                <w:color w:val="000000"/>
                <w:sz w:val="20"/>
              </w:rPr>
              <w:t> </w:t>
            </w:r>
            <w:r>
              <w:rPr>
                <w:rFonts w:ascii="Calibri;sans-serif" w:hAnsi="Calibri;sans-serif"/>
                <w:color w:val="000000"/>
                <w:sz w:val="20"/>
              </w:rPr>
              <w:t>shares of common treasury stock</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59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9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Additional paid-in capital</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color w:val="000000"/>
              </w:rPr>
            </w:pPr>
            <w:r>
              <w:rPr>
                <w:color w:val="000000"/>
              </w:rPr>
              <w:t>—</w:t>
            </w:r>
          </w:p>
        </w:tc>
        <w:tc>
          <w:tcPr>
            <w:tcW w:w="594" w:type="dxa"/>
            <w:tcBorders/>
            <w:shd w:fill="CFF0FC" w:val="clear"/>
            <w:vAlign w:val="center"/>
          </w:tcPr>
          <w:p>
            <w:pPr>
              <w:pStyle w:val="TableContents"/>
              <w:bidi w:val="0"/>
              <w:spacing w:before="0" w:after="283"/>
              <w:jc w:val="left"/>
              <w:rPr/>
            </w:pPr>
            <w:r>
              <w:rPr/>
              <w:t> </w:t>
            </w:r>
          </w:p>
        </w:tc>
      </w:tr>
      <w:tr>
        <w:trPr/>
        <w:tc>
          <w:tcPr>
            <w:tcW w:w="69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Retained earnings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1,574</w:t>
            </w:r>
          </w:p>
        </w:tc>
        <w:tc>
          <w:tcPr>
            <w:tcW w:w="594" w:type="dxa"/>
            <w:tcBorders/>
            <w:shd w:fill="FFFFFF" w:val="clear"/>
            <w:vAlign w:val="center"/>
          </w:tcPr>
          <w:p>
            <w:pPr>
              <w:pStyle w:val="TableContents"/>
              <w:bidi w:val="0"/>
              <w:spacing w:before="0" w:after="283"/>
              <w:jc w:val="left"/>
              <w:rPr/>
            </w:pPr>
            <w:r>
              <w:rPr/>
              <w:t> </w:t>
            </w:r>
          </w:p>
        </w:tc>
      </w:tr>
      <w:tr>
        <w:trPr/>
        <w:tc>
          <w:tcPr>
            <w:tcW w:w="69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Accumulated other comprehensive income (loss)</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(362</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69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Cabot Corporation stockholders' equity</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1,264</w:t>
            </w:r>
          </w:p>
        </w:tc>
        <w:tc>
          <w:tcPr>
            <w:tcW w:w="594" w:type="dxa"/>
            <w:tcBorders/>
            <w:shd w:fill="FFFFFF" w:val="clear"/>
            <w:vAlign w:val="center"/>
          </w:tcPr>
          <w:p>
            <w:pPr>
              <w:pStyle w:val="TableContents"/>
              <w:bidi w:val="0"/>
              <w:spacing w:before="0" w:after="283"/>
              <w:jc w:val="left"/>
              <w:rPr/>
            </w:pPr>
            <w:r>
              <w:rPr/>
              <w:t> </w:t>
            </w:r>
          </w:p>
        </w:tc>
      </w:tr>
      <w:tr>
        <w:trPr/>
        <w:tc>
          <w:tcPr>
            <w:tcW w:w="69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Noncontrolling interests</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stockholders' equity</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liabilities and stockholders' equity</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3,604</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18"/>
        </w:rPr>
      </w:pPr>
      <w:r>
        <w:rPr>
          <w:rFonts w:ascii="Calibri;sans-serif" w:hAnsi="Calibri;sans-serif"/>
          <w:b/>
          <w:color w:val="000000"/>
          <w:sz w:val="18"/>
        </w:rPr>
        <w:t>CABOT CORPORATION</w:t>
      </w:r>
    </w:p>
    <w:p>
      <w:pPr>
        <w:pStyle w:val="TextBody"/>
        <w:bidi w:val="0"/>
        <w:jc w:val="center"/>
        <w:rPr>
          <w:rFonts w:ascii="Calibri;sans-serif" w:hAnsi="Calibri;sans-serif"/>
          <w:b/>
          <w:color w:val="000000"/>
          <w:sz w:val="18"/>
        </w:rPr>
      </w:pPr>
      <w:bookmarkStart w:id="7" w:name="consolidated_statements_cash_flows"/>
      <w:bookmarkEnd w:id="7"/>
      <w:r>
        <w:rPr>
          <w:rFonts w:ascii="Calibri;sans-serif" w:hAnsi="Calibri;sans-serif"/>
          <w:b/>
          <w:color w:val="000000"/>
          <w:sz w:val="18"/>
        </w:rPr>
        <w:t>CONSOLIDATED STATEMENTS OF CASH FLOWS</w:t>
      </w:r>
    </w:p>
    <w:p>
      <w:pPr>
        <w:pStyle w:val="TextBody"/>
        <w:bidi w:val="0"/>
        <w:jc w:val="center"/>
        <w:rPr>
          <w:rFonts w:ascii="Calibri;sans-serif" w:hAnsi="Calibri;sans-serif"/>
          <w:b/>
          <w:color w:val="000000"/>
          <w:sz w:val="18"/>
        </w:rPr>
      </w:pPr>
      <w:r>
        <w:rPr>
          <w:rFonts w:ascii="Calibri;sans-serif" w:hAnsi="Calibri;sans-serif"/>
          <w:b/>
          <w:color w:val="000000"/>
          <w:sz w:val="18"/>
        </w:rPr>
        <w:t>UNAUDITED</w:t>
      </w:r>
    </w:p>
    <w:p>
      <w:pPr>
        <w:pStyle w:val="TextBody"/>
        <w:bidi w:val="0"/>
        <w:jc w:val="left"/>
        <w:rPr/>
      </w:pPr>
      <w:r>
        <w:rPr/>
        <w:t> </w:t>
      </w:r>
    </w:p>
    <w:tbl>
      <w:tblPr>
        <w:tblW w:w="8837" w:type="dxa"/>
        <w:jc w:val="left"/>
        <w:tblInd w:w="0" w:type="dxa"/>
        <w:tblLayout w:type="fixed"/>
        <w:tblCellMar>
          <w:top w:w="28" w:type="dxa"/>
          <w:left w:w="28" w:type="dxa"/>
          <w:bottom w:w="28" w:type="dxa"/>
          <w:right w:w="28" w:type="dxa"/>
        </w:tblCellMar>
      </w:tblPr>
      <w:tblGrid>
        <w:gridCol w:w="5831"/>
        <w:gridCol w:w="146"/>
        <w:gridCol w:w="259"/>
        <w:gridCol w:w="557"/>
        <w:gridCol w:w="199"/>
        <w:gridCol w:w="193"/>
        <w:gridCol w:w="259"/>
        <w:gridCol w:w="557"/>
        <w:gridCol w:w="836"/>
      </w:tblGrid>
      <w:tr>
        <w:trPr/>
        <w:tc>
          <w:tcPr>
            <w:tcW w:w="5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7"/>
              </w:rPr>
            </w:pPr>
            <w:r>
              <w:rPr>
                <w:rFonts w:ascii="Calibri;sans-serif" w:hAnsi="Calibri;sans-serif"/>
                <w:b/>
                <w:color w:val="000000"/>
                <w:sz w:val="17"/>
              </w:rPr>
              <w:t>Six Months Ended March 31</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7"/>
              </w:rPr>
            </w:pPr>
            <w:r>
              <w:rPr>
                <w:rFonts w:ascii="Calibri;sans-serif" w:hAnsi="Calibri;sans-serif"/>
                <w:b/>
                <w:color w:val="000000"/>
                <w:sz w:val="17"/>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7"/>
              </w:rPr>
            </w:pPr>
            <w:r>
              <w:rPr>
                <w:rFonts w:ascii="Calibri;sans-serif" w:hAnsi="Calibri;sans-serif"/>
                <w:b/>
                <w:color w:val="000000"/>
                <w:sz w:val="17"/>
              </w:rPr>
              <w:t>2023</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shd w:fill="FFFFFF" w:val="clear"/>
            <w:vAlign w:val="center"/>
          </w:tcPr>
          <w:p>
            <w:pPr>
              <w:pStyle w:val="TableContents"/>
              <w:bidi w:val="0"/>
              <w:spacing w:before="0" w:after="283"/>
              <w:jc w:val="center"/>
              <w:rPr>
                <w:rFonts w:ascii="Calibri;sans-serif" w:hAnsi="Calibri;sans-serif"/>
                <w:b/>
                <w:color w:val="000000"/>
                <w:sz w:val="17"/>
              </w:rPr>
            </w:pPr>
            <w:r>
              <w:rPr>
                <w:rFonts w:ascii="Calibri;sans-serif" w:hAnsi="Calibri;sans-serif"/>
                <w:b/>
                <w:color w:val="000000"/>
                <w:sz w:val="17"/>
              </w:rPr>
              <w:t>(In millions)</w:t>
            </w:r>
          </w:p>
        </w:tc>
        <w:tc>
          <w:tcPr>
            <w:tcW w:w="836" w:type="dxa"/>
            <w:tcBorders/>
            <w:shd w:fill="FFFFFF" w:val="clear"/>
            <w:vAlign w:val="center"/>
          </w:tcPr>
          <w:p>
            <w:pPr>
              <w:pStyle w:val="TableContents"/>
              <w:bidi w:val="0"/>
              <w:spacing w:before="0" w:after="283"/>
              <w:jc w:val="center"/>
              <w:rPr/>
            </w:pPr>
            <w:r>
              <w:rPr/>
              <w:t> </w:t>
            </w:r>
          </w:p>
        </w:tc>
      </w:tr>
      <w:tr>
        <w:trPr/>
        <w:tc>
          <w:tcPr>
            <w:tcW w:w="5831" w:type="dxa"/>
            <w:tcBorders/>
            <w:shd w:fill="CFF0FC" w:val="clear"/>
            <w:vAlign w:val="center"/>
          </w:tcPr>
          <w:p>
            <w:pPr>
              <w:pStyle w:val="TableContents"/>
              <w:bidi w:val="0"/>
              <w:spacing w:before="0" w:after="283"/>
              <w:jc w:val="left"/>
              <w:rPr>
                <w:rFonts w:ascii="Calibri;sans-serif" w:hAnsi="Calibri;sans-serif"/>
                <w:b/>
                <w:color w:val="000000"/>
                <w:sz w:val="17"/>
              </w:rPr>
            </w:pPr>
            <w:r>
              <w:rPr>
                <w:rFonts w:ascii="Calibri;sans-serif" w:hAnsi="Calibri;sans-serif"/>
                <w:b/>
                <w:color w:val="000000"/>
                <w:sz w:val="17"/>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816"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816" w:type="dxa"/>
            <w:gridSpan w:val="2"/>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ind w:left="0" w:right="0" w:firstLine="160"/>
              <w:jc w:val="left"/>
              <w:rPr/>
            </w:pPr>
            <w:r>
              <w:rPr/>
              <w:t> </w:t>
            </w:r>
          </w:p>
        </w:tc>
      </w:tr>
      <w:tr>
        <w:trPr/>
        <w:tc>
          <w:tcPr>
            <w:tcW w:w="583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Net income (loss)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158</w:t>
            </w:r>
          </w:p>
        </w:tc>
        <w:tc>
          <w:tcPr>
            <w:tcW w:w="19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148</w:t>
            </w:r>
          </w:p>
        </w:tc>
        <w:tc>
          <w:tcPr>
            <w:tcW w:w="836" w:type="dxa"/>
            <w:tcBorders/>
            <w:shd w:fill="FFFFFF" w:val="clear"/>
            <w:vAlign w:val="center"/>
          </w:tcPr>
          <w:p>
            <w:pPr>
              <w:pStyle w:val="TableContents"/>
              <w:bidi w:val="0"/>
              <w:spacing w:before="0" w:after="283"/>
              <w:ind w:left="0" w:right="0" w:firstLine="160"/>
              <w:jc w:val="left"/>
              <w:rPr/>
            </w:pPr>
            <w:r>
              <w:rPr/>
              <w:t> </w:t>
            </w:r>
          </w:p>
        </w:tc>
      </w:tr>
      <w:tr>
        <w:trPr/>
        <w:tc>
          <w:tcPr>
            <w:tcW w:w="583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Adjustments to reconcile net income (loss) to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816"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816" w:type="dxa"/>
            <w:gridSpan w:val="2"/>
            <w:tcBorders/>
            <w:shd w:fill="CFF0FC" w:val="clear"/>
            <w:vAlign w:val="center"/>
          </w:tcPr>
          <w:p>
            <w:pPr>
              <w:pStyle w:val="TableContents"/>
              <w:bidi w:val="0"/>
              <w:spacing w:before="0" w:after="283"/>
              <w:jc w:val="right"/>
              <w:rPr/>
            </w:pPr>
            <w:r>
              <w:rPr/>
              <w:t> </w:t>
            </w:r>
          </w:p>
        </w:tc>
        <w:tc>
          <w:tcPr>
            <w:tcW w:w="836" w:type="dxa"/>
            <w:tcBorders/>
            <w:shd w:fill="CFF0FC" w:val="clear"/>
            <w:vAlign w:val="center"/>
          </w:tcPr>
          <w:p>
            <w:pPr>
              <w:pStyle w:val="TableContents"/>
              <w:bidi w:val="0"/>
              <w:spacing w:before="0" w:after="283"/>
              <w:ind w:left="0" w:right="0" w:firstLine="320"/>
              <w:jc w:val="right"/>
              <w:rPr/>
            </w:pPr>
            <w:r>
              <w:rPr/>
              <w:t> </w:t>
            </w:r>
          </w:p>
        </w:tc>
      </w:tr>
      <w:tr>
        <w:trPr/>
        <w:tc>
          <w:tcPr>
            <w:tcW w:w="5831" w:type="dxa"/>
            <w:tcBorders/>
            <w:shd w:fill="FFFFFF" w:val="clear"/>
            <w:vAlign w:val="center"/>
          </w:tcPr>
          <w:p>
            <w:pPr>
              <w:pStyle w:val="TableContents"/>
              <w:bidi w:val="0"/>
              <w:spacing w:before="0" w:after="283"/>
              <w:ind w:left="320" w:right="0" w:firstLine="320"/>
              <w:jc w:val="left"/>
              <w:rPr>
                <w:rFonts w:ascii="Calibri;sans-serif" w:hAnsi="Calibri;sans-serif"/>
                <w:color w:val="000000"/>
                <w:sz w:val="17"/>
              </w:rPr>
            </w:pPr>
            <w:r>
              <w:rPr>
                <w:rFonts w:ascii="Calibri;sans-serif" w:hAnsi="Calibri;sans-serif"/>
                <w:color w:val="000000"/>
                <w:sz w:val="17"/>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78</w:t>
            </w:r>
          </w:p>
        </w:tc>
        <w:tc>
          <w:tcPr>
            <w:tcW w:w="19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71</w:t>
            </w:r>
          </w:p>
        </w:tc>
        <w:tc>
          <w:tcPr>
            <w:tcW w:w="836" w:type="dxa"/>
            <w:tcBorders/>
            <w:shd w:fill="FFFFFF" w:val="clear"/>
            <w:vAlign w:val="center"/>
          </w:tcPr>
          <w:p>
            <w:pPr>
              <w:pStyle w:val="TableContents"/>
              <w:bidi w:val="0"/>
              <w:spacing w:before="0" w:after="283"/>
              <w:ind w:left="0" w:right="0" w:firstLine="320"/>
              <w:jc w:val="left"/>
              <w:rPr/>
            </w:pPr>
            <w:r>
              <w:rPr/>
              <w:t> </w:t>
            </w:r>
          </w:p>
        </w:tc>
      </w:tr>
      <w:tr>
        <w:trPr/>
        <w:tc>
          <w:tcPr>
            <w:tcW w:w="5831" w:type="dxa"/>
            <w:tcBorders/>
            <w:shd w:fill="CFF0FC" w:val="clear"/>
            <w:vAlign w:val="center"/>
          </w:tcPr>
          <w:p>
            <w:pPr>
              <w:pStyle w:val="TableContents"/>
              <w:bidi w:val="0"/>
              <w:spacing w:before="0" w:after="283"/>
              <w:ind w:left="320" w:right="0" w:firstLine="320"/>
              <w:jc w:val="left"/>
              <w:rPr>
                <w:rFonts w:ascii="Calibri;sans-serif" w:hAnsi="Calibri;sans-serif"/>
                <w:color w:val="000000"/>
                <w:sz w:val="17"/>
              </w:rPr>
            </w:pPr>
            <w:r>
              <w:rPr>
                <w:rFonts w:ascii="Calibri;sans-serif" w:hAnsi="Calibri;sans-serif"/>
                <w:color w:val="000000"/>
                <w:sz w:val="17"/>
              </w:rPr>
              <w:t>Loss on sale of business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color w:val="000000"/>
              </w:rPr>
            </w:pPr>
            <w:r>
              <w:rPr>
                <w:color w:val="000000"/>
              </w:rPr>
              <w:t>—</w:t>
            </w:r>
          </w:p>
        </w:tc>
        <w:tc>
          <w:tcPr>
            <w:tcW w:w="19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3</w:t>
            </w:r>
          </w:p>
        </w:tc>
        <w:tc>
          <w:tcPr>
            <w:tcW w:w="836" w:type="dxa"/>
            <w:tcBorders/>
            <w:shd w:fill="CFF0FC" w:val="clear"/>
            <w:vAlign w:val="center"/>
          </w:tcPr>
          <w:p>
            <w:pPr>
              <w:pStyle w:val="TableContents"/>
              <w:bidi w:val="0"/>
              <w:spacing w:before="0" w:after="283"/>
              <w:ind w:left="0" w:right="0" w:firstLine="320"/>
              <w:jc w:val="left"/>
              <w:rPr/>
            </w:pPr>
            <w:r>
              <w:rPr/>
              <w:t> </w:t>
            </w:r>
          </w:p>
        </w:tc>
      </w:tr>
      <w:tr>
        <w:trPr/>
        <w:tc>
          <w:tcPr>
            <w:tcW w:w="5831" w:type="dxa"/>
            <w:tcBorders/>
            <w:shd w:fill="FFFFFF" w:val="clear"/>
            <w:vAlign w:val="center"/>
          </w:tcPr>
          <w:p>
            <w:pPr>
              <w:pStyle w:val="TableContents"/>
              <w:bidi w:val="0"/>
              <w:spacing w:before="0" w:after="283"/>
              <w:ind w:left="320" w:right="0" w:firstLine="320"/>
              <w:jc w:val="left"/>
              <w:rPr>
                <w:rFonts w:ascii="Calibri;sans-serif" w:hAnsi="Calibri;sans-serif"/>
                <w:color w:val="000000"/>
                <w:sz w:val="17"/>
              </w:rPr>
            </w:pPr>
            <w:r>
              <w:rPr>
                <w:rFonts w:ascii="Calibri;sans-serif" w:hAnsi="Calibri;sans-serif"/>
                <w:color w:val="000000"/>
                <w:sz w:val="17"/>
              </w:rPr>
              <w:t>Gain on sale of land</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w:t>
            </w:r>
          </w:p>
        </w:tc>
        <w:tc>
          <w:tcPr>
            <w:tcW w:w="836" w:type="dxa"/>
            <w:tcBorders/>
            <w:shd w:fill="FFFFFF" w:val="clear"/>
            <w:vAlign w:val="center"/>
          </w:tcPr>
          <w:p>
            <w:pPr>
              <w:pStyle w:val="TableContents"/>
              <w:bidi w:val="0"/>
              <w:spacing w:before="0" w:after="283"/>
              <w:ind w:left="0" w:right="0" w:firstLine="32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CFF0FC" w:val="clear"/>
            <w:vAlign w:val="center"/>
          </w:tcPr>
          <w:p>
            <w:pPr>
              <w:pStyle w:val="TableContents"/>
              <w:bidi w:val="0"/>
              <w:spacing w:before="0" w:after="283"/>
              <w:ind w:left="320" w:right="0" w:firstLine="320"/>
              <w:jc w:val="left"/>
              <w:rPr>
                <w:rFonts w:ascii="Calibri;sans-serif" w:hAnsi="Calibri;sans-serif"/>
                <w:color w:val="000000"/>
                <w:sz w:val="17"/>
              </w:rPr>
            </w:pPr>
            <w:r>
              <w:rPr>
                <w:rFonts w:ascii="Calibri;sans-serif" w:hAnsi="Calibri;sans-serif"/>
                <w:color w:val="000000"/>
                <w:sz w:val="17"/>
              </w:rPr>
              <w:t>Deferred tax provision (benefit)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9</w:t>
            </w:r>
          </w:p>
        </w:tc>
        <w:tc>
          <w:tcPr>
            <w:tcW w:w="19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(3</w:t>
            </w:r>
          </w:p>
        </w:tc>
        <w:tc>
          <w:tcPr>
            <w:tcW w:w="836" w:type="dxa"/>
            <w:tcBorders/>
            <w:shd w:fill="CFF0FC" w:val="clear"/>
            <w:vAlign w:val="center"/>
          </w:tcPr>
          <w:p>
            <w:pPr>
              <w:pStyle w:val="TableContents"/>
              <w:bidi w:val="0"/>
              <w:spacing w:before="0" w:after="283"/>
              <w:ind w:left="0" w:right="0" w:firstLine="32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FFFFFF" w:val="clear"/>
            <w:vAlign w:val="center"/>
          </w:tcPr>
          <w:p>
            <w:pPr>
              <w:pStyle w:val="TableContents"/>
              <w:bidi w:val="0"/>
              <w:spacing w:before="0" w:after="283"/>
              <w:ind w:left="320" w:right="0" w:firstLine="320"/>
              <w:jc w:val="left"/>
              <w:rPr>
                <w:rFonts w:ascii="Calibri;sans-serif" w:hAnsi="Calibri;sans-serif"/>
                <w:color w:val="000000"/>
                <w:sz w:val="17"/>
              </w:rPr>
            </w:pPr>
            <w:r>
              <w:rPr>
                <w:rFonts w:ascii="Calibri;sans-serif" w:hAnsi="Calibri;sans-serif"/>
                <w:color w:val="000000"/>
                <w:sz w:val="17"/>
              </w:rPr>
              <w:t>Equity in earnings of affiliated companies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(3</w:t>
            </w:r>
          </w:p>
        </w:tc>
        <w:tc>
          <w:tcPr>
            <w:tcW w:w="199"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(3</w:t>
            </w:r>
          </w:p>
        </w:tc>
        <w:tc>
          <w:tcPr>
            <w:tcW w:w="836" w:type="dxa"/>
            <w:tcBorders/>
            <w:shd w:fill="FFFFFF" w:val="clear"/>
            <w:vAlign w:val="center"/>
          </w:tcPr>
          <w:p>
            <w:pPr>
              <w:pStyle w:val="TableContents"/>
              <w:bidi w:val="0"/>
              <w:spacing w:before="0" w:after="283"/>
              <w:ind w:left="0" w:right="0" w:firstLine="32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CFF0FC" w:val="clear"/>
            <w:vAlign w:val="center"/>
          </w:tcPr>
          <w:p>
            <w:pPr>
              <w:pStyle w:val="TableContents"/>
              <w:bidi w:val="0"/>
              <w:spacing w:before="0" w:after="283"/>
              <w:ind w:left="320" w:right="0" w:firstLine="320"/>
              <w:jc w:val="left"/>
              <w:rPr>
                <w:rFonts w:ascii="Calibri;sans-serif" w:hAnsi="Calibri;sans-serif"/>
                <w:color w:val="000000"/>
                <w:sz w:val="17"/>
              </w:rPr>
            </w:pPr>
            <w:r>
              <w:rPr>
                <w:rFonts w:ascii="Calibri;sans-serif" w:hAnsi="Calibri;sans-serif"/>
                <w:color w:val="000000"/>
                <w:sz w:val="17"/>
              </w:rPr>
              <w:t>Share-based compensation</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13</w:t>
            </w:r>
          </w:p>
        </w:tc>
        <w:tc>
          <w:tcPr>
            <w:tcW w:w="19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12</w:t>
            </w:r>
          </w:p>
        </w:tc>
        <w:tc>
          <w:tcPr>
            <w:tcW w:w="836" w:type="dxa"/>
            <w:tcBorders/>
            <w:shd w:fill="CFF0FC" w:val="clear"/>
            <w:vAlign w:val="center"/>
          </w:tcPr>
          <w:p>
            <w:pPr>
              <w:pStyle w:val="TableContents"/>
              <w:bidi w:val="0"/>
              <w:spacing w:before="0" w:after="283"/>
              <w:ind w:left="0" w:right="0" w:firstLine="320"/>
              <w:jc w:val="left"/>
              <w:rPr/>
            </w:pPr>
            <w:r>
              <w:rPr/>
              <w:t> </w:t>
            </w:r>
          </w:p>
        </w:tc>
      </w:tr>
      <w:tr>
        <w:trPr/>
        <w:tc>
          <w:tcPr>
            <w:tcW w:w="5831" w:type="dxa"/>
            <w:tcBorders/>
            <w:shd w:fill="FFFFFF" w:val="clear"/>
            <w:vAlign w:val="center"/>
          </w:tcPr>
          <w:p>
            <w:pPr>
              <w:pStyle w:val="TableContents"/>
              <w:bidi w:val="0"/>
              <w:spacing w:before="0" w:after="283"/>
              <w:ind w:left="320" w:right="0" w:firstLine="320"/>
              <w:jc w:val="left"/>
              <w:rPr>
                <w:rFonts w:ascii="Calibri;sans-serif" w:hAnsi="Calibri;sans-serif"/>
                <w:color w:val="000000"/>
                <w:sz w:val="17"/>
              </w:rPr>
            </w:pPr>
            <w:r>
              <w:rPr>
                <w:rFonts w:ascii="Calibri;sans-serif" w:hAnsi="Calibri;sans-serif"/>
                <w:color w:val="000000"/>
                <w:sz w:val="17"/>
              </w:rPr>
              <w:t>Other non-cash (income) expense</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52</w:t>
            </w:r>
          </w:p>
        </w:tc>
        <w:tc>
          <w:tcPr>
            <w:tcW w:w="19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w:t>
            </w:r>
          </w:p>
        </w:tc>
        <w:tc>
          <w:tcPr>
            <w:tcW w:w="836" w:type="dxa"/>
            <w:tcBorders/>
            <w:shd w:fill="FFFFFF" w:val="clear"/>
            <w:vAlign w:val="center"/>
          </w:tcPr>
          <w:p>
            <w:pPr>
              <w:pStyle w:val="TableContents"/>
              <w:bidi w:val="0"/>
              <w:spacing w:before="0" w:after="283"/>
              <w:ind w:left="0" w:right="0" w:firstLine="32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CFF0FC" w:val="clear"/>
            <w:vAlign w:val="center"/>
          </w:tcPr>
          <w:p>
            <w:pPr>
              <w:pStyle w:val="TableContents"/>
              <w:bidi w:val="0"/>
              <w:spacing w:before="0" w:after="283"/>
              <w:ind w:left="320" w:right="0" w:firstLine="320"/>
              <w:jc w:val="left"/>
              <w:rPr>
                <w:rFonts w:ascii="Calibri;sans-serif" w:hAnsi="Calibri;sans-serif"/>
                <w:color w:val="000000"/>
                <w:sz w:val="17"/>
              </w:rPr>
            </w:pPr>
            <w:r>
              <w:rPr>
                <w:rFonts w:ascii="Calibri;sans-serif" w:hAnsi="Calibri;sans-serif"/>
                <w:color w:val="000000"/>
                <w:sz w:val="17"/>
              </w:rPr>
              <w:t>Cash dividends received from equity affiliates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w:t>
            </w:r>
          </w:p>
        </w:tc>
        <w:tc>
          <w:tcPr>
            <w:tcW w:w="19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w:t>
            </w:r>
          </w:p>
        </w:tc>
        <w:tc>
          <w:tcPr>
            <w:tcW w:w="836" w:type="dxa"/>
            <w:tcBorders/>
            <w:shd w:fill="CFF0FC" w:val="clear"/>
            <w:vAlign w:val="center"/>
          </w:tcPr>
          <w:p>
            <w:pPr>
              <w:pStyle w:val="TableContents"/>
              <w:bidi w:val="0"/>
              <w:spacing w:before="0" w:after="283"/>
              <w:ind w:left="0" w:right="0" w:firstLine="320"/>
              <w:jc w:val="left"/>
              <w:rPr/>
            </w:pPr>
            <w:r>
              <w:rPr/>
              <w:t> </w:t>
            </w:r>
          </w:p>
        </w:tc>
      </w:tr>
      <w:tr>
        <w:trPr/>
        <w:tc>
          <w:tcPr>
            <w:tcW w:w="5831" w:type="dxa"/>
            <w:tcBorders/>
            <w:shd w:fill="FFFFFF" w:val="clear"/>
            <w:vAlign w:val="center"/>
          </w:tcPr>
          <w:p>
            <w:pPr>
              <w:pStyle w:val="TableContents"/>
              <w:bidi w:val="0"/>
              <w:spacing w:before="0" w:after="283"/>
              <w:ind w:left="320" w:right="0" w:firstLine="320"/>
              <w:jc w:val="left"/>
              <w:rPr>
                <w:rFonts w:ascii="Calibri;sans-serif" w:hAnsi="Calibri;sans-serif"/>
                <w:color w:val="000000"/>
                <w:sz w:val="17"/>
              </w:rPr>
            </w:pPr>
            <w:r>
              <w:rPr>
                <w:rFonts w:ascii="Calibri;sans-serif" w:hAnsi="Calibri;sans-serif"/>
                <w:color w:val="000000"/>
                <w:sz w:val="17"/>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816"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816" w:type="dxa"/>
            <w:gridSpan w:val="2"/>
            <w:tcBorders/>
            <w:shd w:fill="FFFFFF" w:val="clear"/>
            <w:vAlign w:val="center"/>
          </w:tcPr>
          <w:p>
            <w:pPr>
              <w:pStyle w:val="TableContents"/>
              <w:bidi w:val="0"/>
              <w:spacing w:before="0" w:after="283"/>
              <w:jc w:val="right"/>
              <w:rPr/>
            </w:pPr>
            <w:r>
              <w:rPr/>
              <w:t> </w:t>
            </w:r>
          </w:p>
        </w:tc>
        <w:tc>
          <w:tcPr>
            <w:tcW w:w="836" w:type="dxa"/>
            <w:tcBorders/>
            <w:shd w:fill="FFFFFF" w:val="clear"/>
            <w:vAlign w:val="center"/>
          </w:tcPr>
          <w:p>
            <w:pPr>
              <w:pStyle w:val="TableContents"/>
              <w:bidi w:val="0"/>
              <w:spacing w:before="0" w:after="283"/>
              <w:ind w:left="0" w:right="0" w:firstLine="480"/>
              <w:jc w:val="right"/>
              <w:rPr/>
            </w:pPr>
            <w:r>
              <w:rPr/>
              <w:t> </w:t>
            </w:r>
          </w:p>
        </w:tc>
      </w:tr>
      <w:tr>
        <w:trPr/>
        <w:tc>
          <w:tcPr>
            <w:tcW w:w="5831" w:type="dxa"/>
            <w:tcBorders/>
            <w:shd w:fill="CFF0FC" w:val="clear"/>
            <w:vAlign w:val="center"/>
          </w:tcPr>
          <w:p>
            <w:pPr>
              <w:pStyle w:val="TableContents"/>
              <w:bidi w:val="0"/>
              <w:spacing w:before="0" w:after="283"/>
              <w:ind w:left="480" w:right="0" w:firstLine="480"/>
              <w:jc w:val="left"/>
              <w:rPr>
                <w:rFonts w:ascii="Calibri;sans-serif" w:hAnsi="Calibri;sans-serif"/>
                <w:color w:val="000000"/>
                <w:sz w:val="17"/>
              </w:rPr>
            </w:pPr>
            <w:r>
              <w:rPr>
                <w:rFonts w:ascii="Calibri;sans-serif" w:hAnsi="Calibri;sans-serif"/>
                <w:color w:val="000000"/>
                <w:sz w:val="17"/>
              </w:rPr>
              <w:t>Accounts and notes receivable</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(43</w:t>
            </w:r>
          </w:p>
        </w:tc>
        <w:tc>
          <w:tcPr>
            <w:tcW w:w="199" w:type="dxa"/>
            <w:tcBorders/>
            <w:shd w:fill="CFF0FC"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108</w:t>
            </w:r>
          </w:p>
        </w:tc>
        <w:tc>
          <w:tcPr>
            <w:tcW w:w="836" w:type="dxa"/>
            <w:tcBorders/>
            <w:shd w:fill="CFF0FC" w:val="clear"/>
            <w:vAlign w:val="center"/>
          </w:tcPr>
          <w:p>
            <w:pPr>
              <w:pStyle w:val="TableContents"/>
              <w:bidi w:val="0"/>
              <w:spacing w:before="0" w:after="283"/>
              <w:ind w:left="0" w:right="0" w:firstLine="480"/>
              <w:jc w:val="left"/>
              <w:rPr/>
            </w:pPr>
            <w:r>
              <w:rPr/>
              <w:t> </w:t>
            </w:r>
          </w:p>
        </w:tc>
      </w:tr>
      <w:tr>
        <w:trPr/>
        <w:tc>
          <w:tcPr>
            <w:tcW w:w="5831" w:type="dxa"/>
            <w:tcBorders/>
            <w:shd w:fill="FFFFFF" w:val="clear"/>
            <w:vAlign w:val="center"/>
          </w:tcPr>
          <w:p>
            <w:pPr>
              <w:pStyle w:val="TableContents"/>
              <w:bidi w:val="0"/>
              <w:spacing w:before="0" w:after="283"/>
              <w:ind w:left="480" w:right="0" w:firstLine="480"/>
              <w:jc w:val="left"/>
              <w:rPr>
                <w:rFonts w:ascii="Calibri;sans-serif" w:hAnsi="Calibri;sans-serif"/>
                <w:color w:val="000000"/>
                <w:sz w:val="17"/>
              </w:rPr>
            </w:pPr>
            <w:r>
              <w:rPr>
                <w:rFonts w:ascii="Calibri;sans-serif" w:hAnsi="Calibri;sans-serif"/>
                <w:color w:val="000000"/>
                <w:sz w:val="17"/>
              </w:rPr>
              <w:t>Inventories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38</w:t>
            </w:r>
          </w:p>
        </w:tc>
        <w:tc>
          <w:tcPr>
            <w:tcW w:w="19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72</w:t>
            </w:r>
          </w:p>
        </w:tc>
        <w:tc>
          <w:tcPr>
            <w:tcW w:w="836" w:type="dxa"/>
            <w:tcBorders/>
            <w:shd w:fill="FFFFFF" w:val="clear"/>
            <w:vAlign w:val="center"/>
          </w:tcPr>
          <w:p>
            <w:pPr>
              <w:pStyle w:val="TableContents"/>
              <w:bidi w:val="0"/>
              <w:spacing w:before="0" w:after="283"/>
              <w:ind w:left="0" w:right="0" w:firstLine="480"/>
              <w:jc w:val="left"/>
              <w:rPr/>
            </w:pPr>
            <w:r>
              <w:rPr/>
              <w:t> </w:t>
            </w:r>
          </w:p>
        </w:tc>
      </w:tr>
      <w:tr>
        <w:trPr/>
        <w:tc>
          <w:tcPr>
            <w:tcW w:w="5831" w:type="dxa"/>
            <w:tcBorders/>
            <w:shd w:fill="CFF0FC" w:val="clear"/>
            <w:vAlign w:val="center"/>
          </w:tcPr>
          <w:p>
            <w:pPr>
              <w:pStyle w:val="TableContents"/>
              <w:bidi w:val="0"/>
              <w:spacing w:before="0" w:after="283"/>
              <w:ind w:left="480" w:right="0" w:firstLine="480"/>
              <w:jc w:val="left"/>
              <w:rPr>
                <w:rFonts w:ascii="Calibri;sans-serif" w:hAnsi="Calibri;sans-serif"/>
                <w:color w:val="000000"/>
                <w:sz w:val="17"/>
              </w:rPr>
            </w:pPr>
            <w:r>
              <w:rPr>
                <w:rFonts w:ascii="Calibri;sans-serif" w:hAnsi="Calibri;sans-serif"/>
                <w:color w:val="000000"/>
                <w:sz w:val="17"/>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(11</w:t>
            </w:r>
          </w:p>
        </w:tc>
        <w:tc>
          <w:tcPr>
            <w:tcW w:w="199" w:type="dxa"/>
            <w:tcBorders/>
            <w:shd w:fill="CFF0FC"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(25</w:t>
            </w:r>
          </w:p>
        </w:tc>
        <w:tc>
          <w:tcPr>
            <w:tcW w:w="836" w:type="dxa"/>
            <w:tcBorders/>
            <w:shd w:fill="CFF0FC" w:val="clear"/>
            <w:vAlign w:val="center"/>
          </w:tcPr>
          <w:p>
            <w:pPr>
              <w:pStyle w:val="TableContents"/>
              <w:bidi w:val="0"/>
              <w:spacing w:before="0" w:after="283"/>
              <w:ind w:left="0" w:right="0" w:firstLine="48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FFFFFF" w:val="clear"/>
            <w:vAlign w:val="center"/>
          </w:tcPr>
          <w:p>
            <w:pPr>
              <w:pStyle w:val="TableContents"/>
              <w:bidi w:val="0"/>
              <w:spacing w:before="0" w:after="283"/>
              <w:ind w:left="480" w:right="0" w:firstLine="480"/>
              <w:jc w:val="left"/>
              <w:rPr>
                <w:rFonts w:ascii="Calibri;sans-serif" w:hAnsi="Calibri;sans-serif"/>
                <w:color w:val="000000"/>
                <w:sz w:val="17"/>
              </w:rPr>
            </w:pPr>
            <w:r>
              <w:rPr>
                <w:rFonts w:ascii="Calibri;sans-serif" w:hAnsi="Calibri;sans-serif"/>
                <w:color w:val="000000"/>
                <w:sz w:val="17"/>
              </w:rPr>
              <w:t>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(20</w:t>
            </w:r>
          </w:p>
        </w:tc>
        <w:tc>
          <w:tcPr>
            <w:tcW w:w="199"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(155</w:t>
            </w:r>
          </w:p>
        </w:tc>
        <w:tc>
          <w:tcPr>
            <w:tcW w:w="836" w:type="dxa"/>
            <w:tcBorders/>
            <w:shd w:fill="FFFFFF" w:val="clear"/>
            <w:vAlign w:val="center"/>
          </w:tcPr>
          <w:p>
            <w:pPr>
              <w:pStyle w:val="TableContents"/>
              <w:bidi w:val="0"/>
              <w:spacing w:before="0" w:after="283"/>
              <w:ind w:left="0" w:right="0" w:firstLine="48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CFF0FC" w:val="clear"/>
            <w:vAlign w:val="center"/>
          </w:tcPr>
          <w:p>
            <w:pPr>
              <w:pStyle w:val="TableContents"/>
              <w:bidi w:val="0"/>
              <w:spacing w:before="0" w:after="283"/>
              <w:ind w:left="480" w:right="0" w:firstLine="480"/>
              <w:jc w:val="left"/>
              <w:rPr>
                <w:rFonts w:ascii="Calibri;sans-serif" w:hAnsi="Calibri;sans-serif"/>
                <w:color w:val="000000"/>
                <w:sz w:val="17"/>
              </w:rPr>
            </w:pPr>
            <w:r>
              <w:rPr>
                <w:rFonts w:ascii="Calibri;sans-serif" w:hAnsi="Calibri;sans-serif"/>
                <w:color w:val="000000"/>
                <w:sz w:val="17"/>
              </w:rPr>
              <w:t>Income taxes payable</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(6</w:t>
            </w:r>
          </w:p>
        </w:tc>
        <w:tc>
          <w:tcPr>
            <w:tcW w:w="199" w:type="dxa"/>
            <w:tcBorders/>
            <w:shd w:fill="CFF0FC"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(16</w:t>
            </w:r>
          </w:p>
        </w:tc>
        <w:tc>
          <w:tcPr>
            <w:tcW w:w="836" w:type="dxa"/>
            <w:tcBorders/>
            <w:shd w:fill="CFF0FC" w:val="clear"/>
            <w:vAlign w:val="center"/>
          </w:tcPr>
          <w:p>
            <w:pPr>
              <w:pStyle w:val="TableContents"/>
              <w:bidi w:val="0"/>
              <w:spacing w:before="0" w:after="283"/>
              <w:ind w:left="0" w:right="0" w:firstLine="48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FFFFFF" w:val="clear"/>
            <w:vAlign w:val="center"/>
          </w:tcPr>
          <w:p>
            <w:pPr>
              <w:pStyle w:val="TableContents"/>
              <w:bidi w:val="0"/>
              <w:spacing w:before="0" w:after="283"/>
              <w:ind w:left="480" w:right="0" w:firstLine="480"/>
              <w:jc w:val="left"/>
              <w:rPr>
                <w:rFonts w:ascii="Calibri;sans-serif" w:hAnsi="Calibri;sans-serif"/>
                <w:color w:val="000000"/>
                <w:sz w:val="17"/>
              </w:rPr>
            </w:pPr>
            <w:r>
              <w:rPr>
                <w:rFonts w:ascii="Calibri;sans-serif" w:hAnsi="Calibri;sans-serif"/>
                <w:color w:val="000000"/>
                <w:sz w:val="17"/>
              </w:rPr>
              <w:t>Other liabilities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3</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40"/>
              <w:jc w:val="left"/>
              <w:rPr/>
            </w:pPr>
            <w:r>
              <w:rPr/>
              <w:t> </w:t>
            </w:r>
          </w:p>
        </w:tc>
      </w:tr>
      <w:tr>
        <w:trPr/>
        <w:tc>
          <w:tcPr>
            <w:tcW w:w="5831" w:type="dxa"/>
            <w:tcBorders/>
            <w:shd w:fill="CFF0FC" w:val="clear"/>
            <w:vAlign w:val="center"/>
          </w:tcPr>
          <w:p>
            <w:pPr>
              <w:pStyle w:val="TableContents"/>
              <w:bidi w:val="0"/>
              <w:spacing w:before="0" w:after="283"/>
              <w:ind w:left="640" w:right="0" w:firstLine="640"/>
              <w:jc w:val="left"/>
              <w:rPr>
                <w:rFonts w:ascii="Calibri;sans-serif" w:hAnsi="Calibri;sans-serif"/>
                <w:color w:val="000000"/>
                <w:sz w:val="17"/>
              </w:rPr>
            </w:pPr>
            <w:r>
              <w:rPr>
                <w:rFonts w:ascii="Calibri;sans-serif" w:hAnsi="Calibri;sans-serif"/>
                <w:color w:val="000000"/>
                <w:sz w:val="17"/>
              </w:rPr>
              <w:t>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281</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214</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1" w:type="dxa"/>
            <w:tcBorders/>
            <w:shd w:fill="FFFFFF" w:val="clear"/>
            <w:vAlign w:val="center"/>
          </w:tcPr>
          <w:p>
            <w:pPr>
              <w:pStyle w:val="TableContents"/>
              <w:bidi w:val="0"/>
              <w:spacing w:before="0" w:after="283"/>
              <w:jc w:val="left"/>
              <w:rPr>
                <w:rFonts w:ascii="Calibri;sans-serif" w:hAnsi="Calibri;sans-serif"/>
                <w:b/>
                <w:color w:val="000000"/>
                <w:sz w:val="17"/>
              </w:rPr>
            </w:pPr>
            <w:r>
              <w:rPr>
                <w:rFonts w:ascii="Calibri;sans-serif" w:hAnsi="Calibri;sans-serif"/>
                <w:b/>
                <w:color w:val="000000"/>
                <w:sz w:val="17"/>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816"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816" w:type="dxa"/>
            <w:gridSpan w:val="2"/>
            <w:tcBorders/>
            <w:shd w:fill="FFFFFF" w:val="clear"/>
            <w:vAlign w:val="center"/>
          </w:tcPr>
          <w:p>
            <w:pPr>
              <w:pStyle w:val="TableContents"/>
              <w:bidi w:val="0"/>
              <w:spacing w:before="0" w:after="283"/>
              <w:jc w:val="right"/>
              <w:rPr/>
            </w:pPr>
            <w:r>
              <w:rPr/>
              <w:t> </w:t>
            </w:r>
          </w:p>
        </w:tc>
        <w:tc>
          <w:tcPr>
            <w:tcW w:w="836" w:type="dxa"/>
            <w:tcBorders/>
            <w:shd w:fill="FFFFFF" w:val="clear"/>
            <w:vAlign w:val="center"/>
          </w:tcPr>
          <w:p>
            <w:pPr>
              <w:pStyle w:val="TableContents"/>
              <w:bidi w:val="0"/>
              <w:spacing w:before="0" w:after="283"/>
              <w:ind w:left="0" w:right="0" w:firstLine="160"/>
              <w:jc w:val="right"/>
              <w:rPr/>
            </w:pPr>
            <w:r>
              <w:rPr/>
              <w:t> </w:t>
            </w:r>
          </w:p>
        </w:tc>
      </w:tr>
      <w:tr>
        <w:trPr/>
        <w:tc>
          <w:tcPr>
            <w:tcW w:w="583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Additions to property, plant and equipment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(97</w:t>
            </w:r>
          </w:p>
        </w:tc>
        <w:tc>
          <w:tcPr>
            <w:tcW w:w="199" w:type="dxa"/>
            <w:tcBorders/>
            <w:shd w:fill="CFF0FC"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(86</w:t>
            </w:r>
          </w:p>
        </w:tc>
        <w:tc>
          <w:tcPr>
            <w:tcW w:w="836" w:type="dxa"/>
            <w:tcBorders/>
            <w:shd w:fill="CFF0FC" w:val="clear"/>
            <w:vAlign w:val="center"/>
          </w:tcPr>
          <w:p>
            <w:pPr>
              <w:pStyle w:val="TableContents"/>
              <w:bidi w:val="0"/>
              <w:spacing w:before="0" w:after="283"/>
              <w:ind w:left="0" w:right="0" w:firstLine="16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Proceeds from sale of land</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7</w:t>
            </w:r>
          </w:p>
        </w:tc>
        <w:tc>
          <w:tcPr>
            <w:tcW w:w="836" w:type="dxa"/>
            <w:tcBorders/>
            <w:shd w:fill="FFFFFF" w:val="clear"/>
            <w:vAlign w:val="center"/>
          </w:tcPr>
          <w:p>
            <w:pPr>
              <w:pStyle w:val="TableContents"/>
              <w:bidi w:val="0"/>
              <w:spacing w:before="0" w:after="283"/>
              <w:ind w:left="0" w:right="0" w:firstLine="160"/>
              <w:jc w:val="left"/>
              <w:rPr/>
            </w:pPr>
            <w:r>
              <w:rPr/>
              <w:t> </w:t>
            </w:r>
          </w:p>
        </w:tc>
      </w:tr>
      <w:tr>
        <w:trPr/>
        <w:tc>
          <w:tcPr>
            <w:tcW w:w="583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Proceeds from sale of business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color w:val="000000"/>
              </w:rPr>
            </w:pPr>
            <w:r>
              <w:rPr>
                <w:color w:val="000000"/>
              </w:rPr>
              <w:t>—</w:t>
            </w:r>
          </w:p>
        </w:tc>
        <w:tc>
          <w:tcPr>
            <w:tcW w:w="19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6</w:t>
            </w:r>
          </w:p>
        </w:tc>
        <w:tc>
          <w:tcPr>
            <w:tcW w:w="836" w:type="dxa"/>
            <w:tcBorders/>
            <w:shd w:fill="CFF0FC" w:val="clear"/>
            <w:vAlign w:val="center"/>
          </w:tcPr>
          <w:p>
            <w:pPr>
              <w:pStyle w:val="TableContents"/>
              <w:bidi w:val="0"/>
              <w:spacing w:before="0" w:after="283"/>
              <w:ind w:left="0" w:right="0" w:firstLine="160"/>
              <w:jc w:val="left"/>
              <w:rPr/>
            </w:pPr>
            <w:r>
              <w:rPr/>
              <w:t> </w:t>
            </w:r>
          </w:p>
        </w:tc>
      </w:tr>
      <w:tr>
        <w:trPr/>
        <w:tc>
          <w:tcPr>
            <w:tcW w:w="583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Other</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9</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40"/>
              <w:jc w:val="left"/>
              <w:rPr/>
            </w:pPr>
            <w:r>
              <w:rPr/>
              <w:t> </w:t>
            </w:r>
          </w:p>
        </w:tc>
      </w:tr>
      <w:tr>
        <w:trPr/>
        <w:tc>
          <w:tcPr>
            <w:tcW w:w="5831" w:type="dxa"/>
            <w:tcBorders/>
            <w:shd w:fill="CFF0FC" w:val="clear"/>
            <w:vAlign w:val="center"/>
          </w:tcPr>
          <w:p>
            <w:pPr>
              <w:pStyle w:val="TableContents"/>
              <w:bidi w:val="0"/>
              <w:spacing w:before="0" w:after="283"/>
              <w:ind w:left="640" w:right="0" w:firstLine="640"/>
              <w:jc w:val="left"/>
              <w:rPr>
                <w:rFonts w:ascii="Calibri;sans-serif" w:hAnsi="Calibri;sans-serif"/>
                <w:color w:val="000000"/>
                <w:sz w:val="17"/>
              </w:rPr>
            </w:pPr>
            <w:r>
              <w:rPr>
                <w:rFonts w:ascii="Calibri;sans-serif" w:hAnsi="Calibri;sans-serif"/>
                <w:color w:val="000000"/>
                <w:sz w:val="17"/>
              </w:rPr>
              <w:t>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(95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(64</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FFFFFF" w:val="clear"/>
            <w:vAlign w:val="center"/>
          </w:tcPr>
          <w:p>
            <w:pPr>
              <w:pStyle w:val="TableContents"/>
              <w:bidi w:val="0"/>
              <w:spacing w:before="0" w:after="283"/>
              <w:jc w:val="left"/>
              <w:rPr>
                <w:rFonts w:ascii="Calibri;sans-serif" w:hAnsi="Calibri;sans-serif"/>
                <w:b/>
                <w:color w:val="000000"/>
                <w:sz w:val="17"/>
              </w:rPr>
            </w:pPr>
            <w:r>
              <w:rPr>
                <w:rFonts w:ascii="Calibri;sans-serif" w:hAnsi="Calibri;sans-serif"/>
                <w:b/>
                <w:color w:val="000000"/>
                <w:sz w:val="17"/>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816"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816" w:type="dxa"/>
            <w:gridSpan w:val="2"/>
            <w:tcBorders/>
            <w:shd w:fill="FFFFFF" w:val="clear"/>
            <w:vAlign w:val="center"/>
          </w:tcPr>
          <w:p>
            <w:pPr>
              <w:pStyle w:val="TableContents"/>
              <w:bidi w:val="0"/>
              <w:spacing w:before="0" w:after="283"/>
              <w:jc w:val="right"/>
              <w:rPr/>
            </w:pPr>
            <w:r>
              <w:rPr/>
              <w:t> </w:t>
            </w:r>
          </w:p>
        </w:tc>
        <w:tc>
          <w:tcPr>
            <w:tcW w:w="836" w:type="dxa"/>
            <w:tcBorders/>
            <w:shd w:fill="FFFFFF" w:val="clear"/>
            <w:vAlign w:val="center"/>
          </w:tcPr>
          <w:p>
            <w:pPr>
              <w:pStyle w:val="TableContents"/>
              <w:bidi w:val="0"/>
              <w:spacing w:before="0" w:after="283"/>
              <w:ind w:left="0" w:right="0" w:firstLine="160"/>
              <w:jc w:val="right"/>
              <w:rPr/>
            </w:pPr>
            <w:r>
              <w:rPr/>
              <w:t> </w:t>
            </w:r>
          </w:p>
        </w:tc>
      </w:tr>
      <w:tr>
        <w:trPr/>
        <w:tc>
          <w:tcPr>
            <w:tcW w:w="583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Proceeds from short-term borrowings</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color w:val="000000"/>
              </w:rPr>
            </w:pPr>
            <w:r>
              <w:rPr>
                <w:color w:val="000000"/>
              </w:rPr>
              <w:t>—</w:t>
            </w:r>
          </w:p>
        </w:tc>
        <w:tc>
          <w:tcPr>
            <w:tcW w:w="19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14</w:t>
            </w:r>
          </w:p>
        </w:tc>
        <w:tc>
          <w:tcPr>
            <w:tcW w:w="836" w:type="dxa"/>
            <w:tcBorders/>
            <w:shd w:fill="CFF0FC" w:val="clear"/>
            <w:vAlign w:val="center"/>
          </w:tcPr>
          <w:p>
            <w:pPr>
              <w:pStyle w:val="TableContents"/>
              <w:bidi w:val="0"/>
              <w:spacing w:before="0" w:after="283"/>
              <w:ind w:left="0" w:right="0" w:firstLine="160"/>
              <w:jc w:val="left"/>
              <w:rPr/>
            </w:pPr>
            <w:r>
              <w:rPr/>
              <w:t> </w:t>
            </w:r>
          </w:p>
        </w:tc>
      </w:tr>
      <w:tr>
        <w:trPr/>
        <w:tc>
          <w:tcPr>
            <w:tcW w:w="583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Proceeds from issuance (repayments) of commercial paper, net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(85</w:t>
            </w:r>
          </w:p>
        </w:tc>
        <w:tc>
          <w:tcPr>
            <w:tcW w:w="199"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(105</w:t>
            </w:r>
          </w:p>
        </w:tc>
        <w:tc>
          <w:tcPr>
            <w:tcW w:w="836" w:type="dxa"/>
            <w:tcBorders/>
            <w:shd w:fill="FFFFFF" w:val="clear"/>
            <w:vAlign w:val="center"/>
          </w:tcPr>
          <w:p>
            <w:pPr>
              <w:pStyle w:val="TableContents"/>
              <w:bidi w:val="0"/>
              <w:spacing w:before="0" w:after="283"/>
              <w:ind w:left="0" w:right="0" w:firstLine="16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Repayments of long-term debt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(9</w:t>
            </w:r>
          </w:p>
        </w:tc>
        <w:tc>
          <w:tcPr>
            <w:tcW w:w="199" w:type="dxa"/>
            <w:tcBorders/>
            <w:shd w:fill="CFF0FC"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(7</w:t>
            </w:r>
          </w:p>
        </w:tc>
        <w:tc>
          <w:tcPr>
            <w:tcW w:w="836" w:type="dxa"/>
            <w:tcBorders/>
            <w:shd w:fill="CFF0FC" w:val="clear"/>
            <w:vAlign w:val="center"/>
          </w:tcPr>
          <w:p>
            <w:pPr>
              <w:pStyle w:val="TableContents"/>
              <w:bidi w:val="0"/>
              <w:spacing w:before="0" w:after="283"/>
              <w:ind w:left="0" w:right="0" w:firstLine="16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Purchases of common stock</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(57</w:t>
            </w:r>
          </w:p>
        </w:tc>
        <w:tc>
          <w:tcPr>
            <w:tcW w:w="199"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(33</w:t>
            </w:r>
          </w:p>
        </w:tc>
        <w:tc>
          <w:tcPr>
            <w:tcW w:w="836" w:type="dxa"/>
            <w:tcBorders/>
            <w:shd w:fill="FFFFFF" w:val="clear"/>
            <w:vAlign w:val="center"/>
          </w:tcPr>
          <w:p>
            <w:pPr>
              <w:pStyle w:val="TableContents"/>
              <w:bidi w:val="0"/>
              <w:spacing w:before="0" w:after="283"/>
              <w:ind w:left="0" w:right="0" w:firstLine="16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Proceeds from sales of common stock</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13</w:t>
            </w:r>
          </w:p>
        </w:tc>
        <w:tc>
          <w:tcPr>
            <w:tcW w:w="199"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4</w:t>
            </w:r>
          </w:p>
        </w:tc>
        <w:tc>
          <w:tcPr>
            <w:tcW w:w="836" w:type="dxa"/>
            <w:tcBorders/>
            <w:shd w:fill="CFF0FC" w:val="clear"/>
            <w:vAlign w:val="center"/>
          </w:tcPr>
          <w:p>
            <w:pPr>
              <w:pStyle w:val="TableContents"/>
              <w:bidi w:val="0"/>
              <w:spacing w:before="0" w:after="283"/>
              <w:ind w:left="0" w:right="0" w:firstLine="160"/>
              <w:jc w:val="left"/>
              <w:rPr/>
            </w:pPr>
            <w:r>
              <w:rPr/>
              <w:t> </w:t>
            </w:r>
          </w:p>
        </w:tc>
      </w:tr>
      <w:tr>
        <w:trPr/>
        <w:tc>
          <w:tcPr>
            <w:tcW w:w="583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Cash dividends paid to noncontrolling interests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(12</w:t>
            </w:r>
          </w:p>
        </w:tc>
        <w:tc>
          <w:tcPr>
            <w:tcW w:w="199"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(41</w:t>
            </w:r>
          </w:p>
        </w:tc>
        <w:tc>
          <w:tcPr>
            <w:tcW w:w="836" w:type="dxa"/>
            <w:tcBorders/>
            <w:shd w:fill="FFFFFF" w:val="clear"/>
            <w:vAlign w:val="center"/>
          </w:tcPr>
          <w:p>
            <w:pPr>
              <w:pStyle w:val="TableContents"/>
              <w:bidi w:val="0"/>
              <w:spacing w:before="0" w:after="283"/>
              <w:ind w:left="0" w:right="0" w:firstLine="16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7"/>
              </w:rPr>
            </w:pPr>
            <w:r>
              <w:rPr>
                <w:rFonts w:ascii="Calibri;sans-serif" w:hAnsi="Calibri;sans-serif"/>
                <w:color w:val="000000"/>
                <w:sz w:val="17"/>
              </w:rPr>
              <w:t>Cash dividends paid to common stockholders</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(45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(42</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40"/>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FFFFFF" w:val="clear"/>
            <w:vAlign w:val="center"/>
          </w:tcPr>
          <w:p>
            <w:pPr>
              <w:pStyle w:val="TableContents"/>
              <w:bidi w:val="0"/>
              <w:spacing w:before="0" w:after="283"/>
              <w:ind w:left="640" w:right="0" w:firstLine="640"/>
              <w:jc w:val="left"/>
              <w:rPr>
                <w:rFonts w:ascii="Calibri;sans-serif" w:hAnsi="Calibri;sans-serif"/>
                <w:color w:val="000000"/>
                <w:sz w:val="17"/>
              </w:rPr>
            </w:pPr>
            <w:r>
              <w:rPr>
                <w:rFonts w:ascii="Calibri;sans-serif" w:hAnsi="Calibri;sans-serif"/>
                <w:color w:val="000000"/>
                <w:sz w:val="17"/>
              </w:rPr>
              <w:t>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(195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(210</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CFF0FC"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Effects of exchange rate changes on cash</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59</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1"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(32</w:t>
            </w:r>
          </w:p>
        </w:tc>
        <w:tc>
          <w:tcPr>
            <w:tcW w:w="199"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193"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(1</w:t>
            </w:r>
          </w:p>
        </w:tc>
        <w:tc>
          <w:tcPr>
            <w:tcW w:w="836"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r>
      <w:tr>
        <w:trPr/>
        <w:tc>
          <w:tcPr>
            <w:tcW w:w="5831" w:type="dxa"/>
            <w:tcBorders/>
            <w:shd w:fill="CFF0FC"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238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206</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1" w:type="dxa"/>
            <w:tcBorders/>
            <w:shd w:fill="FFFFFF" w:val="cle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206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7"/>
              </w:rPr>
            </w:pPr>
            <w:r>
              <w:rPr>
                <w:rFonts w:ascii="Calibri;sans-serif" w:hAnsi="Calibri;sans-serif"/>
                <w:color w:val="000000"/>
                <w:sz w:val="17"/>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7"/>
              </w:rPr>
            </w:pPr>
            <w:r>
              <w:rPr>
                <w:rFonts w:ascii="Calibri;sans-serif" w:hAnsi="Calibri;sans-serif"/>
                <w:color w:val="000000"/>
                <w:sz w:val="17"/>
              </w:rPr>
              <w:t>205</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CABOT CORPORATION</w:t>
      </w:r>
    </w:p>
    <w:p>
      <w:pPr>
        <w:pStyle w:val="TextBody"/>
        <w:bidi w:val="0"/>
        <w:jc w:val="center"/>
        <w:rPr>
          <w:rFonts w:ascii="Calibri;sans-serif" w:hAnsi="Calibri;sans-serif"/>
          <w:b/>
          <w:color w:val="000000"/>
          <w:sz w:val="20"/>
        </w:rPr>
      </w:pPr>
      <w:bookmarkStart w:id="8" w:name="consolidated_statements_changes_equity"/>
      <w:bookmarkEnd w:id="8"/>
      <w:r>
        <w:rPr>
          <w:rFonts w:ascii="Calibri;sans-serif" w:hAnsi="Calibri;sans-serif"/>
          <w:b/>
          <w:color w:val="000000"/>
          <w:sz w:val="20"/>
        </w:rPr>
        <w:t>CONSOLIDATED STATEMENTS OF CHANGES IN STOCKHOLDERS’ EQUITY</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left"/>
        <w:rPr/>
      </w:pPr>
      <w:r>
        <w:rPr/>
        <w:t> </w:t>
      </w:r>
    </w:p>
    <w:tbl>
      <w:tblPr>
        <w:tblW w:w="11378" w:type="dxa"/>
        <w:jc w:val="left"/>
        <w:tblInd w:w="0" w:type="dxa"/>
        <w:tblLayout w:type="fixed"/>
        <w:tblCellMar>
          <w:top w:w="28" w:type="dxa"/>
          <w:left w:w="28" w:type="dxa"/>
          <w:bottom w:w="28" w:type="dxa"/>
          <w:right w:w="28" w:type="dxa"/>
        </w:tblCellMar>
      </w:tblPr>
      <w:tblGrid>
        <w:gridCol w:w="1321"/>
        <w:gridCol w:w="146"/>
        <w:gridCol w:w="146"/>
        <w:gridCol w:w="676"/>
        <w:gridCol w:w="166"/>
        <w:gridCol w:w="146"/>
        <w:gridCol w:w="211"/>
        <w:gridCol w:w="346"/>
        <w:gridCol w:w="146"/>
        <w:gridCol w:w="146"/>
        <w:gridCol w:w="296"/>
        <w:gridCol w:w="530"/>
        <w:gridCol w:w="166"/>
        <w:gridCol w:w="146"/>
        <w:gridCol w:w="211"/>
        <w:gridCol w:w="571"/>
        <w:gridCol w:w="166"/>
        <w:gridCol w:w="146"/>
        <w:gridCol w:w="366"/>
        <w:gridCol w:w="835"/>
        <w:gridCol w:w="166"/>
        <w:gridCol w:w="146"/>
        <w:gridCol w:w="271"/>
        <w:gridCol w:w="735"/>
        <w:gridCol w:w="166"/>
        <w:gridCol w:w="146"/>
        <w:gridCol w:w="385"/>
        <w:gridCol w:w="771"/>
        <w:gridCol w:w="166"/>
        <w:gridCol w:w="146"/>
        <w:gridCol w:w="271"/>
        <w:gridCol w:w="735"/>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Common Stock, Net of 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 Cabot Corporation Stockholders’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 Stockholders’</w:t>
            </w:r>
          </w:p>
        </w:tc>
        <w:tc>
          <w:tcPr>
            <w:tcW w:w="39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2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 except share 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55,244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1,407</w:t>
            </w:r>
          </w:p>
        </w:tc>
        <w:tc>
          <w:tcPr>
            <w:tcW w:w="3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w:t>
            </w:r>
          </w:p>
        </w:tc>
        <w:tc>
          <w:tcPr>
            <w:tcW w:w="3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comprehensive income (loss)</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w:t>
            </w:r>
          </w:p>
        </w:tc>
        <w:tc>
          <w:tcPr>
            <w:tcW w:w="3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dividends paid:</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3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Common stock, $0.40</w:t>
            </w:r>
            <w:r>
              <w:rPr>
                <w:rFonts w:ascii="Times New Roman" w:hAnsi="Times New Roman"/>
                <w:color w:val="000000"/>
                <w:sz w:val="20"/>
              </w:rPr>
              <w:t> </w:t>
            </w:r>
            <w:r>
              <w:rPr>
                <w:rFonts w:ascii="Calibri;sans-serif" w:hAnsi="Calibri;sans-serif"/>
                <w:color w:val="000000"/>
                <w:sz w:val="20"/>
              </w:rPr>
              <w:t>per share</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dividends declared to noncontrolling interests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Issuance of stock under equity compensation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3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Purchase and retirement of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w:t>
            </w:r>
          </w:p>
        </w:tc>
        <w:tc>
          <w:tcPr>
            <w:tcW w:w="3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dividends paid:</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3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Common stock, $0.40</w:t>
            </w:r>
            <w:r>
              <w:rPr>
                <w:rFonts w:ascii="Times New Roman" w:hAnsi="Times New Roman"/>
                <w:color w:val="000000"/>
                <w:sz w:val="20"/>
              </w:rPr>
              <w:t> </w:t>
            </w:r>
            <w:r>
              <w:rPr>
                <w:rFonts w:ascii="Calibri;sans-serif" w:hAnsi="Calibri;sans-serif"/>
                <w:color w:val="000000"/>
                <w:sz w:val="20"/>
              </w:rPr>
              <w:t>per share</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dividends declared to noncontrolling interests</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Issuance of stock under equity compensation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3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Purchase and retirement of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55,258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1,367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Calibri;sans-serif" w:hAnsi="Calibri;sans-serif"/>
          <w:color w:val="000000"/>
          <w:sz w:val="18"/>
        </w:rPr>
      </w:pPr>
      <w:r>
        <w:rPr>
          <w:rFonts w:ascii="Calibri;sans-serif" w:hAnsi="Calibri;sans-serif"/>
          <w:color w:val="000000"/>
          <w:sz w:val="18"/>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CABOT CORPORATION</w:t>
      </w:r>
    </w:p>
    <w:p>
      <w:pPr>
        <w:pStyle w:val="TextBody"/>
        <w:bidi w:val="0"/>
        <w:jc w:val="center"/>
        <w:rPr>
          <w:rFonts w:ascii="Calibri;sans-serif" w:hAnsi="Calibri;sans-serif"/>
          <w:b/>
          <w:color w:val="000000"/>
          <w:sz w:val="20"/>
        </w:rPr>
      </w:pPr>
      <w:r>
        <w:rPr>
          <w:rFonts w:ascii="Calibri;sans-serif" w:hAnsi="Calibri;sans-serif"/>
          <w:b/>
          <w:color w:val="000000"/>
          <w:sz w:val="20"/>
        </w:rPr>
        <w:t>CONSOLIDATED STATEMENTS OF CHANGES IN STOCKHOLDERS’ EQUITY</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left"/>
        <w:rPr/>
      </w:pPr>
      <w:r>
        <w:rPr/>
        <w:t> </w:t>
      </w:r>
    </w:p>
    <w:tbl>
      <w:tblPr>
        <w:tblW w:w="11378" w:type="dxa"/>
        <w:jc w:val="left"/>
        <w:tblInd w:w="0" w:type="dxa"/>
        <w:tblLayout w:type="fixed"/>
        <w:tblCellMar>
          <w:top w:w="28" w:type="dxa"/>
          <w:left w:w="28" w:type="dxa"/>
          <w:bottom w:w="28" w:type="dxa"/>
          <w:right w:w="28" w:type="dxa"/>
        </w:tblCellMar>
      </w:tblPr>
      <w:tblGrid>
        <w:gridCol w:w="1321"/>
        <w:gridCol w:w="146"/>
        <w:gridCol w:w="146"/>
        <w:gridCol w:w="676"/>
        <w:gridCol w:w="166"/>
        <w:gridCol w:w="146"/>
        <w:gridCol w:w="211"/>
        <w:gridCol w:w="346"/>
        <w:gridCol w:w="146"/>
        <w:gridCol w:w="146"/>
        <w:gridCol w:w="296"/>
        <w:gridCol w:w="530"/>
        <w:gridCol w:w="166"/>
        <w:gridCol w:w="146"/>
        <w:gridCol w:w="211"/>
        <w:gridCol w:w="571"/>
        <w:gridCol w:w="166"/>
        <w:gridCol w:w="146"/>
        <w:gridCol w:w="366"/>
        <w:gridCol w:w="835"/>
        <w:gridCol w:w="166"/>
        <w:gridCol w:w="146"/>
        <w:gridCol w:w="271"/>
        <w:gridCol w:w="735"/>
        <w:gridCol w:w="166"/>
        <w:gridCol w:w="146"/>
        <w:gridCol w:w="385"/>
        <w:gridCol w:w="771"/>
        <w:gridCol w:w="166"/>
        <w:gridCol w:w="146"/>
        <w:gridCol w:w="271"/>
        <w:gridCol w:w="735"/>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Common Stock, Net of 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 Cabot Corporation Stockholders’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 Stockholders’</w:t>
            </w:r>
          </w:p>
        </w:tc>
        <w:tc>
          <w:tcPr>
            <w:tcW w:w="39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2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 except share 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56,249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1,032</w:t>
            </w:r>
          </w:p>
        </w:tc>
        <w:tc>
          <w:tcPr>
            <w:tcW w:w="3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w:t>
            </w:r>
          </w:p>
        </w:tc>
        <w:tc>
          <w:tcPr>
            <w:tcW w:w="3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comprehensive income (loss)</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w:t>
            </w:r>
          </w:p>
        </w:tc>
        <w:tc>
          <w:tcPr>
            <w:tcW w:w="3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dividends paid:</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32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Common stock, $0.37</w:t>
            </w:r>
            <w:r>
              <w:rPr>
                <w:rFonts w:ascii="Times New Roman" w:hAnsi="Times New Roman"/>
                <w:color w:val="000000"/>
                <w:sz w:val="20"/>
              </w:rPr>
              <w:t> </w:t>
            </w:r>
            <w:r>
              <w:rPr>
                <w:rFonts w:ascii="Calibri;sans-serif" w:hAnsi="Calibri;sans-serif"/>
                <w:color w:val="000000"/>
                <w:sz w:val="20"/>
              </w:rPr>
              <w:t>per share</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dividends declared to noncontrolling interests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Issuance of stock under equity compensation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3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Share-based compensation</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3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Purchase and retirement of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w:t>
            </w:r>
          </w:p>
        </w:tc>
        <w:tc>
          <w:tcPr>
            <w:tcW w:w="3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w:t>
            </w:r>
          </w:p>
        </w:tc>
        <w:tc>
          <w:tcPr>
            <w:tcW w:w="3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dividends paid:</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32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Common stock, $0.37</w:t>
            </w:r>
            <w:r>
              <w:rPr>
                <w:rFonts w:ascii="Times New Roman" w:hAnsi="Times New Roman"/>
                <w:color w:val="000000"/>
                <w:sz w:val="20"/>
              </w:rPr>
              <w:t> </w:t>
            </w:r>
            <w:r>
              <w:rPr>
                <w:rFonts w:ascii="Calibri;sans-serif" w:hAnsi="Calibri;sans-serif"/>
                <w:color w:val="000000"/>
                <w:sz w:val="20"/>
              </w:rPr>
              <w:t>per share</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dividends declared to noncontrolling interests</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pPr>
            <w:r>
              <w:rPr/>
              <w:t> </w:t>
            </w:r>
          </w:p>
        </w:tc>
        <w:tc>
          <w:tcPr>
            <w:tcW w:w="7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Issuance of stock under equity compensation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3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Purchase and retirement of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3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color w:val="000000"/>
          <w:sz w:val="20"/>
        </w:rPr>
      </w:pPr>
      <w:r>
        <w:rPr>
          <w:rFonts w:ascii="Calibri;sans-serif" w:hAnsi="Calibr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CABOT CORPORATION</w:t>
      </w:r>
    </w:p>
    <w:p>
      <w:pPr>
        <w:pStyle w:val="TextBody"/>
        <w:bidi w:val="0"/>
        <w:jc w:val="center"/>
        <w:rPr>
          <w:rFonts w:ascii="Times New Roman" w:hAnsi="Times New Roman"/>
          <w:sz w:val="20"/>
        </w:rPr>
      </w:pPr>
      <w:bookmarkStart w:id="9" w:name="notes_to_consolidated_financial_statemen"/>
      <w:bookmarkEnd w:id="9"/>
      <w:r>
        <w:rPr>
          <w:rFonts w:ascii="Calibri;sans-serif" w:hAnsi="Calibri;sans-serif"/>
          <w:b/>
          <w:color w:val="000000"/>
          <w:sz w:val="20"/>
        </w:rPr>
        <w:t>NOTES TO THE CONSOLIDATED</w:t>
      </w:r>
      <w:r>
        <w:rPr>
          <w:rFonts w:ascii="Times New Roman" w:hAnsi="Times New Roman"/>
          <w:color w:val="000000"/>
          <w:sz w:val="20"/>
        </w:rPr>
        <w:t xml:space="preserve"> </w:t>
      </w:r>
      <w:r>
        <w:rPr>
          <w:rFonts w:ascii="Calibri;sans-serif" w:hAnsi="Calibri;sans-serif"/>
          <w:b/>
          <w:color w:val="000000"/>
          <w:sz w:val="20"/>
        </w:rPr>
        <w:t>FINANCIAL STATEMENTS</w:t>
      </w:r>
    </w:p>
    <w:p>
      <w:pPr>
        <w:pStyle w:val="TextBody"/>
        <w:bidi w:val="0"/>
        <w:jc w:val="center"/>
        <w:rPr>
          <w:rFonts w:ascii="Calibri;sans-serif" w:hAnsi="Calibri;sans-serif"/>
          <w:b/>
          <w:color w:val="000000"/>
          <w:sz w:val="20"/>
        </w:rPr>
      </w:pPr>
      <w:r>
        <w:rPr>
          <w:rFonts w:ascii="Calibri;sans-serif" w:hAnsi="Calibri;sans-serif"/>
          <w:b/>
          <w:color w:val="000000"/>
          <w:sz w:val="20"/>
        </w:rPr>
        <w:t>March 31, 2024</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A. Basis of Presentation</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consolidated financial statements have been prepared in conformity with accounting principles generally accepted in the United States (“U.S.”) (“GAAP”) and include the accounts of Cabot Corporation (“Cabot” or the “Company”) and its wholly-owned subsidiaries and majority-owned and controlled U.S. and non-U.S. subsidiaries. Additionally, Cabot considers consolidation of entities over which control is achieved through means other than voting rights. Intercompany transactions have been eliminated in consolidation.</w:t>
      </w:r>
    </w:p>
    <w:p>
      <w:pPr>
        <w:pStyle w:val="TextBody"/>
        <w:bidi w:val="0"/>
        <w:spacing w:before="90" w:after="283"/>
        <w:jc w:val="left"/>
        <w:rPr>
          <w:rFonts w:ascii="Times New Roman" w:hAnsi="Times New Roman"/>
          <w:sz w:val="20"/>
        </w:rPr>
      </w:pPr>
      <w:r>
        <w:rPr>
          <w:rFonts w:ascii="Calibri;sans-serif" w:hAnsi="Calibri;sans-serif"/>
          <w:color w:val="000000"/>
          <w:sz w:val="20"/>
        </w:rPr>
        <w:t>The unaudited consolidated financial statements have been prepared in accordance with the requirements of Form 10-Q and consequently do not include all disclosures required by Form 10-K. Additional information may be obtained by referring to Cabot’s Annual Report on Form 10-K for its fiscal year ended September 30, 2023 (the “2023 10-K”).</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financial information submitted herewith is unaudited and reflects all adjustments which are, in the opinion of management, necessary to provide a fair statement of the results for the interim periods ended March 31, 2024 and 2023. All such adjustments are of a normal recurring nature. The results for interim periods are not necessarily indicative of the results to be expected for the fiscal year.</w:t>
      </w:r>
    </w:p>
    <w:p>
      <w:pPr>
        <w:pStyle w:val="TextBody"/>
        <w:bidi w:val="0"/>
        <w:spacing w:before="90" w:after="283"/>
        <w:jc w:val="left"/>
        <w:rPr>
          <w:rFonts w:ascii="Times New Roman" w:hAnsi="Times New Roman"/>
          <w:sz w:val="20"/>
        </w:rPr>
      </w:pPr>
      <w:r>
        <w:rPr>
          <w:rFonts w:ascii="Calibri;sans-serif" w:hAnsi="Calibri;sans-serif"/>
          <w:b/>
          <w:color w:val="000000"/>
          <w:sz w:val="20"/>
        </w:rPr>
        <w:t>B. Significant Accounting Policies</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Full detail on the Company’s significant accounting policies may be obtained by referring to Note A in the 2023 10-K.</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Argentinian Government Actions</w:t>
      </w:r>
    </w:p>
    <w:p>
      <w:pPr>
        <w:pStyle w:val="TextBody"/>
        <w:bidi w:val="0"/>
        <w:spacing w:before="90" w:after="283"/>
        <w:jc w:val="left"/>
        <w:rPr>
          <w:rFonts w:ascii="Times New Roman" w:hAnsi="Times New Roman"/>
          <w:sz w:val="20"/>
        </w:rPr>
      </w:pPr>
      <w:r>
        <w:rPr>
          <w:rFonts w:ascii="Calibri;sans-serif" w:hAnsi="Calibri;sans-serif"/>
          <w:color w:val="000000"/>
          <w:sz w:val="20"/>
        </w:rPr>
        <w:t>The Company’s wholly-owned Argentinian subsidiary operates in a highly inflationary economy and, as a result, the functional currency of the subsidiary is Cabot’s reporting currency, the U.S. dollar. During the three and six months ended March 31, 2024, the Company recorded foreign exchange losses of less than $1</w:t>
      </w:r>
      <w:r>
        <w:rPr>
          <w:rFonts w:ascii="Times New Roman" w:hAnsi="Times New Roman"/>
          <w:color w:val="000000"/>
          <w:sz w:val="20"/>
        </w:rPr>
        <w:t xml:space="preserve"> </w:t>
      </w:r>
      <w:r>
        <w:rPr>
          <w:rFonts w:ascii="Calibri;sans-serif" w:hAnsi="Calibri;sans-serif"/>
          <w:color w:val="000000"/>
          <w:sz w:val="20"/>
        </w:rPr>
        <w:t>million and $40</w:t>
      </w:r>
      <w:r>
        <w:rPr>
          <w:rFonts w:ascii="Times New Roman" w:hAnsi="Times New Roman"/>
          <w:color w:val="000000"/>
          <w:sz w:val="20"/>
        </w:rPr>
        <w:t xml:space="preserve"> </w:t>
      </w:r>
      <w:r>
        <w:rPr>
          <w:rFonts w:ascii="Calibri;sans-serif" w:hAnsi="Calibri;sans-serif"/>
          <w:color w:val="000000"/>
          <w:sz w:val="20"/>
        </w:rPr>
        <w:t>million, respectively, related to the revaluation of non-functional currency denominated monetary asset and liability balances, of which $33</w:t>
      </w:r>
      <w:r>
        <w:rPr>
          <w:rFonts w:ascii="Times New Roman" w:hAnsi="Times New Roman"/>
          <w:color w:val="000000"/>
          <w:sz w:val="20"/>
        </w:rPr>
        <w:t xml:space="preserve"> </w:t>
      </w:r>
      <w:r>
        <w:rPr>
          <w:rFonts w:ascii="Calibri;sans-serif" w:hAnsi="Calibri;sans-serif"/>
          <w:color w:val="000000"/>
          <w:sz w:val="20"/>
        </w:rPr>
        <w:t>million related to a single devaluation action in December 2023 by the newly-elected Argentine government. The Company invests cash in money market funds and recorded investment income of $4</w:t>
      </w:r>
      <w:r>
        <w:rPr>
          <w:rFonts w:ascii="Times New Roman" w:hAnsi="Times New Roman"/>
          <w:color w:val="000000"/>
          <w:sz w:val="20"/>
        </w:rPr>
        <w:t xml:space="preserve"> </w:t>
      </w:r>
      <w:r>
        <w:rPr>
          <w:rFonts w:ascii="Calibri;sans-serif" w:hAnsi="Calibri;sans-serif"/>
          <w:color w:val="000000"/>
          <w:sz w:val="20"/>
        </w:rPr>
        <w:t>million and $16</w:t>
      </w:r>
      <w:r>
        <w:rPr>
          <w:rFonts w:ascii="Times New Roman" w:hAnsi="Times New Roman"/>
          <w:color w:val="000000"/>
          <w:sz w:val="20"/>
        </w:rPr>
        <w:t xml:space="preserve"> </w:t>
      </w:r>
      <w:r>
        <w:rPr>
          <w:rFonts w:ascii="Calibri;sans-serif" w:hAnsi="Calibri;sans-serif"/>
          <w:color w:val="000000"/>
          <w:sz w:val="20"/>
        </w:rPr>
        <w:t>million, respectively, for the three and six months ended March 31, 2024. The foreign exchange losses and investment gains are recorded in Other income (expense) in the Consolidated Statement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Calibri;sans-serif" w:hAnsi="Calibri;sans-serif"/>
          <w:color w:val="000000"/>
          <w:sz w:val="20"/>
        </w:rPr>
        <w:t>During the three months ended March 31, 2024, the Company purchased $30</w:t>
      </w:r>
      <w:r>
        <w:rPr>
          <w:rFonts w:ascii="Times New Roman" w:hAnsi="Times New Roman"/>
          <w:color w:val="000000"/>
          <w:sz w:val="20"/>
        </w:rPr>
        <w:t xml:space="preserve"> </w:t>
      </w:r>
      <w:r>
        <w:rPr>
          <w:rFonts w:ascii="Calibri;sans-serif" w:hAnsi="Calibri;sans-serif"/>
          <w:color w:val="000000"/>
          <w:sz w:val="20"/>
        </w:rPr>
        <w:t>million in BOPREAL bonds (standing for “Bond for the Reconstruction of a Free Argentina” in Spanish), which are U.S. dollar-denominated securities issued by the Central Bank of Argentina, as part of an Argentine government program to settle foreign payables for importers with debts for goods with customs registration and/or services, incurred on or prior to December 12, 2023. The Company subsequently sold the bonds for $22</w:t>
      </w:r>
      <w:r>
        <w:rPr>
          <w:rFonts w:ascii="Times New Roman" w:hAnsi="Times New Roman"/>
          <w:color w:val="000000"/>
          <w:sz w:val="20"/>
        </w:rPr>
        <w:t xml:space="preserve"> </w:t>
      </w:r>
      <w:r>
        <w:rPr>
          <w:rFonts w:ascii="Calibri;sans-serif" w:hAnsi="Calibri;sans-serif"/>
          <w:color w:val="000000"/>
          <w:sz w:val="20"/>
        </w:rPr>
        <w:t>million and utilized the proceeds to partially repay its foreign payables in Argentina. The purchase and proceeds of BOPREAL bonds are included in the Changes in Prepaid expenses and other assets in the Consolidated Statement of Cash Flows. The $8</w:t>
      </w:r>
      <w:r>
        <w:rPr>
          <w:rFonts w:ascii="Times New Roman" w:hAnsi="Times New Roman"/>
          <w:color w:val="000000"/>
          <w:sz w:val="20"/>
        </w:rPr>
        <w:t xml:space="preserve"> </w:t>
      </w:r>
      <w:r>
        <w:rPr>
          <w:rFonts w:ascii="Calibri;sans-serif" w:hAnsi="Calibri;sans-serif"/>
          <w:color w:val="000000"/>
          <w:sz w:val="20"/>
        </w:rPr>
        <w:t>million investment loss is included in Other non-cash (income) expense in the Consolidated Statement of Cash Flows and in Other income (expense) in the Consolidated Statement of Operations. In accordance with Argentine government regulations, the Company purchased an additional $8</w:t>
      </w:r>
      <w:r>
        <w:rPr>
          <w:rFonts w:ascii="Times New Roman" w:hAnsi="Times New Roman"/>
          <w:color w:val="000000"/>
          <w:sz w:val="20"/>
        </w:rPr>
        <w:t xml:space="preserve"> </w:t>
      </w:r>
      <w:r>
        <w:rPr>
          <w:rFonts w:ascii="Calibri;sans-serif" w:hAnsi="Calibri;sans-serif"/>
          <w:color w:val="000000"/>
          <w:sz w:val="20"/>
        </w:rPr>
        <w:t>million of U.S. dollars in April 2024 and utilized the funds to complete the settlement of outstanding foreign payables incurred on or prior to December 12, 2023.</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Recently Adopted Accounting Standards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November 2022, the Financial Accounting Standards Board (“FASB”) issued a new standard on the disclosure of supplier financing programs. The new standard requires qualitative and quantitative disclosures as to the nature and potential magnitude of such programs in addition to program activity and changes for the periods presented. The Company adopted this standard on October 1, 2023. See Note J for disclosures related to the Company's supplier financing programs. The adoption of this standard did not have a material impact on the Company's Consolidated Financial Statements.</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Recent Accounting Pronouncements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March 2024, the Securities and Exchange Commission (“SEC”) issued its final rule, The Enhancement and Standardization of Climate-Related Disclosures for Investors that requires the Company to provide certain climate-related information. The rule provides a phased-in compliance period and is effective for fiscal years beginning after December 15, 2024, with early adoption permitted. In April 2024, the SEC voluntarily stayed its rule pending completion of judicial review by the U.S. Court of Appeals for the Eighth Circuit and, therefore, the timing of the effectiveness of these disclosure requirements is uncertain. The Company is currently monitoring the timing of adoption and evaluating the impact of the potential adoption of this standard on the Company’s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November 2023, the FASB issued a new standard, Improvement to Reportable Segment Disclosures. The new guidance enhances the disclosure of significant reportable segment expenses. The new standard is effective for fiscal years beginning after December 15, 2023, and early adoption is permitted. The Company is currently evaluating the timing of adoption and the impact of the adoption of this standard on the Company’s Consolidated Financial Statements.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December 2023, the FASB issued a new standard, Improvements to Income Tax Disclosures. The new guidance requires additional disclosures primarily related to the income tax rate reconciliation and income taxes paid. The new standard is effective for fiscal years beginning after December 15, 2024, and early adoption is permitted. The Company is currently evaluating the timing of adoption and the impact of the adoption of this standard on the Company’s Consolidated Financial Statements.</w:t>
      </w:r>
    </w:p>
    <w:p>
      <w:pPr>
        <w:pStyle w:val="TextBody"/>
        <w:bidi w:val="0"/>
        <w:spacing w:before="90" w:after="283"/>
        <w:jc w:val="left"/>
        <w:rPr>
          <w:rFonts w:ascii="Times New Roman" w:hAnsi="Times New Roman"/>
          <w:sz w:val="20"/>
        </w:rPr>
      </w:pPr>
      <w:r>
        <w:rPr>
          <w:rFonts w:ascii="Calibri;sans-serif" w:hAnsi="Calibri;sans-serif"/>
          <w:b/>
          <w:color w:val="000000"/>
          <w:sz w:val="20"/>
        </w:rPr>
        <w:t>C. Goodwill and Intangible Assets</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carrying amount of goodwill attributable to each reportable segment and the changes in those balances during the six months ended March 31, 2024 are as follows:</w:t>
      </w:r>
    </w:p>
    <w:p>
      <w:pPr>
        <w:pStyle w:val="TextBody"/>
        <w:bidi w:val="0"/>
        <w:jc w:val="left"/>
        <w:rPr/>
      </w:pPr>
      <w:r>
        <w:rPr/>
        <w:t> </w:t>
      </w:r>
    </w:p>
    <w:tbl>
      <w:tblPr>
        <w:tblW w:w="6296" w:type="dxa"/>
        <w:jc w:val="left"/>
        <w:tblInd w:w="0" w:type="dxa"/>
        <w:tblLayout w:type="fixed"/>
        <w:tblCellMar>
          <w:top w:w="28" w:type="dxa"/>
          <w:left w:w="28" w:type="dxa"/>
          <w:bottom w:w="28" w:type="dxa"/>
          <w:right w:w="28" w:type="dxa"/>
        </w:tblCellMar>
      </w:tblPr>
      <w:tblGrid>
        <w:gridCol w:w="2581"/>
        <w:gridCol w:w="146"/>
        <w:gridCol w:w="462"/>
        <w:gridCol w:w="694"/>
        <w:gridCol w:w="146"/>
        <w:gridCol w:w="146"/>
        <w:gridCol w:w="402"/>
        <w:gridCol w:w="604"/>
        <w:gridCol w:w="146"/>
        <w:gridCol w:w="146"/>
        <w:gridCol w:w="211"/>
        <w:gridCol w:w="42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Reinforcement</w:t>
              <w:br/>
              <w:t>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Performance</w:t>
              <w:b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78" w:type="dxa"/>
            <w:gridSpan w:val="10"/>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5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9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Foreign currency impact</w:t>
            </w:r>
          </w:p>
        </w:tc>
        <w:tc>
          <w:tcPr>
            <w:tcW w:w="146" w:type="dxa"/>
            <w:tcBorders/>
            <w:shd w:fill="FFFFFF" w:val="cle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The following table provides information regarding the Company’s intangible assets:</w:t>
      </w:r>
    </w:p>
    <w:p>
      <w:pPr>
        <w:pStyle w:val="TextBody"/>
        <w:bidi w:val="0"/>
        <w:jc w:val="left"/>
        <w:rPr/>
      </w:pPr>
      <w:r>
        <w:rPr/>
        <w:t> </w:t>
      </w:r>
    </w:p>
    <w:tbl>
      <w:tblPr>
        <w:tblW w:w="9724" w:type="dxa"/>
        <w:jc w:val="left"/>
        <w:tblInd w:w="0" w:type="dxa"/>
        <w:tblLayout w:type="fixed"/>
        <w:tblCellMar>
          <w:top w:w="28" w:type="dxa"/>
          <w:left w:w="28" w:type="dxa"/>
          <w:bottom w:w="28" w:type="dxa"/>
          <w:right w:w="28" w:type="dxa"/>
        </w:tblCellMar>
      </w:tblPr>
      <w:tblGrid>
        <w:gridCol w:w="2641"/>
        <w:gridCol w:w="146"/>
        <w:gridCol w:w="225"/>
        <w:gridCol w:w="451"/>
        <w:gridCol w:w="146"/>
        <w:gridCol w:w="146"/>
        <w:gridCol w:w="372"/>
        <w:gridCol w:w="664"/>
        <w:gridCol w:w="166"/>
        <w:gridCol w:w="146"/>
        <w:gridCol w:w="324"/>
        <w:gridCol w:w="487"/>
        <w:gridCol w:w="146"/>
        <w:gridCol w:w="146"/>
        <w:gridCol w:w="225"/>
        <w:gridCol w:w="451"/>
        <w:gridCol w:w="146"/>
        <w:gridCol w:w="146"/>
        <w:gridCol w:w="372"/>
        <w:gridCol w:w="664"/>
        <w:gridCol w:w="166"/>
        <w:gridCol w:w="146"/>
        <w:gridCol w:w="324"/>
        <w:gridCol w:w="487"/>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Net</w:t>
              <w:br/>
              <w:t>Intangible</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Net</w:t>
              <w:br/>
              <w:t>Intangible</w:t>
              <w:br/>
              <w:t>Assets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46" w:type="dxa"/>
            <w:gridSpan w:val="2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391" w:type="dxa"/>
            <w:tcBorders/>
            <w:shd w:fill="FFFFFF" w:val="cle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Intangible assets with finite lives</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Developed technologies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5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6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5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6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64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Trademarks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48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48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0"/>
        </w:rPr>
        <w:t>Intangible assets are amortized over their estimated useful lives, which range between ten</w:t>
      </w:r>
      <w:r>
        <w:rPr>
          <w:rFonts w:ascii="Times New Roman" w:hAnsi="Times New Roman"/>
          <w:color w:val="000000"/>
          <w:sz w:val="20"/>
        </w:rPr>
        <w:t xml:space="preserve"> </w:t>
      </w:r>
      <w:r>
        <w:rPr>
          <w:rFonts w:ascii="Calibri;sans-serif" w:hAnsi="Calibri;sans-serif"/>
          <w:color w:val="000000"/>
          <w:sz w:val="20"/>
        </w:rPr>
        <w:t>and twenty-five years, with a weighted average amortization period of approximately seventeen years. Amortization expense was $2</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for both the three months ended March 31, 2024 and 2023. Amortization expense was $3</w:t>
      </w:r>
      <w:r>
        <w:rPr>
          <w:rFonts w:ascii="Times New Roman" w:hAnsi="Times New Roman"/>
          <w:color w:val="000000"/>
          <w:sz w:val="20"/>
        </w:rPr>
        <w:t xml:space="preserve"> </w:t>
      </w:r>
      <w:r>
        <w:rPr>
          <w:rFonts w:ascii="Calibri;sans-serif" w:hAnsi="Calibri;sans-serif"/>
          <w:color w:val="000000"/>
          <w:sz w:val="20"/>
        </w:rPr>
        <w:t>million for both the six months ended March 31, 2024 and 2023. Amortization expense is included in Cost of sales, Selling and administrative expenses and Research and technical expenses in the Consolidated Statements of Operations. Total amortization expense is estimated to be approximately</w:t>
      </w:r>
      <w:r>
        <w:rPr>
          <w:rFonts w:ascii="Times New Roman" w:hAnsi="Times New Roman"/>
          <w:color w:val="000000"/>
          <w:sz w:val="20"/>
        </w:rPr>
        <w:t xml:space="preserve"> </w:t>
      </w:r>
      <w:r>
        <w:rPr>
          <w:rFonts w:ascii="Calibri;sans-serif" w:hAnsi="Calibri;sans-serif"/>
          <w:color w:val="000000"/>
          <w:sz w:val="20"/>
        </w:rPr>
        <w:t>$6</w:t>
      </w:r>
      <w:r>
        <w:rPr>
          <w:rFonts w:ascii="Times New Roman" w:hAnsi="Times New Roman"/>
          <w:color w:val="000000"/>
          <w:sz w:val="20"/>
        </w:rPr>
        <w:t xml:space="preserve"> </w:t>
      </w:r>
      <w:r>
        <w:rPr>
          <w:rFonts w:ascii="Calibri;sans-serif" w:hAnsi="Calibri;sans-serif"/>
          <w:color w:val="000000"/>
          <w:sz w:val="20"/>
        </w:rPr>
        <w:t>million each year for the next five fiscal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b/>
          <w:color w:val="000000"/>
          <w:sz w:val="20"/>
        </w:rPr>
      </w:pPr>
      <w:r>
        <w:rPr>
          <w:rFonts w:ascii="Calibri;sans-serif" w:hAnsi="Calibri;sans-serif"/>
          <w:b/>
          <w:color w:val="000000"/>
          <w:sz w:val="20"/>
        </w:rPr>
        <w:t>D. Accumulated Other Comprehensive Income (Loss) (“AOCI”)</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Comprehensive income combines net income (loss) and other comprehensive income items, which are reported as components of stockholders’ equity in the accompanying Consolidated Balance Sheets.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Changes in each component of AOCI, net of tax, were as follows:</w:t>
      </w:r>
    </w:p>
    <w:p>
      <w:pPr>
        <w:pStyle w:val="TextBody"/>
        <w:bidi w:val="0"/>
        <w:jc w:val="left"/>
        <w:rPr/>
      </w:pPr>
      <w:r>
        <w:rPr/>
        <w:t> </w:t>
      </w:r>
    </w:p>
    <w:tbl>
      <w:tblPr>
        <w:tblW w:w="9325" w:type="dxa"/>
        <w:jc w:val="left"/>
        <w:tblInd w:w="0" w:type="dxa"/>
        <w:tblLayout w:type="fixed"/>
        <w:tblCellMar>
          <w:top w:w="28" w:type="dxa"/>
          <w:left w:w="28" w:type="dxa"/>
          <w:bottom w:w="28" w:type="dxa"/>
          <w:right w:w="28" w:type="dxa"/>
        </w:tblCellMar>
      </w:tblPr>
      <w:tblGrid>
        <w:gridCol w:w="5341"/>
        <w:gridCol w:w="146"/>
        <w:gridCol w:w="283"/>
        <w:gridCol w:w="648"/>
        <w:gridCol w:w="166"/>
        <w:gridCol w:w="146"/>
        <w:gridCol w:w="496"/>
        <w:gridCol w:w="884"/>
        <w:gridCol w:w="166"/>
        <w:gridCol w:w="146"/>
        <w:gridCol w:w="211"/>
        <w:gridCol w:w="481"/>
        <w:gridCol w:w="21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Currency</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Pension and Other</w:t>
              <w:br/>
              <w:t>Post-retirement</w:t>
              <w:br/>
              <w:t>Benefit Liability</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27" w:type="dxa"/>
            <w:gridSpan w:val="10"/>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53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September 30, 2023, attributable to Cabot Corporation</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8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(362</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3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w:t>
            </w:r>
          </w:p>
        </w:tc>
        <w:tc>
          <w:tcPr>
            <w:tcW w:w="211" w:type="dxa"/>
            <w:tcBorders/>
            <w:shd w:fill="FFFFFF" w:val="clear"/>
            <w:vAlign w:val="center"/>
          </w:tcPr>
          <w:p>
            <w:pPr>
              <w:pStyle w:val="TableContents"/>
              <w:bidi w:val="0"/>
              <w:spacing w:before="0" w:after="283"/>
              <w:jc w:val="left"/>
              <w:rPr/>
            </w:pPr>
            <w:r>
              <w:rPr/>
              <w:t> </w:t>
            </w:r>
          </w:p>
        </w:tc>
      </w:tr>
      <w:tr>
        <w:trPr/>
        <w:tc>
          <w:tcPr>
            <w:tcW w:w="53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Amounts reclassified from AOCI</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3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Other comprehensive income (loss) attributable to</w:t>
              <w:br/>
              <w:t>   noncontrolling interests</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December 31, 2023, attributable to Cabot Corporation</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3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3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Amounts reclassified from AOCI</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3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Other comprehensive income (loss) attributable to</w:t>
              <w:br/>
              <w:t>   noncontrolling interests</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3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March 31, 2024, attributable to Cabot Corporation</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tbl>
      <w:tblPr>
        <w:tblW w:w="9325" w:type="dxa"/>
        <w:jc w:val="left"/>
        <w:tblInd w:w="0" w:type="dxa"/>
        <w:tblLayout w:type="fixed"/>
        <w:tblCellMar>
          <w:top w:w="28" w:type="dxa"/>
          <w:left w:w="28" w:type="dxa"/>
          <w:bottom w:w="28" w:type="dxa"/>
          <w:right w:w="28" w:type="dxa"/>
        </w:tblCellMar>
      </w:tblPr>
      <w:tblGrid>
        <w:gridCol w:w="5341"/>
        <w:gridCol w:w="146"/>
        <w:gridCol w:w="283"/>
        <w:gridCol w:w="648"/>
        <w:gridCol w:w="166"/>
        <w:gridCol w:w="146"/>
        <w:gridCol w:w="496"/>
        <w:gridCol w:w="884"/>
        <w:gridCol w:w="166"/>
        <w:gridCol w:w="146"/>
        <w:gridCol w:w="211"/>
        <w:gridCol w:w="481"/>
        <w:gridCol w:w="21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Currency</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Pension and Other</w:t>
              <w:br/>
              <w:t>Post-retirement</w:t>
              <w:br/>
              <w:t>Benefit Liability</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27" w:type="dxa"/>
            <w:gridSpan w:val="10"/>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53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September 30, 2022, attributable to Cabot Corporation</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8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(439</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3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w:t>
            </w:r>
          </w:p>
        </w:tc>
        <w:tc>
          <w:tcPr>
            <w:tcW w:w="211" w:type="dxa"/>
            <w:tcBorders/>
            <w:shd w:fill="FFFFFF" w:val="clear"/>
            <w:vAlign w:val="center"/>
          </w:tcPr>
          <w:p>
            <w:pPr>
              <w:pStyle w:val="TableContents"/>
              <w:bidi w:val="0"/>
              <w:spacing w:before="0" w:after="283"/>
              <w:jc w:val="left"/>
              <w:rPr/>
            </w:pPr>
            <w:r>
              <w:rPr/>
              <w:t> </w:t>
            </w:r>
          </w:p>
        </w:tc>
      </w:tr>
      <w:tr>
        <w:trPr/>
        <w:tc>
          <w:tcPr>
            <w:tcW w:w="53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Amounts reclassified from AOCI</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3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Other comprehensive income (loss) attributable to</w:t>
              <w:br/>
              <w:t>   noncontrolling interests</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December 31, 2022, attributable to Cabot Corporation</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3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211" w:type="dxa"/>
            <w:tcBorders/>
            <w:shd w:fill="FFFFFF" w:val="clear"/>
            <w:vAlign w:val="center"/>
          </w:tcPr>
          <w:p>
            <w:pPr>
              <w:pStyle w:val="TableContents"/>
              <w:bidi w:val="0"/>
              <w:spacing w:before="0" w:after="283"/>
              <w:jc w:val="left"/>
              <w:rPr/>
            </w:pPr>
            <w:r>
              <w:rPr/>
              <w:t> </w:t>
            </w:r>
          </w:p>
        </w:tc>
      </w:tr>
      <w:tr>
        <w:trPr/>
        <w:tc>
          <w:tcPr>
            <w:tcW w:w="53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Amounts reclassified from AOCI</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3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Other comprehensive income (loss) attributable to</w:t>
              <w:br/>
              <w:t>   noncontrolling interests</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March 31, 2023, attributable to Cabot Corporation</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The amounts reclassified out of AOCI and into the Consolidated Statements of Operations in each of the three and six months ended March 31, 2024 and 2023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79"/>
        <w:gridCol w:w="146"/>
        <w:gridCol w:w="1855"/>
        <w:gridCol w:w="146"/>
        <w:gridCol w:w="285"/>
        <w:gridCol w:w="366"/>
        <w:gridCol w:w="224"/>
        <w:gridCol w:w="197"/>
        <w:gridCol w:w="285"/>
        <w:gridCol w:w="366"/>
        <w:gridCol w:w="166"/>
        <w:gridCol w:w="146"/>
        <w:gridCol w:w="269"/>
        <w:gridCol w:w="345"/>
        <w:gridCol w:w="211"/>
        <w:gridCol w:w="186"/>
        <w:gridCol w:w="269"/>
        <w:gridCol w:w="345"/>
        <w:gridCol w:w="419"/>
      </w:tblGrid>
      <w:tr>
        <w:trPr/>
        <w:tc>
          <w:tcPr>
            <w:tcW w:w="3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9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Affected Line Item in the Consolidated</w:t>
            </w:r>
          </w:p>
        </w:tc>
        <w:tc>
          <w:tcPr>
            <w:tcW w:w="146" w:type="dxa"/>
            <w:tcBorders/>
            <w:shd w:fill="FFFFFF" w:val="clear"/>
            <w:vAlign w:val="center"/>
          </w:tcPr>
          <w:p>
            <w:pPr>
              <w:pStyle w:val="TableContents"/>
              <w:bidi w:val="0"/>
              <w:spacing w:before="0" w:after="283"/>
              <w:jc w:val="left"/>
              <w:rPr/>
            </w:pPr>
            <w:r>
              <w:rPr/>
              <w:t> </w:t>
            </w:r>
          </w:p>
        </w:tc>
        <w:tc>
          <w:tcPr>
            <w:tcW w:w="17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Statements of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6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r>
      <w:tr>
        <w:trPr/>
        <w:tc>
          <w:tcPr>
            <w:tcW w:w="397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Derivatives: net investment hedges</w:t>
            </w:r>
          </w:p>
        </w:tc>
        <w:tc>
          <w:tcPr>
            <w:tcW w:w="146" w:type="dxa"/>
            <w:tcBorders/>
            <w:shd w:fill="CFF0FC" w:val="clear"/>
            <w:vAlign w:val="center"/>
          </w:tcPr>
          <w:p>
            <w:pPr>
              <w:pStyle w:val="TableContents"/>
              <w:bidi w:val="0"/>
              <w:spacing w:before="0" w:after="283"/>
              <w:jc w:val="left"/>
              <w:rPr/>
            </w:pPr>
            <w:r>
              <w:rPr/>
              <w:t> </w:t>
            </w:r>
          </w:p>
        </w:tc>
        <w:tc>
          <w:tcPr>
            <w:tcW w:w="185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51" w:type="dxa"/>
            <w:gridSpan w:val="2"/>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6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4"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614" w:type="dxa"/>
            <w:gridSpan w:val="2"/>
            <w:tcBorders/>
            <w:shd w:fill="CFF0FC" w:val="clear"/>
            <w:vAlign w:val="center"/>
          </w:tcPr>
          <w:p>
            <w:pPr>
              <w:pStyle w:val="TableContents"/>
              <w:bidi w:val="0"/>
              <w:spacing w:before="0" w:after="283"/>
              <w:jc w:val="right"/>
              <w:rPr/>
            </w:pPr>
            <w:r>
              <w:rPr/>
              <w:t> </w:t>
            </w:r>
          </w:p>
        </w:tc>
        <w:tc>
          <w:tcPr>
            <w:tcW w:w="419" w:type="dxa"/>
            <w:tcBorders/>
            <w:shd w:fill="CFF0FC" w:val="clear"/>
            <w:vAlign w:val="center"/>
          </w:tcPr>
          <w:p>
            <w:pPr>
              <w:pStyle w:val="TableContents"/>
              <w:bidi w:val="0"/>
              <w:spacing w:before="0" w:after="283"/>
              <w:ind w:left="0" w:right="0" w:firstLine="200"/>
              <w:jc w:val="right"/>
              <w:rPr/>
            </w:pPr>
            <w:r>
              <w:rPr/>
              <w:t> </w:t>
            </w:r>
          </w:p>
        </w:tc>
      </w:tr>
      <w:tr>
        <w:trPr/>
        <w:tc>
          <w:tcPr>
            <w:tcW w:w="3979"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(Gains) losses reclassified to interest</w:t>
              <w:br/>
              <w:t>   expense</w:t>
            </w:r>
          </w:p>
        </w:tc>
        <w:tc>
          <w:tcPr>
            <w:tcW w:w="146"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41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979"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(Gains) losses excluded from effectiveness testing and amortized to interest expense</w:t>
            </w:r>
          </w:p>
        </w:tc>
        <w:tc>
          <w:tcPr>
            <w:tcW w:w="146" w:type="dxa"/>
            <w:tcBorders/>
            <w:shd w:fill="CFF0FC" w:val="clear"/>
            <w:vAlign w:val="center"/>
          </w:tcPr>
          <w:p>
            <w:pPr>
              <w:pStyle w:val="TableContents"/>
              <w:bidi w:val="0"/>
              <w:spacing w:before="0" w:after="283"/>
              <w:jc w:val="left"/>
              <w:rPr/>
            </w:pPr>
            <w:r>
              <w:rPr/>
              <w:t> </w:t>
            </w:r>
          </w:p>
        </w:tc>
        <w:tc>
          <w:tcPr>
            <w:tcW w:w="185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24"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11"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19" w:type="dxa"/>
            <w:tcBorders/>
            <w:shd w:fill="CFF0FC" w:val="clear"/>
            <w:vAlign w:val="center"/>
          </w:tcPr>
          <w:p>
            <w:pPr>
              <w:pStyle w:val="TableContents"/>
              <w:bidi w:val="0"/>
              <w:spacing w:before="0" w:after="283"/>
              <w:jc w:val="left"/>
              <w:rPr/>
            </w:pPr>
            <w:r>
              <w:rPr/>
              <w:t> </w:t>
            </w:r>
          </w:p>
        </w:tc>
      </w:tr>
      <w:tr>
        <w:trPr/>
        <w:tc>
          <w:tcPr>
            <w:tcW w:w="397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Pension and other postretirement</w:t>
            </w:r>
          </w:p>
        </w:tc>
        <w:tc>
          <w:tcPr>
            <w:tcW w:w="146"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1" w:type="dxa"/>
            <w:gridSpan w:val="2"/>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6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614" w:type="dxa"/>
            <w:gridSpan w:val="2"/>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ind w:left="0" w:right="0" w:firstLine="200"/>
              <w:jc w:val="right"/>
              <w:rPr/>
            </w:pPr>
            <w:r>
              <w:rPr/>
              <w:t> </w:t>
            </w:r>
          </w:p>
        </w:tc>
      </w:tr>
      <w:tr>
        <w:trPr/>
        <w:tc>
          <w:tcPr>
            <w:tcW w:w="3979"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Amortization of actuarial losses and prior service cost (credit)</w:t>
            </w:r>
          </w:p>
        </w:tc>
        <w:tc>
          <w:tcPr>
            <w:tcW w:w="146" w:type="dxa"/>
            <w:tcBorders/>
            <w:shd w:fill="CFF0FC" w:val="clear"/>
            <w:vAlign w:val="center"/>
          </w:tcPr>
          <w:p>
            <w:pPr>
              <w:pStyle w:val="TableContents"/>
              <w:bidi w:val="0"/>
              <w:spacing w:before="0" w:after="283"/>
              <w:jc w:val="left"/>
              <w:rPr/>
            </w:pPr>
            <w:r>
              <w:rPr/>
              <w:t> </w:t>
            </w:r>
          </w:p>
        </w:tc>
        <w:tc>
          <w:tcPr>
            <w:tcW w:w="185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7"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97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before tax</w:t>
            </w:r>
          </w:p>
        </w:tc>
        <w:tc>
          <w:tcPr>
            <w:tcW w:w="146" w:type="dxa"/>
            <w:tcBorders/>
            <w:shd w:fill="FFFFFF" w:val="clear"/>
            <w:vAlign w:val="center"/>
          </w:tcPr>
          <w:p>
            <w:pPr>
              <w:pStyle w:val="TableContents"/>
              <w:bidi w:val="0"/>
              <w:spacing w:before="0" w:after="283"/>
              <w:jc w:val="left"/>
              <w:rPr/>
            </w:pPr>
            <w:r>
              <w:rPr/>
              <w:t> </w:t>
            </w:r>
          </w:p>
        </w:tc>
        <w:tc>
          <w:tcPr>
            <w:tcW w:w="185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E. Contingencies</w:t>
      </w:r>
    </w:p>
    <w:p>
      <w:pPr>
        <w:pStyle w:val="TextBody"/>
        <w:bidi w:val="0"/>
        <w:spacing w:before="60" w:after="283"/>
        <w:jc w:val="left"/>
        <w:rPr>
          <w:rFonts w:ascii="Calibri;sans-serif" w:hAnsi="Calibri;sans-serif"/>
          <w:b/>
          <w:i/>
          <w:color w:val="000000"/>
          <w:sz w:val="20"/>
        </w:rPr>
      </w:pPr>
      <w:r>
        <w:rPr>
          <w:rFonts w:ascii="Calibri;sans-serif" w:hAnsi="Calibri;sans-serif"/>
          <w:b/>
          <w:i/>
          <w:color w:val="000000"/>
          <w:sz w:val="20"/>
        </w:rPr>
        <w:t>Respirator Liabilities</w:t>
      </w:r>
    </w:p>
    <w:p>
      <w:pPr>
        <w:pStyle w:val="TextBody"/>
        <w:bidi w:val="0"/>
        <w:spacing w:before="60" w:after="283"/>
        <w:jc w:val="left"/>
        <w:rPr>
          <w:rFonts w:ascii="Calibri;sans-serif" w:hAnsi="Calibri;sans-serif"/>
          <w:color w:val="000000"/>
          <w:sz w:val="20"/>
        </w:rPr>
      </w:pPr>
      <w:r>
        <w:rPr>
          <w:rFonts w:ascii="Calibri;sans-serif" w:hAnsi="Calibri;sans-serif"/>
          <w:color w:val="000000"/>
          <w:sz w:val="20"/>
        </w:rPr>
        <w:t>Cabot has exposure in connection with a safety respiratory products business that a subsidiary acquired from American Optical Corporation (“AO”) in an April 1990 asset purchase transaction. The subsidiary manufactured respirators under the AO brand and disposed of that business in July 1995. In connection with its acquisition of the business, the subsidiary agreed, in certain circumstances, to assume a portion of AO’s liabilities, including costs of legal fees together with amounts paid in settlements and judgments, allocable to AO respiratory products used prior to the 1990 purchase by the Cabot subsidiary. In exchange for the subsidiary’s assumption of certain of AO’s respirator liabilities, AO agreed to provide to the subsidiary the benefits of: (i) AO’s insurance coverage for the period prior to the 1990 acquisition and (ii) a former owner’s indemnity of AO holding it harmless from any liability allocable to AO respiratory products used prior to May 1982. As more fully described in the 2023 10-K, the respirator liabilities generally involve claims for personal injury, including asbestosis, silicosis and coal worker’s pneumoconiosis, allegedly resulting from the use of respirators that are alleged to have been negligently designed and/or labeled. At no time did this respiratory product line represent a significant portion of the respirator market. In addition to Cabot’s subsidiary, other parties are responsible for significant portions of the costs of these respirator liabilities (as defined in the 2023 10-K, the “Payor Group”).</w:t>
      </w:r>
    </w:p>
    <w:p>
      <w:pPr>
        <w:pStyle w:val="TextBody"/>
        <w:bidi w:val="0"/>
        <w:spacing w:before="60" w:after="283"/>
        <w:jc w:val="left"/>
        <w:rPr>
          <w:rFonts w:ascii="Times New Roman" w:hAnsi="Times New Roman"/>
          <w:sz w:val="20"/>
        </w:rPr>
      </w:pPr>
      <w:r>
        <w:rPr>
          <w:rFonts w:ascii="Calibri;sans-serif" w:hAnsi="Calibri;sans-serif"/>
          <w:color w:val="000000"/>
          <w:sz w:val="20"/>
        </w:rPr>
        <w:t>Cabot has a reserve to cover its expected share of liabilities for pending and future respirator liability claims, which is included in Other liabilities and Accounts payable and accrued liabilities on the Consolidated Balance Sheets. The Company expects these liabilities to be incurred over a number of years.</w:t>
      </w:r>
      <w:r>
        <w:rPr>
          <w:rFonts w:ascii="Times New Roman" w:hAnsi="Times New Roman"/>
          <w:color w:val="000000"/>
          <w:sz w:val="20"/>
        </w:rPr>
        <w:t xml:space="preserve"> </w:t>
      </w:r>
      <w:r>
        <w:rPr>
          <w:rFonts w:ascii="Calibri;sans-serif" w:hAnsi="Calibri;sans-serif"/>
          <w:color w:val="000000"/>
          <w:sz w:val="20"/>
        </w:rPr>
        <w:t>The reserve balance was $37</w:t>
      </w:r>
      <w:r>
        <w:rPr>
          <w:rFonts w:ascii="Times New Roman" w:hAnsi="Times New Roman"/>
          <w:color w:val="000000"/>
          <w:sz w:val="20"/>
        </w:rPr>
        <w:t xml:space="preserve"> </w:t>
      </w:r>
      <w:r>
        <w:rPr>
          <w:rFonts w:ascii="Calibri;sans-serif" w:hAnsi="Calibri;sans-serif"/>
          <w:color w:val="000000"/>
          <w:sz w:val="20"/>
        </w:rPr>
        <w:t>million and $38</w:t>
      </w:r>
      <w:r>
        <w:rPr>
          <w:rFonts w:ascii="Times New Roman" w:hAnsi="Times New Roman"/>
          <w:color w:val="000000"/>
          <w:sz w:val="20"/>
        </w:rPr>
        <w:t xml:space="preserve"> </w:t>
      </w:r>
      <w:r>
        <w:rPr>
          <w:rFonts w:ascii="Calibri;sans-serif" w:hAnsi="Calibri;sans-serif"/>
          <w:color w:val="000000"/>
          <w:sz w:val="20"/>
        </w:rPr>
        <w:t>million at March 31, 2024 and September 30, 2023, respectively.</w:t>
      </w:r>
    </w:p>
    <w:p>
      <w:pPr>
        <w:pStyle w:val="TextBody"/>
        <w:bidi w:val="0"/>
        <w:spacing w:before="60" w:after="283"/>
        <w:jc w:val="left"/>
        <w:rPr>
          <w:rFonts w:ascii="Calibri;sans-serif" w:hAnsi="Calibri;sans-serif"/>
          <w:color w:val="000000"/>
          <w:sz w:val="20"/>
        </w:rPr>
      </w:pPr>
      <w:r>
        <w:rPr>
          <w:rFonts w:ascii="Calibri;sans-serif" w:hAnsi="Calibri;sans-serif"/>
          <w:color w:val="000000"/>
          <w:sz w:val="20"/>
        </w:rPr>
        <w:t>The Company’s current estimate of the cost of its share of pending and future respirator liability claims is based on facts and circumstances existing at this time, including the number and nature of the remaining claims. Developments that could affect the Company’s estimate include, but are not limited to, (i) significant changes in the number of future claims, (ii) changes in the rate of dismissals without payment of pending claims, (iii) significant changes in the average cost of resolving claims, including potential settlements of groups of claims, (iv) significant changes in the legal costs of defending these claims, (v) changes in the nature of claims received or changes in our assessment of the viability of these claims, (vi) trial and appellate outcomes, (vii) changes in the law and procedure applicable to these claims, (viii) the financial viability of the parties that contribute to the payment of respirator claims, (ix) exhaustion or changes in the recoverability of the insurance coverage maintained by certain members of the Payor Group, or a change in the availability of the indemnity provided by a former owner of AO, (x) changes in the allocation of costs among the various parties paying legal and settlement costs, and (xi) a determination that the assumptions that were used to estimate Cabot’s share of liability are no longer reasonable. The Company cannot determine the impact of these potential developments on its current estimate of its share of liability for existing and future claims. Because reserves are limited to amounts that are probable and estimable as of a relevant measurement date, and there is inherent difficulty in projecting the impact of potential developments on Cabot’s share of liability for these existing and future claims, it is reasonably possible that the liabilities for existing and future claims could change in the near term and that change could be material.</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Other Matters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Company has various other lawsuits, claims and contingent liabilities arising in the ordinary course of its business and with respect to its divested businesses. The Company does not believe that any of these matters will have a material adverse effect on its financial position; however, litigation is inherently unpredictable. Cabot could incur judgments, enter into settlements or revise its expectations regarding the outcome of certain matters, and such developments could have a material impact on its results of operations in the period in which the amounts are accrued or its cash flows in the period in which the amounts are paid.</w:t>
      </w:r>
    </w:p>
    <w:p>
      <w:pPr>
        <w:pStyle w:val="TextBody"/>
        <w:bidi w:val="0"/>
        <w:spacing w:before="90" w:after="283"/>
        <w:jc w:val="left"/>
        <w:rPr>
          <w:rFonts w:ascii="Calibri;sans-serif" w:hAnsi="Calibri;sans-serif"/>
          <w:b/>
          <w:color w:val="000000"/>
          <w:sz w:val="20"/>
        </w:rPr>
      </w:pPr>
      <w:r>
        <w:rPr>
          <w:rFonts w:ascii="Calibri;sans-serif" w:hAnsi="Calibri;sans-serif"/>
          <w:b/>
          <w:color w:val="000000"/>
          <w:sz w:val="20"/>
        </w:rPr>
        <w:t>F. Income Tax</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Effective Tax Rate</w:t>
      </w:r>
    </w:p>
    <w:p>
      <w:pPr>
        <w:pStyle w:val="TextBody"/>
        <w:bidi w:val="0"/>
        <w:jc w:val="left"/>
        <w:rPr/>
      </w:pPr>
      <w:r>
        <w:rPr/>
        <w:t> </w:t>
      </w:r>
    </w:p>
    <w:tbl>
      <w:tblPr>
        <w:tblW w:w="8017" w:type="dxa"/>
        <w:jc w:val="left"/>
        <w:tblInd w:w="0" w:type="dxa"/>
        <w:tblLayout w:type="fixed"/>
        <w:tblCellMar>
          <w:top w:w="28" w:type="dxa"/>
          <w:left w:w="28" w:type="dxa"/>
          <w:bottom w:w="28" w:type="dxa"/>
          <w:right w:w="28" w:type="dxa"/>
        </w:tblCellMar>
      </w:tblPr>
      <w:tblGrid>
        <w:gridCol w:w="2941"/>
        <w:gridCol w:w="146"/>
        <w:gridCol w:w="302"/>
        <w:gridCol w:w="538"/>
        <w:gridCol w:w="345"/>
        <w:gridCol w:w="209"/>
        <w:gridCol w:w="302"/>
        <w:gridCol w:w="538"/>
        <w:gridCol w:w="241"/>
        <w:gridCol w:w="146"/>
        <w:gridCol w:w="273"/>
        <w:gridCol w:w="488"/>
        <w:gridCol w:w="312"/>
        <w:gridCol w:w="189"/>
        <w:gridCol w:w="273"/>
        <w:gridCol w:w="488"/>
        <w:gridCol w:w="28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millions)</w:t>
            </w:r>
          </w:p>
        </w:tc>
        <w:tc>
          <w:tcPr>
            <w:tcW w:w="286" w:type="dxa"/>
            <w:tcBorders/>
            <w:shd w:fill="FFFFFF" w:val="cle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w:t>
            </w:r>
          </w:p>
        </w:tc>
        <w:tc>
          <w:tcPr>
            <w:tcW w:w="34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9"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31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9"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Effective tax rate</w:t>
            </w:r>
          </w:p>
        </w:tc>
        <w:tc>
          <w:tcPr>
            <w:tcW w:w="146" w:type="dxa"/>
            <w:tcBorders/>
            <w:shd w:fill="FFFFFF" w:val="clear"/>
            <w:vAlign w:val="center"/>
          </w:tcPr>
          <w:p>
            <w:pPr>
              <w:pStyle w:val="TableContents"/>
              <w:bidi w:val="0"/>
              <w:spacing w:before="0" w:after="283"/>
              <w:jc w:val="right"/>
              <w:rPr/>
            </w:pPr>
            <w:r>
              <w:rPr/>
              <w:t> </w:t>
            </w:r>
          </w:p>
        </w:tc>
        <w:tc>
          <w:tcPr>
            <w:tcW w:w="3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w:t>
            </w:r>
          </w:p>
        </w:tc>
        <w:tc>
          <w:tcPr>
            <w:tcW w:w="34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9" w:type="dxa"/>
            <w:tcBorders/>
            <w:shd w:fill="FFFFFF" w:val="clear"/>
            <w:vAlign w:val="center"/>
          </w:tcPr>
          <w:p>
            <w:pPr>
              <w:pStyle w:val="TableContents"/>
              <w:bidi w:val="0"/>
              <w:spacing w:before="0" w:after="283"/>
              <w:jc w:val="right"/>
              <w:rPr/>
            </w:pPr>
            <w:r>
              <w:rPr/>
              <w:t> </w:t>
            </w:r>
          </w:p>
        </w:tc>
        <w:tc>
          <w:tcPr>
            <w:tcW w:w="3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w:t>
            </w:r>
          </w:p>
        </w:tc>
        <w:tc>
          <w:tcPr>
            <w:tcW w:w="31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9"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c>
          <w:tcPr>
            <w:tcW w:w="2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0"/>
        </w:rPr>
        <w:t>For the three and six months ended March 31, 2024, the (Provision) benefit for income taxes included a net discrete tax expense of $8</w:t>
      </w:r>
      <w:r>
        <w:rPr>
          <w:rFonts w:ascii="Times New Roman" w:hAnsi="Times New Roman"/>
          <w:color w:val="000000"/>
          <w:sz w:val="20"/>
        </w:rPr>
        <w:t xml:space="preserve"> </w:t>
      </w:r>
      <w:r>
        <w:rPr>
          <w:rFonts w:ascii="Calibri;sans-serif" w:hAnsi="Calibri;sans-serif"/>
          <w:color w:val="000000"/>
          <w:sz w:val="20"/>
        </w:rPr>
        <w:t>million and $15</w:t>
      </w:r>
      <w:r>
        <w:rPr>
          <w:rFonts w:ascii="Times New Roman" w:hAnsi="Times New Roman"/>
          <w:color w:val="000000"/>
          <w:sz w:val="20"/>
        </w:rPr>
        <w:t xml:space="preserve"> </w:t>
      </w:r>
      <w:r>
        <w:rPr>
          <w:rFonts w:ascii="Calibri;sans-serif" w:hAnsi="Calibri;sans-serif"/>
          <w:color w:val="000000"/>
          <w:sz w:val="20"/>
        </w:rPr>
        <w:t>million, respectively. The increase in discrete items during the quarter was driven by additional accruals and corresponding interest of uncertain tax positions. For the three and six months ended March 31, 2023, the (Provision) benefit for income taxes included a net discrete tax benefit of $2</w:t>
      </w:r>
      <w:r>
        <w:rPr>
          <w:rFonts w:ascii="Times New Roman" w:hAnsi="Times New Roman"/>
          <w:color w:val="000000"/>
          <w:sz w:val="20"/>
        </w:rPr>
        <w:t xml:space="preserve"> </w:t>
      </w:r>
      <w:r>
        <w:rPr>
          <w:rFonts w:ascii="Calibri;sans-serif" w:hAnsi="Calibri;sans-serif"/>
          <w:color w:val="000000"/>
          <w:sz w:val="20"/>
        </w:rPr>
        <w:t>million and a net discrete tax expense of $1</w:t>
      </w:r>
      <w:r>
        <w:rPr>
          <w:rFonts w:ascii="Times New Roman" w:hAnsi="Times New Roman"/>
          <w:color w:val="000000"/>
          <w:sz w:val="20"/>
        </w:rPr>
        <w:t xml:space="preserve"> </w:t>
      </w:r>
      <w:r>
        <w:rPr>
          <w:rFonts w:ascii="Calibri;sans-serif" w:hAnsi="Calibri;sans-serif"/>
          <w:color w:val="000000"/>
          <w:sz w:val="20"/>
        </w:rPr>
        <w:t>million, respectively.</w:t>
      </w:r>
      <w:r>
        <w:rPr>
          <w:rFonts w:ascii="Times New Roman" w:hAnsi="Times New Roman"/>
          <w:color w:val="000000"/>
          <w:sz w:val="20"/>
        </w:rPr>
        <w:t xml:space="preserve"> </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Income tax in Interim Periods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Calibri;sans-serif" w:hAnsi="Calibri;sans-serif"/>
          <w:color w:val="000000"/>
          <w:sz w:val="20"/>
        </w:rPr>
        <w:t>The Company records its tax provision or benefit on an interim basis using an estimated annual effective tax rate. This rate is applied to the current period ordinary income or loss to determine the income tax provision or benefit allocated to the interim period. The income tax effects of unusual or infrequent items are excluded from the estimated annual effective tax rate and are recognized in the impacted interim period. Losses from jurisdictions for which no benefit can be recognized are excluded from the overall computations of the estimated annual effective tax rate and a separate estimated annual effective tax rate is computed and applied to ordinary income or loss in the loss jurisdiction.</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Valuation allowances are provided against the future tax benefits that arise from the deferred tax assets in jurisdictions for which the Company expects that no benefit can be recognized. The estimated annual effective tax rate may be significantly impacted by nondeductible expenses and the Company’s projected earnings mix by tax jurisdiction. Adjustments to the estimated annual effective income tax rate are recognized in the period when such estimates are revised.</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Uncertainties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Cabot and certain subsidiaries are under audit in a number of jurisdictions. In addition, certain statutes of limitations are scheduled to expire in the near future. It is reasonably possible that a change in the unrecognized tax benefits may also occur within the next twelve months related to the settlement of one or more of these audits or the lapse of applicable statutes of limitations. However, an estimated range of the impact on the unrecognized tax benefits cannot be quantified at this time.</w:t>
      </w:r>
    </w:p>
    <w:p>
      <w:pPr>
        <w:pStyle w:val="TextBody"/>
        <w:bidi w:val="0"/>
        <w:spacing w:before="90" w:after="283"/>
        <w:jc w:val="left"/>
        <w:rPr>
          <w:rFonts w:ascii="Times New Roman" w:hAnsi="Times New Roman"/>
          <w:sz w:val="20"/>
        </w:rPr>
      </w:pPr>
      <w:r>
        <w:rPr>
          <w:rFonts w:ascii="Calibri;sans-serif" w:hAnsi="Calibri;sans-serif"/>
          <w:color w:val="000000"/>
          <w:sz w:val="20"/>
        </w:rPr>
        <w:t>Cabot files U.S. federal and state and non-U.S. income tax returns in jurisdictions with varying statutes of limitations. The 2020</w:t>
      </w:r>
      <w:r>
        <w:rPr>
          <w:rFonts w:ascii="Times New Roman" w:hAnsi="Times New Roman"/>
          <w:color w:val="000000"/>
          <w:sz w:val="20"/>
        </w:rPr>
        <w:t xml:space="preserve"> </w:t>
      </w:r>
      <w:r>
        <w:rPr>
          <w:rFonts w:ascii="Calibri;sans-serif" w:hAnsi="Calibri;sans-serif"/>
          <w:color w:val="000000"/>
          <w:sz w:val="20"/>
        </w:rPr>
        <w:t>through 2022</w:t>
      </w:r>
      <w:r>
        <w:rPr>
          <w:rFonts w:ascii="Times New Roman" w:hAnsi="Times New Roman"/>
          <w:color w:val="000000"/>
          <w:sz w:val="20"/>
        </w:rPr>
        <w:t xml:space="preserve"> </w:t>
      </w:r>
      <w:r>
        <w:rPr>
          <w:rFonts w:ascii="Calibri;sans-serif" w:hAnsi="Calibri;sans-serif"/>
          <w:color w:val="000000"/>
          <w:sz w:val="20"/>
        </w:rPr>
        <w:t>tax years generally remain subject to examination by the IRS and various tax years from 2018</w:t>
      </w:r>
      <w:r>
        <w:rPr>
          <w:rFonts w:ascii="Times New Roman" w:hAnsi="Times New Roman"/>
          <w:color w:val="000000"/>
          <w:sz w:val="20"/>
        </w:rPr>
        <w:t xml:space="preserve"> </w:t>
      </w:r>
      <w:r>
        <w:rPr>
          <w:rFonts w:ascii="Calibri;sans-serif" w:hAnsi="Calibri;sans-serif"/>
          <w:color w:val="000000"/>
          <w:sz w:val="20"/>
        </w:rPr>
        <w:t>through 2022</w:t>
      </w:r>
      <w:r>
        <w:rPr>
          <w:rFonts w:ascii="Times New Roman" w:hAnsi="Times New Roman"/>
          <w:color w:val="000000"/>
          <w:sz w:val="20"/>
        </w:rPr>
        <w:t xml:space="preserve"> </w:t>
      </w:r>
      <w:r>
        <w:rPr>
          <w:rFonts w:ascii="Calibri;sans-serif" w:hAnsi="Calibri;sans-serif"/>
          <w:color w:val="000000"/>
          <w:sz w:val="20"/>
        </w:rPr>
        <w:t>remain subject to examination by the respective state tax authorities. In foreign jurisdictions, various tax years from 2006</w:t>
      </w:r>
      <w:r>
        <w:rPr>
          <w:rFonts w:ascii="Times New Roman" w:hAnsi="Times New Roman"/>
          <w:color w:val="000000"/>
          <w:sz w:val="20"/>
        </w:rPr>
        <w:t xml:space="preserve"> </w:t>
      </w:r>
      <w:r>
        <w:rPr>
          <w:rFonts w:ascii="Calibri;sans-serif" w:hAnsi="Calibri;sans-serif"/>
          <w:color w:val="000000"/>
          <w:sz w:val="20"/>
        </w:rPr>
        <w:t>through 2023</w:t>
      </w:r>
      <w:r>
        <w:rPr>
          <w:rFonts w:ascii="Times New Roman" w:hAnsi="Times New Roman"/>
          <w:color w:val="000000"/>
          <w:sz w:val="20"/>
        </w:rPr>
        <w:t xml:space="preserve"> </w:t>
      </w:r>
      <w:r>
        <w:rPr>
          <w:rFonts w:ascii="Calibri;sans-serif" w:hAnsi="Calibri;sans-serif"/>
          <w:color w:val="000000"/>
          <w:sz w:val="20"/>
        </w:rPr>
        <w:t>remain subject to examination by their respective tax authorities.</w:t>
      </w:r>
    </w:p>
    <w:p>
      <w:pPr>
        <w:pStyle w:val="TextBody"/>
        <w:bidi w:val="0"/>
        <w:spacing w:before="90" w:after="283"/>
        <w:jc w:val="left"/>
        <w:rPr>
          <w:rFonts w:ascii="Times New Roman" w:hAnsi="Times New Roman"/>
          <w:sz w:val="20"/>
        </w:rPr>
      </w:pPr>
      <w:r>
        <w:rPr>
          <w:rFonts w:ascii="Calibri;sans-serif" w:hAnsi="Calibri;sans-serif"/>
          <w:color w:val="000000"/>
          <w:sz w:val="20"/>
        </w:rPr>
        <w:t>During each of the three and six months ended March 31, 2024, Cabot released uncertain tax positions of nil</w:t>
      </w:r>
      <w:r>
        <w:rPr>
          <w:rFonts w:ascii="Times New Roman" w:hAnsi="Times New Roman"/>
          <w:color w:val="000000"/>
          <w:sz w:val="20"/>
        </w:rPr>
        <w:t xml:space="preserve"> </w:t>
      </w:r>
      <w:r>
        <w:rPr>
          <w:rFonts w:ascii="Calibri;sans-serif" w:hAnsi="Calibri;sans-serif"/>
          <w:color w:val="000000"/>
          <w:sz w:val="20"/>
        </w:rPr>
        <w:t>and $1</w:t>
      </w:r>
      <w:r>
        <w:rPr>
          <w:rFonts w:ascii="Times New Roman" w:hAnsi="Times New Roman"/>
          <w:color w:val="000000"/>
          <w:sz w:val="20"/>
        </w:rPr>
        <w:t xml:space="preserve"> </w:t>
      </w:r>
      <w:r>
        <w:rPr>
          <w:rFonts w:ascii="Calibri;sans-serif" w:hAnsi="Calibri;sans-serif"/>
          <w:color w:val="000000"/>
          <w:sz w:val="20"/>
        </w:rPr>
        <w:t>million, respectively, due to the expiration of statutes of limitations in various jurisdictions. During each of the three and six months ended March 31, 2023, Cabot released uncertain tax positions of less than $1</w:t>
      </w:r>
      <w:r>
        <w:rPr>
          <w:rFonts w:ascii="Times New Roman" w:hAnsi="Times New Roman"/>
          <w:color w:val="000000"/>
          <w:sz w:val="20"/>
        </w:rPr>
        <w:t xml:space="preserve"> </w:t>
      </w:r>
      <w:r>
        <w:rPr>
          <w:rFonts w:ascii="Calibri;sans-serif" w:hAnsi="Calibri;sans-serif"/>
          <w:color w:val="000000"/>
          <w:sz w:val="20"/>
        </w:rPr>
        <w:t>million and $1</w:t>
      </w:r>
      <w:r>
        <w:rPr>
          <w:rFonts w:ascii="Times New Roman" w:hAnsi="Times New Roman"/>
          <w:color w:val="000000"/>
          <w:sz w:val="20"/>
        </w:rPr>
        <w:t xml:space="preserve"> </w:t>
      </w:r>
      <w:r>
        <w:rPr>
          <w:rFonts w:ascii="Calibri;sans-serif" w:hAnsi="Calibri;sans-serif"/>
          <w:color w:val="000000"/>
          <w:sz w:val="20"/>
        </w:rPr>
        <w:t>million, respectively, due to the expiration of statutes of limitations in various jurisdictions.</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b/>
          <w:color w:val="000000"/>
          <w:sz w:val="20"/>
        </w:rPr>
      </w:pPr>
      <w:r>
        <w:rPr>
          <w:rFonts w:ascii="Calibri;sans-serif" w:hAnsi="Calibri;sans-serif"/>
          <w:b/>
          <w:color w:val="000000"/>
          <w:sz w:val="20"/>
        </w:rPr>
        <w:t>G. Earnings Per Share</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following tables summarize the components of the basic and diluted earnings (loss) per common share (“EPS”) computations: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9"/>
        <w:gridCol w:w="446"/>
        <w:gridCol w:w="446"/>
        <w:gridCol w:w="766"/>
        <w:gridCol w:w="446"/>
        <w:gridCol w:w="446"/>
        <w:gridCol w:w="446"/>
        <w:gridCol w:w="766"/>
        <w:gridCol w:w="446"/>
        <w:gridCol w:w="446"/>
        <w:gridCol w:w="446"/>
        <w:gridCol w:w="766"/>
        <w:gridCol w:w="446"/>
        <w:gridCol w:w="446"/>
        <w:gridCol w:w="211"/>
        <w:gridCol w:w="466"/>
        <w:gridCol w:w="691"/>
      </w:tblGrid>
      <w:tr>
        <w:trPr/>
        <w:tc>
          <w:tcPr>
            <w:tcW w:w="207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079"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3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right"/>
              <w:rPr/>
            </w:pPr>
            <w:r>
              <w:rPr/>
              <w:t> </w:t>
            </w:r>
          </w:p>
        </w:tc>
        <w:tc>
          <w:tcPr>
            <w:tcW w:w="2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9"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9"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698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 except per share amounts)</w:t>
            </w:r>
          </w:p>
        </w:tc>
        <w:tc>
          <w:tcPr>
            <w:tcW w:w="691" w:type="dxa"/>
            <w:tcBorders/>
            <w:shd w:fill="FFFFFF" w:val="clear"/>
            <w:vAlign w:val="center"/>
          </w:tcPr>
          <w:p>
            <w:pPr>
              <w:pStyle w:val="TableContents"/>
              <w:bidi w:val="0"/>
              <w:spacing w:before="0" w:after="283"/>
              <w:jc w:val="center"/>
              <w:rPr/>
            </w:pPr>
            <w:r>
              <w:rPr/>
              <w:t> </w:t>
            </w:r>
          </w:p>
        </w:tc>
      </w:tr>
      <w:tr>
        <w:trPr/>
        <w:tc>
          <w:tcPr>
            <w:tcW w:w="2079"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Basic EPS:</w:t>
            </w:r>
          </w:p>
        </w:tc>
        <w:tc>
          <w:tcPr>
            <w:tcW w:w="446"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right"/>
              <w:rPr/>
            </w:pPr>
            <w:r>
              <w:rPr/>
              <w:t> </w:t>
            </w:r>
          </w:p>
        </w:tc>
      </w:tr>
      <w:tr>
        <w:trPr/>
        <w:tc>
          <w:tcPr>
            <w:tcW w:w="2079"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Net income (loss) attributable to Cabot </w:t>
              <w:br/>
              <w:t>   Corporation</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2079"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Less: Dividends and dividend equivalents </w:t>
              <w:br/>
              <w:t>   to participating securities</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207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Less: Undistributed earnings allocated to</w:t>
              <w:br/>
              <w:t>   participating securities</w:t>
            </w:r>
            <w:r>
              <w:rPr>
                <w:rFonts w:ascii="Calibri;sans-serif" w:hAnsi="Calibri;sans-serif"/>
                <w:color w:val="000000"/>
                <w:sz w:val="13"/>
              </w:rPr>
              <w:t>(1)</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079" w:type="dxa"/>
            <w:tcBorders/>
            <w:shd w:fill="CFF0FC" w:val="clear"/>
            <w:vAlign w:val="center"/>
          </w:tcPr>
          <w:p>
            <w:pPr>
              <w:pStyle w:val="TableContents"/>
              <w:bidi w:val="0"/>
              <w:spacing w:before="0" w:after="283"/>
              <w:ind w:left="500" w:right="0" w:firstLine="500"/>
              <w:jc w:val="left"/>
              <w:rPr>
                <w:rFonts w:ascii="Calibri;sans-serif" w:hAnsi="Calibri;sans-serif"/>
                <w:color w:val="000000"/>
                <w:sz w:val="20"/>
              </w:rPr>
            </w:pPr>
            <w:r>
              <w:rPr>
                <w:rFonts w:ascii="Calibri;sans-serif" w:hAnsi="Calibri;sans-serif"/>
                <w:color w:val="000000"/>
                <w:sz w:val="20"/>
              </w:rPr>
              <w:t>Earnings (loss) allocated to common</w:t>
              <w:br/>
              <w:t>   stockholders (numerator)</w:t>
            </w:r>
          </w:p>
        </w:tc>
        <w:tc>
          <w:tcPr>
            <w:tcW w:w="446" w:type="dxa"/>
            <w:tcBorders/>
            <w:shd w:fill="CFF0FC" w:val="clear"/>
            <w:vAlign w:val="center"/>
          </w:tcPr>
          <w:p>
            <w:pPr>
              <w:pStyle w:val="TableContents"/>
              <w:bidi w:val="0"/>
              <w:spacing w:before="0" w:after="283"/>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79" w:type="dxa"/>
            <w:tcBorders/>
            <w:shd w:fill="FFFFFF" w:val="clear"/>
            <w:vAlign w:val="center"/>
          </w:tcPr>
          <w:p>
            <w:pPr>
              <w:pStyle w:val="TableContents"/>
              <w:bidi w:val="0"/>
              <w:spacing w:before="0" w:after="283"/>
              <w:ind w:left="400" w:right="0" w:firstLine="400"/>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200"/>
              <w:jc w:val="right"/>
              <w:rPr/>
            </w:pPr>
            <w:r>
              <w:rPr/>
              <w:t> </w:t>
            </w:r>
          </w:p>
        </w:tc>
      </w:tr>
      <w:tr>
        <w:trPr/>
        <w:tc>
          <w:tcPr>
            <w:tcW w:w="2079"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Weighted average common shares and</w:t>
              <w:br/>
              <w:t>   participating securities outstanding</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56.2</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57.6</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56.2</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57.6</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207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Less: Participating securities</w:t>
            </w:r>
            <w:r>
              <w:rPr>
                <w:rFonts w:ascii="Calibri;sans-serif" w:hAnsi="Calibri;sans-serif"/>
                <w:color w:val="000000"/>
                <w:sz w:val="13"/>
              </w:rPr>
              <w:t>(1)</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0.8</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079" w:type="dxa"/>
            <w:tcBorders/>
            <w:shd w:fill="CFF0FC" w:val="clear"/>
            <w:vAlign w:val="center"/>
          </w:tcPr>
          <w:p>
            <w:pPr>
              <w:pStyle w:val="TableContents"/>
              <w:bidi w:val="0"/>
              <w:spacing w:before="0" w:after="283"/>
              <w:ind w:left="0" w:right="0" w:firstLine="300"/>
              <w:jc w:val="left"/>
              <w:rPr>
                <w:rFonts w:ascii="Calibri;sans-serif" w:hAnsi="Calibri;sans-serif"/>
                <w:color w:val="000000"/>
                <w:sz w:val="20"/>
              </w:rPr>
            </w:pPr>
            <w:r>
              <w:rPr>
                <w:rFonts w:ascii="Calibri;sans-serif" w:hAnsi="Calibri;sans-serif"/>
                <w:color w:val="000000"/>
                <w:sz w:val="20"/>
              </w:rPr>
              <w:t xml:space="preserve">Adjusted weighted average common </w:t>
              <w:br/>
              <w:t>   shares (denominator)</w:t>
            </w:r>
          </w:p>
        </w:tc>
        <w:tc>
          <w:tcPr>
            <w:tcW w:w="446" w:type="dxa"/>
            <w:tcBorders/>
            <w:shd w:fill="CFF0FC" w:val="clear"/>
            <w:vAlign w:val="center"/>
          </w:tcPr>
          <w:p>
            <w:pPr>
              <w:pStyle w:val="TableContents"/>
              <w:bidi w:val="0"/>
              <w:spacing w:before="0" w:after="283"/>
              <w:ind w:left="300" w:right="0" w:firstLine="300"/>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300" w:right="0" w:firstLine="300"/>
              <w:jc w:val="right"/>
              <w:rPr>
                <w:rFonts w:ascii="Calibri;sans-serif" w:hAnsi="Calibri;sans-serif"/>
                <w:color w:val="000000"/>
                <w:sz w:val="20"/>
              </w:rPr>
            </w:pPr>
            <w:r>
              <w:rPr>
                <w:rFonts w:ascii="Calibri;sans-serif" w:hAnsi="Calibri;sans-serif"/>
                <w:color w:val="000000"/>
                <w:sz w:val="20"/>
              </w:rPr>
              <w:t>55.4</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vAlign w:val="center"/>
          </w:tcPr>
          <w:p>
            <w:pPr>
              <w:pStyle w:val="TableContents"/>
              <w:bidi w:val="0"/>
              <w:spacing w:before="0" w:after="283"/>
              <w:ind w:left="300" w:right="0" w:firstLine="300"/>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300" w:right="0" w:firstLine="300"/>
              <w:jc w:val="right"/>
              <w:rPr>
                <w:rFonts w:ascii="Calibri;sans-serif" w:hAnsi="Calibri;sans-serif"/>
                <w:color w:val="000000"/>
                <w:sz w:val="20"/>
              </w:rPr>
            </w:pPr>
            <w:r>
              <w:rPr>
                <w:rFonts w:ascii="Calibri;sans-serif" w:hAnsi="Calibri;sans-serif"/>
                <w:color w:val="000000"/>
                <w:sz w:val="20"/>
              </w:rPr>
              <w:t>56.3</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vAlign w:val="center"/>
          </w:tcPr>
          <w:p>
            <w:pPr>
              <w:pStyle w:val="TableContents"/>
              <w:bidi w:val="0"/>
              <w:spacing w:before="0" w:after="283"/>
              <w:ind w:left="300" w:right="0" w:firstLine="300"/>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300" w:right="0" w:firstLine="300"/>
              <w:jc w:val="right"/>
              <w:rPr>
                <w:rFonts w:ascii="Calibri;sans-serif" w:hAnsi="Calibri;sans-serif"/>
                <w:color w:val="000000"/>
                <w:sz w:val="20"/>
              </w:rPr>
            </w:pPr>
            <w:r>
              <w:rPr>
                <w:rFonts w:ascii="Calibri;sans-serif" w:hAnsi="Calibri;sans-serif"/>
                <w:color w:val="000000"/>
                <w:sz w:val="20"/>
              </w:rPr>
              <w:t>55.3</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vAlign w:val="center"/>
          </w:tcPr>
          <w:p>
            <w:pPr>
              <w:pStyle w:val="TableContents"/>
              <w:bidi w:val="0"/>
              <w:spacing w:before="0" w:after="283"/>
              <w:ind w:left="300" w:right="0" w:firstLine="3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56.3</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79" w:type="dxa"/>
            <w:tcBorders/>
            <w:shd w:fill="FFFFFF" w:val="clear"/>
            <w:vAlign w:val="center"/>
          </w:tcPr>
          <w:p>
            <w:pPr>
              <w:pStyle w:val="TableContents"/>
              <w:bidi w:val="0"/>
              <w:spacing w:before="0" w:after="283"/>
              <w:ind w:left="200" w:right="0" w:firstLine="200"/>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200"/>
              <w:jc w:val="right"/>
              <w:rPr/>
            </w:pPr>
            <w:r>
              <w:rPr/>
              <w:t> </w:t>
            </w:r>
          </w:p>
        </w:tc>
      </w:tr>
      <w:tr>
        <w:trPr/>
        <w:tc>
          <w:tcPr>
            <w:tcW w:w="2079"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Earnings (loss) per common share - basic:</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2.24</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2079" w:type="dxa"/>
            <w:tcBorders/>
            <w:shd w:fill="FFFFFF" w:val="clear"/>
            <w:vAlign w:val="center"/>
          </w:tcPr>
          <w:p>
            <w:pPr>
              <w:pStyle w:val="TableContents"/>
              <w:bidi w:val="0"/>
              <w:spacing w:before="0" w:after="283"/>
              <w:ind w:left="200" w:right="0" w:firstLine="200"/>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pPr>
            <w:r>
              <w:rPr/>
              <w:t> </w:t>
            </w:r>
          </w:p>
        </w:tc>
      </w:tr>
      <w:tr>
        <w:trPr/>
        <w:tc>
          <w:tcPr>
            <w:tcW w:w="2079"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Diluted EPS:</w:t>
            </w:r>
          </w:p>
        </w:tc>
        <w:tc>
          <w:tcPr>
            <w:tcW w:w="446"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677" w:type="dxa"/>
            <w:gridSpan w:val="2"/>
            <w:tcBorders/>
            <w:shd w:fill="CFF0FC" w:val="clear"/>
            <w:vAlign w:val="center"/>
          </w:tcPr>
          <w:p>
            <w:pPr>
              <w:pStyle w:val="TableContents"/>
              <w:bidi w:val="0"/>
              <w:spacing w:before="0" w:after="283"/>
              <w:jc w:val="left"/>
              <w:rPr>
                <w:sz w:val="4"/>
                <w:szCs w:val="4"/>
              </w:rPr>
            </w:pPr>
            <w:r>
              <w:rPr>
                <w:sz w:val="4"/>
                <w:szCs w:val="4"/>
              </w:rPr>
            </w:r>
          </w:p>
        </w:tc>
        <w:tc>
          <w:tcPr>
            <w:tcW w:w="691" w:type="dxa"/>
            <w:tcBorders/>
            <w:shd w:fill="CFF0FC" w:val="clear"/>
            <w:vAlign w:val="center"/>
          </w:tcPr>
          <w:p>
            <w:pPr>
              <w:pStyle w:val="TableContents"/>
              <w:bidi w:val="0"/>
              <w:spacing w:before="0" w:after="283"/>
              <w:ind w:left="0" w:right="0" w:firstLine="200"/>
              <w:jc w:val="right"/>
              <w:rPr/>
            </w:pPr>
            <w:r>
              <w:rPr/>
              <w:t> </w:t>
            </w:r>
          </w:p>
        </w:tc>
      </w:tr>
      <w:tr>
        <w:trPr/>
        <w:tc>
          <w:tcPr>
            <w:tcW w:w="2079"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Earnings (loss) allocated to common </w:t>
              <w:br/>
              <w:t>   stockholders</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2079"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Plus: Earnings allocated to </w:t>
              <w:br/>
              <w:t>   participating securities</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207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 xml:space="preserve">Less: Adjusted earnings allocated to </w:t>
              <w:br/>
              <w:t>   participating securities</w:t>
            </w:r>
            <w:r>
              <w:rPr>
                <w:rFonts w:ascii="Calibri;sans-serif" w:hAnsi="Calibri;sans-serif"/>
                <w:color w:val="000000"/>
                <w:sz w:val="13"/>
              </w:rPr>
              <w:t>(2)</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079" w:type="dxa"/>
            <w:tcBorders/>
            <w:shd w:fill="CFF0FC" w:val="clear"/>
            <w:vAlign w:val="center"/>
          </w:tcPr>
          <w:p>
            <w:pPr>
              <w:pStyle w:val="TableContents"/>
              <w:bidi w:val="0"/>
              <w:spacing w:before="0" w:after="283"/>
              <w:ind w:left="500" w:right="0" w:firstLine="500"/>
              <w:jc w:val="left"/>
              <w:rPr>
                <w:rFonts w:ascii="Calibri;sans-serif" w:hAnsi="Calibri;sans-serif"/>
                <w:color w:val="000000"/>
                <w:sz w:val="20"/>
              </w:rPr>
            </w:pPr>
            <w:r>
              <w:rPr>
                <w:rFonts w:ascii="Calibri;sans-serif" w:hAnsi="Calibri;sans-serif"/>
                <w:color w:val="000000"/>
                <w:sz w:val="20"/>
              </w:rPr>
              <w:t>Earnings (loss) allocated to common</w:t>
              <w:br/>
              <w:t>   stockholders (numerator)</w:t>
            </w:r>
          </w:p>
        </w:tc>
        <w:tc>
          <w:tcPr>
            <w:tcW w:w="446" w:type="dxa"/>
            <w:tcBorders/>
            <w:shd w:fill="CFF0FC" w:val="clear"/>
            <w:vAlign w:val="center"/>
          </w:tcPr>
          <w:p>
            <w:pPr>
              <w:pStyle w:val="TableContents"/>
              <w:bidi w:val="0"/>
              <w:spacing w:before="0" w:after="283"/>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79" w:type="dxa"/>
            <w:tcBorders/>
            <w:shd w:fill="FFFFFF" w:val="clear"/>
            <w:vAlign w:val="center"/>
          </w:tcPr>
          <w:p>
            <w:pPr>
              <w:pStyle w:val="TableContents"/>
              <w:bidi w:val="0"/>
              <w:spacing w:before="0" w:after="283"/>
              <w:ind w:left="400" w:right="0" w:firstLine="400"/>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200"/>
              <w:jc w:val="right"/>
              <w:rPr/>
            </w:pPr>
            <w:r>
              <w:rPr/>
              <w:t> </w:t>
            </w:r>
          </w:p>
        </w:tc>
      </w:tr>
      <w:tr>
        <w:trPr/>
        <w:tc>
          <w:tcPr>
            <w:tcW w:w="2079"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Adjusted weighted average common </w:t>
              <w:br/>
              <w:t>   shares outstanding</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55.4</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56.3</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55.3</w:t>
            </w:r>
          </w:p>
        </w:tc>
        <w:tc>
          <w:tcPr>
            <w:tcW w:w="4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56.3</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2079"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Effect of dilutive securities:</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ind w:left="0" w:right="0" w:firstLine="400"/>
              <w:jc w:val="right"/>
              <w:rPr/>
            </w:pPr>
            <w:r>
              <w:rPr/>
              <w:t> </w:t>
            </w:r>
          </w:p>
        </w:tc>
      </w:tr>
      <w:tr>
        <w:trPr/>
        <w:tc>
          <w:tcPr>
            <w:tcW w:w="2079"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Calibri;sans-serif" w:hAnsi="Calibri;sans-serif"/>
                <w:color w:val="000000"/>
                <w:sz w:val="20"/>
              </w:rPr>
              <w:t>Common shares issuable</w:t>
            </w:r>
            <w:r>
              <w:rPr>
                <w:rFonts w:ascii="Calibri;sans-serif" w:hAnsi="Calibri;sans-serif"/>
                <w:color w:val="000000"/>
                <w:sz w:val="13"/>
              </w:rPr>
              <w:t>(3)</w:t>
            </w:r>
          </w:p>
        </w:tc>
        <w:tc>
          <w:tcPr>
            <w:tcW w:w="446" w:type="dxa"/>
            <w:tcBorders/>
            <w:shd w:fill="CFF0FC" w:val="clear"/>
            <w:vAlign w:val="center"/>
          </w:tcPr>
          <w:p>
            <w:pPr>
              <w:pStyle w:val="TableContents"/>
              <w:bidi w:val="0"/>
              <w:spacing w:before="0" w:after="283"/>
              <w:jc w:val="righ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079" w:type="dxa"/>
            <w:tcBorders/>
            <w:shd w:fill="FFFFFF" w:val="clear"/>
            <w:vAlign w:val="center"/>
          </w:tcPr>
          <w:p>
            <w:pPr>
              <w:pStyle w:val="TableContents"/>
              <w:bidi w:val="0"/>
              <w:spacing w:before="0" w:after="283"/>
              <w:ind w:left="500" w:right="0" w:firstLine="500"/>
              <w:jc w:val="left"/>
              <w:rPr>
                <w:rFonts w:ascii="Calibri;sans-serif" w:hAnsi="Calibri;sans-serif"/>
                <w:color w:val="000000"/>
                <w:sz w:val="20"/>
              </w:rPr>
            </w:pPr>
            <w:r>
              <w:rPr>
                <w:rFonts w:ascii="Calibri;sans-serif" w:hAnsi="Calibri;sans-serif"/>
                <w:color w:val="000000"/>
                <w:sz w:val="20"/>
              </w:rPr>
              <w:t xml:space="preserve">Adjusted weighted average common </w:t>
              <w:br/>
              <w:t>   shares (denominator)</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56.7</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79" w:type="dxa"/>
            <w:tcBorders/>
            <w:shd w:fill="CFF0FC" w:val="clear"/>
            <w:vAlign w:val="center"/>
          </w:tcPr>
          <w:p>
            <w:pPr>
              <w:pStyle w:val="TableContents"/>
              <w:bidi w:val="0"/>
              <w:spacing w:before="0" w:after="283"/>
              <w:ind w:left="200" w:right="0" w:firstLine="200"/>
              <w:jc w:val="left"/>
              <w:rPr/>
            </w:pPr>
            <w:r>
              <w:rPr/>
              <w:t> </w:t>
            </w:r>
          </w:p>
        </w:tc>
        <w:tc>
          <w:tcPr>
            <w:tcW w:w="446"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righ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right"/>
              <w:rPr/>
            </w:pPr>
            <w:r>
              <w:rPr/>
              <w:t> </w:t>
            </w:r>
          </w:p>
        </w:tc>
      </w:tr>
      <w:tr>
        <w:trPr/>
        <w:tc>
          <w:tcPr>
            <w:tcW w:w="2079"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Earnings (loss) per common share - diluted:</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2.37</w:t>
            </w:r>
          </w:p>
        </w:tc>
        <w:tc>
          <w:tcPr>
            <w:tcW w:w="446"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2.23</w:t>
            </w:r>
          </w:p>
        </w:tc>
        <w:tc>
          <w:tcPr>
            <w:tcW w:w="6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20"/>
        </w:rPr>
      </w:pPr>
      <w:r>
        <w:rPr>
          <w:rFonts w:ascii="Calibri" w:hAnsi="Calibri"/>
          <w:color w:val="000000"/>
          <w:sz w:val="20"/>
        </w:rPr>
        <w:t>(1)</w:t>
      </w:r>
    </w:p>
    <w:p>
      <w:pPr>
        <w:pStyle w:val="TextBody"/>
        <w:bidi w:val="0"/>
        <w:jc w:val="left"/>
        <w:rPr>
          <w:rFonts w:ascii="Calibri;sans-serif" w:hAnsi="Calibri;sans-serif"/>
          <w:color w:val="000000"/>
          <w:sz w:val="20"/>
        </w:rPr>
      </w:pPr>
      <w:r>
        <w:rPr>
          <w:rFonts w:ascii="Calibri;sans-serif" w:hAnsi="Calibri;sans-serif"/>
          <w:color w:val="000000"/>
          <w:sz w:val="20"/>
        </w:rPr>
        <w:t xml:space="preserve">Participating securities consist of shares underlying unvested time-based restricted stock units (the "TSUs"), earned and unvested performance-based restricted stock units (the "PSUs", and referred to in this note collectively with the TSUs as the "RSUs"), stock units accounted for under the Supplemental 401(k) Plan portion of the Company’s Deferred Compensation and Supplemental Retirement Plan, and stock units and phantom stock units accounted for under the Company’s Non-Employee Directors’ Deferral Plan. The holders of RSUs are entitled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distribution of account balances.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Undistributed earnings are the earnings which remain after dividends declared during the period are assumed to be distributed to the common and participating stockholders. Undistributed earnings are allocated to common and participating stockholders on the same basis as dividend distributions. The calculation of undistributed earnings is as follows:</w:t>
      </w:r>
    </w:p>
    <w:p>
      <w:pPr>
        <w:pStyle w:val="TextBody"/>
        <w:bidi w:val="0"/>
        <w:jc w:val="left"/>
        <w:rPr/>
      </w:pPr>
      <w:r>
        <w:rPr/>
        <w:t> </w:t>
      </w:r>
    </w:p>
    <w:tbl>
      <w:tblPr>
        <w:tblW w:w="9672" w:type="dxa"/>
        <w:jc w:val="left"/>
        <w:tblInd w:w="0" w:type="dxa"/>
        <w:tblLayout w:type="fixed"/>
        <w:tblCellMar>
          <w:top w:w="28" w:type="dxa"/>
          <w:left w:w="28" w:type="dxa"/>
          <w:bottom w:w="28" w:type="dxa"/>
          <w:right w:w="28" w:type="dxa"/>
        </w:tblCellMar>
      </w:tblPr>
      <w:tblGrid>
        <w:gridCol w:w="4386"/>
        <w:gridCol w:w="146"/>
        <w:gridCol w:w="342"/>
        <w:gridCol w:w="562"/>
        <w:gridCol w:w="237"/>
        <w:gridCol w:w="237"/>
        <w:gridCol w:w="342"/>
        <w:gridCol w:w="513"/>
        <w:gridCol w:w="146"/>
        <w:gridCol w:w="146"/>
        <w:gridCol w:w="274"/>
        <w:gridCol w:w="548"/>
        <w:gridCol w:w="190"/>
        <w:gridCol w:w="190"/>
        <w:gridCol w:w="274"/>
        <w:gridCol w:w="548"/>
        <w:gridCol w:w="591"/>
      </w:tblGrid>
      <w:tr>
        <w:trPr/>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591" w:type="dxa"/>
            <w:tcBorders/>
            <w:shd w:fill="FFFFFF" w:val="clear"/>
            <w:vAlign w:val="center"/>
          </w:tcPr>
          <w:p>
            <w:pPr>
              <w:pStyle w:val="TableContents"/>
              <w:bidi w:val="0"/>
              <w:spacing w:before="0" w:after="283"/>
              <w:jc w:val="center"/>
              <w:rPr/>
            </w:pPr>
            <w:r>
              <w:rPr/>
              <w:t> </w:t>
            </w:r>
          </w:p>
        </w:tc>
      </w:tr>
      <w:tr>
        <w:trPr/>
        <w:tc>
          <w:tcPr>
            <w:tcW w:w="438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Calculation of undistributed earnings (loss):</w:t>
            </w:r>
          </w:p>
        </w:tc>
        <w:tc>
          <w:tcPr>
            <w:tcW w:w="146" w:type="dxa"/>
            <w:tcBorders/>
            <w:shd w:fill="CFF0FC" w:val="clear"/>
            <w:vAlign w:val="center"/>
          </w:tcPr>
          <w:p>
            <w:pPr>
              <w:pStyle w:val="TableContents"/>
              <w:bidi w:val="0"/>
              <w:spacing w:before="0" w:after="283"/>
              <w:jc w:val="left"/>
              <w:rPr/>
            </w:pPr>
            <w:r>
              <w:rPr/>
              <w:t> </w:t>
            </w:r>
          </w:p>
        </w:tc>
        <w:tc>
          <w:tcPr>
            <w:tcW w:w="904" w:type="dxa"/>
            <w:gridSpan w:val="2"/>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3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Net income (loss) attributable to Cabot Corporation</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38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Less: Dividends declared on common stock</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56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237"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5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5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3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Less: Dividends declared on participating</w:t>
              <w:br/>
              <w:t>   securities</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Undistributed earnings (loss)</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89</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gridSpan w:val="2"/>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right"/>
              <w:rPr/>
            </w:pPr>
            <w:r>
              <w:rPr/>
              <w:t> </w:t>
            </w:r>
          </w:p>
        </w:tc>
        <w:tc>
          <w:tcPr>
            <w:tcW w:w="190"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38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Allocation of undistributed earnings (loss):</w:t>
            </w:r>
          </w:p>
        </w:tc>
        <w:tc>
          <w:tcPr>
            <w:tcW w:w="146" w:type="dxa"/>
            <w:tcBorders/>
            <w:shd w:fill="CFF0FC" w:val="clear"/>
            <w:vAlign w:val="center"/>
          </w:tcPr>
          <w:p>
            <w:pPr>
              <w:pStyle w:val="TableContents"/>
              <w:bidi w:val="0"/>
              <w:spacing w:before="0" w:after="283"/>
              <w:jc w:val="left"/>
              <w:rPr/>
            </w:pPr>
            <w:r>
              <w:rPr/>
              <w:t> </w:t>
            </w:r>
          </w:p>
        </w:tc>
        <w:tc>
          <w:tcPr>
            <w:tcW w:w="904" w:type="dxa"/>
            <w:gridSpan w:val="2"/>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right"/>
              <w:rPr/>
            </w:pPr>
            <w:r>
              <w:rPr/>
              <w:t> </w:t>
            </w:r>
          </w:p>
        </w:tc>
        <w:tc>
          <w:tcPr>
            <w:tcW w:w="190"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3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Undistributed earnings (loss) allocated to </w:t>
              <w:br/>
              <w:t>   common stockholders</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38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Undistributed earnings allocated to </w:t>
              <w:br/>
              <w:t>   participating stockholders</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86"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Undistributed earnings (loss)</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89</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Calibri" w:hAnsi="Calibri"/>
          <w:color w:val="000000"/>
          <w:sz w:val="20"/>
        </w:rPr>
      </w:pPr>
      <w:r>
        <w:rPr>
          <w:rFonts w:ascii="Calibri" w:hAnsi="Calibri"/>
          <w:color w:val="000000"/>
          <w:sz w:val="20"/>
        </w:rPr>
        <w:t>(2)</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Undistributed earnings are adjusted for the assumed distribution of dividends to the dilutive securities, which are described in (3) below, and then reallocated to participating securities.</w:t>
      </w:r>
    </w:p>
    <w:p>
      <w:pPr>
        <w:pStyle w:val="TextBody"/>
        <w:bidi w:val="0"/>
        <w:spacing w:before="40" w:after="283"/>
        <w:jc w:val="left"/>
        <w:rPr>
          <w:rFonts w:ascii="Calibri" w:hAnsi="Calibri"/>
          <w:color w:val="000000"/>
          <w:sz w:val="20"/>
        </w:rPr>
      </w:pPr>
      <w:r>
        <w:rPr>
          <w:rFonts w:ascii="Calibri" w:hAnsi="Calibri"/>
          <w:color w:val="000000"/>
          <w:sz w:val="20"/>
        </w:rPr>
        <w:t>(3)</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Represents incremental shares of common stock from the assumed exercise of stock options issued under Cabot’s equity incentive plans. For the three and six months ended March 31, 2024, 281,488 and 244,448 incremental shares of common stock, respectively, were excluded from the calculation of diluted earnings per share because the inclusion of these shares would have been antidilutive. For the three and six months ended March 31, 2023, 156,550 and 121,283 incremental shares of common stock, respectively, were excluded from the calculation of diluted earnings per share because the inclusion of these shares would have been antidilutive.</w:t>
      </w:r>
    </w:p>
    <w:p>
      <w:pPr>
        <w:pStyle w:val="TextBody"/>
        <w:bidi w:val="0"/>
        <w:spacing w:before="90" w:after="283"/>
        <w:jc w:val="left"/>
        <w:rPr>
          <w:rFonts w:ascii="Calibri;sans-serif" w:hAnsi="Calibri;sans-serif"/>
          <w:b/>
          <w:color w:val="000000"/>
          <w:sz w:val="20"/>
        </w:rPr>
      </w:pPr>
      <w:r>
        <w:rPr>
          <w:rFonts w:ascii="Calibri;sans-serif" w:hAnsi="Calibri;sans-serif"/>
          <w:b/>
          <w:color w:val="000000"/>
          <w:sz w:val="20"/>
        </w:rPr>
        <w:t>H. Restructuring</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2024 Reorganizations</w:t>
      </w:r>
    </w:p>
    <w:p>
      <w:pPr>
        <w:pStyle w:val="TextBody"/>
        <w:bidi w:val="0"/>
        <w:spacing w:before="80" w:after="283"/>
        <w:jc w:val="left"/>
        <w:rPr>
          <w:rFonts w:ascii="Times New Roman" w:hAnsi="Times New Roman"/>
          <w:sz w:val="20"/>
        </w:rPr>
      </w:pPr>
      <w:r>
        <w:rPr>
          <w:rFonts w:ascii="Calibri;sans-serif" w:hAnsi="Calibri;sans-serif"/>
          <w:color w:val="000000"/>
          <w:sz w:val="20"/>
        </w:rPr>
        <w:t>During the first quarter of fiscal 2024, the Company initiated restructuring activities in both its Reinforcement Materials segment (“RM Plan”) and its Performance Chemicals segment (“PC Plan”). Under the RM Plan, the Company closed its reinforcing carbons unit at the facility in Tianjin, China that the Company acquired from Tokai Carbon Group in February 2022. The Company consolidated reinforcing carbons operations and reduced ongoing operational costs. Under the PC Plan, the Company has temporarily idled its aerogel manufacturing plant in Frankfurt, Germany and reorganized certain positions within the Performance Chemicals segment to reduce operating costs. While the Frankfurt facility is idled, the Company continues its efforts to commercialize aerogel for use in thermal insulation for electric vehicles. During the three months ended March 31, 2024, the Company recorded charges of $3</w:t>
      </w:r>
      <w:r>
        <w:rPr>
          <w:rFonts w:ascii="Times New Roman" w:hAnsi="Times New Roman"/>
          <w:color w:val="000000"/>
          <w:sz w:val="20"/>
        </w:rPr>
        <w:t xml:space="preserve"> </w:t>
      </w:r>
      <w:r>
        <w:rPr>
          <w:rFonts w:ascii="Calibri;sans-serif" w:hAnsi="Calibri;sans-serif"/>
          <w:color w:val="000000"/>
          <w:sz w:val="20"/>
        </w:rPr>
        <w:t>million, primarily for severance related costs as part of these plans. During the six months ended March 31, 2024, the Company recorded charges of $12</w:t>
      </w:r>
      <w:r>
        <w:rPr>
          <w:rFonts w:ascii="Times New Roman" w:hAnsi="Times New Roman"/>
          <w:color w:val="000000"/>
          <w:sz w:val="20"/>
        </w:rPr>
        <w:t xml:space="preserve"> </w:t>
      </w:r>
      <w:r>
        <w:rPr>
          <w:rFonts w:ascii="Calibri;sans-serif" w:hAnsi="Calibri;sans-serif"/>
          <w:color w:val="000000"/>
          <w:sz w:val="20"/>
        </w:rPr>
        <w:t>million, primarily for severance related costs and accelerated depreciation as part of these plans. The Company expects to record additional restructuring charges of $1</w:t>
      </w:r>
      <w:r>
        <w:rPr>
          <w:rFonts w:ascii="Times New Roman" w:hAnsi="Times New Roman"/>
          <w:color w:val="000000"/>
          <w:sz w:val="20"/>
        </w:rPr>
        <w:t xml:space="preserve"> </w:t>
      </w:r>
      <w:r>
        <w:rPr>
          <w:rFonts w:ascii="Calibri;sans-serif" w:hAnsi="Calibri;sans-serif"/>
          <w:color w:val="000000"/>
          <w:sz w:val="20"/>
        </w:rPr>
        <w:t>million related to these plans during the remainder of fiscal 2024.</w:t>
      </w:r>
      <w:r>
        <w:rPr>
          <w:rFonts w:ascii="Times New Roman" w:hAnsi="Times New Roman"/>
          <w:color w:val="000000"/>
          <w:sz w:val="20"/>
        </w:rPr>
        <w:t xml:space="preserve"> </w:t>
      </w:r>
    </w:p>
    <w:p>
      <w:pPr>
        <w:pStyle w:val="TextBody"/>
        <w:bidi w:val="0"/>
        <w:spacing w:before="80" w:after="283"/>
        <w:jc w:val="left"/>
        <w:rPr>
          <w:rFonts w:ascii="Calibri;sans-serif" w:hAnsi="Calibri;sans-serif"/>
          <w:color w:val="000000"/>
          <w:sz w:val="20"/>
        </w:rPr>
      </w:pPr>
      <w:r>
        <w:rPr>
          <w:rFonts w:ascii="Calibri;sans-serif" w:hAnsi="Calibri;sans-serif"/>
          <w:color w:val="000000"/>
          <w:sz w:val="20"/>
        </w:rPr>
        <w:t>Cabot’s restructuring activities were recorded in the Consolidated Statements of Operations for the three and six months ended March 31, 2024 and 2023 as follows:</w:t>
      </w:r>
    </w:p>
    <w:p>
      <w:pPr>
        <w:pStyle w:val="TextBody"/>
        <w:bidi w:val="0"/>
        <w:jc w:val="left"/>
        <w:rPr/>
      </w:pPr>
      <w:r>
        <w:rPr/>
        <w:t> </w:t>
      </w:r>
    </w:p>
    <w:tbl>
      <w:tblPr>
        <w:tblW w:w="7795" w:type="dxa"/>
        <w:jc w:val="left"/>
        <w:tblInd w:w="0" w:type="dxa"/>
        <w:tblLayout w:type="fixed"/>
        <w:tblCellMar>
          <w:top w:w="28" w:type="dxa"/>
          <w:left w:w="28" w:type="dxa"/>
          <w:bottom w:w="28" w:type="dxa"/>
          <w:right w:w="28" w:type="dxa"/>
        </w:tblCellMar>
      </w:tblPr>
      <w:tblGrid>
        <w:gridCol w:w="2911"/>
        <w:gridCol w:w="146"/>
        <w:gridCol w:w="371"/>
        <w:gridCol w:w="371"/>
        <w:gridCol w:w="256"/>
        <w:gridCol w:w="256"/>
        <w:gridCol w:w="371"/>
        <w:gridCol w:w="608"/>
        <w:gridCol w:w="146"/>
        <w:gridCol w:w="146"/>
        <w:gridCol w:w="310"/>
        <w:gridCol w:w="465"/>
        <w:gridCol w:w="214"/>
        <w:gridCol w:w="214"/>
        <w:gridCol w:w="310"/>
        <w:gridCol w:w="509"/>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7"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sales</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5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14"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0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Selling and administrative expenses</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5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14"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3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70" w:after="283"/>
        <w:jc w:val="left"/>
        <w:rPr>
          <w:rFonts w:ascii="Calibri;sans-serif" w:hAnsi="Calibri;sans-serif"/>
          <w:color w:val="000000"/>
          <w:sz w:val="20"/>
        </w:rPr>
      </w:pPr>
      <w:r>
        <w:rPr>
          <w:rFonts w:ascii="Calibri;sans-serif" w:hAnsi="Calibri;sans-serif"/>
          <w:color w:val="000000"/>
          <w:sz w:val="20"/>
        </w:rPr>
        <w:t>Details of all restructuring activities and the related reserves during the three and six months ended March 31, 2024 are as follows:</w:t>
      </w:r>
    </w:p>
    <w:p>
      <w:pPr>
        <w:pStyle w:val="TextBody"/>
        <w:bidi w:val="0"/>
        <w:jc w:val="left"/>
        <w:rPr/>
      </w:pPr>
      <w:r>
        <w:rPr/>
        <w:t> </w:t>
      </w:r>
    </w:p>
    <w:tbl>
      <w:tblPr>
        <w:tblW w:w="8828" w:type="dxa"/>
        <w:jc w:val="left"/>
        <w:tblInd w:w="0" w:type="dxa"/>
        <w:tblLayout w:type="fixed"/>
        <w:tblCellMar>
          <w:top w:w="28" w:type="dxa"/>
          <w:left w:w="28" w:type="dxa"/>
          <w:bottom w:w="28" w:type="dxa"/>
          <w:right w:w="28" w:type="dxa"/>
        </w:tblCellMar>
      </w:tblPr>
      <w:tblGrid>
        <w:gridCol w:w="2596"/>
        <w:gridCol w:w="146"/>
        <w:gridCol w:w="408"/>
        <w:gridCol w:w="672"/>
        <w:gridCol w:w="166"/>
        <w:gridCol w:w="146"/>
        <w:gridCol w:w="971"/>
        <w:gridCol w:w="1594"/>
        <w:gridCol w:w="166"/>
        <w:gridCol w:w="146"/>
        <w:gridCol w:w="211"/>
        <w:gridCol w:w="346"/>
        <w:gridCol w:w="146"/>
        <w:gridCol w:w="146"/>
        <w:gridCol w:w="211"/>
        <w:gridCol w:w="346"/>
        <w:gridCol w:w="4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Severance</w:t>
              <w:br/>
              <w:t>and Employee</w:t>
              <w:br/>
              <w:t>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Accelerated Depreciation on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5"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411"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Reserve at September 30, 2023</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5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Charges</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left"/>
              <w:rPr/>
            </w:pPr>
            <w:r>
              <w:rPr/>
              <w:t> </w:t>
            </w:r>
          </w:p>
        </w:tc>
        <w:tc>
          <w:tcPr>
            <w:tcW w:w="159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Cost charged against assets</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left"/>
              <w:rPr/>
            </w:pPr>
            <w:r>
              <w:rPr/>
              <w:t> </w:t>
            </w:r>
          </w:p>
        </w:tc>
        <w:tc>
          <w:tcPr>
            <w:tcW w:w="159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41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59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Cash paid</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5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Reserve at December 31, 2023</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Charges</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left"/>
              <w:rPr/>
            </w:pPr>
            <w:r>
              <w:rPr/>
              <w:t> </w:t>
            </w:r>
          </w:p>
        </w:tc>
        <w:tc>
          <w:tcPr>
            <w:tcW w:w="15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Cash paid</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5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Reserve at March 31, 2024</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Cabot’s severance and employee benefit reserves are reflected in Accounts payable and accrued liabilities on the Company’s Consolidated Balance Sheets.</w:t>
      </w:r>
    </w:p>
    <w:p>
      <w:pPr>
        <w:pStyle w:val="TextBody"/>
        <w:bidi w:val="0"/>
        <w:jc w:val="left"/>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I. Financial Instruments and Fair Value Measurements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FASB authoritative guidance on fair value measurements defines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2"/>
        <w:gridCol w:w="146"/>
        <w:gridCol w:w="346"/>
        <w:gridCol w:w="146"/>
        <w:gridCol w:w="9005"/>
      </w:tblGrid>
      <w:tr>
        <w:trPr/>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5" w:type="dxa"/>
            <w:tcBorders/>
            <w:vAlign w:val="center"/>
          </w:tcPr>
          <w:p>
            <w:pPr>
              <w:pStyle w:val="TableContents"/>
              <w:bidi w:val="0"/>
              <w:spacing w:before="0" w:after="283"/>
              <w:jc w:val="left"/>
              <w:rPr>
                <w:sz w:val="4"/>
                <w:szCs w:val="4"/>
              </w:rPr>
            </w:pPr>
            <w:r>
              <w:rPr>
                <w:sz w:val="4"/>
                <w:szCs w:val="4"/>
              </w:rPr>
            </w:r>
          </w:p>
        </w:tc>
      </w:tr>
      <w:tr>
        <w:trPr/>
        <w:tc>
          <w:tcPr>
            <w:tcW w:w="56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Level 1</w:t>
            </w:r>
          </w:p>
        </w:tc>
        <w:tc>
          <w:tcPr>
            <w:tcW w:w="1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Quoted market prices in active markets for identical assets or liabilities</w:t>
            </w:r>
          </w:p>
        </w:tc>
      </w:tr>
      <w:tr>
        <w:trPr/>
        <w:tc>
          <w:tcPr>
            <w:tcW w:w="5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56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Level 2</w:t>
            </w:r>
          </w:p>
        </w:tc>
        <w:tc>
          <w:tcPr>
            <w:tcW w:w="1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Significant other observable inputs (e.g., quoted prices for similar items in active markets, quoted prices for identical or similar items in markets that are not active, inputs other than quoted prices that are observable such as interest rate and yield curves, and market-corroborated inputs)</w:t>
            </w:r>
          </w:p>
        </w:tc>
      </w:tr>
      <w:tr>
        <w:trPr/>
        <w:tc>
          <w:tcPr>
            <w:tcW w:w="5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56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Level 3</w:t>
            </w:r>
          </w:p>
        </w:tc>
        <w:tc>
          <w:tcPr>
            <w:tcW w:w="1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Significant unobservable inputs</w:t>
            </w:r>
          </w:p>
        </w:tc>
      </w:tr>
    </w:tbl>
    <w:p>
      <w:pPr>
        <w:pStyle w:val="TextBody"/>
        <w:bidi w:val="0"/>
        <w:jc w:val="left"/>
        <w:rPr/>
      </w:pPr>
      <w:r>
        <w:rPr/>
        <w:t> </w:t>
      </w:r>
    </w:p>
    <w:p>
      <w:pPr>
        <w:pStyle w:val="TextBody"/>
        <w:bidi w:val="0"/>
        <w:spacing w:before="90" w:after="283"/>
        <w:jc w:val="left"/>
        <w:rPr>
          <w:rFonts w:ascii="Times New Roman" w:hAnsi="Times New Roman"/>
          <w:sz w:val="20"/>
        </w:rPr>
      </w:pPr>
      <w:r>
        <w:rPr>
          <w:rFonts w:ascii="Calibri;sans-serif" w:hAnsi="Calibri;sans-serif"/>
          <w:color w:val="000000"/>
          <w:sz w:val="20"/>
        </w:rPr>
        <w:t>There were no</w:t>
      </w:r>
      <w:r>
        <w:rPr>
          <w:rFonts w:ascii="Times New Roman" w:hAnsi="Times New Roman"/>
          <w:color w:val="000000"/>
          <w:sz w:val="20"/>
        </w:rPr>
        <w:t xml:space="preserve"> </w:t>
      </w:r>
      <w:r>
        <w:rPr>
          <w:rFonts w:ascii="Calibri;sans-serif" w:hAnsi="Calibri;sans-serif"/>
          <w:color w:val="000000"/>
          <w:sz w:val="20"/>
        </w:rPr>
        <w:t>transfers of financial assets or liabilities measured at fair value between Level 1 and Level 2 and there were no</w:t>
      </w:r>
      <w:r>
        <w:rPr>
          <w:rFonts w:ascii="Times New Roman" w:hAnsi="Times New Roman"/>
          <w:color w:val="000000"/>
          <w:sz w:val="20"/>
        </w:rPr>
        <w:t xml:space="preserve"> </w:t>
      </w:r>
      <w:r>
        <w:rPr>
          <w:rFonts w:ascii="Calibri;sans-serif" w:hAnsi="Calibri;sans-serif"/>
          <w:color w:val="000000"/>
          <w:sz w:val="20"/>
        </w:rPr>
        <w:t>Level 3 investments during the first six months of either fiscal 2024 or 2023.</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At March 31, 2024 and September 30, 2023, the fair values of cash and cash equivalents, accounts and notes receivable, accounts payable and accrued liabilities, and short-term borrowings and variable rate debt approximated their carrying values due to the short-term nature of these instruments. Cash and cash equivalents are classified as Level 1 within the fair value hierarchy.</w:t>
      </w:r>
    </w:p>
    <w:p>
      <w:pPr>
        <w:pStyle w:val="TextBody"/>
        <w:bidi w:val="0"/>
        <w:spacing w:before="90" w:after="283"/>
        <w:jc w:val="left"/>
        <w:rPr>
          <w:rFonts w:ascii="Times New Roman" w:hAnsi="Times New Roman"/>
          <w:sz w:val="20"/>
        </w:rPr>
      </w:pPr>
      <w:r>
        <w:rPr>
          <w:rFonts w:ascii="Calibri;sans-serif" w:hAnsi="Calibri;sans-serif"/>
          <w:color w:val="000000"/>
          <w:sz w:val="20"/>
        </w:rPr>
        <w:t>At March 31, 2024 and September 30, 2023, Cabot had derivatives relating to foreign currency risks, including a net investment hedge and forward foreign currency contracts, carried at fair value. At March 31, 2024 and September 30, 2023, the fair value of these derivatives was a net asset of $7</w:t>
      </w:r>
      <w:r>
        <w:rPr>
          <w:rFonts w:ascii="Times New Roman" w:hAnsi="Times New Roman"/>
          <w:color w:val="000000"/>
          <w:sz w:val="20"/>
        </w:rPr>
        <w:t xml:space="preserve"> </w:t>
      </w:r>
      <w:r>
        <w:rPr>
          <w:rFonts w:ascii="Calibri;sans-serif" w:hAnsi="Calibri;sans-serif"/>
          <w:color w:val="000000"/>
          <w:sz w:val="20"/>
        </w:rPr>
        <w:t>million and $12</w:t>
      </w:r>
      <w:r>
        <w:rPr>
          <w:rFonts w:ascii="Times New Roman" w:hAnsi="Times New Roman"/>
          <w:color w:val="000000"/>
          <w:sz w:val="20"/>
        </w:rPr>
        <w:t xml:space="preserve"> </w:t>
      </w:r>
      <w:r>
        <w:rPr>
          <w:rFonts w:ascii="Calibri;sans-serif" w:hAnsi="Calibri;sans-serif"/>
          <w:color w:val="000000"/>
          <w:sz w:val="20"/>
        </w:rPr>
        <w:t>million, respectively, and was included in Prepaid expenses and other current assets, Accounts payable and accrued liabilities, and Other assets on the Consolidated Balance Sheets. These derivatives are classified as Level 2 instruments within the fair value hierarchy as the fair value determination was based on observable inputs.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Calibri;sans-serif" w:hAnsi="Calibri;sans-serif"/>
          <w:color w:val="000000"/>
          <w:sz w:val="20"/>
        </w:rPr>
        <w:t>At March 31, 2024 and September 30, 2023, the fair value of guaranteed investment contracts included in Other assets on the Consolidated Balance Sheets was</w:t>
      </w:r>
      <w:r>
        <w:rPr>
          <w:rFonts w:ascii="Times New Roman" w:hAnsi="Times New Roman"/>
          <w:color w:val="000000"/>
          <w:sz w:val="20"/>
        </w:rPr>
        <w:t xml:space="preserve"> </w:t>
      </w:r>
      <w:r>
        <w:rPr>
          <w:rFonts w:ascii="Calibri;sans-serif" w:hAnsi="Calibri;sans-serif"/>
          <w:color w:val="000000"/>
          <w:sz w:val="20"/>
        </w:rPr>
        <w:t>$9</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r>
        <w:rPr>
          <w:rFonts w:ascii="Calibri;sans-serif" w:hAnsi="Calibri;sans-serif"/>
          <w:color w:val="000000"/>
          <w:sz w:val="20"/>
        </w:rPr>
        <w:t>and $8</w:t>
      </w:r>
      <w:r>
        <w:rPr>
          <w:rFonts w:ascii="Times New Roman" w:hAnsi="Times New Roman"/>
          <w:color w:val="000000"/>
          <w:sz w:val="20"/>
        </w:rPr>
        <w:t xml:space="preserve"> </w:t>
      </w:r>
      <w:r>
        <w:rPr>
          <w:rFonts w:ascii="Calibri;sans-serif" w:hAnsi="Calibri;sans-serif"/>
          <w:color w:val="000000"/>
          <w:sz w:val="20"/>
        </w:rPr>
        <w:t>million, respectively. Guaranteed investment contracts were classified as Level 2 instruments within the fair value hierarchy as the fair value determination was based on other observable inputs.</w:t>
      </w:r>
    </w:p>
    <w:p>
      <w:pPr>
        <w:pStyle w:val="TextBody"/>
        <w:bidi w:val="0"/>
        <w:spacing w:before="90" w:after="283"/>
        <w:jc w:val="left"/>
        <w:rPr>
          <w:rFonts w:ascii="Times New Roman" w:hAnsi="Times New Roman"/>
          <w:sz w:val="20"/>
        </w:rPr>
      </w:pPr>
      <w:r>
        <w:rPr>
          <w:rFonts w:ascii="Calibri;sans-serif" w:hAnsi="Calibri;sans-serif"/>
          <w:color w:val="000000"/>
          <w:sz w:val="20"/>
        </w:rPr>
        <w:t>The carrying value and fair value of the long-term fixed rate debt were $1.08</w:t>
      </w:r>
      <w:r>
        <w:rPr>
          <w:rFonts w:ascii="Times New Roman" w:hAnsi="Times New Roman"/>
          <w:color w:val="000000"/>
          <w:sz w:val="20"/>
        </w:rPr>
        <w:t xml:space="preserve"> </w:t>
      </w:r>
      <w:r>
        <w:rPr>
          <w:rFonts w:ascii="Calibri;sans-serif" w:hAnsi="Calibri;sans-serif"/>
          <w:color w:val="000000"/>
          <w:sz w:val="20"/>
        </w:rPr>
        <w:t>billion and $1.05</w:t>
      </w:r>
      <w:r>
        <w:rPr>
          <w:rFonts w:ascii="Times New Roman" w:hAnsi="Times New Roman"/>
          <w:color w:val="000000"/>
          <w:sz w:val="20"/>
        </w:rPr>
        <w:t xml:space="preserve"> </w:t>
      </w:r>
      <w:r>
        <w:rPr>
          <w:rFonts w:ascii="Calibri;sans-serif" w:hAnsi="Calibri;sans-serif"/>
          <w:color w:val="000000"/>
          <w:sz w:val="20"/>
        </w:rPr>
        <w:t>billion, respectively, as of March 31, 2024, and $1.08</w:t>
      </w:r>
      <w:r>
        <w:rPr>
          <w:rFonts w:ascii="Times New Roman" w:hAnsi="Times New Roman"/>
          <w:color w:val="000000"/>
          <w:sz w:val="20"/>
        </w:rPr>
        <w:t xml:space="preserve"> </w:t>
      </w:r>
      <w:r>
        <w:rPr>
          <w:rFonts w:ascii="Calibri;sans-serif" w:hAnsi="Calibri;sans-serif"/>
          <w:color w:val="000000"/>
          <w:sz w:val="20"/>
        </w:rPr>
        <w:t>billion and $1.04</w:t>
      </w:r>
      <w:r>
        <w:rPr>
          <w:rFonts w:ascii="Times New Roman" w:hAnsi="Times New Roman"/>
          <w:color w:val="000000"/>
          <w:sz w:val="20"/>
        </w:rPr>
        <w:t xml:space="preserve"> </w:t>
      </w:r>
      <w:r>
        <w:rPr>
          <w:rFonts w:ascii="Calibri;sans-serif" w:hAnsi="Calibri;sans-serif"/>
          <w:color w:val="000000"/>
          <w:sz w:val="20"/>
        </w:rPr>
        <w:t>billion, respectively, as of September 30, 2023. The fair values of Cabot’s fixed rate long-term debt are estimated based on comparable quoted market prices at the respective period ends. The carrying amounts of Cabot’s floating rate long-term debt and finance and operating lease obligations approximate their fair values. All such measurements are based on observable inputs and are classified as Level 2 within the fair value hierarchy. The valuation technique used is the discounted cash flow model.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b/>
          <w:color w:val="000000"/>
          <w:sz w:val="20"/>
        </w:rPr>
      </w:pPr>
      <w:r>
        <w:rPr>
          <w:rFonts w:ascii="Calibri;sans-serif" w:hAnsi="Calibri;sans-serif"/>
          <w:b/>
          <w:color w:val="000000"/>
          <w:sz w:val="20"/>
        </w:rPr>
        <w:t>J. Supplier Financing Programs</w:t>
      </w:r>
    </w:p>
    <w:p>
      <w:pPr>
        <w:pStyle w:val="TextBody"/>
        <w:bidi w:val="0"/>
        <w:spacing w:before="90" w:after="283"/>
        <w:jc w:val="left"/>
        <w:rPr>
          <w:rFonts w:ascii="Times New Roman" w:hAnsi="Times New Roman"/>
          <w:sz w:val="20"/>
        </w:rPr>
      </w:pPr>
      <w:r>
        <w:rPr>
          <w:rFonts w:ascii="Calibri;sans-serif" w:hAnsi="Calibri;sans-serif"/>
          <w:color w:val="000000"/>
          <w:sz w:val="20"/>
        </w:rPr>
        <w:t>The Company maintains supply chain finance agreements with third-party financial institutions. These agreements allow the Company’s participating suppliers to sell their receivables to such third-party financial institutions to receive payment earlier than the negotiated commercial terms between the supplier and the Company. Such sales are at the sole discretion of the supplier, and on terms and conditions that are negotiated between the supplier and the respective financial institution. The terms and conditions of the supplier invoice, including payment terms and amounts due, are not impacted by a supplier’s participation in the program. Pursuant to the supply chain finance agreements, the Company has agreed to pay financial institutions on the original due date of the applicable invoice. There are no guarantees associated with these programs. The Company's outstanding payment obligations to financial institutions related to supplier financing programs were</w:t>
      </w:r>
      <w:r>
        <w:rPr>
          <w:rFonts w:ascii="Times New Roman" w:hAnsi="Times New Roman"/>
          <w:color w:val="000000"/>
          <w:sz w:val="20"/>
        </w:rPr>
        <w:t xml:space="preserve"> </w:t>
      </w:r>
      <w:r>
        <w:rPr>
          <w:rFonts w:ascii="Calibri;sans-serif" w:hAnsi="Calibri;sans-serif"/>
          <w:color w:val="000000"/>
          <w:sz w:val="20"/>
        </w:rPr>
        <w:t>$14</w:t>
      </w:r>
      <w:r>
        <w:rPr>
          <w:rFonts w:ascii="Times New Roman" w:hAnsi="Times New Roman"/>
          <w:color w:val="000000"/>
          <w:sz w:val="20"/>
        </w:rPr>
        <w:t xml:space="preserve"> </w:t>
      </w:r>
      <w:r>
        <w:rPr>
          <w:rFonts w:ascii="Calibri;sans-serif" w:hAnsi="Calibri;sans-serif"/>
          <w:color w:val="000000"/>
          <w:sz w:val="20"/>
        </w:rPr>
        <w:t>million at March 31, 2024, and $17</w:t>
      </w:r>
      <w:r>
        <w:rPr>
          <w:rFonts w:ascii="Times New Roman" w:hAnsi="Times New Roman"/>
          <w:color w:val="000000"/>
          <w:sz w:val="20"/>
        </w:rPr>
        <w:t xml:space="preserve"> </w:t>
      </w:r>
      <w:r>
        <w:rPr>
          <w:rFonts w:ascii="Calibri;sans-serif" w:hAnsi="Calibri;sans-serif"/>
          <w:color w:val="000000"/>
          <w:sz w:val="20"/>
        </w:rPr>
        <w:t>million at September 30, 2023, and are included within Accounts payable and accrued liabilities</w:t>
      </w:r>
      <w:r>
        <w:rPr>
          <w:rFonts w:ascii="Times New Roman" w:hAnsi="Times New Roman"/>
          <w:color w:val="000000"/>
          <w:sz w:val="20"/>
        </w:rPr>
        <w:t xml:space="preserve"> </w:t>
      </w:r>
      <w:r>
        <w:rPr>
          <w:rFonts w:ascii="Calibri;sans-serif" w:hAnsi="Calibri;sans-serif"/>
          <w:color w:val="000000"/>
          <w:sz w:val="20"/>
        </w:rPr>
        <w:t>on the Consolidated Balance Sheets.</w:t>
      </w:r>
    </w:p>
    <w:p>
      <w:pPr>
        <w:pStyle w:val="TextBody"/>
        <w:bidi w:val="0"/>
        <w:spacing w:before="80" w:after="283"/>
        <w:jc w:val="left"/>
        <w:rPr>
          <w:rFonts w:ascii="Calibri;sans-serif" w:hAnsi="Calibri;sans-serif"/>
          <w:b/>
          <w:color w:val="000000"/>
          <w:sz w:val="20"/>
        </w:rPr>
      </w:pPr>
      <w:r>
        <w:rPr>
          <w:rFonts w:ascii="Calibri;sans-serif" w:hAnsi="Calibri;sans-serif"/>
          <w:b/>
          <w:color w:val="000000"/>
          <w:sz w:val="20"/>
        </w:rPr>
        <w:t>K. Financial Information by Segment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Company identifies a product line as an operating segment if: i) it engages in business activities from which it may earn revenues and incur expenses; ii) its operating results are regularly reviewed by the Chief Operating Decision Maker (“CODM”), who is Cabot’s President and Chief Executive Officer, to make decisions about resources to be allocated to the segment and assess its performance; and iii) it has available discrete financial information. The CODM reviews financial information at the operating segment level to allocate resources and to assess the operating results and financial performance for each operating segment. Operating segments are aggregated into a reportable segment if the operating segments are determined to have similar economic characteristics and if the operating segments are similar in the following areas: i) nature of products and services; ii) nature of production processes; iii) type or class of customer for their products and services; iv) methods used to distribute the products or provide services; and v) if applicable, the nature of the regulatory environment.</w:t>
      </w:r>
    </w:p>
    <w:p>
      <w:pPr>
        <w:pStyle w:val="TextBody"/>
        <w:bidi w:val="0"/>
        <w:spacing w:before="90" w:after="283"/>
        <w:jc w:val="left"/>
        <w:rPr>
          <w:rFonts w:ascii="Times New Roman" w:hAnsi="Times New Roman"/>
          <w:sz w:val="20"/>
        </w:rPr>
      </w:pPr>
      <w:r>
        <w:rPr>
          <w:rFonts w:ascii="Calibri;sans-serif" w:hAnsi="Calibri;sans-serif"/>
          <w:color w:val="000000"/>
          <w:sz w:val="20"/>
        </w:rPr>
        <w:t>The Company has two</w:t>
      </w:r>
      <w:r>
        <w:rPr>
          <w:rFonts w:ascii="Times New Roman" w:hAnsi="Times New Roman"/>
          <w:color w:val="000000"/>
          <w:sz w:val="20"/>
        </w:rPr>
        <w:t xml:space="preserve"> </w:t>
      </w:r>
      <w:r>
        <w:rPr>
          <w:rFonts w:ascii="Calibri;sans-serif" w:hAnsi="Calibri;sans-serif"/>
          <w:color w:val="000000"/>
          <w:sz w:val="20"/>
        </w:rPr>
        <w:t>reportable segments: Reinforcement Materials and Performance Chemicals. The Reinforcement Materials segment combines the reinforcing carbons and engineered elastomer composites product lines. The Performance Chemicals segment aggregates the specialty carbons, specialty compounds, fumed metal oxides, battery materials, inkjet colorants and aerogel product lines.</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Income (loss) before income taxes (“Segment EBIT”) is presented for each reportable segment in the table below. Segment EBIT excludes Interest expense, General unallocated income (expense), Unallocated corporate costs and Certain items, meaning items management does not consider representative of on-going operating segment results. In addition, Segment EBIT includes Equity in earnings of affiliated companies, net of tax, royalties, Net income attributable to noncontrolling interests, net of tax, and discounting charges for certain Notes receivable.</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Financial information by reportable segment is as follows:</w:t>
      </w:r>
    </w:p>
    <w:p>
      <w:pPr>
        <w:pStyle w:val="TextBody"/>
        <w:bidi w:val="0"/>
        <w:jc w:val="left"/>
        <w:rPr/>
      </w:pPr>
      <w:r>
        <w:rPr/>
        <w:t> </w:t>
      </w:r>
    </w:p>
    <w:tbl>
      <w:tblPr>
        <w:tblW w:w="9587" w:type="dxa"/>
        <w:jc w:val="left"/>
        <w:tblInd w:w="0" w:type="dxa"/>
        <w:tblLayout w:type="fixed"/>
        <w:tblCellMar>
          <w:top w:w="28" w:type="dxa"/>
          <w:left w:w="28" w:type="dxa"/>
          <w:bottom w:w="28" w:type="dxa"/>
          <w:right w:w="28" w:type="dxa"/>
        </w:tblCellMar>
      </w:tblPr>
      <w:tblGrid>
        <w:gridCol w:w="3151"/>
        <w:gridCol w:w="146"/>
        <w:gridCol w:w="311"/>
        <w:gridCol w:w="845"/>
        <w:gridCol w:w="146"/>
        <w:gridCol w:w="146"/>
        <w:gridCol w:w="335"/>
        <w:gridCol w:w="671"/>
        <w:gridCol w:w="146"/>
        <w:gridCol w:w="146"/>
        <w:gridCol w:w="211"/>
        <w:gridCol w:w="571"/>
        <w:gridCol w:w="146"/>
        <w:gridCol w:w="146"/>
        <w:gridCol w:w="288"/>
        <w:gridCol w:w="658"/>
        <w:gridCol w:w="166"/>
        <w:gridCol w:w="146"/>
        <w:gridCol w:w="275"/>
        <w:gridCol w:w="746"/>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Reinforcement</w:t>
              <w:br/>
              <w:t>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Performance</w:t>
              <w:b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Segment</w:t>
              <w:b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Unallocated</w:t>
              <w:br/>
              <w:t>and Other</w:t>
            </w:r>
            <w:r>
              <w:rPr>
                <w:rFonts w:ascii="Calibri;sans-serif" w:hAnsi="Calibri;sans-serif"/>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Consolidated</w:t>
              <w:b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99" w:type="dxa"/>
            <w:gridSpan w:val="18"/>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Three Months Ended March 31, 2024</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Revenues from external customers</w:t>
            </w:r>
            <w:r>
              <w:rPr>
                <w:rFonts w:ascii="Calibri;sans-serif" w:hAnsi="Calibri;sans-serif"/>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5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w:t>
            </w:r>
          </w:p>
        </w:tc>
        <w:tc>
          <w:tcPr>
            <w:tcW w:w="19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Income (loss) before income taxes</w:t>
            </w:r>
            <w:r>
              <w:rPr>
                <w:rFonts w:ascii="Calibri;sans-serif" w:hAnsi="Calibri;sans-serif"/>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5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w:t>
            </w:r>
          </w:p>
        </w:tc>
        <w:tc>
          <w:tcPr>
            <w:tcW w:w="19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right"/>
              <w:rPr/>
            </w:pPr>
            <w:r>
              <w:rPr/>
              <w:t> </w:t>
            </w:r>
          </w:p>
        </w:tc>
      </w:tr>
      <w:tr>
        <w:trPr/>
        <w:tc>
          <w:tcPr>
            <w:tcW w:w="315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Three Months Ended March 31, 2023</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left"/>
              <w:rPr>
                <w:sz w:val="4"/>
                <w:szCs w:val="4"/>
              </w:rPr>
            </w:pPr>
            <w:r>
              <w:rPr>
                <w:sz w:val="4"/>
                <w:szCs w:val="4"/>
              </w:rPr>
            </w:r>
          </w:p>
        </w:tc>
        <w:tc>
          <w:tcPr>
            <w:tcW w:w="191" w:type="dxa"/>
            <w:tcBorders/>
            <w:shd w:fill="CFF0FC" w:val="clear"/>
            <w:vAlign w:val="center"/>
          </w:tcPr>
          <w:p>
            <w:pPr>
              <w:pStyle w:val="TableContents"/>
              <w:bidi w:val="0"/>
              <w:spacing w:before="0" w:after="283"/>
              <w:jc w:val="righ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Revenues from external customers</w:t>
            </w:r>
            <w:r>
              <w:rPr>
                <w:rFonts w:ascii="Calibri;sans-serif" w:hAnsi="Calibri;sans-serif"/>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5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1,033</w:t>
            </w:r>
          </w:p>
        </w:tc>
        <w:tc>
          <w:tcPr>
            <w:tcW w:w="19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Income (loss) before income taxes</w:t>
            </w:r>
            <w:r>
              <w:rPr>
                <w:rFonts w:ascii="Calibri;sans-serif" w:hAnsi="Calibri;sans-serif"/>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5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w:t>
            </w:r>
          </w:p>
        </w:tc>
        <w:tc>
          <w:tcPr>
            <w:tcW w:w="19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right"/>
              <w:rPr/>
            </w:pPr>
            <w:r>
              <w:rPr/>
              <w:t> </w:t>
            </w:r>
          </w:p>
        </w:tc>
      </w:tr>
      <w:tr>
        <w:trPr/>
        <w:tc>
          <w:tcPr>
            <w:tcW w:w="315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Six Months Ended March 31, 2024</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Revenues from external customers</w:t>
            </w:r>
            <w:r>
              <w:rPr>
                <w:rFonts w:ascii="Calibri;sans-serif" w:hAnsi="Calibri;sans-serif"/>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5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1,977</w:t>
            </w:r>
          </w:p>
        </w:tc>
        <w:tc>
          <w:tcPr>
            <w:tcW w:w="19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Income (loss) before income taxes</w:t>
            </w:r>
            <w:r>
              <w:rPr>
                <w:rFonts w:ascii="Calibri;sans-serif" w:hAnsi="Calibri;sans-serif"/>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5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236</w:t>
            </w:r>
          </w:p>
        </w:tc>
        <w:tc>
          <w:tcPr>
            <w:tcW w:w="191" w:type="dxa"/>
            <w:tcBorders/>
            <w:shd w:fill="CFF0FC" w:val="clear"/>
            <w:vAlign w:val="center"/>
          </w:tcPr>
          <w:p>
            <w:pPr>
              <w:pStyle w:val="TableContents"/>
              <w:bidi w:val="0"/>
              <w:spacing w:before="0" w:after="283"/>
              <w:jc w:val="left"/>
              <w:rPr/>
            </w:pPr>
            <w:r>
              <w:rPr/>
              <w:t> </w:t>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right"/>
              <w:rPr/>
            </w:pPr>
            <w:r>
              <w:rPr/>
              <w:t> </w:t>
            </w:r>
          </w:p>
        </w:tc>
      </w:tr>
      <w:tr>
        <w:trPr/>
        <w:tc>
          <w:tcPr>
            <w:tcW w:w="315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Six Months Ended March 31, 2023</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gridSpan w:val="2"/>
            <w:tcBorders/>
            <w:shd w:fill="CFF0FC" w:val="clear"/>
            <w:vAlign w:val="center"/>
          </w:tcPr>
          <w:p>
            <w:pPr>
              <w:pStyle w:val="TableContents"/>
              <w:bidi w:val="0"/>
              <w:spacing w:before="0" w:after="283"/>
              <w:jc w:val="left"/>
              <w:rPr>
                <w:sz w:val="4"/>
                <w:szCs w:val="4"/>
              </w:rPr>
            </w:pPr>
            <w:r>
              <w:rPr>
                <w:sz w:val="4"/>
                <w:szCs w:val="4"/>
              </w:rPr>
            </w:r>
          </w:p>
        </w:tc>
        <w:tc>
          <w:tcPr>
            <w:tcW w:w="191" w:type="dxa"/>
            <w:tcBorders/>
            <w:shd w:fill="CFF0FC" w:val="clear"/>
            <w:vAlign w:val="center"/>
          </w:tcPr>
          <w:p>
            <w:pPr>
              <w:pStyle w:val="TableContents"/>
              <w:bidi w:val="0"/>
              <w:spacing w:before="0" w:after="283"/>
              <w:jc w:val="righ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Revenues from external customers</w:t>
            </w:r>
            <w:r>
              <w:rPr>
                <w:rFonts w:ascii="Calibri;sans-serif" w:hAnsi="Calibri;sans-serif"/>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5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1,998</w:t>
            </w:r>
          </w:p>
        </w:tc>
        <w:tc>
          <w:tcPr>
            <w:tcW w:w="191" w:type="dxa"/>
            <w:tcBorders/>
            <w:shd w:fill="FFFFFF" w:val="cle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Income (loss) before income taxes</w:t>
            </w:r>
            <w:r>
              <w:rPr>
                <w:rFonts w:ascii="Calibri;sans-serif" w:hAnsi="Calibri;sans-serif"/>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5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Calibri" w:hAnsi="Calibri"/>
          <w:color w:val="000000"/>
          <w:sz w:val="20"/>
        </w:rPr>
      </w:pPr>
      <w:r>
        <w:rPr>
          <w:rFonts w:ascii="Calibri" w:hAnsi="Calibri"/>
          <w:color w:val="000000"/>
          <w:sz w:val="20"/>
        </w:rPr>
        <w:t>(1)</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Unallocated and Other includes certain items and eliminations necessary to reflect management’s reporting of operating segment results. These items are reflective of the segment reporting presented to the CODM.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Calibri" w:hAnsi="Calibri"/>
          <w:color w:val="000000"/>
          <w:sz w:val="20"/>
        </w:rPr>
      </w:pPr>
      <w:r>
        <w:rPr>
          <w:rFonts w:ascii="Calibri" w:hAnsi="Calibri"/>
          <w:color w:val="000000"/>
          <w:sz w:val="20"/>
        </w:rPr>
        <w:t>(2)</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Consolidated Total Revenues from external customers reconciles to Net sales and other operating revenues on the Consolidated Statements of Operations. Revenues from external customers that are categorized as Unallocated and Other reflects external shipping and handling fees, royalties, the impact of unearned revenue, discounting charges for certain Notes receivable, and other by-product revenue. Details are provided in the table below:</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2251"/>
        <w:gridCol w:w="146"/>
        <w:gridCol w:w="342"/>
        <w:gridCol w:w="562"/>
        <w:gridCol w:w="237"/>
        <w:gridCol w:w="237"/>
        <w:gridCol w:w="342"/>
        <w:gridCol w:w="513"/>
        <w:gridCol w:w="166"/>
        <w:gridCol w:w="146"/>
        <w:gridCol w:w="317"/>
        <w:gridCol w:w="475"/>
        <w:gridCol w:w="219"/>
        <w:gridCol w:w="219"/>
        <w:gridCol w:w="317"/>
        <w:gridCol w:w="475"/>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7"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2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Shipping and handling fees</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237"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right"/>
              <w:rPr/>
            </w:pPr>
            <w:r>
              <w:rPr/>
              <w:t> </w:t>
            </w:r>
          </w:p>
        </w:tc>
        <w:tc>
          <w:tcPr>
            <w:tcW w:w="34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w:t>
            </w:r>
          </w:p>
        </w:tc>
        <w:tc>
          <w:tcPr>
            <w:tcW w:w="219"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righ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w:t>
            </w:r>
          </w:p>
        </w:tc>
        <w:tc>
          <w:tcPr>
            <w:tcW w:w="191" w:type="dxa"/>
            <w:tcBorders/>
            <w:shd w:fill="CFF0FC"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righ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righ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righ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righ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Calibri" w:hAnsi="Calibri"/>
          <w:color w:val="000000"/>
          <w:sz w:val="20"/>
        </w:rPr>
      </w:pPr>
      <w:r>
        <w:rPr>
          <w:rFonts w:ascii="Calibri" w:hAnsi="Calibri"/>
          <w:color w:val="000000"/>
          <w:sz w:val="20"/>
        </w:rPr>
        <w:t>(3)</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Consolidated Total Income (loss) before income taxes reconciles to Income (loss) before income taxes and equity in earnings of affiliated companies on the Consolidated Statements of Operations. Income (loss) before income taxes that are categorized as Unallocated and Other includes: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46"/>
        <w:gridCol w:w="146"/>
        <w:gridCol w:w="302"/>
        <w:gridCol w:w="538"/>
        <w:gridCol w:w="237"/>
        <w:gridCol w:w="208"/>
        <w:gridCol w:w="302"/>
        <w:gridCol w:w="538"/>
        <w:gridCol w:w="166"/>
        <w:gridCol w:w="146"/>
        <w:gridCol w:w="260"/>
        <w:gridCol w:w="593"/>
        <w:gridCol w:w="204"/>
        <w:gridCol w:w="179"/>
        <w:gridCol w:w="260"/>
        <w:gridCol w:w="463"/>
        <w:gridCol w:w="617"/>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96"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617" w:type="dxa"/>
            <w:tcBorders/>
            <w:shd w:fill="FFFFFF" w:val="clear"/>
            <w:vAlign w:val="center"/>
          </w:tcPr>
          <w:p>
            <w:pPr>
              <w:pStyle w:val="TableContents"/>
              <w:bidi w:val="0"/>
              <w:spacing w:before="0" w:after="283"/>
              <w:jc w:val="center"/>
              <w:rPr/>
            </w:pPr>
            <w:r>
              <w:rPr/>
              <w:t> </w:t>
            </w:r>
          </w:p>
        </w:tc>
      </w:tr>
      <w:tr>
        <w:trPr/>
        <w:tc>
          <w:tcPr>
            <w:tcW w:w="50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23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8"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9"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w:t>
            </w:r>
          </w:p>
        </w:tc>
        <w:tc>
          <w:tcPr>
            <w:tcW w:w="6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46"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Certain items</w:t>
            </w:r>
            <w:r>
              <w:rPr>
                <w:rFonts w:ascii="Calibri;sans-serif" w:hAnsi="Calibri;sans-serif"/>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723" w:type="dxa"/>
            <w:gridSpan w:val="2"/>
            <w:tcBorders/>
            <w:shd w:fill="FFFFFF" w:val="clear"/>
            <w:vAlign w:val="center"/>
          </w:tcPr>
          <w:p>
            <w:pPr>
              <w:pStyle w:val="TableContents"/>
              <w:bidi w:val="0"/>
              <w:spacing w:before="0" w:after="283"/>
              <w:jc w:val="right"/>
              <w:rPr/>
            </w:pPr>
            <w:r>
              <w:rPr/>
              <w:t> </w:t>
            </w:r>
          </w:p>
        </w:tc>
        <w:tc>
          <w:tcPr>
            <w:tcW w:w="617" w:type="dxa"/>
            <w:tcBorders/>
            <w:shd w:fill="FFFFFF" w:val="clear"/>
            <w:vAlign w:val="center"/>
          </w:tcPr>
          <w:p>
            <w:pPr>
              <w:pStyle w:val="TableContents"/>
              <w:bidi w:val="0"/>
              <w:spacing w:before="0" w:after="283"/>
              <w:ind w:left="0" w:right="0" w:firstLine="100"/>
              <w:jc w:val="right"/>
              <w:rPr/>
            </w:pPr>
            <w:r>
              <w:rPr/>
              <w:t> </w:t>
            </w:r>
          </w:p>
        </w:tc>
      </w:tr>
      <w:tr>
        <w:trPr/>
        <w:tc>
          <w:tcPr>
            <w:tcW w:w="504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Argentina controlled currency devaluation and other losses (Note B)</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23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8"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w:t>
            </w:r>
          </w:p>
        </w:tc>
        <w:tc>
          <w:tcPr>
            <w:tcW w:w="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9"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color w:val="000000"/>
              </w:rPr>
            </w:pPr>
            <w:r>
              <w:rPr>
                <w:color w:val="000000"/>
              </w:rPr>
              <w:t>—</w:t>
            </w:r>
          </w:p>
        </w:tc>
        <w:tc>
          <w:tcPr>
            <w:tcW w:w="617" w:type="dxa"/>
            <w:tcBorders/>
            <w:shd w:fill="CFF0FC" w:val="clear"/>
            <w:vAlign w:val="center"/>
          </w:tcPr>
          <w:p>
            <w:pPr>
              <w:pStyle w:val="TableContents"/>
              <w:bidi w:val="0"/>
              <w:spacing w:before="0" w:after="283"/>
              <w:ind w:left="0" w:right="0" w:firstLine="100"/>
              <w:jc w:val="left"/>
              <w:rPr/>
            </w:pPr>
            <w:r>
              <w:rPr/>
              <w:t> </w:t>
            </w:r>
          </w:p>
        </w:tc>
      </w:tr>
      <w:tr>
        <w:trPr/>
        <w:tc>
          <w:tcPr>
            <w:tcW w:w="504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Global restructuring activities (Note H)</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3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8"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0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color w:val="000000"/>
              </w:rPr>
            </w:pPr>
            <w:r>
              <w:rPr>
                <w:color w:val="000000"/>
              </w:rPr>
              <w:t>—</w:t>
            </w:r>
          </w:p>
        </w:tc>
        <w:tc>
          <w:tcPr>
            <w:tcW w:w="617" w:type="dxa"/>
            <w:tcBorders/>
            <w:shd w:fill="FFFFFF" w:val="clear"/>
            <w:vAlign w:val="center"/>
          </w:tcPr>
          <w:p>
            <w:pPr>
              <w:pStyle w:val="TableContents"/>
              <w:bidi w:val="0"/>
              <w:spacing w:before="0" w:after="283"/>
              <w:ind w:left="0" w:right="0" w:firstLine="100"/>
              <w:jc w:val="left"/>
              <w:rPr/>
            </w:pPr>
            <w:r>
              <w:rPr/>
              <w:t> </w:t>
            </w:r>
          </w:p>
        </w:tc>
      </w:tr>
      <w:tr>
        <w:trPr/>
        <w:tc>
          <w:tcPr>
            <w:tcW w:w="504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Legal and environmental matters and reserves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3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8"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9"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617"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504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Gain on sale of land</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237"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right"/>
              <w:rPr>
                <w:color w:val="000000"/>
              </w:rPr>
            </w:pPr>
            <w:r>
              <w:rPr>
                <w:color w:val="000000"/>
              </w:rPr>
              <w:t>—</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617" w:type="dxa"/>
            <w:tcBorders/>
            <w:shd w:fill="FFFFFF" w:val="clear"/>
            <w:vAlign w:val="center"/>
          </w:tcPr>
          <w:p>
            <w:pPr>
              <w:pStyle w:val="TableContents"/>
              <w:bidi w:val="0"/>
              <w:spacing w:before="0" w:after="283"/>
              <w:ind w:left="0" w:right="0" w:firstLine="100"/>
              <w:jc w:val="left"/>
              <w:rPr/>
            </w:pPr>
            <w:r>
              <w:rPr/>
              <w:t> </w:t>
            </w:r>
          </w:p>
        </w:tc>
      </w:tr>
      <w:tr>
        <w:trPr/>
        <w:tc>
          <w:tcPr>
            <w:tcW w:w="504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Loss on sale of business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237"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color w:val="000000"/>
              </w:rPr>
            </w:pPr>
            <w:r>
              <w:rPr>
                <w:color w:val="000000"/>
              </w:rPr>
              <w:t>—</w:t>
            </w:r>
          </w:p>
        </w:tc>
        <w:tc>
          <w:tcPr>
            <w:tcW w:w="204"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617"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5046"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Acquisition and integration-related charges</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237"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right"/>
              <w:rPr>
                <w:color w:val="000000"/>
              </w:rPr>
            </w:pPr>
            <w:r>
              <w:rPr>
                <w:color w:val="000000"/>
              </w:rPr>
              <w:t>—</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617"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5046"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5046"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certain items</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8"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46"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Unallocated corporate costs</w:t>
            </w:r>
            <w:r>
              <w:rPr>
                <w:rFonts w:ascii="Calibri;sans-serif" w:hAnsi="Calibri;sans-serif"/>
                <w:color w:val="000000"/>
                <w:sz w:val="13"/>
              </w:rPr>
              <w:t>(b)</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w:t>
            </w:r>
          </w:p>
        </w:tc>
        <w:tc>
          <w:tcPr>
            <w:tcW w:w="23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8"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20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9"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w:t>
            </w:r>
          </w:p>
        </w:tc>
        <w:tc>
          <w:tcPr>
            <w:tcW w:w="6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46"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General unallocated income (expense)</w:t>
            </w:r>
            <w:r>
              <w:rPr>
                <w:rFonts w:ascii="Calibri;sans-serif" w:hAnsi="Calibri;sans-serif"/>
                <w:color w:val="000000"/>
                <w:sz w:val="13"/>
              </w:rPr>
              <w:t>(c)</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37"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617" w:type="dxa"/>
            <w:tcBorders/>
            <w:shd w:fill="FFFFFF" w:val="clear"/>
            <w:vAlign w:val="center"/>
          </w:tcPr>
          <w:p>
            <w:pPr>
              <w:pStyle w:val="TableContents"/>
              <w:bidi w:val="0"/>
              <w:spacing w:before="0" w:after="283"/>
              <w:jc w:val="left"/>
              <w:rPr/>
            </w:pPr>
            <w:r>
              <w:rPr/>
              <w:t> </w:t>
            </w:r>
          </w:p>
        </w:tc>
      </w:tr>
      <w:tr>
        <w:trPr/>
        <w:tc>
          <w:tcPr>
            <w:tcW w:w="5046"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Less: Equity in earnings of affiliated companies, net</w:t>
              <w:br/>
              <w:t>   of tax</w:t>
            </w:r>
            <w:r>
              <w:rPr>
                <w:rFonts w:ascii="Calibri;sans-serif" w:hAnsi="Calibri;sans-serif"/>
                <w:color w:val="000000"/>
                <w:sz w:val="13"/>
              </w:rPr>
              <w:t>(d)</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8"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spacing w:before="40" w:after="283"/>
        <w:jc w:val="left"/>
        <w:rPr>
          <w:rFonts w:ascii="Calibri" w:hAnsi="Calibri"/>
          <w:color w:val="000000"/>
          <w:sz w:val="20"/>
        </w:rPr>
      </w:pPr>
      <w:r>
        <w:rPr>
          <w:rFonts w:ascii="Calibri" w:hAnsi="Calibri"/>
          <w:color w:val="000000"/>
          <w:sz w:val="20"/>
        </w:rPr>
        <w:t>(a)</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Certain items are items of expense and income that management does not consider representative of the Company’s fundamental on-going segment results and they are, therefore, excluded from Segment EBIT.</w:t>
      </w:r>
    </w:p>
    <w:p>
      <w:pPr>
        <w:pStyle w:val="TextBody"/>
        <w:bidi w:val="0"/>
        <w:spacing w:before="40" w:after="283"/>
        <w:jc w:val="left"/>
        <w:rPr>
          <w:rFonts w:ascii="Calibri" w:hAnsi="Calibri"/>
          <w:color w:val="000000"/>
          <w:sz w:val="20"/>
        </w:rPr>
      </w:pPr>
      <w:r>
        <w:rPr>
          <w:rFonts w:ascii="Calibri" w:hAnsi="Calibri"/>
          <w:color w:val="000000"/>
          <w:sz w:val="20"/>
        </w:rPr>
        <w:t>(b)</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Unallocated corporate costs are costs that are not controlled by the segments and primarily benefit corporate interests.</w:t>
      </w:r>
    </w:p>
    <w:p>
      <w:pPr>
        <w:pStyle w:val="TextBody"/>
        <w:bidi w:val="0"/>
        <w:spacing w:before="40" w:after="283"/>
        <w:jc w:val="left"/>
        <w:rPr>
          <w:rFonts w:ascii="Calibri" w:hAnsi="Calibri"/>
          <w:color w:val="000000"/>
          <w:sz w:val="20"/>
        </w:rPr>
      </w:pPr>
      <w:r>
        <w:rPr>
          <w:rFonts w:ascii="Calibri" w:hAnsi="Calibri"/>
          <w:color w:val="000000"/>
          <w:sz w:val="20"/>
        </w:rPr>
        <w:t>(c)</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General unallocated income (expense) consists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that are separately treated as Certain items.</w:t>
      </w:r>
    </w:p>
    <w:p>
      <w:pPr>
        <w:pStyle w:val="TextBody"/>
        <w:bidi w:val="0"/>
        <w:spacing w:before="40" w:after="283"/>
        <w:jc w:val="left"/>
        <w:rPr>
          <w:rFonts w:ascii="Calibri" w:hAnsi="Calibri"/>
          <w:color w:val="000000"/>
          <w:sz w:val="20"/>
        </w:rPr>
      </w:pPr>
      <w:r>
        <w:rPr>
          <w:rFonts w:ascii="Calibri" w:hAnsi="Calibri"/>
          <w:color w:val="000000"/>
          <w:sz w:val="20"/>
        </w:rPr>
        <w:t>(d)</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Equity in earnings of affiliated companies, net of tax, is included in Segment EBIT and is removed in Unallocated and other to reconcile to Income (loss) from operations before income taxes and equity in earnings from affiliated companies.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Company’s segments operate globally. In addition to presenting Revenue from external customers by reportable segment, the following tables further disaggregate Revenues from external customers by geographic region.</w:t>
      </w:r>
    </w:p>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3541"/>
        <w:gridCol w:w="146"/>
        <w:gridCol w:w="385"/>
        <w:gridCol w:w="771"/>
        <w:gridCol w:w="148"/>
        <w:gridCol w:w="148"/>
        <w:gridCol w:w="335"/>
        <w:gridCol w:w="671"/>
        <w:gridCol w:w="148"/>
        <w:gridCol w:w="148"/>
        <w:gridCol w:w="376"/>
        <w:gridCol w:w="1019"/>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Reinforcement</w:t>
              <w:br/>
              <w:t>Materials</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Performance</w:t>
              <w:br/>
              <w:t>Chemicals</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9" w:type="dxa"/>
            <w:gridSpan w:val="10"/>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367</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255</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375</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Europe, Middle East and Africa</w:t>
            </w:r>
          </w:p>
        </w:tc>
        <w:tc>
          <w:tcPr>
            <w:tcW w:w="146" w:type="dxa"/>
            <w:tcBorders/>
            <w:shd w:fill="CFF0FC" w:val="cle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Segment revenues from external customers</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676</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311</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987</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Unallocated and other</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sales and other operating revenues</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8027" w:type="dxa"/>
        <w:jc w:val="left"/>
        <w:tblInd w:w="0" w:type="dxa"/>
        <w:tblLayout w:type="fixed"/>
        <w:tblCellMar>
          <w:top w:w="28" w:type="dxa"/>
          <w:left w:w="28" w:type="dxa"/>
          <w:bottom w:w="28" w:type="dxa"/>
          <w:right w:w="28" w:type="dxa"/>
        </w:tblCellMar>
      </w:tblPr>
      <w:tblGrid>
        <w:gridCol w:w="3541"/>
        <w:gridCol w:w="146"/>
        <w:gridCol w:w="385"/>
        <w:gridCol w:w="771"/>
        <w:gridCol w:w="148"/>
        <w:gridCol w:w="148"/>
        <w:gridCol w:w="335"/>
        <w:gridCol w:w="671"/>
        <w:gridCol w:w="148"/>
        <w:gridCol w:w="148"/>
        <w:gridCol w:w="376"/>
        <w:gridCol w:w="1019"/>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Reinforcement</w:t>
              <w:br/>
              <w:t>Materials</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Performance</w:t>
              <w:br/>
              <w:t>Chemicals</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9" w:type="dxa"/>
            <w:gridSpan w:val="10"/>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280</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380</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368</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Europe, Middle East and Africa</w:t>
            </w:r>
          </w:p>
        </w:tc>
        <w:tc>
          <w:tcPr>
            <w:tcW w:w="146" w:type="dxa"/>
            <w:tcBorders/>
            <w:shd w:fill="CFF0FC" w:val="cle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Segment revenues from external customers</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672</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326</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998</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Unallocated and other</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right"/>
              <w:rPr/>
            </w:pPr>
            <w:r>
              <w:rPr/>
              <w:t> </w:t>
            </w:r>
          </w:p>
        </w:tc>
        <w:tc>
          <w:tcPr>
            <w:tcW w:w="148"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sales and other operating revenues</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019" w:type="dxa"/>
        <w:jc w:val="left"/>
        <w:tblInd w:w="0" w:type="dxa"/>
        <w:tblLayout w:type="fixed"/>
        <w:tblCellMar>
          <w:top w:w="28" w:type="dxa"/>
          <w:left w:w="28" w:type="dxa"/>
          <w:bottom w:w="28" w:type="dxa"/>
          <w:right w:w="28" w:type="dxa"/>
        </w:tblCellMar>
      </w:tblPr>
      <w:tblGrid>
        <w:gridCol w:w="3541"/>
        <w:gridCol w:w="146"/>
        <w:gridCol w:w="311"/>
        <w:gridCol w:w="845"/>
        <w:gridCol w:w="146"/>
        <w:gridCol w:w="146"/>
        <w:gridCol w:w="335"/>
        <w:gridCol w:w="671"/>
        <w:gridCol w:w="146"/>
        <w:gridCol w:w="146"/>
        <w:gridCol w:w="376"/>
        <w:gridCol w:w="1019"/>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Reinforcement</w:t>
              <w:br/>
              <w:t>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Performance</w:t>
              <w:b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1" w:type="dxa"/>
            <w:gridSpan w:val="10"/>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709</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755</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Europe, Middle East and Africa</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Segment revenues from external customers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1,913</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Unallocated and other</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sales and other operating revenues</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019" w:type="dxa"/>
        <w:jc w:val="left"/>
        <w:tblInd w:w="0" w:type="dxa"/>
        <w:tblLayout w:type="fixed"/>
        <w:tblCellMar>
          <w:top w:w="28" w:type="dxa"/>
          <w:left w:w="28" w:type="dxa"/>
          <w:bottom w:w="28" w:type="dxa"/>
          <w:right w:w="28" w:type="dxa"/>
        </w:tblCellMar>
      </w:tblPr>
      <w:tblGrid>
        <w:gridCol w:w="3541"/>
        <w:gridCol w:w="146"/>
        <w:gridCol w:w="311"/>
        <w:gridCol w:w="845"/>
        <w:gridCol w:w="146"/>
        <w:gridCol w:w="146"/>
        <w:gridCol w:w="335"/>
        <w:gridCol w:w="671"/>
        <w:gridCol w:w="146"/>
        <w:gridCol w:w="146"/>
        <w:gridCol w:w="376"/>
        <w:gridCol w:w="1019"/>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Reinforcement</w:t>
              <w:br/>
              <w:t>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Performance</w:t>
              <w:b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1" w:type="dxa"/>
            <w:gridSpan w:val="10"/>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Americas</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710</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Asia Pacific</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767</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Europe, Middle East and Africa</w:t>
            </w:r>
          </w:p>
        </w:tc>
        <w:tc>
          <w:tcPr>
            <w:tcW w:w="146" w:type="dxa"/>
            <w:tcBorders/>
            <w:shd w:fill="CFF0FC" w:val="cle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Segment revenues from external customers</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1,927</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Unallocated and other</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sales and other operating revenues</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Calibri;sans-serif" w:hAnsi="Calibri;sans-serif"/>
          <w:b/>
          <w:i/>
          <w:color w:val="000000"/>
          <w:sz w:val="20"/>
        </w:rPr>
        <w:t>Item 2. Management’s Discussion and Analysis of</w:t>
      </w:r>
      <w:r>
        <w:rPr>
          <w:rFonts w:ascii="Times New Roman" w:hAnsi="Times New Roman"/>
          <w:color w:val="000000"/>
          <w:sz w:val="20"/>
        </w:rPr>
        <w:t xml:space="preserve"> </w:t>
      </w:r>
      <w:r>
        <w:rPr>
          <w:rFonts w:ascii="Calibri;sans-serif" w:hAnsi="Calibri;sans-serif"/>
          <w:b/>
          <w:i/>
          <w:color w:val="000000"/>
          <w:sz w:val="20"/>
        </w:rPr>
        <w:t>Financial Condition and Results of Operations</w:t>
      </w:r>
    </w:p>
    <w:p>
      <w:pPr>
        <w:pStyle w:val="TextBody"/>
        <w:bidi w:val="0"/>
        <w:spacing w:before="90" w:after="283"/>
        <w:jc w:val="left"/>
        <w:rPr>
          <w:rFonts w:ascii="Calibri;sans-serif" w:hAnsi="Calibri;sans-serif"/>
          <w:b/>
          <w:color w:val="000000"/>
          <w:sz w:val="20"/>
        </w:rPr>
      </w:pPr>
      <w:r>
        <w:rPr>
          <w:rFonts w:ascii="Calibri;sans-serif" w:hAnsi="Calibri;sans-serif"/>
          <w:b/>
          <w:color w:val="000000"/>
          <w:sz w:val="20"/>
        </w:rPr>
        <w:t>Recently Issued Accounting Pronouncements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Refer to the discussion under the heading “Recent Accounting Pronouncements” in Note B of our Notes to the Consolidated Financial Statements.</w:t>
      </w:r>
    </w:p>
    <w:p>
      <w:pPr>
        <w:pStyle w:val="TextBody"/>
        <w:bidi w:val="0"/>
        <w:spacing w:before="90" w:after="283"/>
        <w:jc w:val="left"/>
        <w:rPr>
          <w:rFonts w:ascii="Times New Roman" w:hAnsi="Times New Roman"/>
          <w:sz w:val="20"/>
        </w:rPr>
      </w:pPr>
      <w:r>
        <w:rPr>
          <w:rFonts w:ascii="Calibri;sans-serif" w:hAnsi="Calibri;sans-serif"/>
          <w:b/>
          <w:color w:val="000000"/>
          <w:sz w:val="20"/>
        </w:rPr>
        <w:t>Results of Operations</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Company has two reportable segments: Reinforcement Materials and Performance Chemicals. Cabot is also organized for operational purposes into three geographic regions: the Americas; Europe, Middle East and Africa (“EMEA”); and Asia Pacific. The discussion of our results of operations for the periods presented reflects these structures.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Our analysis of our financial condition and operating results should be read with our consolidated financial statements and accompanying notes.</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Definition of Terms and Non-GAAP Financial Measures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When discussing our results of operations, we use several terms as described below.</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term “product mix” refers to the mix of types and grades of products sold or the mix of geographic regions where products are sold, and the positive or negative impact this has on the revenue or profitability of the business and/or segment.</w:t>
      </w:r>
    </w:p>
    <w:p>
      <w:pPr>
        <w:pStyle w:val="TextBody"/>
        <w:bidi w:val="0"/>
        <w:spacing w:before="90" w:after="283"/>
        <w:jc w:val="left"/>
        <w:rPr>
          <w:rFonts w:ascii="Times New Roman" w:hAnsi="Times New Roman"/>
          <w:sz w:val="20"/>
        </w:rPr>
      </w:pPr>
      <w:r>
        <w:rPr>
          <w:rFonts w:ascii="Calibri;sans-serif" w:hAnsi="Calibri;sans-serif"/>
          <w:color w:val="000000"/>
          <w:sz w:val="20"/>
        </w:rPr>
        <w:t>Our discussion under the heading “(Provision) Benefit for Income Taxes and Reconciliation of Effective Tax Rate to Operating Tax Rate” includes a discussion and reconciliation of our “effective tax rate” and our “operating tax rate” for the periods presented, as well as management’s projection of our operating tax rate range for the full fiscal year. Our operating tax rate is a non-GAAP financial measure and should not be considered as an alternative to our effective tax rate, the most comparable GAAP financial measure. The operating tax rate is calculated based upon management's forecast of the annual operating tax rate for the fiscal year applied to adjusted pre-tax earnings. The operating tax rate excludes income tax (expense) benefit on certain items, discrete tax items, and, on a quarterly basis, the timing of losses in certain jurisdictions. The income tax (expense) benefit on certain items is determined using the applicable rates in the taxing jurisdictions in which the certain items occurred and includes both current and deferred income tax (expense) benefit based on the nature of the certain items. Discrete tax items include, but are not limited to, changes in valuation allowance, uncertain tax positions, and other tax items, such as the tax impact of legislative changes and tax accruals on historic earnings due to changes in indefinite reinvestment assertions. Our definition of the operating tax rate may not be comparable to the definition used by other companies. Management believes that this non-GAAP financial measure is useful supplemental information because it helps our investors compare our tax rate year to year on a consistent basis and to understand what our tax rate on current operations would be without the impact of these items.</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Our discussion under the heading “Second Quarter of Fiscal 2024 versus Second Quarter of Fiscal 2023—By Business Segment” includes a discussion of Total segment EBIT, which is a non-GAAP financial measure defined as Income (loss) from operations before income taxes and equity in earnings from affiliated companies less certain items and other unallocated items. Our Chief Operating Decision Maker, who is our President and Chief Executive Officer, uses segment EBIT to evaluate the operating results of each segment and to allocate resources to the segments. We believe Total segment EBIT, which reflects the sum of EBIT from our reportable segments, provides useful supplemental information for our investors as it is an important indicator of our operational strength and performance, allows investors to see our results through the eyes of management, and provides context for our discussion of individual business segment performance. Total segment EBIT should not be considered an alternative for Income (loss) from operations before income taxes and equity in earnings of affiliated companies, which is the most directly comparable U.S. GAAP financial measure. A reconciliation of Total segment EBIT to Income (loss) from operations before income taxes and equity in earnings of affiliated companies is provided under the heading “Second quarter of Fiscal 2024 versus Second quarter of Fiscal 2023—By Business Segment”. Investors should consider the limitations associated with this non-GAAP measure, including the potential lack of comparability of this measure from one company to another.</w:t>
      </w:r>
    </w:p>
    <w:p>
      <w:pPr>
        <w:pStyle w:val="TextBody"/>
        <w:bidi w:val="0"/>
        <w:spacing w:before="90" w:after="283"/>
        <w:jc w:val="left"/>
        <w:rPr>
          <w:rFonts w:ascii="Times New Roman" w:hAnsi="Times New Roman"/>
          <w:sz w:val="20"/>
        </w:rPr>
      </w:pPr>
      <w:r>
        <w:rPr>
          <w:rFonts w:ascii="Calibri;sans-serif" w:hAnsi="Calibri;sans-serif"/>
          <w:color w:val="000000"/>
          <w:sz w:val="20"/>
        </w:rPr>
        <w:t>In calculating Total segment EBIT, we exclude from our Income (loss) from operations before income taxes and equity in earnings of affiliated companies (i) items of expense and income that management does not consider representative of our fundamental on-going segment results, which we refer to as “certain items”, and (ii) items that, because they are not controlled by the business segments and primarily benefit corporate objectives, are not allocated to our business segments, such as interest expense and other corporate costs, which include unallocated corporate overhead expenses such as certain corporate salaries and headquarter expenses, plus costs related to special projects and initiatives, which we refer to as “other unallocated items”. Management believes excluding the items identified as certain items facilitates operating performance comparisons from period to period by eliminating differences that would not otherwise be apparent on a GAAP basis and also facilitates an evaluation of our operating performance without the impact of these costs or benefits. The items of income and expense that we have excluded from</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Total segment EBIT, as applicable, but that are included in our GAAP Income (loss) from operations before income taxes and equity in earnings of affiliated companies, as applicable, are described below.</w:t>
      </w:r>
    </w:p>
    <w:p>
      <w:pPr>
        <w:pStyle w:val="TextBody"/>
        <w:bidi w:val="0"/>
        <w:spacing w:before="90" w:after="283"/>
        <w:jc w:val="left"/>
        <w:rPr>
          <w:color w:val="000000"/>
        </w:rPr>
      </w:pPr>
      <w:r>
        <w:rPr>
          <w:color w:val="000000"/>
        </w:rPr>
        <w: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Argentina controlled currency devaluation loss related to the foreign exchange loss from government-controlled currency devaluations on our net monetary assets denominated in the Argentine peso and investment losses related to the utilization of government bond programs established for the settlement of certain foreign payables.</w:t>
      </w:r>
    </w:p>
    <w:p>
      <w:pPr>
        <w:pStyle w:val="TextBody"/>
        <w:bidi w:val="0"/>
        <w:spacing w:before="90" w:after="283"/>
        <w:jc w:val="left"/>
        <w:rPr>
          <w:color w:val="000000"/>
        </w:rPr>
      </w:pPr>
      <w:r>
        <w:rPr>
          <w:color w:val="000000"/>
        </w:rPr>
        <w: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Global restructuring activities, which include costs or benefits associated with cost reduction initiatives or plant closures and are primarily related to (i) employee termination costs, (ii) asset impairment charges associated with restructuring actions, (iii) costs to close facilities, including environmental costs and contract termination penalties, and (iv) gains realized on the sale of land or equipment associated with restructured plants or locations.</w:t>
      </w:r>
    </w:p>
    <w:p>
      <w:pPr>
        <w:pStyle w:val="TextBody"/>
        <w:bidi w:val="0"/>
        <w:spacing w:before="90" w:after="283"/>
        <w:jc w:val="left"/>
        <w:rPr>
          <w:color w:val="000000"/>
        </w:rPr>
      </w:pPr>
      <w:r>
        <w:rPr>
          <w:color w:val="000000"/>
        </w:rPr>
        <w: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Legal and environmental reserves and matters, which consist of costs or benefits for matters typically related to former businesses or that are otherwise incurred outside of the ordinary course of business.</w:t>
      </w:r>
    </w:p>
    <w:p>
      <w:pPr>
        <w:pStyle w:val="TextBody"/>
        <w:bidi w:val="0"/>
        <w:spacing w:before="90" w:after="283"/>
        <w:jc w:val="left"/>
        <w:rPr>
          <w:color w:val="000000"/>
        </w:rPr>
      </w:pPr>
      <w:r>
        <w:rPr>
          <w:color w:val="000000"/>
        </w:rPr>
        <w: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Acquisition and integration-related charges, which include transaction costs, redundant costs incurred during the period of integration, and costs associated with transitioning certain management and business processes to Cabot’s processes.</w:t>
      </w:r>
    </w:p>
    <w:p>
      <w:pPr>
        <w:pStyle w:val="TextBody"/>
        <w:bidi w:val="0"/>
        <w:spacing w:before="90" w:after="283"/>
        <w:jc w:val="left"/>
        <w:rPr>
          <w:color w:val="000000"/>
        </w:rPr>
      </w:pPr>
      <w:r>
        <w:rPr>
          <w:color w:val="000000"/>
        </w:rPr>
        <w: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Asset impairment charges, which primarily include charges associated with an impairment of goodwill, other long-lived assets or assets held for sale.</w:t>
      </w:r>
    </w:p>
    <w:p>
      <w:pPr>
        <w:pStyle w:val="TextBody"/>
        <w:bidi w:val="0"/>
        <w:spacing w:before="90" w:after="283"/>
        <w:jc w:val="left"/>
        <w:rPr>
          <w:color w:val="000000"/>
        </w:rPr>
      </w:pPr>
      <w:r>
        <w:rPr>
          <w:color w:val="000000"/>
        </w:rPr>
        <w: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Charges related to the divestiture of our Purification Solutions business, which include accelerated costs associated with the change in control and employee incentive compensation.</w:t>
      </w:r>
    </w:p>
    <w:p>
      <w:pPr>
        <w:pStyle w:val="TextBody"/>
        <w:bidi w:val="0"/>
        <w:spacing w:before="90" w:after="283"/>
        <w:jc w:val="left"/>
        <w:rPr>
          <w:color w:val="000000"/>
        </w:rPr>
      </w:pPr>
      <w:r>
        <w:rPr>
          <w:color w:val="000000"/>
        </w:rPr>
        <w: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 xml:space="preserve">Benefit from the settlement of a royalty arrangement entered into in connection with the divestiture of our former Specialty Fluids business. </w:t>
      </w:r>
    </w:p>
    <w:p>
      <w:pPr>
        <w:pStyle w:val="TextBody"/>
        <w:bidi w:val="0"/>
        <w:spacing w:before="90" w:after="283"/>
        <w:jc w:val="left"/>
        <w:rPr>
          <w:color w:val="000000"/>
        </w:rPr>
      </w:pPr>
      <w:r>
        <w:rPr>
          <w:color w:val="000000"/>
        </w:rPr>
        <w: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 xml:space="preserve">Gains (losses) on sale of a business. </w:t>
      </w:r>
    </w:p>
    <w:p>
      <w:pPr>
        <w:pStyle w:val="TextBody"/>
        <w:bidi w:val="0"/>
        <w:spacing w:before="90" w:after="283"/>
        <w:jc w:val="left"/>
        <w:rPr>
          <w:color w:val="000000"/>
        </w:rPr>
      </w:pPr>
      <w:r>
        <w:rPr>
          <w:color w:val="000000"/>
        </w:rPr>
        <w: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Employee benefit plan settlements, which consist of either charges or benefits associated with the termination of a pension plan or the transfer of a pension plan to a multi-employer plan.</w:t>
      </w:r>
    </w:p>
    <w:p>
      <w:pPr>
        <w:pStyle w:val="TextBody"/>
        <w:bidi w:val="0"/>
        <w:spacing w:before="90" w:after="283"/>
        <w:jc w:val="left"/>
        <w:rPr>
          <w:color w:val="000000"/>
        </w:rPr>
      </w:pPr>
      <w:r>
        <w:rPr>
          <w:color w:val="000000"/>
        </w:rPr>
        <w: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 xml:space="preserve">Gain associated with the bargain purchase of a business. </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Overview</w:t>
      </w:r>
    </w:p>
    <w:p>
      <w:pPr>
        <w:pStyle w:val="TextBody"/>
        <w:bidi w:val="0"/>
        <w:spacing w:before="90" w:after="283"/>
        <w:jc w:val="left"/>
        <w:rPr>
          <w:rFonts w:ascii="Times New Roman" w:hAnsi="Times New Roman"/>
          <w:sz w:val="20"/>
        </w:rPr>
      </w:pPr>
      <w:r>
        <w:rPr>
          <w:rFonts w:ascii="Calibri;sans-serif" w:hAnsi="Calibri;sans-serif"/>
          <w:color w:val="000000"/>
          <w:sz w:val="20"/>
        </w:rPr>
        <w:t>During the second quarter of fiscal 2024, Income (loss) before income taxes and equity in earnings of affiliated companies increased compared to the second quarter of fiscal 2023. The increase was driven by higher earnings in our Reinforcement Materials and Performance Chemicals segments, increased investment income in Argentina and lower foreign exchange losses primarily in Argentina.</w:t>
      </w:r>
      <w:r>
        <w:rPr>
          <w:rFonts w:ascii="Times New Roman" w:hAnsi="Times New Roman"/>
          <w:color w:val="000000"/>
          <w:sz w:val="20"/>
        </w:rPr>
        <w:t xml:space="preserve"> </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Second quarter of Fiscal 2024 versus Second quarter of Fiscal 2023—Consolidated</w:t>
      </w:r>
    </w:p>
    <w:p>
      <w:pPr>
        <w:pStyle w:val="TextBody"/>
        <w:bidi w:val="0"/>
        <w:spacing w:before="90" w:after="283"/>
        <w:jc w:val="left"/>
        <w:rPr>
          <w:rFonts w:ascii="Calibri;sans-serif" w:hAnsi="Calibri;sans-serif"/>
          <w:i/>
          <w:color w:val="000000"/>
          <w:sz w:val="20"/>
        </w:rPr>
      </w:pPr>
      <w:r>
        <w:rPr>
          <w:rFonts w:ascii="Calibri;sans-serif" w:hAnsi="Calibri;sans-serif"/>
          <w:i/>
          <w:color w:val="000000"/>
          <w:sz w:val="20"/>
        </w:rPr>
        <w:t>Net Sales and Other Operating Revenues and Gross Profit</w:t>
      </w:r>
    </w:p>
    <w:p>
      <w:pPr>
        <w:pStyle w:val="TextBody"/>
        <w:bidi w:val="0"/>
        <w:jc w:val="left"/>
        <w:rPr/>
      </w:pPr>
      <w:r>
        <w:rPr/>
        <w:t> </w:t>
      </w:r>
    </w:p>
    <w:tbl>
      <w:tblPr>
        <w:tblW w:w="8096" w:type="dxa"/>
        <w:jc w:val="left"/>
        <w:tblInd w:w="0" w:type="dxa"/>
        <w:tblLayout w:type="fixed"/>
        <w:tblCellMar>
          <w:top w:w="28" w:type="dxa"/>
          <w:left w:w="28" w:type="dxa"/>
          <w:bottom w:w="28" w:type="dxa"/>
          <w:right w:w="28" w:type="dxa"/>
        </w:tblCellMar>
      </w:tblPr>
      <w:tblGrid>
        <w:gridCol w:w="3211"/>
        <w:gridCol w:w="146"/>
        <w:gridCol w:w="254"/>
        <w:gridCol w:w="687"/>
        <w:gridCol w:w="175"/>
        <w:gridCol w:w="175"/>
        <w:gridCol w:w="254"/>
        <w:gridCol w:w="687"/>
        <w:gridCol w:w="146"/>
        <w:gridCol w:w="146"/>
        <w:gridCol w:w="230"/>
        <w:gridCol w:w="623"/>
        <w:gridCol w:w="159"/>
        <w:gridCol w:w="159"/>
        <w:gridCol w:w="230"/>
        <w:gridCol w:w="623"/>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48"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sales and other operating revenues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1,019</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1,977</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1,998</w:t>
            </w:r>
          </w:p>
        </w:tc>
        <w:tc>
          <w:tcPr>
            <w:tcW w:w="191" w:type="dxa"/>
            <w:tcBorders/>
            <w:shd w:fill="CFF0FC"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246</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464</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391</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0"/>
        </w:rPr>
        <w:t>The $14 million decrease in Net sales and other operating revenues in the second quarter of fiscal 2024 compared to the second quarter of fiscal 2023 was driven by unfavorable price and product mix (combined $61 million) across our Reinforcement Materials and Performance Chemicals segments driven by lower pricing from the pass through of lower raw material costs, partially offset by higher volumes in both our Reinforcement Materials and Performance Chemicals segments (combined $51 million).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Calibri;sans-serif" w:hAnsi="Calibri;sans-serif"/>
          <w:color w:val="000000"/>
          <w:sz w:val="20"/>
        </w:rPr>
        <w:t>The $21 million decrease in Net sales and other operating revenues in the first six months of fiscal 2024 compared to the first six months of fiscal 2023 was driven by unfavorable price and product mix (combined $110 million) across our Reinforcement Materials and Performance Chemicals segments driven by lower pricing from the pass through of lower raw material costs, partially offset by higher volumes (combined $87 million).</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For the three and six months ended March 31, 2024, gross profit increased by $36 million and $73 million, respectively, compared to the same periods of fiscal 2023. The increases were primarily due to higher unit margins and higher volumes within the Reinforcement Materials and Performance Chemicals segments.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i/>
          <w:color w:val="000000"/>
          <w:sz w:val="20"/>
        </w:rPr>
      </w:pPr>
      <w:r>
        <w:rPr>
          <w:rFonts w:ascii="Calibri;sans-serif" w:hAnsi="Calibri;sans-serif"/>
          <w:i/>
          <w:color w:val="000000"/>
          <w:sz w:val="20"/>
        </w:rPr>
        <w:t>Selling and Administrative Expenses</w:t>
      </w:r>
    </w:p>
    <w:p>
      <w:pPr>
        <w:pStyle w:val="TextBody"/>
        <w:bidi w:val="0"/>
        <w:jc w:val="left"/>
        <w:rPr/>
      </w:pPr>
      <w:r>
        <w:rPr/>
        <w:t> </w:t>
      </w:r>
    </w:p>
    <w:tbl>
      <w:tblPr>
        <w:tblW w:w="7796" w:type="dxa"/>
        <w:jc w:val="left"/>
        <w:tblInd w:w="0" w:type="dxa"/>
        <w:tblLayout w:type="fixed"/>
        <w:tblCellMar>
          <w:top w:w="28" w:type="dxa"/>
          <w:left w:w="28" w:type="dxa"/>
          <w:bottom w:w="28" w:type="dxa"/>
          <w:right w:w="28" w:type="dxa"/>
        </w:tblCellMar>
      </w:tblPr>
      <w:tblGrid>
        <w:gridCol w:w="2911"/>
        <w:gridCol w:w="146"/>
        <w:gridCol w:w="350"/>
        <w:gridCol w:w="524"/>
        <w:gridCol w:w="242"/>
        <w:gridCol w:w="242"/>
        <w:gridCol w:w="350"/>
        <w:gridCol w:w="524"/>
        <w:gridCol w:w="146"/>
        <w:gridCol w:w="146"/>
        <w:gridCol w:w="274"/>
        <w:gridCol w:w="548"/>
        <w:gridCol w:w="190"/>
        <w:gridCol w:w="190"/>
        <w:gridCol w:w="274"/>
        <w:gridCol w:w="548"/>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48"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Selling and administrative expenses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2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242"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2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Selling and administrative expenses increased by $9 million and $16 million in the second quarter of fiscal 2024 and for the six months ended March 31, 2024, respectively, compared to the same periods of fiscal 2023, primarily due to an increase in the incentive compensation expense.</w:t>
      </w:r>
    </w:p>
    <w:p>
      <w:pPr>
        <w:pStyle w:val="TextBody"/>
        <w:bidi w:val="0"/>
        <w:spacing w:before="90" w:after="283"/>
        <w:jc w:val="left"/>
        <w:rPr>
          <w:rFonts w:ascii="Calibri;sans-serif" w:hAnsi="Calibri;sans-serif"/>
          <w:i/>
          <w:color w:val="000000"/>
          <w:sz w:val="20"/>
        </w:rPr>
      </w:pPr>
      <w:r>
        <w:rPr>
          <w:rFonts w:ascii="Calibri;sans-serif" w:hAnsi="Calibri;sans-serif"/>
          <w:i/>
          <w:color w:val="000000"/>
          <w:sz w:val="20"/>
        </w:rPr>
        <w:t>Research and Technical Expenses</w:t>
      </w:r>
    </w:p>
    <w:p>
      <w:pPr>
        <w:pStyle w:val="TextBody"/>
        <w:bidi w:val="0"/>
        <w:jc w:val="left"/>
        <w:rPr/>
      </w:pPr>
      <w:r>
        <w:rPr/>
        <w:t> </w:t>
      </w:r>
    </w:p>
    <w:tbl>
      <w:tblPr>
        <w:tblW w:w="7554" w:type="dxa"/>
        <w:jc w:val="left"/>
        <w:tblInd w:w="0" w:type="dxa"/>
        <w:tblLayout w:type="fixed"/>
        <w:tblCellMar>
          <w:top w:w="28" w:type="dxa"/>
          <w:left w:w="28" w:type="dxa"/>
          <w:bottom w:w="28" w:type="dxa"/>
          <w:right w:w="28" w:type="dxa"/>
        </w:tblCellMar>
      </w:tblPr>
      <w:tblGrid>
        <w:gridCol w:w="2671"/>
        <w:gridCol w:w="146"/>
        <w:gridCol w:w="350"/>
        <w:gridCol w:w="524"/>
        <w:gridCol w:w="242"/>
        <w:gridCol w:w="242"/>
        <w:gridCol w:w="350"/>
        <w:gridCol w:w="524"/>
        <w:gridCol w:w="146"/>
        <w:gridCol w:w="146"/>
        <w:gridCol w:w="317"/>
        <w:gridCol w:w="475"/>
        <w:gridCol w:w="219"/>
        <w:gridCol w:w="219"/>
        <w:gridCol w:w="317"/>
        <w:gridCol w:w="475"/>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46"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Research and technical expenses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2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42"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2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c>
          <w:tcPr>
            <w:tcW w:w="219"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70" w:after="283"/>
        <w:jc w:val="left"/>
        <w:rPr>
          <w:rFonts w:ascii="Calibri;sans-serif" w:hAnsi="Calibri;sans-serif"/>
          <w:color w:val="000000"/>
          <w:sz w:val="20"/>
        </w:rPr>
      </w:pPr>
      <w:r>
        <w:rPr>
          <w:rFonts w:ascii="Calibri;sans-serif" w:hAnsi="Calibri;sans-serif"/>
          <w:color w:val="000000"/>
          <w:sz w:val="20"/>
        </w:rPr>
        <w:t>Research and technical expenses remained flat in the second quarter of fiscal 2024 and increased by $2 million for the six months ended March 31, 2024, compared to the same period of fiscal 2023.</w:t>
      </w:r>
    </w:p>
    <w:p>
      <w:pPr>
        <w:pStyle w:val="TextBody"/>
        <w:bidi w:val="0"/>
        <w:spacing w:before="90" w:after="283"/>
        <w:jc w:val="left"/>
        <w:rPr>
          <w:rFonts w:ascii="Calibri;sans-serif" w:hAnsi="Calibri;sans-serif"/>
          <w:i/>
          <w:color w:val="000000"/>
          <w:sz w:val="20"/>
        </w:rPr>
      </w:pPr>
      <w:r>
        <w:rPr>
          <w:rFonts w:ascii="Calibri;sans-serif" w:hAnsi="Calibri;sans-serif"/>
          <w:i/>
          <w:color w:val="000000"/>
          <w:sz w:val="20"/>
        </w:rPr>
        <w:t>Loss on Sale of Business</w:t>
      </w:r>
    </w:p>
    <w:p>
      <w:pPr>
        <w:pStyle w:val="TextBody"/>
        <w:bidi w:val="0"/>
        <w:jc w:val="left"/>
        <w:rPr/>
      </w:pPr>
      <w:r>
        <w:rPr/>
        <w:t> </w:t>
      </w:r>
    </w:p>
    <w:tbl>
      <w:tblPr>
        <w:tblW w:w="6867" w:type="dxa"/>
        <w:jc w:val="left"/>
        <w:tblInd w:w="0" w:type="dxa"/>
        <w:tblLayout w:type="fixed"/>
        <w:tblCellMar>
          <w:top w:w="28" w:type="dxa"/>
          <w:left w:w="28" w:type="dxa"/>
          <w:bottom w:w="28" w:type="dxa"/>
          <w:right w:w="28" w:type="dxa"/>
        </w:tblCellMar>
      </w:tblPr>
      <w:tblGrid>
        <w:gridCol w:w="1981"/>
        <w:gridCol w:w="146"/>
        <w:gridCol w:w="335"/>
        <w:gridCol w:w="550"/>
        <w:gridCol w:w="232"/>
        <w:gridCol w:w="232"/>
        <w:gridCol w:w="335"/>
        <w:gridCol w:w="550"/>
        <w:gridCol w:w="146"/>
        <w:gridCol w:w="146"/>
        <w:gridCol w:w="336"/>
        <w:gridCol w:w="551"/>
        <w:gridCol w:w="232"/>
        <w:gridCol w:w="232"/>
        <w:gridCol w:w="336"/>
        <w:gridCol w:w="336"/>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19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on sale of business</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50" w:type="dxa"/>
            <w:tcBorders/>
            <w:shd w:fill="CFF0FC" w:val="clear"/>
            <w:vAlign w:val="center"/>
          </w:tcPr>
          <w:p>
            <w:pPr>
              <w:pStyle w:val="TableContents"/>
              <w:bidi w:val="0"/>
              <w:spacing w:before="0" w:after="283"/>
              <w:jc w:val="right"/>
              <w:rPr>
                <w:color w:val="000000"/>
              </w:rPr>
            </w:pPr>
            <w:r>
              <w:rPr>
                <w:color w:val="000000"/>
              </w:rPr>
              <w:t>—</w:t>
            </w:r>
          </w:p>
        </w:tc>
        <w:tc>
          <w:tcPr>
            <w:tcW w:w="232"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232"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70" w:after="283"/>
        <w:jc w:val="left"/>
        <w:rPr>
          <w:rFonts w:ascii="Times New Roman" w:hAnsi="Times New Roman"/>
          <w:sz w:val="20"/>
        </w:rPr>
      </w:pPr>
      <w:r>
        <w:rPr>
          <w:rFonts w:ascii="Calibri;sans-serif" w:hAnsi="Calibri;sans-serif"/>
          <w:color w:val="000000"/>
          <w:sz w:val="20"/>
        </w:rPr>
        <w:t>There was no Loss on sale of business in the second quarter of fiscal 2024 or fiscal 2023. Previously reported Loss on sale of business in fiscal 2023 is associated with the fiscal 2022 divesture of the Purification Solutions business.</w:t>
      </w:r>
      <w:r>
        <w:rPr>
          <w:rFonts w:ascii="Times New Roman" w:hAnsi="Times New Roman"/>
          <w:color w:val="000000"/>
          <w:sz w:val="20"/>
        </w:rPr>
        <w:t xml:space="preserve"> </w:t>
      </w:r>
    </w:p>
    <w:p>
      <w:pPr>
        <w:pStyle w:val="TextBody"/>
        <w:bidi w:val="0"/>
        <w:spacing w:before="90" w:after="283"/>
        <w:jc w:val="left"/>
        <w:rPr>
          <w:rFonts w:ascii="Calibri;sans-serif" w:hAnsi="Calibri;sans-serif"/>
          <w:i/>
          <w:color w:val="000000"/>
          <w:sz w:val="20"/>
        </w:rPr>
      </w:pPr>
      <w:r>
        <w:rPr>
          <w:rFonts w:ascii="Calibri;sans-serif" w:hAnsi="Calibri;sans-serif"/>
          <w:i/>
          <w:color w:val="000000"/>
          <w:sz w:val="20"/>
        </w:rPr>
        <w:t>Interest and Dividend Income, Interest Expense and Other Income (Expense)</w:t>
      </w:r>
    </w:p>
    <w:p>
      <w:pPr>
        <w:pStyle w:val="TextBody"/>
        <w:bidi w:val="0"/>
        <w:jc w:val="left"/>
        <w:rPr/>
      </w:pPr>
      <w:r>
        <w:rPr/>
        <w:t> </w:t>
      </w:r>
    </w:p>
    <w:tbl>
      <w:tblPr>
        <w:tblW w:w="7340" w:type="dxa"/>
        <w:jc w:val="left"/>
        <w:tblInd w:w="0" w:type="dxa"/>
        <w:tblLayout w:type="fixed"/>
        <w:tblCellMar>
          <w:top w:w="28" w:type="dxa"/>
          <w:left w:w="28" w:type="dxa"/>
          <w:bottom w:w="28" w:type="dxa"/>
          <w:right w:w="28" w:type="dxa"/>
        </w:tblCellMar>
      </w:tblPr>
      <w:tblGrid>
        <w:gridCol w:w="2416"/>
        <w:gridCol w:w="146"/>
        <w:gridCol w:w="317"/>
        <w:gridCol w:w="565"/>
        <w:gridCol w:w="249"/>
        <w:gridCol w:w="219"/>
        <w:gridCol w:w="317"/>
        <w:gridCol w:w="565"/>
        <w:gridCol w:w="166"/>
        <w:gridCol w:w="146"/>
        <w:gridCol w:w="287"/>
        <w:gridCol w:w="512"/>
        <w:gridCol w:w="226"/>
        <w:gridCol w:w="199"/>
        <w:gridCol w:w="287"/>
        <w:gridCol w:w="512"/>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67"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24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and dividend income</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249"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22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11" w:type="dxa"/>
            <w:tcBorders/>
            <w:shd w:fill="CFF0FC"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24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9"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2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9"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9"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w:t>
            </w:r>
          </w:p>
        </w:tc>
        <w:tc>
          <w:tcPr>
            <w:tcW w:w="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9"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Interest and dividend income decreased by $1 million in the second quarter of fiscal 2024 compared to the same period of fiscal 2023, primarily due to lower average balances. Interest and dividend income increased by $2 million for the six months ended March 31, 2024 compared to the same period of fiscal 2023, primarily due to higher interest rates.</w:t>
      </w:r>
    </w:p>
    <w:p>
      <w:pPr>
        <w:pStyle w:val="TextBody"/>
        <w:bidi w:val="0"/>
        <w:spacing w:before="90" w:after="283"/>
        <w:jc w:val="left"/>
        <w:rPr>
          <w:rFonts w:ascii="Times New Roman" w:hAnsi="Times New Roman"/>
          <w:sz w:val="20"/>
        </w:rPr>
      </w:pPr>
      <w:r>
        <w:rPr>
          <w:rFonts w:ascii="Calibri;sans-serif" w:hAnsi="Calibri;sans-serif"/>
          <w:color w:val="000000"/>
          <w:sz w:val="20"/>
        </w:rPr>
        <w:t>Interest expense decreased by $2 million in the three and six months ended March 31, 2024 compared to the same periods of fiscal 2023, primarily due to lower average commercial paper balances, partially offset by higher rates.</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Other expense decreased by $4 million in the second quarter of fiscal 2024 compared to the same period of fiscal 2023, primarily due to lower foreign currency losses on the revaluation of our Argentine peso monetary assets and liability balances ($9 million), and higher investment income ($2 million) on our cash and cash equivalent balances in Argentina and Brazil, partially offset by a loss on the sale of BOPREAL bonds (standing for “Bond for the Reconstruction of a free Argentina” in Spanish) in Argentina ($8 million). Other expense increased by $20 million for the six months ended March 31, 2024, as compared to the same period of fiscal 2023, primarily due to higher foreign currency losses in Argentina including from the impact of the government devaluation of the currency that occurred during the first quarter of fiscal 2024.</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pPr>
      <w:r>
        <w:rPr/>
        <w:t> </w:t>
      </w:r>
    </w:p>
    <w:p>
      <w:pPr>
        <w:pStyle w:val="TextBody"/>
        <w:bidi w:val="0"/>
        <w:spacing w:before="90" w:after="283"/>
        <w:jc w:val="left"/>
        <w:rPr>
          <w:rFonts w:ascii="Times New Roman" w:hAnsi="Times New Roman"/>
          <w:sz w:val="20"/>
        </w:rPr>
      </w:pPr>
      <w:r>
        <w:rPr>
          <w:rFonts w:ascii="Calibri;sans-serif" w:hAnsi="Calibri;sans-serif"/>
          <w:i/>
          <w:color w:val="000000"/>
          <w:sz w:val="20"/>
        </w:rPr>
        <w:t>(Provision) Benefit for Income Taxes and Reconciliation of Effective Tax Rate to Operating Tax Rate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8"/>
        <w:gridCol w:w="146"/>
        <w:gridCol w:w="917"/>
        <w:gridCol w:w="1637"/>
        <w:gridCol w:w="166"/>
        <w:gridCol w:w="146"/>
        <w:gridCol w:w="146"/>
        <w:gridCol w:w="316"/>
        <w:gridCol w:w="241"/>
        <w:gridCol w:w="146"/>
        <w:gridCol w:w="917"/>
        <w:gridCol w:w="1637"/>
        <w:gridCol w:w="166"/>
        <w:gridCol w:w="146"/>
        <w:gridCol w:w="146"/>
        <w:gridCol w:w="316"/>
        <w:gridCol w:w="288"/>
      </w:tblGrid>
      <w:tr>
        <w:trPr/>
        <w:tc>
          <w:tcPr>
            <w:tcW w:w="2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7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3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(Provision) / Benefit for Income 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Rate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(Provision) / Benefit for Income 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Rate</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8"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Dollars in millions</w:t>
            </w:r>
          </w:p>
        </w:tc>
        <w:tc>
          <w:tcPr>
            <w:tcW w:w="146" w:type="dxa"/>
            <w:tcBorders/>
            <w:shd w:fill="FFFFFF" w:val="clear"/>
            <w:vAlign w:val="center"/>
          </w:tcPr>
          <w:p>
            <w:pPr>
              <w:pStyle w:val="TableContents"/>
              <w:bidi w:val="0"/>
              <w:spacing w:before="0" w:after="283"/>
              <w:jc w:val="center"/>
              <w:rPr/>
            </w:pPr>
            <w:r>
              <w:rPr/>
              <w:t> </w:t>
            </w:r>
          </w:p>
        </w:tc>
        <w:tc>
          <w:tcPr>
            <w:tcW w:w="255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r>
      <w:tr>
        <w:trPr/>
        <w:tc>
          <w:tcPr>
            <w:tcW w:w="272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63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63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w:t>
            </w:r>
          </w:p>
        </w:tc>
        <w:tc>
          <w:tcPr>
            <w:tcW w:w="28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728"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Less: Non-GAAP tax adjustments</w:t>
            </w:r>
            <w:r>
              <w:rPr>
                <w:rFonts w:ascii="Calibri;sans-serif" w:hAnsi="Calibri;sans-serif"/>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2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tax rate</w:t>
            </w:r>
          </w:p>
        </w:tc>
        <w:tc>
          <w:tcPr>
            <w:tcW w:w="146" w:type="dxa"/>
            <w:tcBorders/>
            <w:shd w:fill="CFF0FC" w:val="cle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7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5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right"/>
              <w:rPr/>
            </w:pPr>
            <w:r>
              <w:rPr/>
              <w:t> </w:t>
            </w:r>
          </w:p>
        </w:tc>
      </w:tr>
      <w:tr>
        <w:trPr/>
        <w:tc>
          <w:tcPr>
            <w:tcW w:w="27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5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62" w:type="dxa"/>
            <w:gridSpan w:val="2"/>
            <w:tcBorders/>
            <w:shd w:fill="FFFFFF" w:val="clear"/>
            <w:vAlign w:val="center"/>
          </w:tcPr>
          <w:p>
            <w:pPr>
              <w:pStyle w:val="TableContents"/>
              <w:bidi w:val="0"/>
              <w:spacing w:before="0" w:after="283"/>
              <w:jc w:val="right"/>
              <w:rPr/>
            </w:pPr>
            <w:r>
              <w:rPr/>
              <w:t> </w:t>
            </w:r>
          </w:p>
        </w:tc>
        <w:tc>
          <w:tcPr>
            <w:tcW w:w="288" w:type="dxa"/>
            <w:tcBorders/>
            <w:shd w:fill="FFFFFF" w:val="clear"/>
            <w:vAlign w:val="center"/>
          </w:tcPr>
          <w:p>
            <w:pPr>
              <w:pStyle w:val="TableContents"/>
              <w:bidi w:val="0"/>
              <w:spacing w:before="0" w:after="283"/>
              <w:jc w:val="right"/>
              <w:rPr/>
            </w:pPr>
            <w:r>
              <w:rPr/>
              <w:t> </w:t>
            </w:r>
          </w:p>
        </w:tc>
      </w:tr>
      <w:tr>
        <w:trPr/>
        <w:tc>
          <w:tcPr>
            <w:tcW w:w="27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3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(Provision) / Benefit for Income 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Rate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(Provision) / Benefit for Income Taxes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Rate</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8"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Dollars in millions</w:t>
            </w:r>
          </w:p>
        </w:tc>
        <w:tc>
          <w:tcPr>
            <w:tcW w:w="146" w:type="dxa"/>
            <w:tcBorders/>
            <w:shd w:fill="FFFFFF" w:val="clear"/>
            <w:vAlign w:val="center"/>
          </w:tcPr>
          <w:p>
            <w:pPr>
              <w:pStyle w:val="TableContents"/>
              <w:bidi w:val="0"/>
              <w:spacing w:before="0" w:after="283"/>
              <w:jc w:val="center"/>
              <w:rPr/>
            </w:pPr>
            <w:r>
              <w:rPr/>
              <w:t> </w:t>
            </w:r>
          </w:p>
        </w:tc>
        <w:tc>
          <w:tcPr>
            <w:tcW w:w="255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r>
      <w:tr>
        <w:trPr/>
        <w:tc>
          <w:tcPr>
            <w:tcW w:w="272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Effective tax rate</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63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63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c>
          <w:tcPr>
            <w:tcW w:w="28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728"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Less: Non-GAAP tax adjustments</w:t>
            </w:r>
            <w:r>
              <w:rPr>
                <w:rFonts w:ascii="Calibri;sans-serif" w:hAnsi="Calibri;sans-serif"/>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2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tax rate</w:t>
            </w:r>
          </w:p>
        </w:tc>
        <w:tc>
          <w:tcPr>
            <w:tcW w:w="146" w:type="dxa"/>
            <w:tcBorders/>
            <w:shd w:fill="CFF0FC" w:val="cle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spacing w:before="40" w:after="283"/>
        <w:jc w:val="left"/>
        <w:rPr>
          <w:rFonts w:ascii="Calibri" w:hAnsi="Calibri"/>
          <w:color w:val="000000"/>
          <w:sz w:val="20"/>
        </w:rPr>
      </w:pPr>
      <w:r>
        <w:rPr>
          <w:rFonts w:ascii="Calibri" w:hAnsi="Calibri"/>
          <w:color w:val="000000"/>
          <w:sz w:val="20"/>
        </w:rPr>
        <w:t>(1)</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Non-GAAP tax adjustments made to arrive at the operating tax provision include the income tax (expense) benefit on certain items, discrete tax items, and, on a quarterly basis, the timing of losses in certain jurisdictions, as further described above under the heading “Definition of Terms and Non-GAAP Financial Measures”.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For the three months ended March 31, 2024, the (Provision) benefit for income taxes was a provision of $47 million compared to a $29 million provision for the same period in fiscal 2023. For the six months ended March 31, 2024, the (Provision) benefit for income taxes was a provision of $81 million compared to a $49 million provision for the same period in fiscal 2023, primarily due to higher earnings in the current period and additional accruals and corresponding interest of uncertain tax positions. Our income taxes are affected by the mix of earnings in the tax jurisdictions in which we operate, and by the presence of valuation allowances in certain tax jurisdictions.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For fiscal 2024, the Company expects the Operating tax rate to be in the range of 27% to 29%. We are not providing a forward-looking reconciliation of the operating tax rate range with an effective tax rate range because, without unreasonable effort, we are unable to predict with reasonable certainty the matters we would allocate to “certain items,” including unusual gains and losses, costs associated with future restructurings, acquisition-related expenses and litigation outcomes. These items are uncertain, depend on various factors, and could have a material impact on the effective tax rate in future periods.</w:t>
      </w:r>
    </w:p>
    <w:p>
      <w:pPr>
        <w:pStyle w:val="TextBody"/>
        <w:bidi w:val="0"/>
        <w:spacing w:before="90" w:after="283"/>
        <w:jc w:val="left"/>
        <w:rPr>
          <w:rFonts w:ascii="Calibri;sans-serif" w:hAnsi="Calibri;sans-serif"/>
          <w:i/>
          <w:color w:val="000000"/>
          <w:sz w:val="20"/>
        </w:rPr>
      </w:pPr>
      <w:r>
        <w:rPr>
          <w:rFonts w:ascii="Calibri;sans-serif" w:hAnsi="Calibri;sans-serif"/>
          <w:i/>
          <w:color w:val="000000"/>
          <w:sz w:val="20"/>
        </w:rPr>
        <w:t>Net Income (Loss) Attributable to Noncontrolling Interests</w:t>
      </w:r>
    </w:p>
    <w:p>
      <w:pPr>
        <w:pStyle w:val="TextBody"/>
        <w:bidi w:val="0"/>
        <w:jc w:val="left"/>
        <w:rPr/>
      </w:pPr>
      <w:r>
        <w:rPr/>
        <w:t> </w:t>
      </w:r>
    </w:p>
    <w:tbl>
      <w:tblPr>
        <w:tblW w:w="8277" w:type="dxa"/>
        <w:jc w:val="left"/>
        <w:tblInd w:w="0" w:type="dxa"/>
        <w:tblLayout w:type="fixed"/>
        <w:tblCellMar>
          <w:top w:w="28" w:type="dxa"/>
          <w:left w:w="28" w:type="dxa"/>
          <w:bottom w:w="28" w:type="dxa"/>
          <w:right w:w="28" w:type="dxa"/>
        </w:tblCellMar>
      </w:tblPr>
      <w:tblGrid>
        <w:gridCol w:w="3391"/>
        <w:gridCol w:w="146"/>
        <w:gridCol w:w="380"/>
        <w:gridCol w:w="569"/>
        <w:gridCol w:w="263"/>
        <w:gridCol w:w="263"/>
        <w:gridCol w:w="380"/>
        <w:gridCol w:w="380"/>
        <w:gridCol w:w="146"/>
        <w:gridCol w:w="146"/>
        <w:gridCol w:w="317"/>
        <w:gridCol w:w="475"/>
        <w:gridCol w:w="219"/>
        <w:gridCol w:w="219"/>
        <w:gridCol w:w="317"/>
        <w:gridCol w:w="475"/>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center"/>
              <w:rPr/>
            </w:pPr>
            <w:r>
              <w:rPr/>
              <w:t> </w:t>
            </w:r>
          </w:p>
        </w:tc>
        <w:tc>
          <w:tcPr>
            <w:tcW w:w="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4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Equity in earnings of affiliated companies,</w:t>
              <w:br/>
              <w:t>   net of tax</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63"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8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19"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 xml:space="preserve">Net income (loss) attributable to </w:t>
              <w:br/>
              <w:t>   noncontrolling interests, net of tax</w:t>
            </w:r>
          </w:p>
        </w:tc>
        <w:tc>
          <w:tcPr>
            <w:tcW w:w="146"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263"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8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w:t>
            </w:r>
          </w:p>
        </w:tc>
        <w:tc>
          <w:tcPr>
            <w:tcW w:w="21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7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Equity in earnings of affiliated companies, net of tax, increased by $1 million in the second quarter compared to the same period of fiscal 2023 primarily due to higher profitability at our equity affiliate in Venezuela. Equity in earnings of affiliated companies, net of tax, remained flat for the first six months of fiscal 2024 compared to the same period of fiscal 2023.</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Net income (loss) attributable to noncontrolling interests, net of tax, increased by $6 million and $5 million in the second quarter and the first six months of fiscal 2024, respectively, compared to the same periods of fiscal 2023, primarily due to higher profitability of our joint ventures in China.</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Net Income Attributable to Cabot Corporation</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the second quarter and the first six months of fiscal 2024, we reported Net income (loss) attributable to Cabot Corporation of $84 million and $134 million, or $1.49 and $2.37 per diluted common share, respectively. This compares to Net income (loss) attributable to Cabot Corporation of $75 million and $129 million, or $1.29 and $2.23 per diluted common share, respectively, in the second quarter and the first six months of fiscal 2023. The higher net income in the second quarter of fiscal 2024 compared with the same period in fiscal 2023 is primarily due to higher Total segment EBIT ($30 million) and higher General unallocated income ($13 million) partially offset by a loss on the sale of BOPREAL bonds ($8 million) in Argentina and a higher provision for income taxes ($18 million).</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higher net income in the first six months of fiscal 2024 compared with the same period in fiscal 2023 is primarily due to higher Total segment EBIT ($70 million) and higher General unallocated income ($22 million) partially offset by foreign currency losses and a loss on the sale of BOPREAL bonds ($41 million combined) in Argentina and a higher provision for income taxes ($32 million).</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Second quarter of Fiscal 2024 versus Second quarter of Fiscal 2023—By Business Segment</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Income (loss) before income taxes and equity in earnings of affiliated companies, certain items, other unallocated items and Total segment EBIT for the three and six months ended March 31, 2024 and 2023 are set forth in the table below. The details of certain items and other unallocated items are shown below and in Note K of our Notes to the Consolidated Financial Statements.</w:t>
      </w:r>
    </w:p>
    <w:p>
      <w:pPr>
        <w:pStyle w:val="TextBody"/>
        <w:bidi w:val="0"/>
        <w:jc w:val="left"/>
        <w:rPr/>
      </w:pPr>
      <w:r>
        <w:rPr/>
        <w:t> </w:t>
      </w:r>
    </w:p>
    <w:tbl>
      <w:tblPr>
        <w:tblW w:w="8408" w:type="dxa"/>
        <w:jc w:val="left"/>
        <w:tblInd w:w="0" w:type="dxa"/>
        <w:tblLayout w:type="fixed"/>
        <w:tblCellMar>
          <w:top w:w="28" w:type="dxa"/>
          <w:left w:w="28" w:type="dxa"/>
          <w:bottom w:w="28" w:type="dxa"/>
          <w:right w:w="28" w:type="dxa"/>
        </w:tblCellMar>
      </w:tblPr>
      <w:tblGrid>
        <w:gridCol w:w="3481"/>
        <w:gridCol w:w="146"/>
        <w:gridCol w:w="299"/>
        <w:gridCol w:w="597"/>
        <w:gridCol w:w="235"/>
        <w:gridCol w:w="207"/>
        <w:gridCol w:w="299"/>
        <w:gridCol w:w="597"/>
        <w:gridCol w:w="166"/>
        <w:gridCol w:w="146"/>
        <w:gridCol w:w="271"/>
        <w:gridCol w:w="541"/>
        <w:gridCol w:w="213"/>
        <w:gridCol w:w="187"/>
        <w:gridCol w:w="271"/>
        <w:gridCol w:w="541"/>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70"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34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(loss) before income taxes and</w:t>
              <w:br/>
              <w:t>   equity in earnings of affiliated companies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9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w:t>
            </w:r>
          </w:p>
        </w:tc>
        <w:tc>
          <w:tcPr>
            <w:tcW w:w="235"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9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236</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194</w:t>
            </w:r>
          </w:p>
        </w:tc>
        <w:tc>
          <w:tcPr>
            <w:tcW w:w="211" w:type="dxa"/>
            <w:tcBorders/>
            <w:shd w:fill="CFF0FC" w:val="clear"/>
            <w:vAlign w:val="center"/>
          </w:tcPr>
          <w:p>
            <w:pPr>
              <w:pStyle w:val="TableContents"/>
              <w:bidi w:val="0"/>
              <w:spacing w:before="0" w:after="283"/>
              <w:jc w:val="left"/>
              <w:rPr/>
            </w:pPr>
            <w:r>
              <w:rPr/>
              <w:t> </w:t>
            </w:r>
          </w:p>
        </w:tc>
      </w:tr>
      <w:tr>
        <w:trPr/>
        <w:tc>
          <w:tcPr>
            <w:tcW w:w="34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Certain items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3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7"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w:t>
            </w:r>
          </w:p>
        </w:tc>
        <w:tc>
          <w:tcPr>
            <w:tcW w:w="21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Other unallocated items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07"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7"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segment EBIT</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the second quarter of fiscal 2024, Income (loss) before income taxes and equity in earnings of affiliated companies increased by $32 million and Total segment EBIT increased by $30 million. The increase in Income (loss) before income taxes and equity in earnings of affiliated companies was largely driven by higher Total segment EBIT. Total segment EBIT was driven by higher volumes in both the Reinforcement Materials and Performance Chemicals segments (combined $18 million) and higher pricing and improved product mix, net of costs in Reinforcement Materials ($11 million).</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the first six months of fiscal 2024, Income (loss) before income taxes and equity in earnings of affiliated companies increased by $42 million and Total Segment EBIT increased by $70 million. The increase in Income (loss) before income taxes and equity in earnings of affiliated companies was largely driven by higher Total segment EBIT partially offset by higher foreign currency losses primarily in Argentina. Total segment EBIT was driven by higher pricing and improved product mix, net of costs in Reinforcement Materials ($41 million) and higher volumes in both the Reinforcement Materials and Performance Chemicals segments (combined $31 million).</w:t>
      </w:r>
    </w:p>
    <w:p>
      <w:pPr>
        <w:pStyle w:val="TextBody"/>
        <w:bidi w:val="0"/>
        <w:spacing w:before="90" w:after="283"/>
        <w:jc w:val="left"/>
        <w:rPr>
          <w:rFonts w:ascii="Calibri;sans-serif" w:hAnsi="Calibri;sans-serif"/>
          <w:i/>
          <w:color w:val="000000"/>
          <w:sz w:val="20"/>
        </w:rPr>
      </w:pPr>
      <w:r>
        <w:rPr>
          <w:rFonts w:ascii="Calibri;sans-serif" w:hAnsi="Calibri;sans-serif"/>
          <w:i/>
          <w:color w:val="000000"/>
          <w:sz w:val="20"/>
        </w:rPr>
        <w:t>Certain Items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Details of the certain items for the three and six months ended March 31, 2024 and 2023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10"/>
        <w:gridCol w:w="146"/>
        <w:gridCol w:w="312"/>
        <w:gridCol w:w="557"/>
        <w:gridCol w:w="245"/>
        <w:gridCol w:w="216"/>
        <w:gridCol w:w="312"/>
        <w:gridCol w:w="512"/>
        <w:gridCol w:w="166"/>
        <w:gridCol w:w="146"/>
        <w:gridCol w:w="284"/>
        <w:gridCol w:w="508"/>
        <w:gridCol w:w="223"/>
        <w:gridCol w:w="197"/>
        <w:gridCol w:w="284"/>
        <w:gridCol w:w="467"/>
        <w:gridCol w:w="420"/>
      </w:tblGrid>
      <w:tr>
        <w:trPr/>
        <w:tc>
          <w:tcPr>
            <w:tcW w:w="5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52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2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420" w:type="dxa"/>
            <w:tcBorders/>
            <w:shd w:fill="FFFFFF" w:val="clear"/>
            <w:vAlign w:val="center"/>
          </w:tcPr>
          <w:p>
            <w:pPr>
              <w:pStyle w:val="TableContents"/>
              <w:bidi w:val="0"/>
              <w:spacing w:before="0" w:after="283"/>
              <w:ind w:left="0" w:right="0" w:firstLine="100"/>
              <w:jc w:val="center"/>
              <w:rPr/>
            </w:pPr>
            <w:r>
              <w:rPr/>
              <w:t> </w:t>
            </w:r>
          </w:p>
        </w:tc>
      </w:tr>
      <w:tr>
        <w:trPr/>
        <w:tc>
          <w:tcPr>
            <w:tcW w:w="5210"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Argentina controlled currency devaluation and other losses (Note B)</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5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24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0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w:t>
            </w:r>
          </w:p>
        </w:tc>
        <w:tc>
          <w:tcPr>
            <w:tcW w:w="22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7"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420" w:type="dxa"/>
            <w:tcBorders/>
            <w:shd w:fill="CFF0FC" w:val="clear"/>
            <w:vAlign w:val="center"/>
          </w:tcPr>
          <w:p>
            <w:pPr>
              <w:pStyle w:val="TableContents"/>
              <w:bidi w:val="0"/>
              <w:spacing w:before="0" w:after="283"/>
              <w:ind w:left="0" w:right="0" w:firstLine="100"/>
              <w:jc w:val="left"/>
              <w:rPr/>
            </w:pPr>
            <w:r>
              <w:rPr/>
              <w:t> </w:t>
            </w:r>
          </w:p>
        </w:tc>
      </w:tr>
      <w:tr>
        <w:trPr/>
        <w:tc>
          <w:tcPr>
            <w:tcW w:w="521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Global restructuring activities (Note H)</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4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2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420" w:type="dxa"/>
            <w:tcBorders/>
            <w:shd w:fill="FFFFFF" w:val="clear"/>
            <w:vAlign w:val="center"/>
          </w:tcPr>
          <w:p>
            <w:pPr>
              <w:pStyle w:val="TableContents"/>
              <w:bidi w:val="0"/>
              <w:spacing w:before="0" w:after="283"/>
              <w:ind w:left="0" w:right="0" w:firstLine="100"/>
              <w:jc w:val="left"/>
              <w:rPr/>
            </w:pPr>
            <w:r>
              <w:rPr/>
              <w:t> </w:t>
            </w:r>
          </w:p>
        </w:tc>
      </w:tr>
      <w:tr>
        <w:trPr/>
        <w:tc>
          <w:tcPr>
            <w:tcW w:w="5210"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Legal and environmental matters and reserves</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2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7"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420"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521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Gain on sale of land</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245"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22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20" w:type="dxa"/>
            <w:tcBorders/>
            <w:shd w:fill="FFFFFF" w:val="clear"/>
            <w:vAlign w:val="center"/>
          </w:tcPr>
          <w:p>
            <w:pPr>
              <w:pStyle w:val="TableContents"/>
              <w:bidi w:val="0"/>
              <w:spacing w:before="0" w:after="283"/>
              <w:ind w:left="0" w:right="0" w:firstLine="100"/>
              <w:jc w:val="left"/>
              <w:rPr/>
            </w:pPr>
            <w:r>
              <w:rPr/>
              <w:t> </w:t>
            </w:r>
          </w:p>
        </w:tc>
      </w:tr>
      <w:tr>
        <w:trPr/>
        <w:tc>
          <w:tcPr>
            <w:tcW w:w="5210"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Loss on sale of business</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color w:val="000000"/>
              </w:rPr>
            </w:pPr>
            <w:r>
              <w:rPr>
                <w:color w:val="000000"/>
              </w:rPr>
              <w:t>—</w:t>
            </w:r>
          </w:p>
        </w:tc>
        <w:tc>
          <w:tcPr>
            <w:tcW w:w="245"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508" w:type="dxa"/>
            <w:tcBorders/>
            <w:shd w:fill="CFF0FC" w:val="clear"/>
            <w:vAlign w:val="center"/>
          </w:tcPr>
          <w:p>
            <w:pPr>
              <w:pStyle w:val="TableContents"/>
              <w:bidi w:val="0"/>
              <w:spacing w:before="0" w:after="283"/>
              <w:jc w:val="right"/>
              <w:rPr>
                <w:color w:val="000000"/>
              </w:rPr>
            </w:pPr>
            <w:r>
              <w:rPr>
                <w:color w:val="000000"/>
              </w:rPr>
              <w:t>—</w:t>
            </w:r>
          </w:p>
        </w:tc>
        <w:tc>
          <w:tcPr>
            <w:tcW w:w="223"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420"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5210"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Acquisition and integration-related charges</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color w:val="000000"/>
              </w:rPr>
            </w:pPr>
            <w:r>
              <w:rPr>
                <w:color w:val="000000"/>
              </w:rPr>
              <w:t>—</w:t>
            </w:r>
          </w:p>
        </w:tc>
        <w:tc>
          <w:tcPr>
            <w:tcW w:w="245"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right"/>
              <w:rPr>
                <w:color w:val="000000"/>
              </w:rPr>
            </w:pPr>
            <w:r>
              <w:rPr>
                <w:color w:val="000000"/>
              </w:rPr>
              <w:t>—</w:t>
            </w:r>
          </w:p>
        </w:tc>
        <w:tc>
          <w:tcPr>
            <w:tcW w:w="223"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20" w:type="dxa"/>
            <w:tcBorders/>
            <w:shd w:fill="FFFFFF"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5210"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5210"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certain items</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i/>
          <w:color w:val="000000"/>
          <w:sz w:val="20"/>
        </w:rPr>
      </w:pPr>
      <w:r>
        <w:rPr>
          <w:rFonts w:ascii="Calibri;sans-serif" w:hAnsi="Calibri;sans-serif"/>
          <w:i/>
          <w:color w:val="000000"/>
          <w:sz w:val="20"/>
        </w:rPr>
        <w:t>Other Unallocated Items</w:t>
      </w:r>
    </w:p>
    <w:p>
      <w:pPr>
        <w:pStyle w:val="TextBody"/>
        <w:bidi w:val="0"/>
        <w:jc w:val="left"/>
        <w:rPr/>
      </w:pPr>
      <w:r>
        <w:rPr/>
        <w:t> </w:t>
      </w:r>
    </w:p>
    <w:tbl>
      <w:tblPr>
        <w:tblW w:w="8045" w:type="dxa"/>
        <w:jc w:val="left"/>
        <w:tblInd w:w="0" w:type="dxa"/>
        <w:tblLayout w:type="fixed"/>
        <w:tblCellMar>
          <w:top w:w="28" w:type="dxa"/>
          <w:left w:w="28" w:type="dxa"/>
          <w:bottom w:w="28" w:type="dxa"/>
          <w:right w:w="28" w:type="dxa"/>
        </w:tblCellMar>
      </w:tblPr>
      <w:tblGrid>
        <w:gridCol w:w="3121"/>
        <w:gridCol w:w="146"/>
        <w:gridCol w:w="317"/>
        <w:gridCol w:w="565"/>
        <w:gridCol w:w="249"/>
        <w:gridCol w:w="219"/>
        <w:gridCol w:w="317"/>
        <w:gridCol w:w="565"/>
        <w:gridCol w:w="166"/>
        <w:gridCol w:w="146"/>
        <w:gridCol w:w="287"/>
        <w:gridCol w:w="512"/>
        <w:gridCol w:w="226"/>
        <w:gridCol w:w="199"/>
        <w:gridCol w:w="287"/>
        <w:gridCol w:w="512"/>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7"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211" w:type="dxa"/>
            <w:tcBorders/>
            <w:shd w:fill="FFFFFF" w:val="clear"/>
            <w:vAlign w:val="center"/>
          </w:tcPr>
          <w:p>
            <w:pPr>
              <w:pStyle w:val="TableContents"/>
              <w:bidi w:val="0"/>
              <w:spacing w:before="0" w:after="283"/>
              <w:jc w:val="center"/>
              <w:rPr/>
            </w:pPr>
            <w:r>
              <w:rPr/>
              <w:t> </w:t>
            </w:r>
          </w:p>
        </w:tc>
      </w:tr>
      <w:tr>
        <w:trPr/>
        <w:tc>
          <w:tcPr>
            <w:tcW w:w="31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24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9"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9"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1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Unallocated corporate costs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w:t>
            </w:r>
          </w:p>
        </w:tc>
        <w:tc>
          <w:tcPr>
            <w:tcW w:w="24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9"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22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9" w:type="dxa"/>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1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General unallocated income (expense)</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56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49"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56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22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1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 xml:space="preserve">Less: Equity in earnings of affiliated </w:t>
              <w:br/>
              <w:t>   companies, net of tax</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unallocated items</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219" w:type="dxa"/>
            <w:tcBorders/>
            <w:shd w:fill="CFF0FC" w:val="cle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99" w:type="dxa"/>
            <w:tcBorders/>
            <w:shd w:fill="CFF0FC" w:val="cle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Total other unallocated items decreased by $12 million and $20 million for the three and six months ended March 31, 2024, respectively, when compared to the same period in fiscal 2023, due to higher General unallocated income (expense) resulting from higher investment income on our cash and cash equivalent balances in Argentina and lower foreign exchange losses primarily in Argentina.</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A discussion of items that we refer to as “other unallocated items” can be found under the heading “Definition of Terms and Non-GAAP Financial Measures”. The balances of unallocated corporate costs are primarily comprised of expenditures related to managing a public company that are not allocated to the segments and corporate business development costs related to ongoing corporate projects. The balances of General unallocated income (expense) consist of gains (losses) arising from foreign currency transactions, net of other foreign currency risk management activities, interest and dividend income, the profit or loss related to the corporate adjustment for unearned revenue and unrealized holding gains (losses) for investments. General unallocated income (expense) does not include items of income or expense that are separately treated as Certain items.</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Reinforcement Materials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Sales and EBIT for Reinforcement Materials for the second quarter and first six months of fiscal 2024 and 2023 were as follows:</w:t>
      </w:r>
    </w:p>
    <w:p>
      <w:pPr>
        <w:pStyle w:val="TextBody"/>
        <w:bidi w:val="0"/>
        <w:jc w:val="left"/>
        <w:rPr/>
      </w:pPr>
      <w:r>
        <w:rPr/>
        <w:t> </w:t>
      </w:r>
    </w:p>
    <w:tbl>
      <w:tblPr>
        <w:tblW w:w="7376" w:type="dxa"/>
        <w:jc w:val="left"/>
        <w:tblInd w:w="0" w:type="dxa"/>
        <w:tblLayout w:type="fixed"/>
        <w:tblCellMar>
          <w:top w:w="28" w:type="dxa"/>
          <w:left w:w="28" w:type="dxa"/>
          <w:bottom w:w="28" w:type="dxa"/>
          <w:right w:w="28" w:type="dxa"/>
        </w:tblCellMar>
      </w:tblPr>
      <w:tblGrid>
        <w:gridCol w:w="2491"/>
        <w:gridCol w:w="146"/>
        <w:gridCol w:w="303"/>
        <w:gridCol w:w="604"/>
        <w:gridCol w:w="209"/>
        <w:gridCol w:w="209"/>
        <w:gridCol w:w="303"/>
        <w:gridCol w:w="604"/>
        <w:gridCol w:w="146"/>
        <w:gridCol w:w="146"/>
        <w:gridCol w:w="230"/>
        <w:gridCol w:w="623"/>
        <w:gridCol w:w="159"/>
        <w:gridCol w:w="159"/>
        <w:gridCol w:w="230"/>
        <w:gridCol w:w="623"/>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548"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Reinforcement Materials Sales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676</w:t>
            </w:r>
          </w:p>
        </w:tc>
        <w:tc>
          <w:tcPr>
            <w:tcW w:w="209"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1,317</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1,315</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Reinforcement Materials EBIT</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w:t>
            </w:r>
          </w:p>
        </w:tc>
        <w:tc>
          <w:tcPr>
            <w:tcW w:w="20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278</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216</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70" w:after="283"/>
        <w:jc w:val="left"/>
        <w:rPr>
          <w:rFonts w:ascii="Calibri;sans-serif" w:hAnsi="Calibri;sans-serif"/>
          <w:color w:val="000000"/>
          <w:sz w:val="20"/>
        </w:rPr>
      </w:pPr>
      <w:r>
        <w:rPr>
          <w:rFonts w:ascii="Calibri;sans-serif" w:hAnsi="Calibri;sans-serif"/>
          <w:color w:val="000000"/>
          <w:sz w:val="20"/>
        </w:rPr>
        <w:t>Sales in Reinforcement Materials increased by $4 million in the second quarter of fiscal 2024 compared to the same period of fiscal 2023, primarily due to higher volumes ($41 million) partially offset by less favorable price and product mix ($36 million). The higher volumes in the second quarter of fiscal 2024 were driven by higher volumes in Asia and Europe. The less favorable pricing was driven primarily from lower raw material costs that are generally passed through to our customers.</w:t>
      </w:r>
    </w:p>
    <w:p>
      <w:pPr>
        <w:pStyle w:val="TextBody"/>
        <w:bidi w:val="0"/>
        <w:spacing w:before="170" w:after="283"/>
        <w:jc w:val="left"/>
        <w:rPr>
          <w:rFonts w:ascii="Calibri;sans-serif" w:hAnsi="Calibri;sans-serif"/>
          <w:color w:val="000000"/>
          <w:sz w:val="20"/>
        </w:rPr>
      </w:pPr>
      <w:r>
        <w:rPr>
          <w:rFonts w:ascii="Calibri;sans-serif" w:hAnsi="Calibri;sans-serif"/>
          <w:color w:val="000000"/>
          <w:sz w:val="20"/>
        </w:rPr>
        <w:t>In the first six months of fiscal 2024, sales in Reinforcement Materials increased by $2 million compared to the first six months of fiscal 2023 primarily due to higher volumes ($57 million), the favorable impact from foreign currency translation ($6 million) and higher by-product revenue ($2 million), partially offset by less favorable price and product mix ($63 million). The higher volumes in the first six months of fiscal 2024 were driven by higher volumes in Asia and Europe. The less favorable pricing was primarily due to lower raw material costs that are generally passed through to our customers.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EBIT in Reinforcement Materials in the second quarter of fiscal 2024 increased by $27 million compared to the same period of fiscal 2023. The increase was driven by higher unit margins, net of costs ($11 million) and higher volumes ($15 million). The higher unit margins in the first quarter of fiscal 2024 were primarily driven by favorable price and product mix in the 2024 calendar year customer agreements. The higher volumes were driven by higher volumes in Asia and Europe.</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the first six months of fiscal 2024, EBIT in Reinforcement Materials increased by $62 million compared to the same period of fiscal 2023. The increase was driven by higher unit margins, net of costs ($41 million) and higher volumes ($20 million). The higher unit margins in the first six months of fiscal 2024 were primarily driven by favorable price and product mix in the 2023 and 2024 calendar year customer agreements. The higher volumes were driven by higher volumes in Asia and Europe.</w:t>
      </w:r>
    </w:p>
    <w:p>
      <w:pPr>
        <w:pStyle w:val="TextBody"/>
        <w:bidi w:val="0"/>
        <w:spacing w:before="90" w:after="283"/>
        <w:jc w:val="left"/>
        <w:rPr>
          <w:rFonts w:ascii="Times New Roman" w:hAnsi="Times New Roman"/>
          <w:sz w:val="20"/>
        </w:rPr>
      </w:pPr>
      <w:r>
        <w:rPr>
          <w:rFonts w:ascii="Calibri;sans-serif" w:hAnsi="Calibri;sans-serif"/>
          <w:color w:val="000000"/>
          <w:sz w:val="20"/>
        </w:rPr>
        <w:t>As we look to the third quarter of the fiscal year, we expect the Reinforcement Materials EBIT to be in line with the second quarter of fiscal 2024 as we expect modest volume improvement to be offset by higher costs associated with plant maintenance.</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Performance Chemicals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Sales and EBIT for Performance Chemicals for the second quarter and first six months of fiscal 2024 and 2023 were as follows:</w:t>
      </w:r>
    </w:p>
    <w:p>
      <w:pPr>
        <w:pStyle w:val="TextBody"/>
        <w:bidi w:val="0"/>
        <w:jc w:val="left"/>
        <w:rPr/>
      </w:pPr>
      <w:r>
        <w:rPr/>
        <w:t> </w:t>
      </w:r>
    </w:p>
    <w:tbl>
      <w:tblPr>
        <w:tblW w:w="7286" w:type="dxa"/>
        <w:jc w:val="left"/>
        <w:tblInd w:w="0" w:type="dxa"/>
        <w:tblLayout w:type="fixed"/>
        <w:tblCellMar>
          <w:top w:w="28" w:type="dxa"/>
          <w:left w:w="28" w:type="dxa"/>
          <w:bottom w:w="28" w:type="dxa"/>
          <w:right w:w="28" w:type="dxa"/>
        </w:tblCellMar>
      </w:tblPr>
      <w:tblGrid>
        <w:gridCol w:w="2401"/>
        <w:gridCol w:w="146"/>
        <w:gridCol w:w="303"/>
        <w:gridCol w:w="604"/>
        <w:gridCol w:w="209"/>
        <w:gridCol w:w="209"/>
        <w:gridCol w:w="303"/>
        <w:gridCol w:w="604"/>
        <w:gridCol w:w="146"/>
        <w:gridCol w:w="146"/>
        <w:gridCol w:w="274"/>
        <w:gridCol w:w="548"/>
        <w:gridCol w:w="190"/>
        <w:gridCol w:w="190"/>
        <w:gridCol w:w="274"/>
        <w:gridCol w:w="548"/>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Six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8"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Performance Chemicals Sales</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311</w:t>
            </w:r>
          </w:p>
        </w:tc>
        <w:tc>
          <w:tcPr>
            <w:tcW w:w="209"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596</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612</w:t>
            </w:r>
          </w:p>
        </w:tc>
        <w:tc>
          <w:tcPr>
            <w:tcW w:w="191" w:type="dxa"/>
            <w:tcBorders/>
            <w:shd w:fill="CFF0FC" w:val="clear"/>
            <w:vAlign w:val="center"/>
          </w:tcPr>
          <w:p>
            <w:pPr>
              <w:pStyle w:val="TableContents"/>
              <w:bidi w:val="0"/>
              <w:spacing w:before="0" w:after="283"/>
              <w:jc w:val="left"/>
              <w:rPr/>
            </w:pPr>
            <w:r>
              <w:rPr/>
              <w:t> </w:t>
            </w:r>
          </w:p>
        </w:tc>
      </w:tr>
      <w:tr>
        <w:trPr/>
        <w:tc>
          <w:tcPr>
            <w:tcW w:w="24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Performance Chemicals EBIT</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w:t>
            </w:r>
          </w:p>
        </w:tc>
        <w:tc>
          <w:tcPr>
            <w:tcW w:w="20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0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4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left"/>
        <w:rPr>
          <w:rFonts w:ascii="Times New Roman" w:hAnsi="Times New Roman"/>
          <w:sz w:val="20"/>
        </w:rPr>
      </w:pPr>
      <w:r>
        <w:rPr>
          <w:rFonts w:ascii="Calibri;sans-serif" w:hAnsi="Calibri;sans-serif"/>
          <w:color w:val="000000"/>
          <w:sz w:val="20"/>
        </w:rPr>
        <w:t>Sales in Performance Chemicals decreased by $15 million in the second quarter of fiscal 2024 compared to the same period of fiscal 2023, primarily due to less favorable price and product mix ($25 million), partially offset by higher volumes ($10 million). The less favorable pricing was primarily due to lower raw material costs that are generally passed through to our customers. The higher volumes in the second quarter of fiscal 2024 were primarily in our specialty carbons and specialty compounds product lines.</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the first six months of fiscal 2024, sales in Performance Chemicals decreased by $16 million compared to the first six months of fiscal 2023, primarily due to less favorable price and product mix ($47 million), partially offset by higher volumes ($30 million). The less favorable pricing was primarily due to lower raw material costs that are generally passed through to our customers. The higher volumes in the first six months of fiscal 2024 were primarily in our specialty carbons and specialty compounds product lines.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EBIT in Performance Chemicals increased by $3 million in the second quarter of fiscal 2024 compared to the second quarter of fiscal 2023 primarily due to higher volumes ($3 million). The higher volumes in the second quarter of fiscal 2024 were primarily in our specialty carbons and specialty compounds product lines.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the first six months of fiscal 2024, EBIT in Performance Chemicals increased by $8 million compared to the same period of fiscal 2023. The increase was driven by higher unit margins, net of costs ($7 million) and higher volumes ($11 million), partially offset by the unfavorable impact of a reduction in inventory levels ($5 million) and the unfavorable impact of foreign currency translation ($4 million).</w:t>
      </w:r>
    </w:p>
    <w:p>
      <w:pPr>
        <w:pStyle w:val="TextBody"/>
        <w:bidi w:val="0"/>
        <w:spacing w:before="90" w:after="283"/>
        <w:jc w:val="left"/>
        <w:rPr>
          <w:rFonts w:ascii="Times New Roman" w:hAnsi="Times New Roman"/>
          <w:sz w:val="20"/>
        </w:rPr>
      </w:pPr>
      <w:r>
        <w:rPr>
          <w:rFonts w:ascii="Calibri;sans-serif" w:hAnsi="Calibri;sans-serif"/>
          <w:color w:val="000000"/>
          <w:sz w:val="20"/>
        </w:rPr>
        <w:t>As we look ahead to the third quarter of the fiscal year, we expect seasonally higher volumes and relatively stable unit margins.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Liquidity and Capital Resources</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Overview</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Our liquidity position, as measured by cash and cash equivalents plus borrowing availability, increased by $67 million during the first six months of fiscal 2024, which was largely due to a lower outstanding commercial paper balance at the end of the period. As of March 31, 2024, we had cash and cash equivalents of $206 million and borrowing availability under our revolving credit agreements of $1.1 billion. We have access to borrowings under the following two credit agreements:</w:t>
      </w:r>
    </w:p>
    <w:p>
      <w:pPr>
        <w:pStyle w:val="TextBody"/>
        <w:bidi w:val="0"/>
        <w:spacing w:before="90" w:after="80"/>
        <w:jc w:val="left"/>
        <w:rPr>
          <w:color w:val="000000"/>
        </w:rPr>
      </w:pPr>
      <w:r>
        <w:rPr>
          <w:color w:val="000000"/>
        </w:rPr>
        <w:t>•</w:t>
      </w:r>
    </w:p>
    <w:p>
      <w:pPr>
        <w:pStyle w:val="TextBody"/>
        <w:bidi w:val="0"/>
        <w:spacing w:before="90" w:after="80"/>
        <w:jc w:val="left"/>
        <w:rPr>
          <w:rFonts w:ascii="Calibri;sans-serif" w:hAnsi="Calibri;sans-serif"/>
          <w:color w:val="000000"/>
          <w:sz w:val="20"/>
        </w:rPr>
      </w:pPr>
      <w:r>
        <w:rPr>
          <w:rFonts w:ascii="Calibri;sans-serif" w:hAnsi="Calibri;sans-serif"/>
          <w:color w:val="000000"/>
          <w:sz w:val="20"/>
        </w:rPr>
        <w:t>$1 billion unsecured revolving credit agreement (the “U.S. Credit Agreement”) with JPMorgan Chase Bank, N.A., as Administrative Agent, Citibank, N.A., as Syndication Agent, and the other lenders party thereto, which matures in August 2027. The U.S. Credit Agreement supports our issuance of commercial paper, and borrowings under it may be used for working capital, letters of credit and other general corporate purposes.</w:t>
      </w:r>
    </w:p>
    <w:p>
      <w:pPr>
        <w:pStyle w:val="TextBody"/>
        <w:bidi w:val="0"/>
        <w:spacing w:before="0" w:after="80"/>
        <w:jc w:val="left"/>
        <w:rPr>
          <w:color w:val="000000"/>
        </w:rPr>
      </w:pPr>
      <w:r>
        <w:rPr>
          <w:color w:val="000000"/>
        </w:rPr>
        <w:t>•</w:t>
      </w:r>
    </w:p>
    <w:p>
      <w:pPr>
        <w:pStyle w:val="TextBody"/>
        <w:bidi w:val="0"/>
        <w:spacing w:before="0" w:after="80"/>
        <w:jc w:val="left"/>
        <w:rPr>
          <w:color w:val="000000"/>
        </w:rPr>
      </w:pPr>
      <w:r>
        <w:rPr>
          <w:color w:val="000000"/>
        </w:rPr>
        <w:t>€</w:t>
      </w:r>
      <w:r>
        <w:rPr>
          <w:rFonts w:ascii="Calibri;sans-serif" w:hAnsi="Calibri;sans-serif"/>
          <w:color w:val="000000"/>
          <w:sz w:val="20"/>
        </w:rPr>
        <w:t xml:space="preserve">300 million unsecured revolving credit agreement (the “Euro Credit Agreement”, and together with the U.S. Credit Agreement, the “Credit Agreements”), with PNC Bank, National Association, as Administrative Agent, and the other lenders party thereto, which matures in August 2027. Borrowings under the Euro Credit Agreement may be used for the repatriation of earnings of our foreign subsidiaries to the United States, the repayment of indebtedness of our foreign subsidiaries owing to us or any of our subsidiaries and for working capital and general corporate purposes. </w:t>
      </w:r>
    </w:p>
    <w:p>
      <w:pPr>
        <w:pStyle w:val="TextBody"/>
        <w:bidi w:val="0"/>
        <w:spacing w:before="90" w:after="283"/>
        <w:jc w:val="left"/>
        <w:rPr>
          <w:rFonts w:ascii="Times New Roman" w:hAnsi="Times New Roman"/>
          <w:sz w:val="20"/>
        </w:rPr>
      </w:pPr>
      <w:r>
        <w:rPr>
          <w:rFonts w:ascii="Calibri;sans-serif" w:hAnsi="Calibri;sans-serif"/>
          <w:color w:val="000000"/>
          <w:sz w:val="20"/>
        </w:rPr>
        <w:t>As of March 31, 2024, we were in compliance with the debt covenants under the Credit Agreements, which, with limited exceptions, require us to comply on a quarterly basis with a leverage test requiring the ratio of consolidated net debt to consolidated EBITDA not to exceed 3.50 to 1.00. Consolidated net debt is defined as consolidated debt offset by the lesser of (i) unrestricted cash and cash equivalents and (ii) $150 million.</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A significant portion of our business occurs outside the U.S. and our cash generation does not always align geographically with our cash needs. The vast majority of our cash and cash equivalent holdings tend to be held outside the U.S. We generally use a combination of U.S. earnings, repatriation of certain foreign earnings, commercial paper issuances and borrowings under our U.S. Credit Agreement to meet our U.S. cash needs. With the exception of Argentina, which has currency controls that prevent the distribution of cash, we are generally able to move cash throughout the Company through our cash pooling structures, intercompany accounts and/or distributions, as needed. Although we repatriate certain foreign earnings, cash held by foreign subsidiaries is generally considered permanently reinvested and is used to finance the subsidiaries’ operational activities and future investments. We usually reduce our commercial paper balance and, if applicable, borrowings under our Credit Agreements, at quarter-end using cash derived from customer collections, including the utilization of customer supply chain financing programs, settlement of intercompany balances and short-term intercompany loans. If additional funds are needed in the U.S., we expect to be able to repatriate cash, including cash from China, while paying any withholding or other taxes. Changes in regulations and tax laws in the U.S. or foreign countries could restrict our ability to transfer funds or impose material costs on such transfers.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addition to the currency controls that prevent the distribution of cash in Argentina, there are also government regulations that require all cash in Argentina to be held in Argentine pesos and regulations that restrict how and when suppliers of imported goods and services into Argentina can be paid. In accordance with government regulations, we purchased and sold at a discount BOPREAL bonds during the second quarter of fiscal 2024 to partially repay imported goods received on or prior to December 12, 2023. The balance of these outstanding payables was paid in April 2024. Current and future imported goods and services will be paid in accordance with new regulations enacted in the latter part of calendar year 2023. Future regulations could impact our ability to pay suppliers for our imported goods and services.</w:t>
      </w:r>
    </w:p>
    <w:p>
      <w:pPr>
        <w:pStyle w:val="TextBody"/>
        <w:bidi w:val="0"/>
        <w:spacing w:before="90" w:after="283"/>
        <w:jc w:val="left"/>
        <w:rPr>
          <w:rFonts w:ascii="Times New Roman" w:hAnsi="Times New Roman"/>
          <w:sz w:val="20"/>
        </w:rPr>
      </w:pPr>
      <w:r>
        <w:rPr>
          <w:rFonts w:ascii="Calibri;sans-serif" w:hAnsi="Calibri;sans-serif"/>
          <w:color w:val="000000"/>
          <w:sz w:val="20"/>
        </w:rPr>
        <w:t>As of March 31, 2024, we had $1.1 billion of availability under our Credit Agreements. As of March 31, 2024, we had $114 million of borrowings under the Euro Credit Agreement and no outstanding borrowings under the U.S. Credit Agreement. There was $87 million of commercial paper outstanding as of March 31, 2024.</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We anticipate sufficient liquidity from (i) cash on hand; (ii) cash flows from operating activities; and (iii) cash available from the Credit Agreements and our commercial paper program to meet our operational and capital investment needs and financial obligations for both the next twelve months and the foreseeable future. The liquidity we derive from cash flows from operations is, to a large degree, predicated on our ability to collect our receivables in a timely manner, the cost of our raw materials, and our ability to manage inventory levels.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following discussion of the changes in our cash balance refers to the various sections of our Consolidated Statements of Cash Flows.</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Cash Flows from Operating Activities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Cash provided by operating activities, which consists of net income adjusted for the various non-cash items included in income, changes in working capital and changes in certain other balance sheet accounts, totaled $281 million in the first six months of fiscal 2024 compared to $214 million of cash provided by operating activities during the same period of fiscal 2023.</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Cash provided by operating activities in the first six months of fiscal 2024 was driven by business earnings excluding the non-cash impacts of depreciation and amortization of $78 million and foreign exchange losses of $36 million, primarily related to devaluation of the Argentine peso, which was partially offset by an increase in net working capital of $25 million. The increase in net working capital was largely driven by an increase in Accounts and notes receivable from higher sales volumes, partially offset by a decrease in Inventories and Accounts payable and accrued expenses driven by lower cost of raw materials.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Cash provided by operating activities in the first six months of fiscal 2023 was driven by business earnings excluding the non-cash impacts of depreciation and amortization of $71 million and a decrease in net working capital of $25 million. The decrease in</w:t>
        <w:br/>
        <w:t>net working capital was largely driven by a decrease in accounts receivable due to lower customer prices from lower cost of raw</w:t>
        <w:br/>
        <w:t>materials and decreased sales volumes and a decrease in inventories and accounts payable and accrued expenses driven by lower</w:t>
        <w:br/>
        <w:t>cost of raw materials.</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Cash Flows from Investing Activities</w:t>
      </w:r>
    </w:p>
    <w:p>
      <w:pPr>
        <w:pStyle w:val="TextBody"/>
        <w:bidi w:val="0"/>
        <w:spacing w:before="90" w:after="283"/>
        <w:jc w:val="left"/>
        <w:rPr>
          <w:rFonts w:ascii="Times New Roman" w:hAnsi="Times New Roman"/>
          <w:sz w:val="20"/>
        </w:rPr>
      </w:pPr>
      <w:r>
        <w:rPr>
          <w:rFonts w:ascii="Calibri;sans-serif" w:hAnsi="Calibri;sans-serif"/>
          <w:color w:val="000000"/>
          <w:sz w:val="20"/>
        </w:rPr>
        <w:t>Investing activities consumed $95 million of cash in the first six months of fiscal 2024 compared to $64 million of cash consumed in the first six months of fiscal 2023.</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Calibri;sans-serif" w:hAnsi="Calibri;sans-serif"/>
          <w:color w:val="000000"/>
          <w:sz w:val="20"/>
        </w:rPr>
        <w:t>In the first six months of fiscal 2024, investing activities included $97 million of capital expenditures for sustaining and compliance capital projects at our operating facilities as well as growth-related capital, including capacity expansion capital projects.</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the first six months of fiscal 2023, investing activities included $86 million of capital expenditures for sustaining and compliance capital projects at our operating facilities as well as growth-related capital, including capacity expansion projects in Performance Chemicals, partially offset by proceeds from the sale of land of $7 million, proceeds from the sale of our Purification Solutions business of $6 million, and proceeds from insurance settlements of $6 million.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Capital expenditures for fiscal 2024 are expected to be between $250 million and $275 million. Our planned capital spending program for fiscal 2024 is for sustaining, compliance and improvement capital projects at our operating facilities as well as capacity expansion capital expenditures.</w:t>
      </w:r>
    </w:p>
    <w:p>
      <w:pPr>
        <w:pStyle w:val="TextBody"/>
        <w:bidi w:val="0"/>
        <w:spacing w:before="90" w:after="283"/>
        <w:jc w:val="left"/>
        <w:rPr>
          <w:rFonts w:ascii="Times New Roman" w:hAnsi="Times New Roman"/>
          <w:sz w:val="20"/>
        </w:rPr>
      </w:pPr>
      <w:r>
        <w:rPr>
          <w:rFonts w:ascii="Calibri;sans-serif" w:hAnsi="Calibri;sans-serif"/>
          <w:i/>
          <w:color w:val="000000"/>
          <w:sz w:val="20"/>
        </w:rPr>
        <w:t>Province of Ontario Regulation 419 Update</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As described in Part I, Item 1 of the 2023 10-K under the heading “Safety, Health, Environment, and Sustainability”, under the Province of Ontario Ministry of Environment, Conservation and Parks’ (“MECP”) Regulation 419, a new requirement for sulfur dioxide (“SO2”) emissions went into effect on July 1, 2023 for our reinforcing carbons plant in Sarnia, Ontario. We are out of compliance with the new air standards for SO2 and are in discussions with the MECP on an alternative to this requirement that we expect, in its current form, would require the installation of air pollution controls at the plant by July 1, 2028. To date, this has not restricted our ability to operate our reinforcing carbons plant in Sarnia, Ontario as we are working with the MECP for a solution. We anticipate that we will need to incur significant capital costs for the installation of these new SO2 emissions controls, particularly during the 24-month period prior to the date of installation.</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Cash Flows from Financing Activities</w:t>
      </w:r>
    </w:p>
    <w:p>
      <w:pPr>
        <w:pStyle w:val="TextBody"/>
        <w:bidi w:val="0"/>
        <w:spacing w:before="90" w:after="283"/>
        <w:jc w:val="left"/>
        <w:rPr>
          <w:rFonts w:ascii="Times New Roman" w:hAnsi="Times New Roman"/>
          <w:sz w:val="20"/>
        </w:rPr>
      </w:pPr>
      <w:r>
        <w:rPr>
          <w:rFonts w:ascii="Calibri;sans-serif" w:hAnsi="Calibri;sans-serif"/>
          <w:color w:val="000000"/>
          <w:sz w:val="20"/>
        </w:rPr>
        <w:t>Financing activities consumed $195 million of cash in the first six months of fiscal 2024 compared to $210 million of cash consumed during the same period of fiscal 2023.</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Calibri;sans-serif" w:hAnsi="Calibri;sans-serif"/>
          <w:color w:val="000000"/>
          <w:sz w:val="20"/>
        </w:rPr>
        <w:t>In the first six months of fiscal 2024, financing activities primarily consisted of net repayment of commercial paper of $85 million, share repurchases of $57 million, dividend payments to stockholders of $45 million, cash dividends paid to noncontrolling interests of $12 million, and repayments of long-term debt of $9 million. These payments were partially offset by proceeds from sales of common stock of $13 million from stock option exercises.</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the first six months of fiscal 2023, financing activities primarily consisted of the repayment of commercial paper of $105 million, dividend payments to stockholders of $42 million, share repurchases of $33 million, cash dividends paid to noncontrolling interests of $41 million and repayments of long-term debt of $7 million. These payments were partially offset by proceeds from short-term borrowings of $14 million and proceeds from sales of common stock of $4 million from stock option exercises.</w:t>
      </w:r>
    </w:p>
    <w:p>
      <w:pPr>
        <w:pStyle w:val="TextBody"/>
        <w:bidi w:val="0"/>
        <w:spacing w:before="90" w:after="283"/>
        <w:jc w:val="left"/>
        <w:rPr>
          <w:rFonts w:ascii="Calibri;sans-serif" w:hAnsi="Calibri;sans-serif"/>
          <w:b/>
          <w:color w:val="000000"/>
          <w:sz w:val="20"/>
        </w:rPr>
      </w:pPr>
      <w:r>
        <w:rPr>
          <w:rFonts w:ascii="Calibri;sans-serif" w:hAnsi="Calibri;sans-serif"/>
          <w:b/>
          <w:color w:val="000000"/>
          <w:sz w:val="20"/>
        </w:rPr>
        <w:t>Forward-Looking Information</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This report on Form 10-Q contains “forward-looking statements” under the Federal securities laws. These forward-looking statements address expectations or projections about the future, including our expectations regarding our future business performance and overall prospects, including for earnings, volumes and costs in our Reinforcement Materials segment, and for volumes and unit margins in our Performance Chemicals segment; the impact and cost of restructuring activities; demand for our products; the sufficiency of our cash on hand, cash provided from operations and cash available under our credit and commercial paper facilities to fund our cash requirements in both the next twelve months and the foreseeable future; anticipated capital spending; regulatory developments, including regulatory compliance costs and potential impact on our operations, including the potential timing for installation of air pollution controls at our plant in Sarnia, Ontario and when we would incur those capital costs; cash requirements and uses of available cash, including future cash outlays associated with respirator liabilities and the timing of such outlays; amortization expenses; our operating tax rate; and the possible outcome of legal and environmental proceedings. From time to time, we also provide forward-looking statements in other materials we release to the public and in oral statements made by authorized officers.</w:t>
      </w:r>
    </w:p>
    <w:p>
      <w:pPr>
        <w:pStyle w:val="TextBody"/>
        <w:bidi w:val="0"/>
        <w:spacing w:before="90" w:after="283"/>
        <w:jc w:val="left"/>
        <w:rPr>
          <w:rFonts w:ascii="Times New Roman" w:hAnsi="Times New Roman"/>
          <w:sz w:val="20"/>
        </w:rPr>
      </w:pPr>
      <w:r>
        <w:rPr>
          <w:rFonts w:ascii="Calibri;sans-serif" w:hAnsi="Calibri;sans-serif"/>
          <w:color w:val="000000"/>
          <w:sz w:val="20"/>
        </w:rPr>
        <w:t>Forward-looking statements are not guarantees of future performance and are subject to risks, uncertainties, potentially inaccurate assumptions, and other factors, some of which are beyond our control or difficult to predict. If known or unknown risks materialize, our actual results could differ materially from those expressed in the forward-looking statements.</w:t>
      </w:r>
      <w:r>
        <w:rPr>
          <w:rFonts w:ascii="Times New Roman" w:hAnsi="Times New Roman"/>
          <w:color w:val="000000"/>
          <w:sz w:val="20"/>
        </w:rPr>
        <w:t xml:space="preserve"> </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 addition to factors described elsewhere in this report, the following are some of the factors that could cause our actual results to differ materially from those expressed in our forward-looking statements: industry capacity utilization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including with respect to the Russian invasion of Ukraine and the U.S.-China trade relationship; a significant adverse change in a customer or joint venture relationship or the failure of a customer or joint venture partner to perform its obligations under agreements with us; failure to achieve growth expectations from new products, applications and technology developments; failure to realize benefits from acquisitions, alliances, or joint ventures or achieve our portfolio management objectives; negative or uncertain worldwide or regional economic conditions and market opportunities, including from trade relations, global health matters or geo-political conflicts; litigation or legal proceedings; interest rates, tax rates, currency exchange controls, and fluctuations in foreign currency, such as the recent currency movements in Argentina; our inability to complete capacity expansions or other development projects; and the accuracy of the assumptions we used in establishing reserves for our share of liability for respirator claims. These other factors and risks are discussed more fully in our 2023 10-K and in our subsequent SEC filings.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Calibri;sans-serif" w:hAnsi="Calibri;sans-serif"/>
          <w:b/>
          <w:i/>
          <w:color w:val="000000"/>
          <w:sz w:val="20"/>
        </w:rPr>
      </w:pPr>
      <w:bookmarkStart w:id="11" w:name="item_3_quantitative_qualitative_disclosu"/>
      <w:bookmarkEnd w:id="11"/>
      <w:r>
        <w:rPr>
          <w:rFonts w:ascii="Calibri;sans-serif" w:hAnsi="Calibri;sans-serif"/>
          <w:b/>
          <w:i/>
          <w:color w:val="000000"/>
          <w:sz w:val="20"/>
        </w:rPr>
        <w:t>Item 3. Quantitative and Qualitative Disclosures About Market Risk</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Information about market risks for the period ended March 31, 2024 does not differ materially from that discussed under Item 7A of our 2023 10-K.</w:t>
      </w:r>
    </w:p>
    <w:p>
      <w:pPr>
        <w:pStyle w:val="TextBody"/>
        <w:bidi w:val="0"/>
        <w:spacing w:before="90" w:after="283"/>
        <w:jc w:val="left"/>
        <w:rPr>
          <w:rFonts w:ascii="Times New Roman" w:hAnsi="Times New Roman"/>
          <w:sz w:val="20"/>
        </w:rPr>
      </w:pPr>
      <w:bookmarkStart w:id="12" w:name="item_4_controls_procedures"/>
      <w:bookmarkEnd w:id="12"/>
      <w:r>
        <w:rPr>
          <w:rFonts w:ascii="Calibri;sans-serif" w:hAnsi="Calibri;sans-serif"/>
          <w:b/>
          <w:i/>
          <w:color w:val="000000"/>
          <w:sz w:val="20"/>
        </w:rPr>
        <w:t>Item 4. Controls</w:t>
      </w:r>
      <w:r>
        <w:rPr>
          <w:rFonts w:ascii="Times New Roman" w:hAnsi="Times New Roman"/>
          <w:color w:val="000000"/>
          <w:sz w:val="20"/>
        </w:rPr>
        <w:t xml:space="preserve"> </w:t>
      </w:r>
      <w:r>
        <w:rPr>
          <w:rFonts w:ascii="Calibri;sans-serif" w:hAnsi="Calibri;sans-serif"/>
          <w:b/>
          <w:i/>
          <w:color w:val="000000"/>
          <w:sz w:val="20"/>
        </w:rPr>
        <w:t>and Procedures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As of March 31, 2024, we carried out an evaluation, under the supervision and with the participation of our management, including our principal executive officer and our principal financial officer, of the effectiveness of our disclosure controls and procedures pursuant to Rule 13a-15 under the Securities Exchange Act of 1934, as amended. Based upon that evaluation, our principal executive officer and our principal financial officer concluded that our disclosure controls and procedures were effective as of that date.</w:t>
      </w:r>
    </w:p>
    <w:p>
      <w:pPr>
        <w:pStyle w:val="TextBody"/>
        <w:bidi w:val="0"/>
        <w:spacing w:before="90" w:after="283"/>
        <w:jc w:val="left"/>
        <w:rPr>
          <w:rFonts w:ascii="Times New Roman" w:hAnsi="Times New Roman"/>
          <w:sz w:val="20"/>
        </w:rPr>
      </w:pPr>
      <w:r>
        <w:rPr>
          <w:rFonts w:ascii="Calibri;sans-serif" w:hAnsi="Calibri;sans-serif"/>
          <w:color w:val="000000"/>
          <w:sz w:val="20"/>
        </w:rPr>
        <w:t>There were no changes in our internal controls over financial reporting that occurred during our fiscal quarter ended March 31, 2024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part_ii_or_information"/>
      <w:bookmarkEnd w:id="13"/>
      <w:r>
        <w:rPr>
          <w:rFonts w:ascii="Calibri;sans-serif" w:hAnsi="Calibri;sans-serif"/>
          <w:b/>
          <w:i/>
          <w:color w:val="000000"/>
          <w:sz w:val="20"/>
        </w:rPr>
        <w:t>Part II. Other</w:t>
      </w:r>
      <w:r>
        <w:rPr>
          <w:rFonts w:ascii="Times New Roman" w:hAnsi="Times New Roman"/>
          <w:color w:val="000000"/>
          <w:sz w:val="20"/>
        </w:rPr>
        <w:t xml:space="preserve"> </w:t>
      </w:r>
      <w:r>
        <w:rPr>
          <w:rFonts w:ascii="Calibri;sans-serif" w:hAnsi="Calibri;sans-serif"/>
          <w:b/>
          <w:i/>
          <w:color w:val="000000"/>
          <w:sz w:val="20"/>
        </w:rPr>
        <w:t>Information</w:t>
      </w:r>
    </w:p>
    <w:p>
      <w:pPr>
        <w:pStyle w:val="TextBody"/>
        <w:bidi w:val="0"/>
        <w:spacing w:before="90" w:after="283"/>
        <w:jc w:val="left"/>
        <w:rPr>
          <w:rFonts w:ascii="Calibri;sans-serif" w:hAnsi="Calibri;sans-serif"/>
          <w:b/>
          <w:i/>
          <w:color w:val="000000"/>
          <w:sz w:val="20"/>
        </w:rPr>
      </w:pPr>
      <w:bookmarkStart w:id="14" w:name="item_2_unregistered_sales_equity_securit"/>
      <w:bookmarkEnd w:id="14"/>
      <w:r>
        <w:rPr>
          <w:rFonts w:ascii="Calibri;sans-serif" w:hAnsi="Calibri;sans-serif"/>
          <w:b/>
          <w:i/>
          <w:color w:val="000000"/>
          <w:sz w:val="20"/>
        </w:rPr>
        <w:t>Item 2. Unregistered Sales of Equity Securities and Use of Proceeds</w:t>
      </w:r>
    </w:p>
    <w:p>
      <w:pPr>
        <w:pStyle w:val="TextBody"/>
        <w:bidi w:val="0"/>
        <w:spacing w:before="90" w:after="283"/>
        <w:jc w:val="left"/>
        <w:rPr>
          <w:rFonts w:ascii="Calibri;sans-serif" w:hAnsi="Calibri;sans-serif"/>
          <w:b/>
          <w:color w:val="000000"/>
          <w:sz w:val="20"/>
        </w:rPr>
      </w:pPr>
      <w:r>
        <w:rPr>
          <w:rFonts w:ascii="Calibri;sans-serif" w:hAnsi="Calibri;sans-serif"/>
          <w:b/>
          <w:color w:val="000000"/>
          <w:sz w:val="20"/>
        </w:rPr>
        <w:t>Issuer Purchases of Equity Securities</w:t>
      </w:r>
    </w:p>
    <w:p>
      <w:pPr>
        <w:pStyle w:val="TextBody"/>
        <w:bidi w:val="0"/>
        <w:spacing w:before="90" w:after="283"/>
        <w:jc w:val="left"/>
        <w:rPr>
          <w:rFonts w:ascii="Calibri;sans-serif" w:hAnsi="Calibri;sans-serif"/>
          <w:color w:val="000000"/>
          <w:sz w:val="20"/>
        </w:rPr>
      </w:pPr>
      <w:r>
        <w:rPr>
          <w:rFonts w:ascii="Calibri;sans-serif" w:hAnsi="Calibri;sans-serif"/>
          <w:color w:val="000000"/>
          <w:sz w:val="20"/>
        </w:rPr>
        <w:t>The table below sets forth information regarding Cabot’s purchases of its equity securities during the quarter ended March 31, 2024:</w:t>
      </w:r>
    </w:p>
    <w:p>
      <w:pPr>
        <w:pStyle w:val="TextBody"/>
        <w:bidi w:val="0"/>
        <w:jc w:val="left"/>
        <w:rPr/>
      </w:pPr>
      <w:r>
        <w:rPr/>
        <w:t> </w:t>
      </w:r>
    </w:p>
    <w:tbl>
      <w:tblPr>
        <w:tblW w:w="9779" w:type="dxa"/>
        <w:jc w:val="left"/>
        <w:tblInd w:w="0" w:type="dxa"/>
        <w:tblLayout w:type="fixed"/>
        <w:tblCellMar>
          <w:top w:w="28" w:type="dxa"/>
          <w:left w:w="28" w:type="dxa"/>
          <w:bottom w:w="28" w:type="dxa"/>
          <w:right w:w="28" w:type="dxa"/>
        </w:tblCellMar>
      </w:tblPr>
      <w:tblGrid>
        <w:gridCol w:w="3136"/>
        <w:gridCol w:w="146"/>
        <w:gridCol w:w="191"/>
        <w:gridCol w:w="1024"/>
        <w:gridCol w:w="146"/>
        <w:gridCol w:w="146"/>
        <w:gridCol w:w="295"/>
        <w:gridCol w:w="800"/>
        <w:gridCol w:w="146"/>
        <w:gridCol w:w="146"/>
        <w:gridCol w:w="234"/>
        <w:gridCol w:w="1251"/>
        <w:gridCol w:w="146"/>
        <w:gridCol w:w="146"/>
        <w:gridCol w:w="221"/>
        <w:gridCol w:w="1414"/>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rFonts w:ascii="Calibri;sans-serif" w:hAnsi="Calibri;sans-serif"/>
                <w:b/>
                <w:color w:val="000000"/>
                <w:sz w:val="16"/>
                <w:u w:val="single"/>
              </w:rPr>
            </w:pPr>
            <w:r>
              <w:rPr>
                <w:rFonts w:ascii="Calibri;sans-serif" w:hAnsi="Calibri;sans-serif"/>
                <w:b/>
                <w:color w:val="000000"/>
                <w:sz w:val="16"/>
                <w:u w:val="single"/>
              </w:rPr>
              <w:t>Period</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Total Number of</w:t>
              <w:br/>
              <w:t>Shares</w:t>
              <w:br/>
              <w:t>Purchased</w:t>
            </w:r>
            <w:r>
              <w:rPr>
                <w:rFonts w:ascii="Calibri;sans-serif" w:hAnsi="Calibri;sans-serif"/>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Total Number of</w:t>
              <w:br/>
              <w:t>Shares Purchased</w:t>
              <w:br/>
              <w:t>as Part of Publicly</w:t>
              <w:br/>
              <w:t>Announced Plans or</w:t>
              <w:br/>
              <w:t>Programs</w:t>
            </w:r>
            <w:r>
              <w:rPr>
                <w:rFonts w:ascii="Calibri;sans-serif" w:hAnsi="Calibr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Maximum Number (or</w:t>
              <w:br/>
              <w:t>Approximate Dollar</w:t>
              <w:br/>
              <w:t>Value) of Shares that</w:t>
              <w:br/>
              <w:t>May Yet Be Purchased</w:t>
              <w:br/>
              <w:t>Under the Plans or</w:t>
              <w:br/>
              <w:t>Programs</w:t>
            </w:r>
            <w:r>
              <w:rPr>
                <w:rFonts w:ascii="Calibri;sans-serif" w:hAnsi="Calibri;sans-serif"/>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January 1, 2024 - January 31, 2024</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102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0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2,724,876</w:t>
            </w:r>
          </w:p>
        </w:tc>
        <w:tc>
          <w:tcPr>
            <w:tcW w:w="19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February 1, 2024 - February 29, 2024</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236,700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0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236,700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2,488,176</w:t>
            </w:r>
          </w:p>
        </w:tc>
        <w:tc>
          <w:tcPr>
            <w:tcW w:w="191" w:type="dxa"/>
            <w:tcBorders/>
            <w:shd w:fill="FFFFFF" w:val="clear"/>
            <w:vAlign w:val="center"/>
          </w:tcPr>
          <w:p>
            <w:pPr>
              <w:pStyle w:val="TableContents"/>
              <w:bidi w:val="0"/>
              <w:spacing w:before="0" w:after="283"/>
              <w:jc w:val="left"/>
              <w:rPr/>
            </w:pPr>
            <w:r>
              <w:rPr/>
              <w:t> </w:t>
            </w:r>
          </w:p>
        </w:tc>
      </w:tr>
      <w:tr>
        <w:trPr/>
        <w:tc>
          <w:tcPr>
            <w:tcW w:w="31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March 1, 2024 - March 31, 2024</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0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141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2,436,176</w:t>
            </w:r>
          </w:p>
        </w:tc>
        <w:tc>
          <w:tcPr>
            <w:tcW w:w="191" w:type="dxa"/>
            <w:tcBorders/>
            <w:shd w:fill="CFF0FC" w:val="clear"/>
            <w:vAlign w:val="center"/>
          </w:tcPr>
          <w:p>
            <w:pPr>
              <w:pStyle w:val="TableContents"/>
              <w:bidi w:val="0"/>
              <w:spacing w:before="0" w:after="283"/>
              <w:jc w:val="left"/>
              <w:rPr/>
            </w:pPr>
            <w:r>
              <w:rPr/>
              <w:t> </w:t>
            </w:r>
          </w:p>
        </w:tc>
      </w:tr>
      <w:tr>
        <w:trPr/>
        <w:tc>
          <w:tcPr>
            <w:tcW w:w="31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288,700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288,700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40" w:after="283"/>
        <w:jc w:val="left"/>
        <w:rPr>
          <w:rFonts w:ascii="Calibri" w:hAnsi="Calibri"/>
          <w:color w:val="000000"/>
          <w:sz w:val="20"/>
        </w:rPr>
      </w:pPr>
      <w:r>
        <w:rPr>
          <w:rFonts w:ascii="Calibri" w:hAnsi="Calibri"/>
          <w:color w:val="000000"/>
          <w:sz w:val="20"/>
        </w:rPr>
        <w:t>(1)</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On July 13, 2018, Cabot publicly announced that the Board of Directors authorized the Company to repurchase up to an additional ten million shares of its common stock on the open market or in privately negotiated transactions, increasing the balance of shares available for repurchase at that time to approximately eleven million shares. The current authorization does not have a set expiration date.</w:t>
      </w:r>
    </w:p>
    <w:p>
      <w:pPr>
        <w:pStyle w:val="TextBody"/>
        <w:bidi w:val="0"/>
        <w:spacing w:before="40" w:after="283"/>
        <w:jc w:val="left"/>
        <w:rPr>
          <w:rFonts w:ascii="Calibri" w:hAnsi="Calibri"/>
          <w:color w:val="000000"/>
          <w:sz w:val="20"/>
        </w:rPr>
      </w:pPr>
      <w:r>
        <w:rPr>
          <w:rFonts w:ascii="Calibri" w:hAnsi="Calibri"/>
          <w:color w:val="000000"/>
          <w:sz w:val="20"/>
        </w:rPr>
        <w:t>(2)</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Total number of shares purchased does not include 1,612 shares withheld to pay taxes on the vesting of equity awards made under the Company's equity incentive plans or to pay the exercise price of options exercised during the period.</w:t>
      </w:r>
    </w:p>
    <w:p>
      <w:pPr>
        <w:pStyle w:val="TextBody"/>
        <w:bidi w:val="0"/>
        <w:spacing w:before="40" w:after="283"/>
        <w:jc w:val="left"/>
        <w:rPr/>
      </w:pPr>
      <w:r>
        <w:rPr/>
        <w:t> </w:t>
      </w:r>
    </w:p>
    <w:p>
      <w:pPr>
        <w:pStyle w:val="TextBody"/>
        <w:bidi w:val="0"/>
        <w:spacing w:before="90" w:after="283"/>
        <w:jc w:val="left"/>
        <w:rPr>
          <w:rFonts w:ascii="Calibri;sans-serif" w:hAnsi="Calibri;sans-serif"/>
          <w:b/>
          <w:i/>
          <w:color w:val="000000"/>
          <w:sz w:val="20"/>
        </w:rPr>
      </w:pPr>
      <w:r>
        <w:rPr>
          <w:rFonts w:ascii="Calibri;sans-serif" w:hAnsi="Calibri;sans-serif"/>
          <w:b/>
          <w:i/>
          <w:color w:val="000000"/>
          <w:sz w:val="20"/>
        </w:rPr>
        <w:t>Item 5. Other Information</w:t>
      </w:r>
    </w:p>
    <w:p>
      <w:pPr>
        <w:pStyle w:val="TextBody"/>
        <w:bidi w:val="0"/>
        <w:spacing w:before="40" w:after="283"/>
        <w:jc w:val="left"/>
        <w:rPr>
          <w:rFonts w:ascii="Times New Roman" w:hAnsi="Times New Roman"/>
          <w:sz w:val="20"/>
        </w:rPr>
      </w:pPr>
      <w:r>
        <w:rPr>
          <w:rFonts w:ascii="Calibri;sans-serif" w:hAnsi="Calibri;sans-serif"/>
          <w:color w:val="000000"/>
          <w:sz w:val="20"/>
        </w:rPr>
        <w:t>During our fiscal quarter ended March 31, 2024, none of our directors or officers (as defined in Rule 16a-1(f) under the Securities Exchange Act of 1934, as amended, entered into, modified</w:t>
      </w:r>
      <w:r>
        <w:rPr>
          <w:rFonts w:ascii="Times New Roman" w:hAnsi="Times New Roman"/>
          <w:color w:val="000000"/>
          <w:sz w:val="20"/>
        </w:rPr>
        <w:t xml:space="preserve"> </w:t>
      </w:r>
      <w:r>
        <w:rPr>
          <w:rFonts w:ascii="Calibri;sans-serif" w:hAnsi="Calibri;sans-serif"/>
          <w:color w:val="000000"/>
          <w:sz w:val="20"/>
        </w:rPr>
        <w:t>(as to amount, price or timing of trades) or terminated</w:t>
      </w:r>
      <w:r>
        <w:rPr>
          <w:rFonts w:ascii="Times New Roman" w:hAnsi="Times New Roman"/>
          <w:color w:val="000000"/>
          <w:sz w:val="20"/>
        </w:rPr>
        <w:t xml:space="preserve"> </w:t>
      </w:r>
      <w:r>
        <w:rPr>
          <w:rFonts w:ascii="Calibri;sans-serif" w:hAnsi="Calibri;sans-serif"/>
          <w:color w:val="000000"/>
          <w:sz w:val="20"/>
        </w:rPr>
        <w:t>(i)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pStyle w:val="TextBody"/>
        <w:bidi w:val="0"/>
        <w:spacing w:before="40" w:after="283"/>
        <w:jc w:val="left"/>
        <w:rPr/>
      </w:pPr>
      <w:r>
        <w:rPr/>
        <w:t> </w:t>
      </w:r>
    </w:p>
    <w:p>
      <w:pPr>
        <w:pStyle w:val="TextBody"/>
        <w:bidi w:val="0"/>
        <w:jc w:val="left"/>
        <w:rPr/>
      </w:pPr>
      <w:r>
        <w:rPr/>
        <w:t> </w:t>
      </w:r>
    </w:p>
    <w:p>
      <w:pPr>
        <w:pStyle w:val="TextBody"/>
        <w:bidi w:val="0"/>
        <w:jc w:val="left"/>
        <w:rPr>
          <w:rFonts w:ascii="Calibri;sans-serif" w:hAnsi="Calibri;sans-serif"/>
          <w:b/>
          <w:i/>
          <w:color w:val="000000"/>
          <w:sz w:val="20"/>
        </w:rPr>
      </w:pPr>
      <w:bookmarkStart w:id="15" w:name="item_6_exhibits"/>
      <w:bookmarkEnd w:id="15"/>
      <w:r>
        <w:rPr>
          <w:rFonts w:ascii="Calibri;sans-serif" w:hAnsi="Calibri;sans-serif"/>
          <w:b/>
          <w:i/>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2"/>
        <w:gridCol w:w="146"/>
        <w:gridCol w:w="9107"/>
      </w:tblGrid>
      <w:tr>
        <w:trPr/>
        <w:tc>
          <w:tcPr>
            <w:tcW w:w="9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07" w:type="dxa"/>
            <w:tcBorders/>
            <w:shd w:fill="FFFFFF" w:val="clear"/>
            <w:vAlign w:val="center"/>
          </w:tcPr>
          <w:p>
            <w:pPr>
              <w:pStyle w:val="TableContents"/>
              <w:bidi w:val="0"/>
              <w:spacing w:before="0" w:after="283"/>
              <w:jc w:val="left"/>
              <w:rPr>
                <w:sz w:val="4"/>
                <w:szCs w:val="4"/>
              </w:rPr>
            </w:pPr>
            <w:r>
              <w:rPr>
                <w:sz w:val="4"/>
                <w:szCs w:val="4"/>
              </w:rPr>
            </w:r>
          </w:p>
        </w:tc>
      </w:tr>
      <w:tr>
        <w:trPr/>
        <w:tc>
          <w:tcPr>
            <w:tcW w:w="95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Description</w:t>
            </w:r>
          </w:p>
        </w:tc>
      </w:tr>
      <w:tr>
        <w:trPr/>
        <w:tc>
          <w:tcPr>
            <w:tcW w:w="9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Exhibit 3.1</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hyperlink r:id="rId2">
              <w:r>
                <w:rPr>
                  <w:rStyle w:val="InternetLink"/>
                  <w:rFonts w:ascii="Calibri;sans-serif" w:hAnsi="Calibri;sans-serif"/>
                  <w:color w:val="0000FF"/>
                  <w:sz w:val="20"/>
                </w:rPr>
                <w:t>Restated Certificate of Incorporation of Cabot Corporation effective January 9, 2009 (incorporated herein by reference to Exhibit 3.1 of Cabot’s Quarterly Report on Form 10-Q for the quarterly period ended December 31, 2008, file reference 1-5667, filed with the SEC on February 9, 2009).</w:t>
              </w:r>
            </w:hyperlink>
          </w:p>
        </w:tc>
      </w:tr>
      <w:tr>
        <w:trPr/>
        <w:tc>
          <w:tcPr>
            <w:tcW w:w="9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Exhibit 3.2</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hyperlink r:id="rId3">
              <w:r>
                <w:rPr>
                  <w:rStyle w:val="InternetLink"/>
                  <w:rFonts w:ascii="Calibri;sans-serif" w:hAnsi="Calibri;sans-serif"/>
                  <w:color w:val="0000FF"/>
                  <w:sz w:val="20"/>
                  <w:u w:val="single"/>
                </w:rPr>
                <w:t>The By-laws of Cabot Corporation as amended May 11, 2023 (incorporated herein by reference to Exhibit 3.1 of Cabot Corporation’s Current Report on Form 8-K, file reference 1-5667, filed with the SEC on May 15, 2023).</w:t>
              </w:r>
            </w:hyperlink>
          </w:p>
        </w:tc>
      </w:tr>
      <w:tr>
        <w:trPr/>
        <w:tc>
          <w:tcPr>
            <w:tcW w:w="9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Exhibit 31.1*</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hyperlink w:anchor="cbt-ex31_1.htm">
              <w:r>
                <w:rPr>
                  <w:rStyle w:val="InternetLink"/>
                  <w:rFonts w:ascii="Calibri;sans-serif" w:hAnsi="Calibri;sans-serif"/>
                  <w:color w:val="0000FF"/>
                  <w:sz w:val="20"/>
                  <w:u w:val="single"/>
                </w:rPr>
                <w:t>Certification of Principal Executive Officer required by Rule 13a-14(a) or Rule 15d-14(a) of the Exchange Act.</w:t>
              </w:r>
            </w:hyperlink>
          </w:p>
        </w:tc>
      </w:tr>
      <w:tr>
        <w:trPr/>
        <w:tc>
          <w:tcPr>
            <w:tcW w:w="9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Exhibit 31.2*</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hyperlink w:anchor="cbt-ex31_2.htm">
              <w:r>
                <w:rPr>
                  <w:rStyle w:val="InternetLink"/>
                  <w:rFonts w:ascii="Calibri;sans-serif" w:hAnsi="Calibri;sans-serif"/>
                  <w:color w:val="0000FF"/>
                  <w:sz w:val="20"/>
                  <w:u w:val="single"/>
                </w:rPr>
                <w:t>Certification of Principal Financial Officer required by Rule 13a-14(a) or Rule 15d-14(a) of the Exchange Act.</w:t>
              </w:r>
            </w:hyperlink>
          </w:p>
        </w:tc>
      </w:tr>
      <w:tr>
        <w:trPr/>
        <w:tc>
          <w:tcPr>
            <w:tcW w:w="9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Exhibit 32**</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hyperlink w:anchor="cbt-ex32.htm">
              <w:r>
                <w:rPr>
                  <w:rStyle w:val="InternetLink"/>
                  <w:rFonts w:ascii="Calibri;sans-serif" w:hAnsi="Calibri;sans-serif"/>
                  <w:color w:val="0000FF"/>
                  <w:sz w:val="20"/>
                  <w:u w:val="single"/>
                </w:rPr>
                <w:t>Certifications of the Principal Executive Officer and the Principal Financial Officer pursuant to 18 U.S.C. Section 1350.</w:t>
              </w:r>
            </w:hyperlink>
          </w:p>
        </w:tc>
      </w:tr>
      <w:tr>
        <w:trPr/>
        <w:tc>
          <w:tcPr>
            <w:tcW w:w="9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Exhibit 101.INS*</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Instance Document – the instance document does not appear in the Interactive Data File because its XBRL tags are embedded within the Inline XBRL document.</w:t>
            </w:r>
          </w:p>
        </w:tc>
      </w:tr>
      <w:tr>
        <w:trPr/>
        <w:tc>
          <w:tcPr>
            <w:tcW w:w="9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Exhibit 101.SCH*</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Taxonomy Extension Schema With Embedded Linkbase Document.</w:t>
            </w:r>
          </w:p>
        </w:tc>
      </w:tr>
      <w:tr>
        <w:trPr/>
        <w:tc>
          <w:tcPr>
            <w:tcW w:w="9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Exhibit 104*</w:t>
            </w:r>
          </w:p>
        </w:tc>
        <w:tc>
          <w:tcPr>
            <w:tcW w:w="146"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The cover page from the Company’s Quarterly Report on Form 10-Q for the quarter ended March 31, 2024, formatted in Inline XBRL (included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 Filed herewith.</w:t>
      </w:r>
    </w:p>
    <w:p>
      <w:pPr>
        <w:pStyle w:val="TextBody"/>
        <w:bidi w:val="0"/>
        <w:spacing w:before="40" w:after="283"/>
        <w:jc w:val="left"/>
        <w:rPr>
          <w:rFonts w:ascii="Calibri;sans-serif" w:hAnsi="Calibri;sans-serif"/>
          <w:color w:val="000000"/>
          <w:sz w:val="20"/>
        </w:rPr>
      </w:pPr>
      <w:r>
        <w:rPr>
          <w:rFonts w:ascii="Calibri;sans-serif" w:hAnsi="Calibri;sans-serif"/>
          <w:color w:val="000000"/>
          <w:sz w:val="20"/>
        </w:rPr>
        <w:t>** Furnished herewith.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before="180" w:after="283"/>
        <w:jc w:val="left"/>
        <w:rPr>
          <w:rFonts w:ascii="Calibri;sans-serif" w:hAnsi="Calibri;sans-serif"/>
          <w:color w:val="000000"/>
          <w:sz w:val="20"/>
        </w:rPr>
      </w:pPr>
      <w:r>
        <w:rPr>
          <w:rFonts w:ascii="Calibri;sans-serif" w:hAnsi="Calibr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689" w:type="dxa"/>
        <w:jc w:val="left"/>
        <w:tblInd w:w="0" w:type="dxa"/>
        <w:tblLayout w:type="fixed"/>
        <w:tblCellMar>
          <w:top w:w="28" w:type="dxa"/>
          <w:left w:w="28" w:type="dxa"/>
          <w:bottom w:w="28" w:type="dxa"/>
          <w:right w:w="28" w:type="dxa"/>
        </w:tblCellMar>
      </w:tblPr>
      <w:tblGrid>
        <w:gridCol w:w="1576"/>
        <w:gridCol w:w="146"/>
        <w:gridCol w:w="346"/>
        <w:gridCol w:w="462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21" w:type="dxa"/>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7" w:type="dxa"/>
            <w:gridSpan w:val="2"/>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CABOT CORPORATION</w:t>
            </w:r>
          </w:p>
        </w:tc>
      </w:tr>
      <w:tr>
        <w:trPr/>
        <w:tc>
          <w:tcPr>
            <w:tcW w:w="15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4621" w:type="dxa"/>
            <w:tcBorders/>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May 9,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4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w:t>
            </w:r>
            <w:r>
              <w:rPr>
                <w:rFonts w:ascii="Calibri;sans-serif" w:hAnsi="Calibri;sans-serif"/>
                <w:smallCaps/>
                <w:color w:val="000000"/>
                <w:sz w:val="20"/>
              </w:rPr>
              <w:t>s</w:t>
            </w:r>
            <w:r>
              <w:rPr>
                <w:rFonts w:ascii="Calibri;sans-serif" w:hAnsi="Calibri;sans-serif"/>
                <w:color w:val="000000"/>
                <w:sz w:val="20"/>
              </w:rPr>
              <w:t xml:space="preserve">/ </w:t>
            </w:r>
            <w:r>
              <w:rPr>
                <w:rFonts w:ascii="Calibri;sans-serif" w:hAnsi="Calibri;sans-serif"/>
                <w:smallCaps/>
                <w:color w:val="000000"/>
                <w:sz w:val="20"/>
              </w:rPr>
              <w:t>Erica McLaughlin</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1" w:type="dxa"/>
            <w:tcBorders/>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Erica McLaughlin</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1" w:type="dxa"/>
            <w:tcBorders/>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Executive Vice President and Chief Financial Officer</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1" w:type="dxa"/>
            <w:tcBorders/>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(Duly Authorized Officer)</w:t>
            </w:r>
          </w:p>
        </w:tc>
      </w:tr>
      <w:tr>
        <w:trPr/>
        <w:tc>
          <w:tcPr>
            <w:tcW w:w="15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4621" w:type="dxa"/>
            <w:tcBorders/>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4621" w:type="dxa"/>
            <w:tcBorders/>
            <w:vAlign w:val="center"/>
          </w:tcPr>
          <w:p>
            <w:pPr>
              <w:pStyle w:val="TableContents"/>
              <w:bidi w:val="0"/>
              <w:spacing w:before="0" w:after="283"/>
              <w:jc w:val="center"/>
              <w:rPr/>
            </w:pPr>
            <w:r>
              <w:rPr/>
              <w:t> </w:t>
            </w:r>
          </w:p>
        </w:tc>
      </w:tr>
      <w:tr>
        <w:trPr/>
        <w:tc>
          <w:tcPr>
            <w:tcW w:w="157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May 9,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4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w:t>
            </w:r>
            <w:r>
              <w:rPr>
                <w:rFonts w:ascii="Calibri;sans-serif" w:hAnsi="Calibri;sans-serif"/>
                <w:smallCaps/>
                <w:color w:val="000000"/>
                <w:sz w:val="20"/>
              </w:rPr>
              <w:t>s</w:t>
            </w:r>
            <w:r>
              <w:rPr>
                <w:rFonts w:ascii="Calibri;sans-serif" w:hAnsi="Calibri;sans-serif"/>
                <w:color w:val="000000"/>
                <w:sz w:val="20"/>
              </w:rPr>
              <w:t xml:space="preserve">/ </w:t>
            </w:r>
            <w:r>
              <w:rPr>
                <w:rFonts w:ascii="Calibri;sans-serif" w:hAnsi="Calibri;sans-serif"/>
                <w:smallCaps/>
                <w:color w:val="000000"/>
                <w:sz w:val="20"/>
              </w:rPr>
              <w:t>Lisa m. Dumont</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1" w:type="dxa"/>
            <w:tcBorders/>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Lisa M. Dumont</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1" w:type="dxa"/>
            <w:tcBorders/>
            <w:vAlign w:val="center"/>
          </w:tcPr>
          <w:p>
            <w:pPr>
              <w:pStyle w:val="TableContents"/>
              <w:bidi w:val="0"/>
              <w:jc w:val="center"/>
              <w:rPr>
                <w:rFonts w:ascii="Calibri;sans-serif" w:hAnsi="Calibri;sans-serif"/>
                <w:b/>
                <w:color w:val="000000"/>
                <w:sz w:val="20"/>
              </w:rPr>
            </w:pPr>
            <w:r>
              <w:rPr>
                <w:rFonts w:ascii="Calibri;sans-serif" w:hAnsi="Calibri;sans-serif"/>
                <w:b/>
                <w:color w:val="000000"/>
                <w:sz w:val="20"/>
              </w:rPr>
              <w:t>Vice President, Controller and Chief Accounting Officer</w:t>
            </w:r>
          </w:p>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(Chief Accounting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bookmarkStart w:id="16" w:name="cbt-ex31_1.htm"/>
      <w:bookmarkStart w:id="17" w:name="kscbtex31_1"/>
      <w:bookmarkEnd w:id="16"/>
      <w:bookmarkEnd w:id="17"/>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Principal Executive Officer Certification</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Sean D. Keohane, certify that:</w:t>
      </w:r>
    </w:p>
    <w:p>
      <w:pPr>
        <w:pStyle w:val="TextBody"/>
        <w:bidi w:val="0"/>
        <w:spacing w:before="120" w:after="283"/>
        <w:jc w:val="left"/>
        <w:rPr>
          <w:rFonts w:ascii="Calibri" w:hAnsi="Calibri"/>
          <w:color w:val="000000"/>
          <w:sz w:val="20"/>
        </w:rPr>
      </w:pPr>
      <w:r>
        <w:rPr>
          <w:rFonts w:ascii="Calibri" w:hAnsi="Calibri"/>
          <w:color w:val="000000"/>
          <w:sz w:val="20"/>
        </w:rPr>
        <w:t>1.</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I have reviewed this quarterly report on Form 10-Q of Cabot Corporation;</w:t>
      </w:r>
    </w:p>
    <w:p>
      <w:pPr>
        <w:pStyle w:val="TextBody"/>
        <w:bidi w:val="0"/>
        <w:spacing w:before="120" w:after="283"/>
        <w:jc w:val="left"/>
        <w:rPr>
          <w:rFonts w:ascii="Calibri" w:hAnsi="Calibri"/>
          <w:color w:val="000000"/>
          <w:sz w:val="20"/>
        </w:rPr>
      </w:pPr>
      <w:r>
        <w:rPr>
          <w:rFonts w:ascii="Calibri" w:hAnsi="Calibri"/>
          <w:color w:val="000000"/>
          <w:sz w:val="20"/>
        </w:rPr>
        <w:t>2.</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Calibri" w:hAnsi="Calibri"/>
          <w:color w:val="000000"/>
          <w:sz w:val="20"/>
        </w:rPr>
      </w:pPr>
      <w:r>
        <w:rPr>
          <w:rFonts w:ascii="Calibri" w:hAnsi="Calibri"/>
          <w:color w:val="000000"/>
          <w:sz w:val="20"/>
        </w:rPr>
        <w:t>3.</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Calibri" w:hAnsi="Calibri"/>
          <w:color w:val="000000"/>
          <w:sz w:val="20"/>
        </w:rPr>
      </w:pPr>
      <w:r>
        <w:rPr>
          <w:rFonts w:ascii="Calibri" w:hAnsi="Calibri"/>
          <w:color w:val="000000"/>
          <w:sz w:val="20"/>
        </w:rPr>
        <w:t>4.</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Calibri" w:hAnsi="Calibri"/>
          <w:color w:val="000000"/>
          <w:sz w:val="20"/>
        </w:rPr>
      </w:pPr>
      <w:r>
        <w:rPr>
          <w:rFonts w:ascii="Calibri" w:hAnsi="Calibri"/>
          <w:color w:val="000000"/>
          <w:sz w:val="20"/>
        </w:rPr>
        <w:t>c)</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Calibri" w:hAnsi="Calibri"/>
          <w:color w:val="000000"/>
          <w:sz w:val="20"/>
        </w:rPr>
      </w:pPr>
      <w:r>
        <w:rPr>
          <w:rFonts w:ascii="Calibri" w:hAnsi="Calibri"/>
          <w:color w:val="000000"/>
          <w:sz w:val="20"/>
        </w:rPr>
        <w:t>d)</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Calibri" w:hAnsi="Calibri"/>
          <w:color w:val="000000"/>
          <w:sz w:val="20"/>
        </w:rPr>
      </w:pPr>
      <w:r>
        <w:rPr>
          <w:rFonts w:ascii="Calibri" w:hAnsi="Calibri"/>
          <w:color w:val="000000"/>
          <w:sz w:val="20"/>
        </w:rPr>
        <w:t>5.</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790" w:type="dxa"/>
        <w:jc w:val="left"/>
        <w:tblInd w:w="0" w:type="dxa"/>
        <w:tblLayout w:type="fixed"/>
        <w:tblCellMar>
          <w:top w:w="28" w:type="dxa"/>
          <w:left w:w="28" w:type="dxa"/>
          <w:bottom w:w="28" w:type="dxa"/>
          <w:right w:w="28" w:type="dxa"/>
        </w:tblCellMar>
      </w:tblPr>
      <w:tblGrid>
        <w:gridCol w:w="1576"/>
        <w:gridCol w:w="109"/>
        <w:gridCol w:w="109"/>
        <w:gridCol w:w="1996"/>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May 9,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/s/ SEAN KEOHANE</w:t>
            </w:r>
          </w:p>
        </w:tc>
      </w:tr>
      <w:tr>
        <w:trPr/>
        <w:tc>
          <w:tcPr>
            <w:tcW w:w="1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Sean D. Keohane</w:t>
            </w:r>
          </w:p>
        </w:tc>
      </w:tr>
      <w:tr>
        <w:trPr/>
        <w:tc>
          <w:tcPr>
            <w:tcW w:w="1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jc w:val="center"/>
              <w:rPr>
                <w:rFonts w:ascii="Calibri;sans-serif" w:hAnsi="Calibri;sans-serif"/>
                <w:b/>
                <w:color w:val="000000"/>
                <w:sz w:val="20"/>
              </w:rPr>
            </w:pPr>
            <w:r>
              <w:rPr>
                <w:rFonts w:ascii="Calibri;sans-serif" w:hAnsi="Calibri;sans-serif"/>
                <w:b/>
                <w:color w:val="000000"/>
                <w:sz w:val="20"/>
              </w:rPr>
              <w:t>President and</w:t>
            </w:r>
          </w:p>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8" w:name="cbt-ex31_2.htm"/>
      <w:bookmarkStart w:id="19" w:name="kscbtex31_2"/>
      <w:bookmarkEnd w:id="18"/>
      <w:bookmarkEnd w:id="19"/>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31.2</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Principal Financial Officer Certification</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Erica McLaughlin, certify that:</w:t>
      </w:r>
    </w:p>
    <w:p>
      <w:pPr>
        <w:pStyle w:val="TextBody"/>
        <w:bidi w:val="0"/>
        <w:spacing w:before="120" w:after="283"/>
        <w:jc w:val="left"/>
        <w:rPr>
          <w:rFonts w:ascii="Calibri" w:hAnsi="Calibri"/>
          <w:color w:val="000000"/>
          <w:sz w:val="20"/>
        </w:rPr>
      </w:pPr>
      <w:r>
        <w:rPr>
          <w:rFonts w:ascii="Calibri" w:hAnsi="Calibri"/>
          <w:color w:val="000000"/>
          <w:sz w:val="20"/>
        </w:rPr>
        <w:t>1.</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I have reviewed this quarterly report on Form 10-Q of Cabot Corporation;</w:t>
      </w:r>
    </w:p>
    <w:p>
      <w:pPr>
        <w:pStyle w:val="TextBody"/>
        <w:bidi w:val="0"/>
        <w:spacing w:before="120" w:after="283"/>
        <w:jc w:val="left"/>
        <w:rPr>
          <w:rFonts w:ascii="Calibri" w:hAnsi="Calibri"/>
          <w:color w:val="000000"/>
          <w:sz w:val="20"/>
        </w:rPr>
      </w:pPr>
      <w:r>
        <w:rPr>
          <w:rFonts w:ascii="Calibri" w:hAnsi="Calibri"/>
          <w:color w:val="000000"/>
          <w:sz w:val="20"/>
        </w:rPr>
        <w:t>2.</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Calibri" w:hAnsi="Calibri"/>
          <w:color w:val="000000"/>
          <w:sz w:val="20"/>
        </w:rPr>
      </w:pPr>
      <w:r>
        <w:rPr>
          <w:rFonts w:ascii="Calibri" w:hAnsi="Calibri"/>
          <w:color w:val="000000"/>
          <w:sz w:val="20"/>
        </w:rPr>
        <w:t>3.</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Calibri" w:hAnsi="Calibri"/>
          <w:color w:val="000000"/>
          <w:sz w:val="20"/>
        </w:rPr>
      </w:pPr>
      <w:r>
        <w:rPr>
          <w:rFonts w:ascii="Calibri" w:hAnsi="Calibri"/>
          <w:color w:val="000000"/>
          <w:sz w:val="20"/>
        </w:rPr>
        <w:t>4.</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Calibri" w:hAnsi="Calibri"/>
          <w:color w:val="000000"/>
          <w:sz w:val="20"/>
        </w:rPr>
      </w:pPr>
      <w:r>
        <w:rPr>
          <w:rFonts w:ascii="Calibri" w:hAnsi="Calibri"/>
          <w:color w:val="000000"/>
          <w:sz w:val="20"/>
        </w:rPr>
        <w:t>c)</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Calibri" w:hAnsi="Calibri"/>
          <w:color w:val="000000"/>
          <w:sz w:val="20"/>
        </w:rPr>
      </w:pPr>
      <w:r>
        <w:rPr>
          <w:rFonts w:ascii="Calibri" w:hAnsi="Calibri"/>
          <w:color w:val="000000"/>
          <w:sz w:val="20"/>
        </w:rPr>
        <w:t>d)</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Calibri" w:hAnsi="Calibri"/>
          <w:color w:val="000000"/>
          <w:sz w:val="20"/>
        </w:rPr>
      </w:pPr>
      <w:r>
        <w:rPr>
          <w:rFonts w:ascii="Calibri" w:hAnsi="Calibri"/>
          <w:color w:val="000000"/>
          <w:sz w:val="20"/>
        </w:rPr>
        <w:t>5.</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00" w:type="dxa"/>
        <w:jc w:val="left"/>
        <w:tblInd w:w="0" w:type="dxa"/>
        <w:tblLayout w:type="fixed"/>
        <w:tblCellMar>
          <w:top w:w="28" w:type="dxa"/>
          <w:left w:w="28" w:type="dxa"/>
          <w:bottom w:w="28" w:type="dxa"/>
          <w:right w:w="28" w:type="dxa"/>
        </w:tblCellMar>
      </w:tblPr>
      <w:tblGrid>
        <w:gridCol w:w="1576"/>
        <w:gridCol w:w="109"/>
        <w:gridCol w:w="109"/>
        <w:gridCol w:w="2506"/>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May 9,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smallCaps/>
                <w:color w:val="000000"/>
                <w:sz w:val="20"/>
              </w:rPr>
            </w:pPr>
            <w:r>
              <w:rPr>
                <w:rFonts w:ascii="Calibri;sans-serif" w:hAnsi="Calibri;sans-serif"/>
                <w:smallCaps/>
                <w:color w:val="000000"/>
                <w:sz w:val="20"/>
              </w:rPr>
              <w:t>/s/ Erica McLaughlin</w:t>
            </w:r>
          </w:p>
        </w:tc>
      </w:tr>
      <w:tr>
        <w:trPr/>
        <w:tc>
          <w:tcPr>
            <w:tcW w:w="1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Erica McLaughlin</w:t>
            </w:r>
          </w:p>
        </w:tc>
      </w:tr>
      <w:tr>
        <w:trPr/>
        <w:tc>
          <w:tcPr>
            <w:tcW w:w="1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jc w:val="center"/>
              <w:rPr>
                <w:rFonts w:ascii="Calibri;sans-serif" w:hAnsi="Calibri;sans-serif"/>
                <w:b/>
                <w:color w:val="000000"/>
                <w:sz w:val="20"/>
              </w:rPr>
            </w:pPr>
            <w:r>
              <w:rPr>
                <w:rFonts w:ascii="Calibri;sans-serif" w:hAnsi="Calibri;sans-serif"/>
                <w:b/>
                <w:color w:val="000000"/>
                <w:sz w:val="20"/>
              </w:rPr>
              <w:t>Executive Vice President and</w:t>
            </w:r>
          </w:p>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cbt-ex32.htm"/>
      <w:bookmarkStart w:id="21" w:name="kscbtex32"/>
      <w:bookmarkEnd w:id="20"/>
      <w:bookmarkEnd w:id="21"/>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32</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Certifications Pursuant to 18 U.S.C. Section 1350,</w:t>
      </w:r>
    </w:p>
    <w:p>
      <w:pPr>
        <w:pStyle w:val="TextBody"/>
        <w:bidi w:val="0"/>
        <w:jc w:val="center"/>
        <w:rPr>
          <w:rFonts w:ascii="Calibri;sans-serif" w:hAnsi="Calibri;sans-serif"/>
          <w:b/>
          <w:color w:val="000000"/>
          <w:sz w:val="20"/>
        </w:rPr>
      </w:pPr>
      <w:r>
        <w:rPr>
          <w:rFonts w:ascii="Calibri;sans-serif" w:hAnsi="Calibri;sans-serif"/>
          <w:b/>
          <w:color w:val="000000"/>
          <w:sz w:val="20"/>
        </w:rPr>
        <w:t>as Adopted Pursuant to Section 906 of the</w:t>
      </w:r>
    </w:p>
    <w:p>
      <w:pPr>
        <w:pStyle w:val="TextBody"/>
        <w:bidi w:val="0"/>
        <w:jc w:val="center"/>
        <w:rPr>
          <w:rFonts w:ascii="Calibri;sans-serif" w:hAnsi="Calibri;sans-serif"/>
          <w:b/>
          <w:color w:val="000000"/>
          <w:sz w:val="20"/>
        </w:rPr>
      </w:pPr>
      <w:r>
        <w:rPr>
          <w:rFonts w:ascii="Calibri;sans-serif" w:hAnsi="Calibri;sans-serif"/>
          <w:b/>
          <w:color w:val="000000"/>
          <w:sz w:val="20"/>
        </w:rPr>
        <w:t>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In connection with the filing of the Quarterly Report on Form 10-Q for the quarter ended March 31, 2024 (the “Report”) by Cabot Corporation (the “Company”), each of the undersigned hereby certifies pursuant to 18 U.S.C. Section 1350, as adopted pursuant to Section 906 of the Sarbanes-Oxley Act of 2002, that, to his knowledge:</w:t>
      </w:r>
    </w:p>
    <w:p>
      <w:pPr>
        <w:pStyle w:val="TextBody"/>
        <w:bidi w:val="0"/>
        <w:spacing w:before="120" w:after="283"/>
        <w:jc w:val="left"/>
        <w:rPr>
          <w:rFonts w:ascii="Calibri" w:hAnsi="Calibri"/>
          <w:color w:val="000000"/>
          <w:sz w:val="20"/>
        </w:rPr>
      </w:pPr>
      <w:r>
        <w:rPr>
          <w:rFonts w:ascii="Calibri" w:hAnsi="Calibri"/>
          <w:color w:val="000000"/>
          <w:sz w:val="20"/>
        </w:rPr>
        <w:t>1.</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Report fully complies with the requirements of section 13 (a) or 15 (d) of the Securities Exchange Act of 1934, as amended; and</w:t>
      </w:r>
    </w:p>
    <w:p>
      <w:pPr>
        <w:pStyle w:val="TextBody"/>
        <w:bidi w:val="0"/>
        <w:spacing w:before="120" w:after="283"/>
        <w:jc w:val="left"/>
        <w:rPr>
          <w:rFonts w:ascii="Calibri" w:hAnsi="Calibri"/>
          <w:color w:val="000000"/>
          <w:sz w:val="20"/>
        </w:rPr>
      </w:pPr>
      <w:r>
        <w:rPr>
          <w:rFonts w:ascii="Calibri" w:hAnsi="Calibri"/>
          <w:color w:val="000000"/>
          <w:sz w:val="20"/>
        </w:rPr>
        <w:t>2.</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03" w:type="dxa"/>
        <w:jc w:val="left"/>
        <w:tblInd w:w="0" w:type="dxa"/>
        <w:tblLayout w:type="fixed"/>
        <w:tblCellMar>
          <w:top w:w="28" w:type="dxa"/>
          <w:left w:w="28" w:type="dxa"/>
          <w:bottom w:w="28" w:type="dxa"/>
          <w:right w:w="28" w:type="dxa"/>
        </w:tblCellMar>
      </w:tblPr>
      <w:tblGrid>
        <w:gridCol w:w="1576"/>
        <w:gridCol w:w="146"/>
        <w:gridCol w:w="318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May 9, 2024</w:t>
            </w:r>
          </w:p>
        </w:tc>
        <w:tc>
          <w:tcPr>
            <w:tcW w:w="146" w:type="dxa"/>
            <w:tcBorders/>
            <w:vAlign w:val="center"/>
          </w:tcPr>
          <w:p>
            <w:pPr>
              <w:pStyle w:val="TableContents"/>
              <w:bidi w:val="0"/>
              <w:spacing w:before="0" w:after="283"/>
              <w:jc w:val="center"/>
              <w:rPr/>
            </w:pPr>
            <w:r>
              <w:rPr/>
              <w:t> </w:t>
            </w:r>
          </w:p>
        </w:tc>
        <w:tc>
          <w:tcPr>
            <w:tcW w:w="31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smallCaps/>
                <w:color w:val="000000"/>
                <w:sz w:val="20"/>
              </w:rPr>
              <w:t>/</w:t>
            </w:r>
            <w:r>
              <w:rPr>
                <w:rFonts w:ascii="Calibri;sans-serif" w:hAnsi="Calibri;sans-serif"/>
                <w:color w:val="000000"/>
                <w:sz w:val="20"/>
              </w:rPr>
              <w:t>s</w:t>
            </w:r>
            <w:r>
              <w:rPr>
                <w:rFonts w:ascii="Calibri;sans-serif" w:hAnsi="Calibri;sans-serif"/>
                <w:smallCaps/>
                <w:color w:val="000000"/>
                <w:sz w:val="20"/>
              </w:rPr>
              <w:t>/ Sean D. Keohane</w:t>
            </w:r>
          </w:p>
        </w:tc>
      </w:tr>
      <w:tr>
        <w:trPr/>
        <w:tc>
          <w:tcPr>
            <w:tcW w:w="15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181" w:type="dxa"/>
            <w:tcBorders/>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Sean D. Keohane</w:t>
            </w:r>
          </w:p>
        </w:tc>
      </w:tr>
      <w:tr>
        <w:trPr/>
        <w:tc>
          <w:tcPr>
            <w:tcW w:w="15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3181" w:type="dxa"/>
            <w:tcBorders/>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President and Chief Executive Officer</w:t>
            </w:r>
          </w:p>
        </w:tc>
      </w:tr>
      <w:tr>
        <w:trPr/>
        <w:tc>
          <w:tcPr>
            <w:tcW w:w="15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81" w:type="dxa"/>
            <w:tcBorders/>
            <w:vAlign w:val="center"/>
          </w:tcPr>
          <w:p>
            <w:pPr>
              <w:pStyle w:val="TableContents"/>
              <w:bidi w:val="0"/>
              <w:spacing w:before="0" w:after="283"/>
              <w:jc w:val="left"/>
              <w:rPr/>
            </w:pPr>
            <w:r>
              <w:rPr/>
              <w:t> </w:t>
            </w:r>
          </w:p>
        </w:tc>
      </w:tr>
      <w:tr>
        <w:trPr/>
        <w:tc>
          <w:tcPr>
            <w:tcW w:w="157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May 9, 2024</w:t>
            </w:r>
          </w:p>
        </w:tc>
        <w:tc>
          <w:tcPr>
            <w:tcW w:w="146" w:type="dxa"/>
            <w:tcBorders/>
            <w:vAlign w:val="center"/>
          </w:tcPr>
          <w:p>
            <w:pPr>
              <w:pStyle w:val="TableContents"/>
              <w:bidi w:val="0"/>
              <w:spacing w:before="0" w:after="283"/>
              <w:jc w:val="center"/>
              <w:rPr/>
            </w:pPr>
            <w:r>
              <w:rPr/>
              <w:t> </w:t>
            </w:r>
          </w:p>
        </w:tc>
        <w:tc>
          <w:tcPr>
            <w:tcW w:w="31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 xml:space="preserve">/s/ </w:t>
            </w:r>
            <w:r>
              <w:rPr>
                <w:rFonts w:ascii="Calibri;sans-serif" w:hAnsi="Calibri;sans-serif"/>
                <w:smallCaps/>
                <w:color w:val="000000"/>
                <w:sz w:val="20"/>
              </w:rPr>
              <w:t>Erica McLaughlin</w:t>
            </w:r>
          </w:p>
        </w:tc>
      </w:tr>
      <w:tr>
        <w:trPr/>
        <w:tc>
          <w:tcPr>
            <w:tcW w:w="15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181" w:type="dxa"/>
            <w:tcBorders/>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Erica McLaughlin</w:t>
            </w:r>
          </w:p>
        </w:tc>
      </w:tr>
      <w:tr>
        <w:trPr/>
        <w:tc>
          <w:tcPr>
            <w:tcW w:w="15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181" w:type="dxa"/>
            <w:tcBorders/>
            <w:vAlign w:val="center"/>
          </w:tcPr>
          <w:p>
            <w:pPr>
              <w:pStyle w:val="TableContents"/>
              <w:bidi w:val="0"/>
              <w:jc w:val="center"/>
              <w:rPr>
                <w:rFonts w:ascii="Calibri;sans-serif" w:hAnsi="Calibri;sans-serif"/>
                <w:b/>
                <w:color w:val="000000"/>
                <w:sz w:val="20"/>
              </w:rPr>
            </w:pPr>
            <w:r>
              <w:rPr>
                <w:rFonts w:ascii="Calibri;sans-serif" w:hAnsi="Calibri;sans-serif"/>
                <w:b/>
                <w:color w:val="000000"/>
                <w:sz w:val="20"/>
              </w:rPr>
              <w:t>Executive Vice President and</w:t>
            </w:r>
          </w:p>
          <w:p>
            <w:pPr>
              <w:pStyle w:val="TableContents"/>
              <w:bidi w:val="0"/>
              <w:spacing w:before="0" w:after="20"/>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40/000119312509022614/dex31.htm" TargetMode="External"/><Relationship Id="rId3" Type="http://schemas.openxmlformats.org/officeDocument/2006/relationships/hyperlink" Target="https://www.sec.gov/Archives/edgar/data/16040/000119312523145078/d511497d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16167</Words>
  <Characters>85892</Characters>
  <CharactersWithSpaces>103878</CharactersWithSpaces>
  <Paragraphs>6898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