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Nathoo Raffiq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CABOT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SEAPORT LANE,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CABOT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6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360.8113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360.8113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76.91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2,249.8641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will be settled in cash either upon the reporting person's termination of service as a director or in accordance with the distribution election of the reporting person, whichever first occurs.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Mazda Cintron, pursuant to a power of attorney from Raffiq Nathoo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7730" TargetMode="External"/><Relationship Id="rId5" Type="http://schemas.openxmlformats.org/officeDocument/2006/relationships/hyperlink" Target="http://www.sec.gov/cgi-bin/browse-edgar?action=getcompany&amp;CIK=000001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3313</Characters>
  <CharactersWithSpaces>3855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