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850900</wp:posOffset>
            </wp:positionH>
            <wp:positionV relativeFrom="page">
              <wp:posOffset>723265</wp:posOffset>
            </wp:positionV>
            <wp:extent cx="64890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17145"/>
                    </a:xfrm>
                    <a:prstGeom prst="rect">
                      <a:avLst/>
                    </a:prstGeom>
                    <a:noFill/>
                  </pic:spPr>
                </pic:pic>
              </a:graphicData>
            </a:graphic>
          </wp:anchor>
        </w:drawing>
        <w:t>UNITED STATES</w:t>
      </w:r>
    </w:p>
    <w:p>
      <w:pPr>
        <w:spacing w:after="0" w:line="1"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55"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ind w:left="3980" w:right="2620" w:hanging="3308"/>
        <w:spacing w:after="0" w:line="331" w:lineRule="auto"/>
        <w:tabs>
          <w:tab w:leader="none" w:pos="119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QUARTERLY REPORT PURSUANT TO SECTION 13 OR 15(d) OF THE SECURITIES EXCHANGE ACT OF 1934 For the quarterly period ended June 30, 2024</w:t>
      </w:r>
    </w:p>
    <w:p>
      <w:pPr>
        <w:jc w:val="center"/>
        <w:ind w:right="-99"/>
        <w:spacing w:after="0" w:line="236" w:lineRule="auto"/>
        <w:rPr>
          <w:sz w:val="20"/>
          <w:szCs w:val="20"/>
          <w:color w:val="auto"/>
        </w:rPr>
      </w:pPr>
      <w:r>
        <w:rPr>
          <w:rFonts w:ascii="Calibri" w:cs="Calibri" w:eastAsia="Calibri" w:hAnsi="Calibri"/>
          <w:sz w:val="18"/>
          <w:szCs w:val="18"/>
          <w:b w:val="1"/>
          <w:bCs w:val="1"/>
          <w:color w:val="auto"/>
        </w:rPr>
        <w:t>or</w:t>
      </w:r>
    </w:p>
    <w:p>
      <w:pPr>
        <w:spacing w:after="0" w:line="91"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b w:val="1"/>
          <w:bCs w:val="1"/>
          <w:color w:val="auto"/>
        </w:rPr>
        <w:t>TRANSITION REPORT PURSUANT TO SECTION 13 OR 15(d) OF THE SECURITIES EXCHANGE ACT OF 1934</w:t>
      </w:r>
    </w:p>
    <w:p>
      <w:pPr>
        <w:spacing w:after="0" w:line="60" w:lineRule="exact"/>
        <w:rPr>
          <w:sz w:val="24"/>
          <w:szCs w:val="24"/>
          <w:color w:val="auto"/>
        </w:rPr>
      </w:pPr>
    </w:p>
    <w:tbl>
      <w:tblPr>
        <w:tblLayout w:type="fixed"/>
        <w:tblInd w:w="360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Calibri" w:cs="Calibri" w:eastAsia="Calibri" w:hAnsi="Calibri"/>
                <w:sz w:val="18"/>
                <w:szCs w:val="18"/>
                <w:b w:val="1"/>
                <w:bCs w:val="1"/>
                <w:color w:val="auto"/>
              </w:rPr>
              <w:t>For the transiton period from</w:t>
            </w:r>
          </w:p>
        </w:tc>
        <w:tc>
          <w:tcPr>
            <w:tcW w:w="800" w:type="dxa"/>
            <w:vAlign w:val="bottom"/>
            <w:tcBorders>
              <w:bottom w:val="single" w:sz="8" w:color="auto"/>
            </w:tcBorders>
          </w:tcPr>
          <w:p>
            <w:pPr>
              <w:spacing w:after="0"/>
              <w:rPr>
                <w:sz w:val="19"/>
                <w:szCs w:val="19"/>
                <w:color w:val="auto"/>
              </w:rPr>
            </w:pPr>
          </w:p>
        </w:tc>
        <w:tc>
          <w:tcPr>
            <w:tcW w:w="180" w:type="dxa"/>
            <w:vAlign w:val="bottom"/>
          </w:tcPr>
          <w:p>
            <w:pPr>
              <w:ind w:left="40"/>
              <w:spacing w:after="0"/>
              <w:rPr>
                <w:sz w:val="20"/>
                <w:szCs w:val="20"/>
                <w:color w:val="auto"/>
              </w:rPr>
            </w:pPr>
            <w:r>
              <w:rPr>
                <w:rFonts w:ascii="Calibri" w:cs="Calibri" w:eastAsia="Calibri" w:hAnsi="Calibri"/>
                <w:sz w:val="18"/>
                <w:szCs w:val="18"/>
                <w:b w:val="1"/>
                <w:bCs w:val="1"/>
                <w:color w:val="auto"/>
                <w:w w:val="75"/>
              </w:rPr>
              <w:t>to</w:t>
            </w:r>
          </w:p>
        </w:tc>
      </w:tr>
      <w:tr>
        <w:trPr>
          <w:trHeight w:val="308"/>
        </w:trPr>
        <w:tc>
          <w:tcPr>
            <w:tcW w:w="3200" w:type="dxa"/>
            <w:vAlign w:val="bottom"/>
            <w:gridSpan w:val="3"/>
          </w:tcPr>
          <w:p>
            <w:pPr>
              <w:ind w:left="860"/>
              <w:spacing w:after="0"/>
              <w:rPr>
                <w:sz w:val="20"/>
                <w:szCs w:val="20"/>
                <w:color w:val="auto"/>
              </w:rPr>
            </w:pPr>
            <w:r>
              <w:rPr>
                <w:rFonts w:ascii="Calibri" w:cs="Calibri" w:eastAsia="Calibri" w:hAnsi="Calibri"/>
                <w:sz w:val="18"/>
                <w:szCs w:val="18"/>
                <w:b w:val="1"/>
                <w:bCs w:val="1"/>
                <w:color w:val="auto"/>
                <w:w w:val="99"/>
              </w:rPr>
              <w:t>Commission fle number 1-5667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1660" w:type="dxa"/>
        <w:tblCellMar>
          <w:top w:w="0" w:type="dxa"/>
          <w:left w:w="0" w:type="dxa"/>
          <w:bottom w:w="0" w:type="dxa"/>
          <w:right w:w="0" w:type="dxa"/>
        </w:tblCellMar>
      </w:tblPr>
      <w:tr>
        <w:trPr>
          <w:trHeight w:val="525"/>
        </w:trPr>
        <w:tc>
          <w:tcPr>
            <w:tcW w:w="6020" w:type="dxa"/>
            <w:vAlign w:val="bottom"/>
            <w:gridSpan w:val="3"/>
          </w:tcPr>
          <w:p>
            <w:pPr>
              <w:jc w:val="center"/>
              <w:ind w:left="1821"/>
              <w:spacing w:after="0"/>
              <w:rPr>
                <w:sz w:val="20"/>
                <w:szCs w:val="20"/>
                <w:color w:val="auto"/>
              </w:rPr>
            </w:pPr>
            <w:r>
              <w:rPr>
                <w:rFonts w:ascii="Calibri" w:cs="Calibri" w:eastAsia="Calibri" w:hAnsi="Calibri"/>
                <w:sz w:val="43"/>
                <w:szCs w:val="43"/>
                <w:b w:val="1"/>
                <w:bCs w:val="1"/>
                <w:color w:val="auto"/>
              </w:rPr>
              <w:t>Cabot Corporaton</w:t>
            </w:r>
          </w:p>
        </w:tc>
        <w:tc>
          <w:tcPr>
            <w:tcW w:w="1300" w:type="dxa"/>
            <w:vAlign w:val="bottom"/>
          </w:tcPr>
          <w:p>
            <w:pPr>
              <w:spacing w:after="0"/>
              <w:rPr>
                <w:sz w:val="24"/>
                <w:szCs w:val="24"/>
                <w:color w:val="auto"/>
              </w:rPr>
            </w:pPr>
          </w:p>
        </w:tc>
      </w:tr>
      <w:tr>
        <w:trPr>
          <w:trHeight w:val="247"/>
        </w:trPr>
        <w:tc>
          <w:tcPr>
            <w:tcW w:w="6020" w:type="dxa"/>
            <w:vAlign w:val="bottom"/>
            <w:gridSpan w:val="3"/>
          </w:tcPr>
          <w:p>
            <w:pPr>
              <w:jc w:val="center"/>
              <w:ind w:left="1801"/>
              <w:spacing w:after="0"/>
              <w:rPr>
                <w:sz w:val="20"/>
                <w:szCs w:val="20"/>
                <w:color w:val="auto"/>
              </w:rPr>
            </w:pPr>
            <w:r>
              <w:rPr>
                <w:rFonts w:ascii="Calibri" w:cs="Calibri" w:eastAsia="Calibri" w:hAnsi="Calibri"/>
                <w:sz w:val="18"/>
                <w:szCs w:val="18"/>
                <w:b w:val="1"/>
                <w:bCs w:val="1"/>
                <w:color w:val="auto"/>
                <w:w w:val="98"/>
              </w:rPr>
              <w:t>(Exact name of registrant as specifed in its charter)</w:t>
            </w:r>
          </w:p>
        </w:tc>
        <w:tc>
          <w:tcPr>
            <w:tcW w:w="1300" w:type="dxa"/>
            <w:vAlign w:val="bottom"/>
          </w:tcPr>
          <w:p>
            <w:pPr>
              <w:spacing w:after="0"/>
              <w:rPr>
                <w:sz w:val="21"/>
                <w:szCs w:val="21"/>
                <w:color w:val="auto"/>
              </w:rPr>
            </w:pPr>
          </w:p>
        </w:tc>
      </w:tr>
      <w:tr>
        <w:trPr>
          <w:trHeight w:val="145"/>
        </w:trPr>
        <w:tc>
          <w:tcPr>
            <w:tcW w:w="28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416"/>
        </w:trPr>
        <w:tc>
          <w:tcPr>
            <w:tcW w:w="6020" w:type="dxa"/>
            <w:vAlign w:val="bottom"/>
            <w:gridSpan w:val="3"/>
          </w:tcPr>
          <w:p>
            <w:pPr>
              <w:jc w:val="center"/>
              <w:ind w:right="3700"/>
              <w:spacing w:after="0"/>
              <w:rPr>
                <w:sz w:val="20"/>
                <w:szCs w:val="20"/>
                <w:color w:val="auto"/>
              </w:rPr>
            </w:pPr>
            <w:r>
              <w:rPr>
                <w:rFonts w:ascii="Calibri" w:cs="Calibri" w:eastAsia="Calibri" w:hAnsi="Calibri"/>
                <w:sz w:val="18"/>
                <w:szCs w:val="18"/>
                <w:b w:val="1"/>
                <w:bCs w:val="1"/>
                <w:color w:val="auto"/>
                <w:w w:val="95"/>
              </w:rPr>
              <w:t>Delaware</w:t>
            </w:r>
          </w:p>
        </w:tc>
        <w:tc>
          <w:tcPr>
            <w:tcW w:w="1300" w:type="dxa"/>
            <w:vAlign w:val="bottom"/>
          </w:tcPr>
          <w:p>
            <w:pPr>
              <w:jc w:val="center"/>
              <w:ind w:left="121"/>
              <w:spacing w:after="0"/>
              <w:rPr>
                <w:sz w:val="20"/>
                <w:szCs w:val="20"/>
                <w:color w:val="auto"/>
              </w:rPr>
            </w:pPr>
            <w:r>
              <w:rPr>
                <w:rFonts w:ascii="Calibri" w:cs="Calibri" w:eastAsia="Calibri" w:hAnsi="Calibri"/>
                <w:sz w:val="18"/>
                <w:szCs w:val="18"/>
                <w:b w:val="1"/>
                <w:bCs w:val="1"/>
                <w:color w:val="auto"/>
                <w:w w:val="98"/>
              </w:rPr>
              <w:t>04-2271897</w:t>
            </w:r>
          </w:p>
        </w:tc>
      </w:tr>
      <w:tr>
        <w:trPr>
          <w:trHeight w:val="206"/>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(State or other jurisdicton of</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incorporaton or organizaton)</w:t>
            </w:r>
          </w:p>
        </w:tc>
        <w:tc>
          <w:tcPr>
            <w:tcW w:w="1300" w:type="dxa"/>
            <w:vAlign w:val="bottom"/>
          </w:tcPr>
          <w:p>
            <w:pPr>
              <w:jc w:val="center"/>
              <w:ind w:left="141"/>
              <w:spacing w:after="0"/>
              <w:rPr>
                <w:sz w:val="20"/>
                <w:szCs w:val="20"/>
                <w:color w:val="auto"/>
              </w:rPr>
            </w:pPr>
            <w:r>
              <w:rPr>
                <w:rFonts w:ascii="Calibri" w:cs="Calibri" w:eastAsia="Calibri" w:hAnsi="Calibri"/>
                <w:sz w:val="14"/>
                <w:szCs w:val="14"/>
                <w:b w:val="1"/>
                <w:bCs w:val="1"/>
                <w:color w:val="auto"/>
              </w:rPr>
              <w:t>Identfcaton No.)</w:t>
            </w:r>
          </w:p>
        </w:tc>
      </w:tr>
      <w:tr>
        <w:trPr>
          <w:trHeight w:val="348"/>
        </w:trPr>
        <w:tc>
          <w:tcPr>
            <w:tcW w:w="6020" w:type="dxa"/>
            <w:vAlign w:val="bottom"/>
            <w:gridSpan w:val="3"/>
          </w:tcPr>
          <w:p>
            <w:pPr>
              <w:jc w:val="center"/>
              <w:ind w:right="3700"/>
              <w:spacing w:after="0"/>
              <w:rPr>
                <w:sz w:val="20"/>
                <w:szCs w:val="20"/>
                <w:color w:val="auto"/>
              </w:rPr>
            </w:pPr>
            <w:r>
              <w:rPr>
                <w:rFonts w:ascii="Calibri" w:cs="Calibri" w:eastAsia="Calibri" w:hAnsi="Calibri"/>
                <w:sz w:val="18"/>
                <w:szCs w:val="18"/>
                <w:b w:val="1"/>
                <w:bCs w:val="1"/>
                <w:color w:val="auto"/>
                <w:w w:val="97"/>
              </w:rPr>
              <w:t>Two Seaport Lane, Suite 1400</w:t>
            </w:r>
          </w:p>
        </w:tc>
        <w:tc>
          <w:tcPr>
            <w:tcW w:w="1300" w:type="dxa"/>
            <w:vAlign w:val="bottom"/>
          </w:tcPr>
          <w:p>
            <w:pPr>
              <w:spacing w:after="0"/>
              <w:rPr>
                <w:sz w:val="24"/>
                <w:szCs w:val="24"/>
                <w:color w:val="auto"/>
              </w:rPr>
            </w:pPr>
          </w:p>
        </w:tc>
      </w:tr>
      <w:tr>
        <w:trPr>
          <w:trHeight w:val="216"/>
        </w:trPr>
        <w:tc>
          <w:tcPr>
            <w:tcW w:w="6020" w:type="dxa"/>
            <w:vAlign w:val="bottom"/>
            <w:gridSpan w:val="3"/>
          </w:tcPr>
          <w:p>
            <w:pPr>
              <w:jc w:val="center"/>
              <w:ind w:right="3720"/>
              <w:spacing w:after="0" w:line="216" w:lineRule="exact"/>
              <w:rPr>
                <w:sz w:val="20"/>
                <w:szCs w:val="20"/>
                <w:color w:val="auto"/>
              </w:rPr>
            </w:pPr>
            <w:r>
              <w:rPr>
                <w:rFonts w:ascii="Calibri" w:cs="Calibri" w:eastAsia="Calibri" w:hAnsi="Calibri"/>
                <w:sz w:val="18"/>
                <w:szCs w:val="18"/>
                <w:b w:val="1"/>
                <w:bCs w:val="1"/>
                <w:color w:val="auto"/>
              </w:rPr>
              <w:t>Boston, Massachusets</w:t>
            </w:r>
          </w:p>
        </w:tc>
        <w:tc>
          <w:tcPr>
            <w:tcW w:w="1300" w:type="dxa"/>
            <w:vAlign w:val="bottom"/>
          </w:tcPr>
          <w:p>
            <w:pPr>
              <w:jc w:val="center"/>
              <w:ind w:left="121"/>
              <w:spacing w:after="0" w:line="216" w:lineRule="exact"/>
              <w:rPr>
                <w:sz w:val="20"/>
                <w:szCs w:val="20"/>
                <w:color w:val="auto"/>
              </w:rPr>
            </w:pPr>
            <w:r>
              <w:rPr>
                <w:rFonts w:ascii="Calibri" w:cs="Calibri" w:eastAsia="Calibri" w:hAnsi="Calibri"/>
                <w:sz w:val="18"/>
                <w:szCs w:val="18"/>
                <w:b w:val="1"/>
                <w:bCs w:val="1"/>
                <w:color w:val="auto"/>
                <w:w w:val="98"/>
              </w:rPr>
              <w:t>02210-2019</w:t>
            </w:r>
          </w:p>
        </w:tc>
      </w:tr>
      <w:tr>
        <w:trPr>
          <w:trHeight w:val="206"/>
        </w:trPr>
        <w:tc>
          <w:tcPr>
            <w:tcW w:w="6020" w:type="dxa"/>
            <w:vAlign w:val="bottom"/>
            <w:gridSpan w:val="3"/>
          </w:tcPr>
          <w:p>
            <w:pPr>
              <w:jc w:val="center"/>
              <w:ind w:right="3720"/>
              <w:spacing w:after="0"/>
              <w:rPr>
                <w:sz w:val="20"/>
                <w:szCs w:val="20"/>
                <w:color w:val="auto"/>
              </w:rPr>
            </w:pPr>
            <w:r>
              <w:rPr>
                <w:rFonts w:ascii="Calibri" w:cs="Calibri" w:eastAsia="Calibri" w:hAnsi="Calibri"/>
                <w:sz w:val="14"/>
                <w:szCs w:val="14"/>
                <w:b w:val="1"/>
                <w:bCs w:val="1"/>
                <w:color w:val="auto"/>
              </w:rPr>
              <w:t>(Address of principal executve ofces)</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(Zip Code)</w:t>
            </w:r>
          </w:p>
        </w:tc>
      </w:tr>
    </w:tbl>
    <w:p>
      <w:pPr>
        <w:spacing w:after="0" w:line="87"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Calibri" w:cs="Calibri" w:eastAsia="Calibri" w:hAnsi="Calibri"/>
          <w:sz w:val="17"/>
          <w:szCs w:val="17"/>
          <w:color w:val="auto"/>
        </w:rPr>
        <w:t>Securites registered pursuant to Secton 12(b) of the Securites Exchange Act of 1934:</w:t>
      </w:r>
    </w:p>
    <w:p>
      <w:pPr>
        <w:spacing w:after="0" w:line="83" w:lineRule="exact"/>
        <w:rPr>
          <w:sz w:val="24"/>
          <w:szCs w:val="24"/>
          <w:color w:val="auto"/>
        </w:rPr>
      </w:pPr>
    </w:p>
    <w:tbl>
      <w:tblPr>
        <w:tblLayout w:type="fixed"/>
        <w:tblInd w:w="590" w:type="dxa"/>
        <w:tblCellMar>
          <w:top w:w="0" w:type="dxa"/>
          <w:left w:w="0" w:type="dxa"/>
          <w:bottom w:w="0" w:type="dxa"/>
          <w:right w:w="0" w:type="dxa"/>
        </w:tblCellMar>
      </w:tblPr>
      <w:tr>
        <w:trPr>
          <w:trHeight w:val="232"/>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w w:val="98"/>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174"/>
        </w:trPr>
        <w:tc>
          <w:tcPr>
            <w:tcW w:w="3680" w:type="dxa"/>
            <w:vAlign w:val="bottom"/>
            <w:tcBorders>
              <w:left w:val="single" w:sz="8" w:color="auto"/>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Common Stock, $1 par value per share</w:t>
            </w:r>
          </w:p>
        </w:tc>
        <w:tc>
          <w:tcPr>
            <w:tcW w:w="21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CBT</w:t>
            </w:r>
          </w:p>
        </w:tc>
        <w:tc>
          <w:tcPr>
            <w:tcW w:w="42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w w:val="99"/>
              </w:rPr>
              <w:t>The New York Stock Exchange</w:t>
            </w:r>
          </w:p>
        </w:tc>
      </w:tr>
      <w:tr>
        <w:trPr>
          <w:trHeight w:val="33"/>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pacing w:after="0" w:line="54" w:lineRule="exact"/>
        <w:rPr>
          <w:sz w:val="24"/>
          <w:szCs w:val="24"/>
          <w:color w:val="auto"/>
        </w:rPr>
      </w:pPr>
    </w:p>
    <w:p>
      <w:pPr>
        <w:ind w:right="60" w:firstLine="562"/>
        <w:spacing w:after="0" w:line="224" w:lineRule="exact"/>
        <w:rPr>
          <w:sz w:val="20"/>
          <w:szCs w:val="20"/>
          <w:color w:val="auto"/>
        </w:rPr>
      </w:pPr>
      <w:r>
        <w:rPr>
          <w:rFonts w:ascii="Calibri" w:cs="Calibri" w:eastAsia="Calibri" w:hAnsi="Calibri"/>
          <w:sz w:val="17"/>
          <w:szCs w:val="17"/>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44" w:lineRule="exact"/>
        <w:rPr>
          <w:sz w:val="24"/>
          <w:szCs w:val="24"/>
          <w:color w:val="auto"/>
        </w:rPr>
      </w:pPr>
    </w:p>
    <w:p>
      <w:pPr>
        <w:jc w:val="both"/>
        <w:ind w:firstLine="562"/>
        <w:spacing w:after="0" w:line="224" w:lineRule="exact"/>
        <w:rPr>
          <w:sz w:val="20"/>
          <w:szCs w:val="20"/>
          <w:color w:val="auto"/>
        </w:rPr>
      </w:pPr>
      <w:r>
        <w:rPr>
          <w:rFonts w:ascii="Calibri" w:cs="Calibri" w:eastAsia="Calibri" w:hAnsi="Calibri"/>
          <w:sz w:val="17"/>
          <w:szCs w:val="17"/>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44" w:lineRule="exact"/>
        <w:rPr>
          <w:sz w:val="24"/>
          <w:szCs w:val="24"/>
          <w:color w:val="auto"/>
        </w:rPr>
      </w:pPr>
    </w:p>
    <w:p>
      <w:pPr>
        <w:jc w:val="both"/>
        <w:ind w:right="40" w:firstLine="469"/>
        <w:spacing w:after="0" w:line="234" w:lineRule="auto"/>
        <w:rPr>
          <w:sz w:val="20"/>
          <w:szCs w:val="20"/>
          <w:color w:val="auto"/>
        </w:rPr>
      </w:pPr>
      <w:r>
        <w:rPr>
          <w:rFonts w:ascii="Calibri" w:cs="Calibri" w:eastAsia="Calibri" w:hAnsi="Calibri"/>
          <w:sz w:val="17"/>
          <w:szCs w:val="17"/>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220" w:type="dxa"/>
            <w:vAlign w:val="bottom"/>
          </w:tcPr>
          <w:p>
            <w:pPr>
              <w:spacing w:after="0"/>
              <w:rPr>
                <w:sz w:val="20"/>
                <w:szCs w:val="20"/>
                <w:color w:val="auto"/>
              </w:rPr>
            </w:pPr>
            <w:r>
              <w:rPr>
                <w:rFonts w:ascii="Calibri" w:cs="Calibri" w:eastAsia="Calibri" w:hAnsi="Calibri"/>
                <w:sz w:val="17"/>
                <w:szCs w:val="17"/>
                <w:color w:val="auto"/>
              </w:rPr>
              <w:t>Large 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Accelerated fler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2"/>
        </w:trPr>
        <w:tc>
          <w:tcPr>
            <w:tcW w:w="2220" w:type="dxa"/>
            <w:vAlign w:val="bottom"/>
          </w:tcPr>
          <w:p>
            <w:pPr>
              <w:spacing w:after="0"/>
              <w:rPr>
                <w:sz w:val="20"/>
                <w:szCs w:val="20"/>
                <w:color w:val="auto"/>
              </w:rPr>
            </w:pPr>
            <w:r>
              <w:rPr>
                <w:rFonts w:ascii="Calibri" w:cs="Calibri" w:eastAsia="Calibri" w:hAnsi="Calibri"/>
                <w:sz w:val="17"/>
                <w:szCs w:val="17"/>
                <w:color w:val="auto"/>
              </w:rPr>
              <w:t>Non-accelerated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Smaller reportng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4"/>
        </w:trPr>
        <w:tc>
          <w:tcPr>
            <w:tcW w:w="2220" w:type="dxa"/>
            <w:vAlign w:val="bottom"/>
          </w:tcPr>
          <w:p>
            <w:pPr>
              <w:spacing w:after="0"/>
              <w:rPr>
                <w:sz w:val="20"/>
                <w:szCs w:val="20"/>
                <w:color w:val="auto"/>
              </w:rPr>
            </w:pPr>
            <w:r>
              <w:rPr>
                <w:rFonts w:ascii="Calibri" w:cs="Calibri" w:eastAsia="Calibri" w:hAnsi="Calibri"/>
                <w:sz w:val="17"/>
                <w:szCs w:val="17"/>
                <w:color w:val="auto"/>
              </w:rPr>
              <w:t>Emerging growth company</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0" w:lineRule="exact"/>
        <w:rPr>
          <w:sz w:val="24"/>
          <w:szCs w:val="24"/>
          <w:color w:val="auto"/>
        </w:rPr>
      </w:pPr>
    </w:p>
    <w:p>
      <w:pPr>
        <w:jc w:val="both"/>
        <w:ind w:right="60" w:firstLine="509"/>
        <w:spacing w:after="0" w:line="235"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left="520" w:right="1460"/>
        <w:spacing w:after="0" w:line="267" w:lineRule="exact"/>
        <w:rPr>
          <w:sz w:val="20"/>
          <w:szCs w:val="20"/>
          <w:color w:val="auto"/>
        </w:rPr>
      </w:pPr>
      <w:r>
        <w:rPr>
          <w:rFonts w:ascii="Calibri" w:cs="Calibri" w:eastAsia="Calibri" w:hAnsi="Calibri"/>
          <w:sz w:val="17"/>
          <w:szCs w:val="17"/>
          <w:color w:val="auto"/>
        </w:rPr>
        <w:t xml:space="preserve">Indicate by check mark whether the registrant is a shell company (as defned in Rule 12b-2 of the Exchange Act).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The Company had 54,823,821 shares of common stock, $1.00 par value per share, outstanding as of 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2"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80" w:type="dxa"/>
            <w:vAlign w:val="bottom"/>
            <w:gridSpan w:val="5"/>
          </w:tcPr>
          <w:p>
            <w:pPr>
              <w:jc w:val="center"/>
              <w:ind w:right="3060"/>
              <w:spacing w:after="0"/>
              <w:rPr>
                <w:sz w:val="20"/>
                <w:szCs w:val="20"/>
                <w:color w:val="auto"/>
              </w:rPr>
            </w:pPr>
            <w:r>
              <w:rPr>
                <w:rFonts w:ascii="Calibri" w:cs="Calibri" w:eastAsia="Calibri" w:hAnsi="Calibri"/>
                <w:sz w:val="18"/>
                <w:szCs w:val="18"/>
                <w:b w:val="1"/>
                <w:bCs w:val="1"/>
                <w:color w:val="auto"/>
                <w:w w:val="98"/>
              </w:rPr>
              <w:t>INDEX</w:t>
            </w:r>
          </w:p>
        </w:tc>
        <w:tc>
          <w:tcPr>
            <w:tcW w:w="1840" w:type="dxa"/>
            <w:vAlign w:val="bottom"/>
          </w:tcPr>
          <w:p>
            <w:pPr>
              <w:spacing w:after="0"/>
              <w:rPr>
                <w:sz w:val="19"/>
                <w:szCs w:val="19"/>
                <w:color w:val="auto"/>
              </w:rPr>
            </w:pPr>
          </w:p>
        </w:tc>
      </w:tr>
      <w:tr>
        <w:trPr>
          <w:trHeight w:val="415"/>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w:t>
            </w:r>
          </w:p>
        </w:tc>
        <w:tc>
          <w:tcPr>
            <w:tcW w:w="8740" w:type="dxa"/>
            <w:vAlign w:val="bottom"/>
            <w:gridSpan w:val="16"/>
          </w:tcPr>
          <w:p>
            <w:pPr>
              <w:spacing w:after="0"/>
              <w:rPr>
                <w:sz w:val="20"/>
                <w:szCs w:val="20"/>
                <w:color w:val="auto"/>
              </w:rPr>
            </w:pPr>
            <w:r>
              <w:rPr>
                <w:rFonts w:ascii="Calibri" w:cs="Calibri" w:eastAsia="Calibri" w:hAnsi="Calibri"/>
                <w:sz w:val="18"/>
                <w:szCs w:val="18"/>
                <w:color w:val="0000FF"/>
              </w:rPr>
              <w:t>Financial Informaton</w:t>
            </w:r>
          </w:p>
        </w:tc>
        <w:tc>
          <w:tcPr>
            <w:tcW w:w="1840" w:type="dxa"/>
            <w:vAlign w:val="bottom"/>
          </w:tcPr>
          <w:p>
            <w:pPr>
              <w:spacing w:after="0"/>
              <w:rPr>
                <w:sz w:val="24"/>
                <w:szCs w:val="24"/>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1.</w:t>
            </w: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Financial Statements (unaudited)</w:t>
            </w:r>
          </w:p>
        </w:tc>
        <w:tc>
          <w:tcPr>
            <w:tcW w:w="18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Consolidated Statements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Consolidated Statements of Comprehensive Income (Loss)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Consolidated Balance Sheets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Consolidated Statements of Cash Flows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7</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Consolidated Statements of Changes in Stockholders’ Equity</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8</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Notes to the Consolidated Financial Statements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21</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3.</w:t>
            </w: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30</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4.</w:t>
            </w: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Controls and Procedures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30</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II.</w:t>
            </w:r>
          </w:p>
        </w:tc>
        <w:tc>
          <w:tcPr>
            <w:tcW w:w="8740" w:type="dxa"/>
            <w:vAlign w:val="bottom"/>
            <w:gridSpan w:val="16"/>
          </w:tcPr>
          <w:p>
            <w:pPr>
              <w:spacing w:after="0"/>
              <w:rPr>
                <w:sz w:val="20"/>
                <w:szCs w:val="20"/>
                <w:color w:val="auto"/>
              </w:rPr>
            </w:pPr>
            <w:r>
              <w:rPr>
                <w:rFonts w:ascii="Calibri" w:cs="Calibri" w:eastAsia="Calibri" w:hAnsi="Calibri"/>
                <w:sz w:val="18"/>
                <w:szCs w:val="18"/>
                <w:color w:val="0000FF"/>
              </w:rPr>
              <w:t>Other Informaton</w:t>
            </w:r>
          </w:p>
        </w:tc>
        <w:tc>
          <w:tcPr>
            <w:tcW w:w="1840" w:type="dxa"/>
            <w:vAlign w:val="bottom"/>
          </w:tcPr>
          <w:p>
            <w:pPr>
              <w:spacing w:after="0"/>
              <w:rPr>
                <w:sz w:val="24"/>
                <w:szCs w:val="24"/>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31</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920" w:type="dxa"/>
            <w:vAlign w:val="bottom"/>
            <w:gridSpan w:val="8"/>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5.</w:t>
            </w: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Other Informaton</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31</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560" w:type="dxa"/>
            <w:vAlign w:val="bottom"/>
            <w:gridSpan w:val="1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6.</w:t>
            </w:r>
          </w:p>
        </w:tc>
        <w:tc>
          <w:tcPr>
            <w:tcW w:w="7840" w:type="dxa"/>
            <w:vAlign w:val="bottom"/>
            <w:gridSpan w:val="15"/>
          </w:tcPr>
          <w:p>
            <w:pPr>
              <w:spacing w:after="0"/>
              <w:rPr>
                <w:sz w:val="20"/>
                <w:szCs w:val="20"/>
                <w:color w:val="auto"/>
              </w:rPr>
            </w:pPr>
            <w:r>
              <w:rPr>
                <w:rFonts w:ascii="Calibri" w:cs="Calibri" w:eastAsia="Calibri" w:hAnsi="Calibri"/>
                <w:sz w:val="18"/>
                <w:szCs w:val="18"/>
                <w:color w:val="0000FF"/>
              </w:rPr>
              <w:t>Exhibits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31</w:t>
            </w:r>
          </w:p>
        </w:tc>
      </w:tr>
      <w:tr>
        <w:trPr>
          <w:trHeight w:val="655"/>
        </w:trPr>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Borders>
              <w:top w:val="single" w:sz="8" w:color="0000FF"/>
            </w:tcBorders>
            <w:gridSpan w:val="3"/>
          </w:tcPr>
          <w:p>
            <w:pPr>
              <w:spacing w:after="0"/>
              <w:rPr>
                <w:sz w:val="24"/>
                <w:szCs w:val="24"/>
                <w:color w:val="auto"/>
              </w:rPr>
            </w:pPr>
          </w:p>
        </w:tc>
        <w:tc>
          <w:tcPr>
            <w:tcW w:w="3660" w:type="dxa"/>
            <w:vAlign w:val="bottom"/>
            <w:gridSpan w:val="9"/>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i w:val="1"/>
          <w:iCs w:val="1"/>
          <w:color w:val="auto"/>
        </w:rPr>
        <w:t>Part I. Financial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488"/>
              <w:spacing w:after="0"/>
              <w:rPr>
                <w:sz w:val="20"/>
                <w:szCs w:val="20"/>
                <w:color w:val="auto"/>
              </w:rPr>
            </w:pPr>
            <w:r>
              <w:rPr>
                <w:rFonts w:ascii="Calibri" w:cs="Calibri" w:eastAsia="Calibri" w:hAnsi="Calibri"/>
                <w:sz w:val="14"/>
                <w:szCs w:val="14"/>
                <w:b w:val="1"/>
                <w:bCs w:val="1"/>
                <w:color w:val="auto"/>
              </w:rPr>
              <w:t>Three Months Ended June 30</w:t>
            </w:r>
          </w:p>
        </w:tc>
        <w:tc>
          <w:tcPr>
            <w:tcW w:w="220" w:type="dxa"/>
            <w:vAlign w:val="bottom"/>
          </w:tcPr>
          <w:p>
            <w:pPr>
              <w:spacing w:after="0"/>
              <w:rPr>
                <w:sz w:val="14"/>
                <w:szCs w:val="14"/>
                <w:color w:val="auto"/>
              </w:rPr>
            </w:pPr>
          </w:p>
        </w:tc>
        <w:tc>
          <w:tcPr>
            <w:tcW w:w="2200" w:type="dxa"/>
            <w:vAlign w:val="bottom"/>
            <w:gridSpan w:val="5"/>
          </w:tcPr>
          <w:p>
            <w:pPr>
              <w:jc w:val="right"/>
              <w:ind w:right="420"/>
              <w:spacing w:after="0"/>
              <w:rPr>
                <w:sz w:val="20"/>
                <w:szCs w:val="20"/>
                <w:color w:val="auto"/>
              </w:rPr>
            </w:pPr>
            <w:r>
              <w:rPr>
                <w:rFonts w:ascii="Calibri" w:cs="Calibri" w:eastAsia="Calibri" w:hAnsi="Calibri"/>
                <w:sz w:val="14"/>
                <w:szCs w:val="14"/>
                <w:b w:val="1"/>
                <w:bCs w:val="1"/>
                <w:color w:val="auto"/>
              </w:rPr>
              <w:t>Nine Months Ended June 30</w:t>
            </w:r>
          </w:p>
        </w:tc>
        <w:tc>
          <w:tcPr>
            <w:tcW w:w="0" w:type="dxa"/>
            <w:vAlign w:val="bottom"/>
          </w:tcPr>
          <w:p>
            <w:pPr>
              <w:spacing w:after="0"/>
              <w:rPr>
                <w:sz w:val="1"/>
                <w:szCs w:val="1"/>
                <w:color w:val="auto"/>
              </w:rPr>
            </w:pPr>
          </w:p>
        </w:tc>
      </w:tr>
      <w:tr>
        <w:trPr>
          <w:trHeight w:val="3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2"/>
              <w:spacing w:after="0" w:line="164" w:lineRule="exact"/>
              <w:rPr>
                <w:sz w:val="20"/>
                <w:szCs w:val="20"/>
                <w:color w:val="auto"/>
              </w:rPr>
            </w:pPr>
            <w:r>
              <w:rPr>
                <w:rFonts w:ascii="Calibri" w:cs="Calibri" w:eastAsia="Calibri" w:hAnsi="Calibri"/>
                <w:sz w:val="14"/>
                <w:szCs w:val="14"/>
                <w:b w:val="1"/>
                <w:bCs w:val="1"/>
                <w:color w:val="auto"/>
              </w:rPr>
              <w:t>2024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1"/>
              <w:spacing w:after="0" w:line="164" w:lineRule="exact"/>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1"/>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gridSpan w:val="5"/>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gridSpan w:val="2"/>
          </w:tcPr>
          <w:p>
            <w:pPr>
              <w:spacing w:after="0" w:line="164" w:lineRule="exact"/>
              <w:rPr>
                <w:sz w:val="20"/>
                <w:szCs w:val="20"/>
                <w:color w:val="auto"/>
              </w:rPr>
            </w:pPr>
            <w:r>
              <w:rPr>
                <w:rFonts w:ascii="Calibri" w:cs="Calibri" w:eastAsia="Calibri" w:hAnsi="Calibri"/>
                <w:sz w:val="14"/>
                <w:szCs w:val="14"/>
                <w:b w:val="1"/>
                <w:bCs w:val="1"/>
                <w:color w:val="auto"/>
                <w:w w:val="90"/>
              </w:rPr>
              <w:t>(In millions, except</w:t>
            </w:r>
          </w:p>
        </w:tc>
        <w:tc>
          <w:tcPr>
            <w:tcW w:w="260" w:type="dxa"/>
            <w:vAlign w:val="bottom"/>
          </w:tcPr>
          <w:p>
            <w:pPr>
              <w:jc w:val="right"/>
              <w:spacing w:after="0" w:line="163" w:lineRule="exact"/>
              <w:rPr>
                <w:sz w:val="20"/>
                <w:szCs w:val="20"/>
                <w:color w:val="auto"/>
              </w:rPr>
            </w:pPr>
            <w:r>
              <w:rPr>
                <w:rFonts w:ascii="Calibri" w:cs="Calibri" w:eastAsia="Calibri" w:hAnsi="Calibri"/>
                <w:sz w:val="14"/>
                <w:szCs w:val="14"/>
                <w:b w:val="1"/>
                <w:bCs w:val="1"/>
                <w:color w:val="auto"/>
              </w:rPr>
              <w:t>per</w:t>
            </w:r>
          </w:p>
        </w:tc>
        <w:tc>
          <w:tcPr>
            <w:tcW w:w="1020" w:type="dxa"/>
            <w:vAlign w:val="bottom"/>
            <w:tcBorders>
              <w:top w:val="single" w:sz="8" w:color="auto"/>
            </w:tcBorders>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share amounts)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1,016</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4"/>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2,993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22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2,273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Gross proft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223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720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22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Research and technical expenses</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sale of business</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8"/>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Income (loss) from operatons</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464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and dividend income</w:t>
            </w:r>
          </w:p>
        </w:tc>
        <w:tc>
          <w:tcPr>
            <w:tcW w:w="22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(19 )</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(24 )</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(62 )</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(69 )</w:t>
            </w: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(expense)</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(3 )</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(33 )</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(13 )</w:t>
            </w: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00" w:type="dxa"/>
            <w:vAlign w:val="bottom"/>
            <w:shd w:val="clear" w:color="auto" w:fill="CFF0FC"/>
          </w:tcPr>
          <w:p>
            <w:pPr>
              <w:ind w:left="200"/>
              <w:spacing w:after="0" w:line="201" w:lineRule="exact"/>
              <w:rPr>
                <w:sz w:val="20"/>
                <w:szCs w:val="20"/>
                <w:color w:val="auto"/>
              </w:rPr>
            </w:pPr>
            <w:r>
              <w:rPr>
                <w:rFonts w:ascii="Calibri" w:cs="Calibri" w:eastAsia="Calibri" w:hAnsi="Calibri"/>
                <w:sz w:val="18"/>
                <w:szCs w:val="18"/>
                <w:color w:val="auto"/>
              </w:rPr>
              <w:t>Income (loss) from operatons before income taxes</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0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and equity in earnings of afliated companies</w:t>
            </w: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158</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(40 )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(41 )</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(121 )</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(90 )</w:t>
            </w: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 net of tax</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200"/>
              <w:spacing w:after="0" w:line="195" w:lineRule="exact"/>
              <w:rPr>
                <w:sz w:val="20"/>
                <w:szCs w:val="20"/>
                <w:color w:val="auto"/>
              </w:rPr>
            </w:pPr>
            <w:r>
              <w:rPr>
                <w:rFonts w:ascii="Calibri" w:cs="Calibri" w:eastAsia="Calibri" w:hAnsi="Calibri"/>
                <w:sz w:val="18"/>
                <w:szCs w:val="18"/>
                <w:color w:val="auto"/>
              </w:rPr>
              <w:t>Net income (loss)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90</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278</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Net income (loss) atributable to noncontrolling interests, net</w:t>
            </w:r>
          </w:p>
        </w:tc>
        <w:tc>
          <w:tcPr>
            <w:tcW w:w="2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of tax</w:t>
            </w: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0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color w:val="auto"/>
              </w:rPr>
              <w:t>Net income (loss) atributable to Cabot Corporaton</w:t>
            </w:r>
          </w:p>
        </w:tc>
        <w:tc>
          <w:tcPr>
            <w:tcW w:w="220" w:type="dxa"/>
            <w:vAlign w:val="bottom"/>
            <w:tcBorders>
              <w:top w:val="single" w:sz="8" w:color="auto"/>
            </w:tcBorders>
          </w:tcPr>
          <w:p>
            <w:pPr>
              <w:jc w:val="right"/>
              <w:ind w:right="30"/>
              <w:spacing w:after="0" w:line="213"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109</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82</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jc w:val="right"/>
              <w:ind w:right="34"/>
              <w:spacing w:after="0" w:line="213"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243</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jc w:val="right"/>
              <w:ind w:right="30"/>
              <w:spacing w:after="0" w:line="213" w:lineRule="exact"/>
              <w:rPr>
                <w:sz w:val="20"/>
                <w:szCs w:val="20"/>
                <w:color w:val="auto"/>
              </w:rPr>
            </w:pPr>
            <w:r>
              <w:rPr>
                <w:rFonts w:ascii="Calibri" w:cs="Calibri" w:eastAsia="Calibri" w:hAnsi="Calibri"/>
                <w:sz w:val="18"/>
                <w:szCs w:val="18"/>
                <w:color w:val="auto"/>
              </w:rPr>
              <w:t>$</w:t>
            </w:r>
          </w:p>
        </w:tc>
        <w:tc>
          <w:tcPr>
            <w:tcW w:w="8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211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Basic</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56.1</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22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55.7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Earnings (loss) per common share: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Basic</w:t>
            </w: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1.96</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4"/>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1.94</w:t>
            </w:r>
          </w:p>
        </w:tc>
        <w:tc>
          <w:tcPr>
            <w:tcW w:w="160" w:type="dxa"/>
            <w:vAlign w:val="bottom"/>
          </w:tcPr>
          <w:p>
            <w:pPr>
              <w:spacing w:after="0"/>
              <w:rPr>
                <w:sz w:val="18"/>
                <w:szCs w:val="18"/>
                <w:color w:val="auto"/>
              </w:rPr>
            </w:pPr>
          </w:p>
        </w:tc>
        <w:tc>
          <w:tcPr>
            <w:tcW w:w="3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260" w:type="dxa"/>
            <w:vAlign w:val="bottom"/>
          </w:tcPr>
          <w:p>
            <w:pPr>
              <w:spacing w:after="0"/>
              <w:rPr>
                <w:sz w:val="18"/>
                <w:szCs w:val="18"/>
                <w:color w:val="auto"/>
              </w:rPr>
            </w:pPr>
          </w:p>
        </w:tc>
        <w:tc>
          <w:tcPr>
            <w:tcW w:w="220" w:type="dxa"/>
            <w:vAlign w:val="bottom"/>
          </w:tcPr>
          <w:p>
            <w:pPr>
              <w:jc w:val="right"/>
              <w:ind w:right="34"/>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4.30</w:t>
            </w:r>
          </w:p>
        </w:tc>
        <w:tc>
          <w:tcPr>
            <w:tcW w:w="260" w:type="dxa"/>
            <w:vAlign w:val="bottom"/>
          </w:tcPr>
          <w:p>
            <w:pPr>
              <w:spacing w:after="0"/>
              <w:rPr>
                <w:sz w:val="18"/>
                <w:szCs w:val="18"/>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-1404620</wp:posOffset>
            </wp:positionV>
            <wp:extent cx="76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-1404620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-1404620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-1404620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 (LOSS)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4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right"/>
              <w:ind w:right="400"/>
              <w:spacing w:after="0"/>
              <w:rPr>
                <w:sz w:val="20"/>
                <w:szCs w:val="20"/>
                <w:color w:val="auto"/>
              </w:rPr>
            </w:pPr>
            <w:r>
              <w:rPr>
                <w:rFonts w:ascii="Calibri" w:cs="Calibri" w:eastAsia="Calibri" w:hAnsi="Calibri"/>
                <w:sz w:val="14"/>
                <w:szCs w:val="14"/>
                <w:b w:val="1"/>
                <w:bCs w:val="1"/>
                <w:color w:val="auto"/>
              </w:rPr>
              <w:t>Nine Months Ended June 30</w:t>
            </w:r>
          </w:p>
        </w:tc>
        <w:tc>
          <w:tcPr>
            <w:tcW w:w="0" w:type="dxa"/>
            <w:vAlign w:val="bottom"/>
          </w:tcPr>
          <w:p>
            <w:pPr>
              <w:spacing w:after="0"/>
              <w:rPr>
                <w:sz w:val="1"/>
                <w:szCs w:val="1"/>
                <w:color w:val="auto"/>
              </w:rPr>
            </w:pPr>
          </w:p>
        </w:tc>
      </w:tr>
      <w:tr>
        <w:trPr>
          <w:trHeight w:val="33"/>
        </w:trPr>
        <w:tc>
          <w:tcPr>
            <w:tcW w:w="6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320" w:type="dxa"/>
            <w:vAlign w:val="bottom"/>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3"/>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jc w:val="right"/>
              <w:ind w:right="12"/>
              <w:spacing w:after="0" w:line="164" w:lineRule="exact"/>
              <w:rPr>
                <w:sz w:val="20"/>
                <w:szCs w:val="20"/>
                <w:color w:val="auto"/>
              </w:rPr>
            </w:pPr>
            <w:r>
              <w:rPr>
                <w:rFonts w:ascii="Calibri" w:cs="Calibri" w:eastAsia="Calibri" w:hAnsi="Calibri"/>
                <w:sz w:val="14"/>
                <w:szCs w:val="14"/>
                <w:b w:val="1"/>
                <w:bCs w:val="1"/>
                <w:color w:val="auto"/>
                <w:w w:val="89"/>
              </w:rPr>
              <w:t>(In</w:t>
            </w:r>
          </w:p>
        </w:tc>
        <w:tc>
          <w:tcPr>
            <w:tcW w:w="50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680" w:type="dxa"/>
            <w:vAlign w:val="bottom"/>
            <w:tcBorders>
              <w:bottom w:val="single" w:sz="8" w:color="CFF0FC"/>
            </w:tcBorders>
            <w:shd w:val="clear" w:color="auto" w:fill="CFF0FC"/>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120</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556"/>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Foreign currency translaton adjustment, net of tax</w:t>
            </w:r>
          </w:p>
        </w:tc>
        <w:tc>
          <w:tcPr>
            <w:tcW w:w="6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(66 )</w:t>
            </w:r>
          </w:p>
        </w:tc>
        <w:tc>
          <w:tcPr>
            <w:tcW w:w="7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w w:val="90"/>
              </w:rPr>
              <w:t>(20 )</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(19 )</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net investment hedges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(Gains) losses reclassifed to interest expense, net of tax</w:t>
            </w:r>
          </w:p>
        </w:tc>
        <w:tc>
          <w:tcPr>
            <w:tcW w:w="6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(1 )</w:t>
            </w:r>
          </w:p>
        </w:tc>
        <w:tc>
          <w:tcPr>
            <w:tcW w:w="7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(1 )</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(3 )</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(4 )</w:t>
            </w:r>
          </w:p>
        </w:tc>
        <w:tc>
          <w:tcPr>
            <w:tcW w:w="0" w:type="dxa"/>
            <w:vAlign w:val="bottom"/>
          </w:tcPr>
          <w:p>
            <w:pPr>
              <w:spacing w:after="0"/>
              <w:rPr>
                <w:sz w:val="1"/>
                <w:szCs w:val="1"/>
                <w:color w:val="auto"/>
              </w:rPr>
            </w:pPr>
          </w:p>
        </w:tc>
      </w:tr>
      <w:tr>
        <w:trPr>
          <w:trHeight w:val="207"/>
        </w:trPr>
        <w:tc>
          <w:tcPr>
            <w:tcW w:w="6320" w:type="dxa"/>
            <w:vAlign w:val="bottom"/>
          </w:tcPr>
          <w:p>
            <w:pPr>
              <w:ind w:left="380"/>
              <w:spacing w:after="0" w:line="207" w:lineRule="exact"/>
              <w:rPr>
                <w:sz w:val="20"/>
                <w:szCs w:val="20"/>
                <w:color w:val="auto"/>
              </w:rPr>
            </w:pPr>
            <w:r>
              <w:rPr>
                <w:rFonts w:ascii="Calibri" w:cs="Calibri" w:eastAsia="Calibri" w:hAnsi="Calibri"/>
                <w:sz w:val="18"/>
                <w:szCs w:val="18"/>
                <w:color w:val="auto"/>
              </w:rPr>
              <w:t>(Gains) losses excluded from efectveness testng and amortzed to interest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380"/>
              <w:spacing w:after="0" w:line="215" w:lineRule="exact"/>
              <w:rPr>
                <w:sz w:val="20"/>
                <w:szCs w:val="20"/>
                <w:color w:val="auto"/>
              </w:rPr>
            </w:pPr>
            <w:r>
              <w:rPr>
                <w:rFonts w:ascii="Calibri" w:cs="Calibri" w:eastAsia="Calibri" w:hAnsi="Calibri"/>
                <w:sz w:val="18"/>
                <w:szCs w:val="18"/>
                <w:color w:val="auto"/>
              </w:rPr>
              <w:t>expense, net of tax</w:t>
            </w:r>
          </w:p>
        </w:tc>
        <w:tc>
          <w:tcPr>
            <w:tcW w:w="68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Pension and other post-retrement beneft liability adjustments, net of tax</w:t>
            </w:r>
          </w:p>
        </w:tc>
        <w:tc>
          <w:tcPr>
            <w:tcW w:w="6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Pr>
          <w:p>
            <w:pPr>
              <w:ind w:left="200"/>
              <w:spacing w:after="0" w:line="201" w:lineRule="exact"/>
              <w:rPr>
                <w:sz w:val="20"/>
                <w:szCs w:val="20"/>
                <w:color w:val="auto"/>
              </w:rPr>
            </w:pPr>
            <w:r>
              <w:rPr>
                <w:rFonts w:ascii="Calibri" w:cs="Calibri" w:eastAsia="Calibri" w:hAnsi="Calibri"/>
                <w:sz w:val="18"/>
                <w:szCs w:val="18"/>
                <w:color w:val="auto"/>
              </w:rPr>
              <w:t>Other comprehensive income (loss), net of tax (provision) beneft of $ (1), $ —, $</w:t>
            </w:r>
          </w:p>
        </w:tc>
        <w:tc>
          <w:tcPr>
            <w:tcW w:w="680" w:type="dxa"/>
            <w:vAlign w:val="bottom"/>
          </w:tcPr>
          <w:p>
            <w:pPr>
              <w:spacing w:after="0"/>
              <w:rPr>
                <w:sz w:val="17"/>
                <w:szCs w:val="17"/>
                <w:color w:val="auto"/>
              </w:rPr>
            </w:pPr>
          </w:p>
        </w:tc>
        <w:tc>
          <w:tcPr>
            <w:tcW w:w="620" w:type="dxa"/>
            <w:vAlign w:val="bottom"/>
            <w:gridSpan w:val="2"/>
            <w:vMerge w:val="restart"/>
          </w:tcPr>
          <w:p>
            <w:pPr>
              <w:jc w:val="right"/>
              <w:ind w:right="220"/>
              <w:spacing w:after="0"/>
              <w:rPr>
                <w:sz w:val="20"/>
                <w:szCs w:val="20"/>
                <w:color w:val="auto"/>
              </w:rPr>
            </w:pPr>
            <w:r>
              <w:rPr>
                <w:rFonts w:ascii="Calibri" w:cs="Calibri" w:eastAsia="Calibri" w:hAnsi="Calibri"/>
                <w:sz w:val="18"/>
                <w:szCs w:val="18"/>
                <w:color w:val="auto"/>
              </w:rPr>
              <w:t>(66 )</w:t>
            </w:r>
          </w:p>
        </w:tc>
        <w:tc>
          <w:tcPr>
            <w:tcW w:w="740" w:type="dxa"/>
            <w:vAlign w:val="bottom"/>
          </w:tcPr>
          <w:p>
            <w:pPr>
              <w:spacing w:after="0"/>
              <w:rPr>
                <w:sz w:val="17"/>
                <w:szCs w:val="17"/>
                <w:color w:val="auto"/>
              </w:rPr>
            </w:pPr>
          </w:p>
        </w:tc>
        <w:tc>
          <w:tcPr>
            <w:tcW w:w="540" w:type="dxa"/>
            <w:vAlign w:val="bottom"/>
            <w:gridSpan w:val="2"/>
            <w:vMerge w:val="restart"/>
          </w:tcPr>
          <w:p>
            <w:pPr>
              <w:jc w:val="right"/>
              <w:ind w:right="148"/>
              <w:spacing w:after="0"/>
              <w:rPr>
                <w:sz w:val="20"/>
                <w:szCs w:val="20"/>
                <w:color w:val="auto"/>
              </w:rPr>
            </w:pPr>
            <w:r>
              <w:rPr>
                <w:rFonts w:ascii="Calibri" w:cs="Calibri" w:eastAsia="Calibri" w:hAnsi="Calibri"/>
                <w:sz w:val="18"/>
                <w:szCs w:val="18"/>
                <w:color w:val="auto"/>
                <w:w w:val="90"/>
              </w:rPr>
              <w:t>(21 )</w:t>
            </w:r>
          </w:p>
        </w:tc>
        <w:tc>
          <w:tcPr>
            <w:tcW w:w="220" w:type="dxa"/>
            <w:vAlign w:val="bottom"/>
          </w:tcPr>
          <w:p>
            <w:pPr>
              <w:spacing w:after="0"/>
              <w:rPr>
                <w:sz w:val="17"/>
                <w:szCs w:val="17"/>
                <w:color w:val="auto"/>
              </w:rPr>
            </w:pPr>
          </w:p>
        </w:tc>
        <w:tc>
          <w:tcPr>
            <w:tcW w:w="1020" w:type="dxa"/>
            <w:vAlign w:val="bottom"/>
            <w:gridSpan w:val="2"/>
            <w:vMerge w:val="restart"/>
          </w:tcPr>
          <w:p>
            <w:pPr>
              <w:jc w:val="right"/>
              <w:ind w:right="200"/>
              <w:spacing w:after="0"/>
              <w:rPr>
                <w:sz w:val="20"/>
                <w:szCs w:val="20"/>
                <w:color w:val="auto"/>
              </w:rPr>
            </w:pPr>
            <w:r>
              <w:rPr>
                <w:rFonts w:ascii="Calibri" w:cs="Calibri" w:eastAsia="Calibri" w:hAnsi="Calibri"/>
                <w:sz w:val="18"/>
                <w:szCs w:val="18"/>
                <w:color w:val="auto"/>
              </w:rPr>
              <w:t>(21 )</w:t>
            </w: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Calibri" w:cs="Calibri" w:eastAsia="Calibri" w:hAnsi="Calibri"/>
                <w:sz w:val="18"/>
                <w:szCs w:val="18"/>
                <w:color w:val="auto"/>
              </w:rPr>
              <w:t>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0"/>
              <w:spacing w:after="0" w:line="215" w:lineRule="exact"/>
              <w:rPr>
                <w:sz w:val="20"/>
                <w:szCs w:val="20"/>
                <w:color w:val="auto"/>
              </w:rPr>
            </w:pPr>
            <w:r>
              <w:rPr>
                <w:rFonts w:ascii="Calibri" w:cs="Calibri" w:eastAsia="Calibri" w:hAnsi="Calibri"/>
                <w:sz w:val="18"/>
                <w:szCs w:val="18"/>
                <w:color w:val="auto"/>
              </w:rPr>
              <w:t>11 and $ —</w:t>
            </w:r>
          </w:p>
        </w:tc>
        <w:tc>
          <w:tcPr>
            <w:tcW w:w="6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3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Comprehensive income (loss)</w:t>
            </w:r>
          </w:p>
        </w:tc>
        <w:tc>
          <w:tcPr>
            <w:tcW w:w="6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54</w:t>
            </w:r>
          </w:p>
        </w:tc>
        <w:tc>
          <w:tcPr>
            <w:tcW w:w="3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320" w:type="dxa"/>
            <w:vAlign w:val="bottom"/>
            <w:tcBorders>
              <w:top w:val="single" w:sz="8" w:color="CFF0FC"/>
            </w:tcBorders>
          </w:tcPr>
          <w:p>
            <w:pPr>
              <w:ind w:left="200"/>
              <w:spacing w:after="0" w:line="201" w:lineRule="exact"/>
              <w:rPr>
                <w:sz w:val="20"/>
                <w:szCs w:val="20"/>
                <w:color w:val="auto"/>
              </w:rPr>
            </w:pPr>
            <w:r>
              <w:rPr>
                <w:rFonts w:ascii="Calibri" w:cs="Calibri" w:eastAsia="Calibri" w:hAnsi="Calibri"/>
                <w:sz w:val="18"/>
                <w:szCs w:val="18"/>
                <w:color w:val="auto"/>
              </w:rPr>
              <w:t>Net income (loss) atributable to noncontrolling interests, net</w:t>
            </w: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320"/>
              <w:spacing w:after="0" w:line="215" w:lineRule="exact"/>
              <w:rPr>
                <w:sz w:val="20"/>
                <w:szCs w:val="20"/>
                <w:color w:val="auto"/>
              </w:rPr>
            </w:pPr>
            <w:r>
              <w:rPr>
                <w:rFonts w:ascii="Calibri" w:cs="Calibri" w:eastAsia="Calibri" w:hAnsi="Calibri"/>
                <w:sz w:val="18"/>
                <w:szCs w:val="18"/>
                <w:color w:val="auto"/>
              </w:rPr>
              <w:t>of tax</w:t>
            </w:r>
          </w:p>
        </w:tc>
        <w:tc>
          <w:tcPr>
            <w:tcW w:w="68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Foreign currency translaton adjustment atributable to</w:t>
            </w:r>
          </w:p>
        </w:tc>
        <w:tc>
          <w:tcPr>
            <w:tcW w:w="680" w:type="dxa"/>
            <w:vAlign w:val="bottom"/>
            <w:shd w:val="clear" w:color="auto" w:fill="CFF0FC"/>
          </w:tcPr>
          <w:p>
            <w:pPr>
              <w:spacing w:after="0"/>
              <w:rPr>
                <w:sz w:val="18"/>
                <w:szCs w:val="18"/>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8"/>
                <w:szCs w:val="18"/>
                <w:color w:val="auto"/>
              </w:rPr>
              <w:t>(1 )</w:t>
            </w:r>
          </w:p>
        </w:tc>
        <w:tc>
          <w:tcPr>
            <w:tcW w:w="740" w:type="dxa"/>
            <w:vAlign w:val="bottom"/>
            <w:shd w:val="clear" w:color="auto" w:fill="CFF0FC"/>
          </w:tcPr>
          <w:p>
            <w:pPr>
              <w:spacing w:after="0"/>
              <w:rPr>
                <w:sz w:val="18"/>
                <w:szCs w:val="18"/>
                <w:color w:val="auto"/>
              </w:rPr>
            </w:pPr>
          </w:p>
        </w:tc>
        <w:tc>
          <w:tcPr>
            <w:tcW w:w="540" w:type="dxa"/>
            <w:vAlign w:val="bottom"/>
            <w:gridSpan w:val="2"/>
            <w:vMerge w:val="restart"/>
            <w:shd w:val="clear" w:color="auto" w:fill="CFF0FC"/>
          </w:tcPr>
          <w:p>
            <w:pPr>
              <w:jc w:val="right"/>
              <w:ind w:right="148"/>
              <w:spacing w:after="0"/>
              <w:rPr>
                <w:sz w:val="20"/>
                <w:szCs w:val="20"/>
                <w:color w:val="auto"/>
              </w:rPr>
            </w:pPr>
            <w:r>
              <w:rPr>
                <w:rFonts w:ascii="Calibri" w:cs="Calibri" w:eastAsia="Calibri" w:hAnsi="Calibri"/>
                <w:sz w:val="18"/>
                <w:szCs w:val="18"/>
                <w:color w:val="auto"/>
              </w:rPr>
              <w:t>(6 )</w:t>
            </w:r>
          </w:p>
        </w:tc>
        <w:tc>
          <w:tcPr>
            <w:tcW w:w="22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(1 )</w:t>
            </w:r>
          </w:p>
        </w:tc>
        <w:tc>
          <w:tcPr>
            <w:tcW w:w="24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6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gridSpan w:val="2"/>
            <w:vMerge w:val="continue"/>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gridSpan w:val="2"/>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gridSpan w:val="2"/>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Comprehensive income (loss) atributable to noncontrolling interests</w:t>
            </w: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w:t>
            </w:r>
          </w:p>
        </w:tc>
        <w:tc>
          <w:tcPr>
            <w:tcW w:w="30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34</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Comprehensive income (loss) atributable to Cabot Corporaton</w:t>
            </w:r>
          </w:p>
        </w:tc>
        <w:tc>
          <w:tcPr>
            <w:tcW w:w="680" w:type="dxa"/>
            <w:vAlign w:val="bottom"/>
            <w:tcBorders>
              <w:bottom w:val="single" w:sz="8" w:color="CFF0FC"/>
            </w:tcBorders>
            <w:shd w:val="clear" w:color="auto" w:fill="CFF0FC"/>
          </w:tcPr>
          <w:p>
            <w:pPr>
              <w:jc w:val="right"/>
              <w:ind w:right="499"/>
              <w:spacing w:after="0" w:line="213" w:lineRule="exact"/>
              <w:rPr>
                <w:sz w:val="20"/>
                <w:szCs w:val="20"/>
                <w:color w:val="auto"/>
              </w:rPr>
            </w:pPr>
            <w:r>
              <w:rPr>
                <w:rFonts w:ascii="Calibri" w:cs="Calibri" w:eastAsia="Calibri" w:hAnsi="Calibri"/>
                <w:sz w:val="18"/>
                <w:szCs w:val="18"/>
                <w:color w:val="auto"/>
                <w:w w:val="87"/>
              </w:rPr>
              <w:t>$</w:t>
            </w:r>
          </w:p>
        </w:tc>
        <w:tc>
          <w:tcPr>
            <w:tcW w:w="3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44</w:t>
            </w:r>
          </w:p>
        </w:tc>
        <w:tc>
          <w:tcPr>
            <w:tcW w:w="3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jc w:val="right"/>
              <w:ind w:right="556"/>
              <w:spacing w:after="0" w:line="213"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67</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223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321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-1388110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-1388110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-1388110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-934085</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-934085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-934085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-350520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-350520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-350520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ASSETS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588"/>
              <w:spacing w:after="0"/>
              <w:rPr>
                <w:sz w:val="20"/>
                <w:szCs w:val="20"/>
                <w:color w:val="auto"/>
              </w:rPr>
            </w:pPr>
            <w:r>
              <w:rPr>
                <w:rFonts w:ascii="Calibri" w:cs="Calibri" w:eastAsia="Calibri" w:hAnsi="Calibri"/>
                <w:sz w:val="14"/>
                <w:szCs w:val="14"/>
                <w:b w:val="1"/>
                <w:bCs w:val="1"/>
                <w:color w:val="auto"/>
              </w:rPr>
              <w:t>June 30, 2024</w:t>
            </w:r>
          </w:p>
        </w:tc>
        <w:tc>
          <w:tcPr>
            <w:tcW w:w="14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September 30, 2023</w:t>
            </w:r>
          </w:p>
        </w:tc>
      </w:tr>
      <w:tr>
        <w:trPr>
          <w:trHeight w:val="33"/>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840" w:type="dxa"/>
            <w:vAlign w:val="bottom"/>
            <w:gridSpan w:val="3"/>
          </w:tcPr>
          <w:p>
            <w:pPr>
              <w:jc w:val="right"/>
              <w:ind w:right="1271"/>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100" w:type="dxa"/>
            <w:vAlign w:val="bottom"/>
          </w:tcPr>
          <w:p>
            <w:pPr>
              <w:spacing w:after="0"/>
              <w:rPr>
                <w:sz w:val="14"/>
                <w:szCs w:val="14"/>
                <w:color w:val="auto"/>
              </w:rPr>
            </w:pPr>
          </w:p>
        </w:tc>
      </w:tr>
      <w:tr>
        <w:trPr>
          <w:trHeight w:val="33"/>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197</w:t>
            </w:r>
          </w:p>
        </w:tc>
        <w:tc>
          <w:tcPr>
            <w:tcW w:w="2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238</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72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Accounts and notes receivable, net of reserve for doubtul</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accounts of $5 and $2</w:t>
            </w:r>
          </w:p>
        </w:tc>
        <w:tc>
          <w:tcPr>
            <w:tcW w:w="2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732</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400"/>
              <w:spacing w:after="0" w:line="215" w:lineRule="exact"/>
              <w:rPr>
                <w:sz w:val="20"/>
                <w:szCs w:val="20"/>
                <w:color w:val="auto"/>
              </w:rPr>
            </w:pPr>
            <w:r>
              <w:rPr>
                <w:rFonts w:ascii="Calibri" w:cs="Calibri" w:eastAsia="Calibri" w:hAnsi="Calibri"/>
                <w:sz w:val="18"/>
                <w:szCs w:val="18"/>
                <w:color w:val="auto"/>
              </w:rPr>
              <w:t>Raw materials</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145</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400"/>
              <w:spacing w:after="0" w:line="215" w:lineRule="exact"/>
              <w:rPr>
                <w:sz w:val="20"/>
                <w:szCs w:val="20"/>
                <w:color w:val="auto"/>
              </w:rPr>
            </w:pPr>
            <w:r>
              <w:rPr>
                <w:rFonts w:ascii="Calibri" w:cs="Calibri" w:eastAsia="Calibri" w:hAnsi="Calibri"/>
                <w:sz w:val="18"/>
                <w:szCs w:val="18"/>
                <w:color w:val="auto"/>
              </w:rPr>
              <w:t>Finished goods</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374</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400"/>
              <w:spacing w:after="0" w:line="215" w:lineRule="exact"/>
              <w:rPr>
                <w:sz w:val="20"/>
                <w:szCs w:val="20"/>
                <w:color w:val="auto"/>
              </w:rPr>
            </w:pPr>
            <w:r>
              <w:rPr>
                <w:rFonts w:ascii="Calibri" w:cs="Calibri" w:eastAsia="Calibri" w:hAnsi="Calibri"/>
                <w:sz w:val="18"/>
                <w:szCs w:val="18"/>
                <w:color w:val="auto"/>
              </w:rPr>
              <w:t>Other</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2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inventories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553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585</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2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current assets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1,591</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1,626</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Property, plant and equipment</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3,907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260" w:type="dxa"/>
            <w:vAlign w:val="bottom"/>
          </w:tcPr>
          <w:p>
            <w:pPr>
              <w:spacing w:after="0"/>
              <w:rPr>
                <w:sz w:val="18"/>
                <w:szCs w:val="18"/>
                <w:color w:val="auto"/>
              </w:rPr>
            </w:pPr>
          </w:p>
        </w:tc>
        <w:tc>
          <w:tcPr>
            <w:tcW w:w="160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(2,477 )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(2,415 )</w:t>
            </w:r>
          </w:p>
        </w:tc>
      </w:tr>
      <w:tr>
        <w:trPr>
          <w:trHeight w:val="28"/>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7720" w:type="dxa"/>
            <w:vAlign w:val="bottom"/>
            <w:tcBorders>
              <w:bottom w:val="single" w:sz="8" w:color="CFF0FC"/>
            </w:tcBorders>
            <w:shd w:val="clear" w:color="auto" w:fill="CFF0FC"/>
          </w:tcPr>
          <w:p>
            <w:pPr>
              <w:ind w:left="560"/>
              <w:spacing w:after="0" w:line="208" w:lineRule="exact"/>
              <w:rPr>
                <w:sz w:val="20"/>
                <w:szCs w:val="20"/>
                <w:color w:val="auto"/>
              </w:rPr>
            </w:pPr>
            <w:r>
              <w:rPr>
                <w:rFonts w:ascii="Calibri" w:cs="Calibri" w:eastAsia="Calibri" w:hAnsi="Calibri"/>
                <w:sz w:val="18"/>
                <w:szCs w:val="18"/>
                <w:color w:val="auto"/>
              </w:rPr>
              <w:t>Net property, plant and equipment</w:t>
            </w:r>
          </w:p>
        </w:tc>
        <w:tc>
          <w:tcPr>
            <w:tcW w:w="2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8"/>
        </w:trPr>
        <w:tc>
          <w:tcPr>
            <w:tcW w:w="77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Goodwill</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132</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134</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afliates</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182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172</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assets</w:t>
            </w:r>
          </w:p>
        </w:tc>
        <w:tc>
          <w:tcPr>
            <w:tcW w:w="26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3,580</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3,604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-1927860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-1610995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-967740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LIABILITIES AND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588"/>
              <w:spacing w:after="0"/>
              <w:rPr>
                <w:sz w:val="20"/>
                <w:szCs w:val="20"/>
                <w:color w:val="auto"/>
              </w:rPr>
            </w:pPr>
            <w:r>
              <w:rPr>
                <w:rFonts w:ascii="Calibri" w:cs="Calibri" w:eastAsia="Calibri" w:hAnsi="Calibri"/>
                <w:sz w:val="14"/>
                <w:szCs w:val="14"/>
                <w:b w:val="1"/>
                <w:bCs w:val="1"/>
                <w:color w:val="auto"/>
              </w:rPr>
              <w:t>June 30, 2024</w:t>
            </w:r>
          </w:p>
        </w:tc>
        <w:tc>
          <w:tcPr>
            <w:tcW w:w="14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September 30, 2023</w:t>
            </w:r>
          </w:p>
        </w:tc>
      </w:tr>
      <w:tr>
        <w:trPr>
          <w:trHeight w:val="33"/>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1840" w:type="dxa"/>
            <w:vAlign w:val="bottom"/>
            <w:gridSpan w:val="3"/>
          </w:tcPr>
          <w:p>
            <w:pPr>
              <w:jc w:val="right"/>
              <w:ind w:right="871"/>
              <w:spacing w:after="0" w:line="164" w:lineRule="exact"/>
              <w:rPr>
                <w:sz w:val="20"/>
                <w:szCs w:val="20"/>
                <w:color w:val="auto"/>
              </w:rPr>
            </w:pPr>
            <w:r>
              <w:rPr>
                <w:rFonts w:ascii="Calibri" w:cs="Calibri" w:eastAsia="Calibri" w:hAnsi="Calibri"/>
                <w:sz w:val="14"/>
                <w:szCs w:val="14"/>
                <w:b w:val="1"/>
                <w:bCs w:val="1"/>
                <w:color w:val="auto"/>
              </w:rPr>
              <w:t>except share</w:t>
            </w:r>
          </w:p>
        </w:tc>
        <w:tc>
          <w:tcPr>
            <w:tcW w:w="100" w:type="dxa"/>
            <w:vAlign w:val="bottom"/>
          </w:tcPr>
          <w:p>
            <w:pPr>
              <w:spacing w:after="0"/>
              <w:rPr>
                <w:sz w:val="14"/>
                <w:szCs w:val="14"/>
                <w:color w:val="auto"/>
              </w:rPr>
            </w:pPr>
          </w:p>
        </w:tc>
      </w:tr>
      <w:tr>
        <w:trPr>
          <w:trHeight w:val="202"/>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gridSpan w:val="5"/>
          </w:tcPr>
          <w:p>
            <w:pPr>
              <w:jc w:val="right"/>
              <w:ind w:right="1100"/>
              <w:spacing w:after="0"/>
              <w:rPr>
                <w:sz w:val="20"/>
                <w:szCs w:val="20"/>
                <w:color w:val="auto"/>
              </w:rPr>
            </w:pPr>
            <w:r>
              <w:rPr>
                <w:rFonts w:ascii="Calibri" w:cs="Calibri" w:eastAsia="Calibri" w:hAnsi="Calibri"/>
                <w:sz w:val="14"/>
                <w:szCs w:val="14"/>
                <w:b w:val="1"/>
                <w:bCs w:val="1"/>
                <w:color w:val="auto"/>
              </w:rPr>
              <w:t>and per share amounts)</w:t>
            </w:r>
          </w:p>
        </w:tc>
      </w:tr>
      <w:tr>
        <w:trPr>
          <w:trHeight w:val="33"/>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borrowings</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49</w:t>
            </w:r>
          </w:p>
        </w:tc>
        <w:tc>
          <w:tcPr>
            <w:tcW w:w="2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174</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Income taxes payable</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Current porton of long-term debt</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20" w:type="dxa"/>
            <w:vAlign w:val="bottom"/>
            <w:tcBorders>
              <w:top w:val="single" w:sz="8" w:color="CFF0FC"/>
            </w:tcBorders>
          </w:tcPr>
          <w:p>
            <w:pPr>
              <w:ind w:left="380"/>
              <w:spacing w:after="0" w:line="208" w:lineRule="exact"/>
              <w:rPr>
                <w:sz w:val="20"/>
                <w:szCs w:val="20"/>
                <w:color w:val="auto"/>
              </w:rPr>
            </w:pPr>
            <w:r>
              <w:rPr>
                <w:rFonts w:ascii="Calibri" w:cs="Calibri" w:eastAsia="Calibri" w:hAnsi="Calibri"/>
                <w:sz w:val="18"/>
                <w:szCs w:val="18"/>
                <w:color w:val="auto"/>
              </w:rPr>
              <w:t>Total current liabilites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717</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822</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Long-term debt</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1,083</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Contngencies (Note 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Preferred stock:</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Authorized: 2,000,000 shares of $1 par value, Issued and Outstanding: None and none</w:t>
            </w:r>
          </w:p>
        </w:tc>
        <w:tc>
          <w:tcPr>
            <w:tcW w:w="26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gridSpan w:val="2"/>
            <w:shd w:val="clear" w:color="auto" w:fill="CFF0FC"/>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720" w:type="dxa"/>
            <w:vAlign w:val="bottom"/>
            <w:shd w:val="clear" w:color="auto" w:fill="CFF0FC"/>
          </w:tcPr>
          <w:p>
            <w:pPr>
              <w:ind w:left="380"/>
              <w:spacing w:after="0" w:line="207" w:lineRule="exact"/>
              <w:rPr>
                <w:sz w:val="20"/>
                <w:szCs w:val="20"/>
                <w:color w:val="auto"/>
              </w:rPr>
            </w:pPr>
            <w:r>
              <w:rPr>
                <w:rFonts w:ascii="Calibri" w:cs="Calibri" w:eastAsia="Calibri" w:hAnsi="Calibri"/>
                <w:sz w:val="18"/>
                <w:szCs w:val="18"/>
                <w:color w:val="auto"/>
              </w:rPr>
              <w:t>Authorized: 200,000,000 shares of $1 par value, Issued: 54,949,872 and 55,379,636 shares,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Outstanding: 54,816,803 and 55,243,804 shares</w:t>
            </w:r>
          </w:p>
        </w:tc>
        <w:tc>
          <w:tcPr>
            <w:tcW w:w="2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20" w:type="dxa"/>
            <w:vAlign w:val="bottom"/>
          </w:tcPr>
          <w:p>
            <w:pPr>
              <w:ind w:left="380"/>
              <w:spacing w:after="0" w:line="215" w:lineRule="exact"/>
              <w:rPr>
                <w:sz w:val="20"/>
                <w:szCs w:val="20"/>
                <w:color w:val="auto"/>
              </w:rPr>
            </w:pPr>
            <w:r>
              <w:rPr>
                <w:rFonts w:ascii="Calibri" w:cs="Calibri" w:eastAsia="Calibri" w:hAnsi="Calibri"/>
                <w:sz w:val="18"/>
                <w:szCs w:val="18"/>
                <w:color w:val="auto"/>
              </w:rPr>
              <w:t>Less cost of 133,069 and 135,832 shares of common treasury stock</w:t>
            </w:r>
          </w:p>
        </w:tc>
        <w:tc>
          <w:tcPr>
            <w:tcW w:w="260" w:type="dxa"/>
            <w:vAlign w:val="bottom"/>
          </w:tcPr>
          <w:p>
            <w:pPr>
              <w:spacing w:after="0"/>
              <w:rPr>
                <w:sz w:val="18"/>
                <w:szCs w:val="18"/>
                <w:color w:val="auto"/>
              </w:rPr>
            </w:pPr>
          </w:p>
        </w:tc>
        <w:tc>
          <w:tcPr>
            <w:tcW w:w="160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(3 )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Additonal paid-in capital</w:t>
            </w:r>
          </w:p>
        </w:tc>
        <w:tc>
          <w:tcPr>
            <w:tcW w:w="26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gridSpan w:val="2"/>
            <w:shd w:val="clear" w:color="auto" w:fill="CFF0FC"/>
          </w:tcPr>
          <w:p>
            <w:pPr>
              <w:jc w:val="right"/>
              <w:ind w:right="228"/>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Retained earnings</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1,676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1,574</w:t>
            </w: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Accumulated other comprehensive income (loss)</w:t>
            </w:r>
          </w:p>
        </w:tc>
        <w:tc>
          <w:tcPr>
            <w:tcW w:w="2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(382 )</w:t>
            </w: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(362 )</w:t>
            </w:r>
          </w:p>
        </w:tc>
      </w:tr>
      <w:tr>
        <w:trPr>
          <w:trHeight w:val="208"/>
        </w:trPr>
        <w:tc>
          <w:tcPr>
            <w:tcW w:w="772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Total Cabot Corporaton stockholders' equity</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1,346</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1,264</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Noncontrolling interests</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720" w:type="dxa"/>
            <w:vAlign w:val="bottom"/>
            <w:tcBorders>
              <w:top w:val="single" w:sz="8" w:color="CFF0FC"/>
            </w:tcBorders>
          </w:tcPr>
          <w:p>
            <w:pPr>
              <w:ind w:left="200"/>
              <w:spacing w:after="0" w:line="213" w:lineRule="exact"/>
              <w:rPr>
                <w:sz w:val="20"/>
                <w:szCs w:val="20"/>
                <w:color w:val="auto"/>
              </w:rPr>
            </w:pPr>
            <w:r>
              <w:rPr>
                <w:rFonts w:ascii="Calibri" w:cs="Calibri" w:eastAsia="Calibri" w:hAnsi="Calibri"/>
                <w:sz w:val="18"/>
                <w:szCs w:val="18"/>
                <w:color w:val="auto"/>
              </w:rPr>
              <w:t>Total stockholders' equity</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1,496</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1,407</w:t>
            </w:r>
          </w:p>
        </w:tc>
        <w:tc>
          <w:tcPr>
            <w:tcW w:w="100" w:type="dxa"/>
            <w:vAlign w:val="bottom"/>
            <w:tcBorders>
              <w:top w:val="single" w:sz="8" w:color="CFF0FC"/>
            </w:tcBorders>
          </w:tcPr>
          <w:p>
            <w:pPr>
              <w:spacing w:after="0"/>
              <w:rPr>
                <w:sz w:val="18"/>
                <w:szCs w:val="18"/>
                <w:color w:val="auto"/>
              </w:rPr>
            </w:pPr>
          </w:p>
        </w:tc>
      </w:tr>
      <w:tr>
        <w:trPr>
          <w:trHeight w:val="23"/>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liabilites and stockholders' equity</w:t>
            </w:r>
          </w:p>
        </w:tc>
        <w:tc>
          <w:tcPr>
            <w:tcW w:w="26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3,580</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3,604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-2982595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6"/>
          <w:szCs w:val="16"/>
          <w:b w:val="1"/>
          <w:bCs w:val="1"/>
          <w:color w:val="auto"/>
        </w:rPr>
        <w:t>CABOT CORPORATION</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2960" w:type="dxa"/>
            <w:vAlign w:val="bottom"/>
            <w:gridSpan w:val="4"/>
          </w:tcPr>
          <w:p>
            <w:pPr>
              <w:jc w:val="right"/>
              <w:ind w:right="284"/>
              <w:spacing w:after="0"/>
              <w:rPr>
                <w:sz w:val="20"/>
                <w:szCs w:val="20"/>
                <w:color w:val="auto"/>
              </w:rPr>
            </w:pPr>
            <w:r>
              <w:rPr>
                <w:rFonts w:ascii="Calibri" w:cs="Calibri" w:eastAsia="Calibri" w:hAnsi="Calibri"/>
                <w:sz w:val="15"/>
                <w:szCs w:val="15"/>
                <w:b w:val="1"/>
                <w:bCs w:val="1"/>
                <w:color w:val="auto"/>
              </w:rPr>
              <w:t>Nine Months Ended 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77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720" w:type="dxa"/>
            <w:vAlign w:val="bottom"/>
          </w:tcPr>
          <w:p>
            <w:pPr>
              <w:spacing w:after="0"/>
              <w:rPr>
                <w:sz w:val="15"/>
                <w:szCs w:val="15"/>
                <w:color w:val="auto"/>
              </w:rPr>
            </w:pPr>
          </w:p>
        </w:tc>
        <w:tc>
          <w:tcPr>
            <w:tcW w:w="1120" w:type="dxa"/>
            <w:vAlign w:val="bottom"/>
          </w:tcPr>
          <w:p>
            <w:pPr>
              <w:jc w:val="right"/>
              <w:ind w:right="104"/>
              <w:spacing w:after="0" w:line="176" w:lineRule="exact"/>
              <w:rPr>
                <w:sz w:val="20"/>
                <w:szCs w:val="20"/>
                <w:color w:val="auto"/>
              </w:rPr>
            </w:pPr>
            <w:r>
              <w:rPr>
                <w:rFonts w:ascii="Calibri" w:cs="Calibri" w:eastAsia="Calibri" w:hAnsi="Calibri"/>
                <w:sz w:val="15"/>
                <w:szCs w:val="15"/>
                <w:b w:val="1"/>
                <w:bCs w:val="1"/>
                <w:color w:val="auto"/>
              </w:rPr>
              <w:t>2024</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84"/>
              <w:spacing w:after="0" w:line="176" w:lineRule="exact"/>
              <w:rPr>
                <w:sz w:val="20"/>
                <w:szCs w:val="20"/>
                <w:color w:val="auto"/>
              </w:rPr>
            </w:pPr>
            <w:r>
              <w:rPr>
                <w:rFonts w:ascii="Calibri" w:cs="Calibri" w:eastAsia="Calibri" w:hAnsi="Calibri"/>
                <w:sz w:val="15"/>
                <w:szCs w:val="15"/>
                <w:b w:val="1"/>
                <w:bCs w:val="1"/>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jc w:val="right"/>
              <w:ind w:right="4"/>
              <w:spacing w:after="0" w:line="176" w:lineRule="exact"/>
              <w:rPr>
                <w:sz w:val="20"/>
                <w:szCs w:val="20"/>
                <w:color w:val="auto"/>
              </w:rPr>
            </w:pPr>
            <w:r>
              <w:rPr>
                <w:rFonts w:ascii="Calibri" w:cs="Calibri" w:eastAsia="Calibri" w:hAnsi="Calibri"/>
                <w:sz w:val="15"/>
                <w:szCs w:val="15"/>
                <w:b w:val="1"/>
                <w:bCs w:val="1"/>
                <w:color w:val="auto"/>
              </w:rPr>
              <w:t>(In</w:t>
            </w:r>
          </w:p>
        </w:tc>
        <w:tc>
          <w:tcPr>
            <w:tcW w:w="1380" w:type="dxa"/>
            <w:vAlign w:val="bottom"/>
            <w:gridSpan w:val="2"/>
          </w:tcPr>
          <w:p>
            <w:pPr>
              <w:jc w:val="right"/>
              <w:ind w:right="804"/>
              <w:spacing w:after="0" w:line="176" w:lineRule="exact"/>
              <w:rPr>
                <w:sz w:val="20"/>
                <w:szCs w:val="20"/>
                <w:color w:val="auto"/>
              </w:rPr>
            </w:pPr>
            <w:r>
              <w:rPr>
                <w:rFonts w:ascii="Calibri" w:cs="Calibri" w:eastAsia="Calibri" w:hAnsi="Calibri"/>
                <w:sz w:val="15"/>
                <w:szCs w:val="15"/>
                <w:b w:val="1"/>
                <w:bCs w:val="1"/>
                <w:color w:val="auto"/>
                <w:w w:val="89"/>
              </w:rPr>
              <w:t>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b w:val="1"/>
                <w:bCs w:val="1"/>
                <w:color w:val="auto"/>
              </w:rPr>
              <w:t>Cash Flows from Operatng Actvites:</w:t>
            </w:r>
          </w:p>
        </w:tc>
        <w:tc>
          <w:tcPr>
            <w:tcW w:w="1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Net income (loss)</w:t>
            </w:r>
          </w:p>
        </w:tc>
        <w:tc>
          <w:tcPr>
            <w:tcW w:w="1120" w:type="dxa"/>
            <w:vAlign w:val="bottom"/>
          </w:tcPr>
          <w:p>
            <w:pPr>
              <w:jc w:val="right"/>
              <w:ind w:right="944"/>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278</w:t>
            </w:r>
          </w:p>
        </w:tc>
        <w:tc>
          <w:tcPr>
            <w:tcW w:w="280" w:type="dxa"/>
            <w:vAlign w:val="bottom"/>
          </w:tcPr>
          <w:p>
            <w:pPr>
              <w:spacing w:after="0"/>
              <w:rPr>
                <w:sz w:val="15"/>
                <w:szCs w:val="15"/>
                <w:color w:val="auto"/>
              </w:rPr>
            </w:pPr>
          </w:p>
        </w:tc>
        <w:tc>
          <w:tcPr>
            <w:tcW w:w="1100" w:type="dxa"/>
            <w:vAlign w:val="bottom"/>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238</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Adjustments to reconcile net income (loss) to cash provided by operatng actvites:</w:t>
            </w:r>
          </w:p>
        </w:tc>
        <w:tc>
          <w:tcPr>
            <w:tcW w:w="1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Depreciaton and amortzaton</w:t>
            </w:r>
          </w:p>
        </w:tc>
        <w:tc>
          <w:tcPr>
            <w:tcW w:w="1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114</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107</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Loss on sale of business</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Gain on sale of land</w:t>
            </w:r>
          </w:p>
        </w:tc>
        <w:tc>
          <w:tcPr>
            <w:tcW w:w="1120" w:type="dxa"/>
            <w:vAlign w:val="bottom"/>
          </w:tcPr>
          <w:p>
            <w:pPr>
              <w:spacing w:after="0"/>
              <w:rPr>
                <w:sz w:val="15"/>
                <w:szCs w:val="15"/>
                <w:color w:val="auto"/>
              </w:rPr>
            </w:pPr>
          </w:p>
        </w:tc>
        <w:tc>
          <w:tcPr>
            <w:tcW w:w="74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(1 )</w:t>
            </w: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Deferred tax provision (beneft)</w:t>
            </w:r>
          </w:p>
        </w:tc>
        <w:tc>
          <w:tcPr>
            <w:tcW w:w="1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(1 )</w:t>
            </w: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Equity in earnings of afliated companies</w:t>
            </w:r>
          </w:p>
        </w:tc>
        <w:tc>
          <w:tcPr>
            <w:tcW w:w="112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(5 )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(4 )</w:t>
            </w: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Share-based compensaton</w:t>
            </w:r>
          </w:p>
        </w:tc>
        <w:tc>
          <w:tcPr>
            <w:tcW w:w="1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19</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Other non-cash (income) expense</w:t>
            </w:r>
          </w:p>
        </w:tc>
        <w:tc>
          <w:tcPr>
            <w:tcW w:w="1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60</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Cash dividends received from equity afliates</w:t>
            </w:r>
          </w:p>
        </w:tc>
        <w:tc>
          <w:tcPr>
            <w:tcW w:w="1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300"/>
              <w:spacing w:after="0"/>
              <w:rPr>
                <w:sz w:val="20"/>
                <w:szCs w:val="20"/>
                <w:color w:val="auto"/>
              </w:rPr>
            </w:pPr>
            <w:r>
              <w:rPr>
                <w:rFonts w:ascii="Calibri" w:cs="Calibri" w:eastAsia="Calibri" w:hAnsi="Calibri"/>
                <w:sz w:val="15"/>
                <w:szCs w:val="15"/>
                <w:color w:val="auto"/>
              </w:rPr>
              <w:t>Changes in assets and liabilites:</w:t>
            </w: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Accounts and notes receivable</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(47 )</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460"/>
              <w:spacing w:after="0"/>
              <w:rPr>
                <w:sz w:val="20"/>
                <w:szCs w:val="20"/>
                <w:color w:val="auto"/>
              </w:rPr>
            </w:pPr>
            <w:r>
              <w:rPr>
                <w:rFonts w:ascii="Calibri" w:cs="Calibri" w:eastAsia="Calibri" w:hAnsi="Calibri"/>
                <w:sz w:val="15"/>
                <w:szCs w:val="15"/>
                <w:color w:val="auto"/>
              </w:rPr>
              <w:t>Inventories</w:t>
            </w:r>
          </w:p>
        </w:tc>
        <w:tc>
          <w:tcPr>
            <w:tcW w:w="1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27</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100</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Prepaid expenses and other assets</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(14 )</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460"/>
              <w:spacing w:after="0"/>
              <w:rPr>
                <w:sz w:val="20"/>
                <w:szCs w:val="20"/>
                <w:color w:val="auto"/>
              </w:rPr>
            </w:pPr>
            <w:r>
              <w:rPr>
                <w:rFonts w:ascii="Calibri" w:cs="Calibri" w:eastAsia="Calibri" w:hAnsi="Calibri"/>
                <w:sz w:val="15"/>
                <w:szCs w:val="15"/>
                <w:color w:val="auto"/>
              </w:rPr>
              <w:t>Accounts payable and accrued liabilites</w:t>
            </w:r>
          </w:p>
        </w:tc>
        <w:tc>
          <w:tcPr>
            <w:tcW w:w="1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38</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(177 )</w:t>
            </w: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Income taxes payable</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(6 )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(18 )</w:t>
            </w:r>
          </w:p>
        </w:tc>
      </w:tr>
      <w:tr>
        <w:trPr>
          <w:trHeight w:val="187"/>
        </w:trPr>
        <w:tc>
          <w:tcPr>
            <w:tcW w:w="7720" w:type="dxa"/>
            <w:vAlign w:val="bottom"/>
          </w:tcPr>
          <w:p>
            <w:pPr>
              <w:ind w:left="460"/>
              <w:spacing w:after="0"/>
              <w:rPr>
                <w:sz w:val="20"/>
                <w:szCs w:val="20"/>
                <w:color w:val="auto"/>
              </w:rPr>
            </w:pPr>
            <w:r>
              <w:rPr>
                <w:rFonts w:ascii="Calibri" w:cs="Calibri" w:eastAsia="Calibri" w:hAnsi="Calibri"/>
                <w:sz w:val="15"/>
                <w:szCs w:val="15"/>
                <w:color w:val="auto"/>
              </w:rPr>
              <w:t>Other liabilites</w:t>
            </w:r>
          </w:p>
        </w:tc>
        <w:tc>
          <w:tcPr>
            <w:tcW w:w="1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16</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Pr>
          <w:p>
            <w:pPr>
              <w:spacing w:after="0"/>
              <w:rPr>
                <w:sz w:val="16"/>
                <w:szCs w:val="16"/>
                <w:color w:val="auto"/>
              </w:rPr>
            </w:pPr>
          </w:p>
        </w:tc>
      </w:tr>
      <w:tr>
        <w:trPr>
          <w:trHeight w:val="29"/>
        </w:trPr>
        <w:tc>
          <w:tcPr>
            <w:tcW w:w="7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720" w:type="dxa"/>
            <w:vAlign w:val="bottom"/>
            <w:tcBorders>
              <w:bottom w:val="single" w:sz="8" w:color="CFF0FC"/>
            </w:tcBorders>
            <w:shd w:val="clear" w:color="auto" w:fill="CFF0FC"/>
          </w:tcPr>
          <w:p>
            <w:pPr>
              <w:ind w:left="600"/>
              <w:spacing w:after="0" w:line="180" w:lineRule="exact"/>
              <w:rPr>
                <w:sz w:val="20"/>
                <w:szCs w:val="20"/>
                <w:color w:val="auto"/>
              </w:rPr>
            </w:pPr>
            <w:r>
              <w:rPr>
                <w:rFonts w:ascii="Calibri" w:cs="Calibri" w:eastAsia="Calibri" w:hAnsi="Calibri"/>
                <w:sz w:val="15"/>
                <w:szCs w:val="15"/>
                <w:color w:val="auto"/>
              </w:rPr>
              <w:t>Cash provided by (used in) operatng actvites</w:t>
            </w:r>
          </w:p>
        </w:tc>
        <w:tc>
          <w:tcPr>
            <w:tcW w:w="1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488</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6"/>
        </w:trPr>
        <w:tc>
          <w:tcPr>
            <w:tcW w:w="7720" w:type="dxa"/>
            <w:vAlign w:val="bottom"/>
            <w:tcBorders>
              <w:top w:val="single" w:sz="8" w:color="CFF0FC"/>
            </w:tcBorders>
          </w:tcPr>
          <w:p>
            <w:pPr>
              <w:ind w:left="20"/>
              <w:spacing w:after="0" w:line="176" w:lineRule="exact"/>
              <w:rPr>
                <w:sz w:val="20"/>
                <w:szCs w:val="20"/>
                <w:color w:val="auto"/>
              </w:rPr>
            </w:pPr>
            <w:r>
              <w:rPr>
                <w:rFonts w:ascii="Calibri" w:cs="Calibri" w:eastAsia="Calibri" w:hAnsi="Calibri"/>
                <w:sz w:val="15"/>
                <w:szCs w:val="15"/>
                <w:b w:val="1"/>
                <w:bCs w:val="1"/>
                <w:color w:val="auto"/>
              </w:rPr>
              <w:t>Cash Flows from Investng Actvites:</w:t>
            </w:r>
          </w:p>
        </w:tc>
        <w:tc>
          <w:tcPr>
            <w:tcW w:w="1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Additons to property, plant and equipment</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(149 )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(166 )</w:t>
            </w: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Proceeds from sale of land</w:t>
            </w:r>
          </w:p>
        </w:tc>
        <w:tc>
          <w:tcPr>
            <w:tcW w:w="1120" w:type="dxa"/>
            <w:vAlign w:val="bottom"/>
          </w:tcPr>
          <w:p>
            <w:pPr>
              <w:spacing w:after="0"/>
              <w:rPr>
                <w:sz w:val="15"/>
                <w:szCs w:val="15"/>
                <w:color w:val="auto"/>
              </w:rPr>
            </w:pPr>
          </w:p>
        </w:tc>
        <w:tc>
          <w:tcPr>
            <w:tcW w:w="74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7</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sale of business</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Proceeds from insurance setlements</w:t>
            </w:r>
          </w:p>
        </w:tc>
        <w:tc>
          <w:tcPr>
            <w:tcW w:w="1120" w:type="dxa"/>
            <w:vAlign w:val="bottom"/>
          </w:tcPr>
          <w:p>
            <w:pPr>
              <w:spacing w:after="0"/>
              <w:rPr>
                <w:sz w:val="15"/>
                <w:szCs w:val="15"/>
                <w:color w:val="auto"/>
              </w:rPr>
            </w:pPr>
          </w:p>
        </w:tc>
        <w:tc>
          <w:tcPr>
            <w:tcW w:w="74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12</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Other</w:t>
            </w:r>
          </w:p>
        </w:tc>
        <w:tc>
          <w:tcPr>
            <w:tcW w:w="1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7720" w:type="dxa"/>
            <w:vAlign w:val="bottom"/>
          </w:tcPr>
          <w:p>
            <w:pPr>
              <w:ind w:left="600"/>
              <w:spacing w:after="0" w:line="180" w:lineRule="exact"/>
              <w:rPr>
                <w:sz w:val="20"/>
                <w:szCs w:val="20"/>
                <w:color w:val="auto"/>
              </w:rPr>
            </w:pPr>
            <w:r>
              <w:rPr>
                <w:rFonts w:ascii="Calibri" w:cs="Calibri" w:eastAsia="Calibri" w:hAnsi="Calibri"/>
                <w:sz w:val="15"/>
                <w:szCs w:val="15"/>
                <w:color w:val="auto"/>
              </w:rPr>
              <w:t>Cash provided by (used in) investng actvites</w:t>
            </w:r>
          </w:p>
        </w:tc>
        <w:tc>
          <w:tcPr>
            <w:tcW w:w="1120" w:type="dxa"/>
            <w:vAlign w:val="bottom"/>
          </w:tcPr>
          <w:p>
            <w:pPr>
              <w:spacing w:after="0"/>
              <w:rPr>
                <w:sz w:val="15"/>
                <w:szCs w:val="15"/>
                <w:color w:val="auto"/>
              </w:rPr>
            </w:pPr>
          </w:p>
        </w:tc>
        <w:tc>
          <w:tcPr>
            <w:tcW w:w="740" w:type="dxa"/>
            <w:vAlign w:val="bottom"/>
            <w:gridSpan w:val="2"/>
          </w:tcPr>
          <w:p>
            <w:pPr>
              <w:jc w:val="right"/>
              <w:ind w:right="144"/>
              <w:spacing w:after="0" w:line="180" w:lineRule="exact"/>
              <w:rPr>
                <w:sz w:val="20"/>
                <w:szCs w:val="20"/>
                <w:color w:val="auto"/>
              </w:rPr>
            </w:pPr>
            <w:r>
              <w:rPr>
                <w:rFonts w:ascii="Calibri" w:cs="Calibri" w:eastAsia="Calibri" w:hAnsi="Calibri"/>
                <w:sz w:val="15"/>
                <w:szCs w:val="15"/>
                <w:color w:val="auto"/>
              </w:rPr>
              <w:t>(146 )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line="180" w:lineRule="exact"/>
              <w:rPr>
                <w:sz w:val="20"/>
                <w:szCs w:val="20"/>
                <w:color w:val="auto"/>
              </w:rPr>
            </w:pPr>
            <w:r>
              <w:rPr>
                <w:rFonts w:ascii="Calibri" w:cs="Calibri" w:eastAsia="Calibri" w:hAnsi="Calibri"/>
                <w:sz w:val="15"/>
                <w:szCs w:val="15"/>
                <w:color w:val="auto"/>
              </w:rPr>
              <w:t>(139 )</w:t>
            </w:r>
          </w:p>
        </w:tc>
      </w:tr>
      <w:tr>
        <w:trPr>
          <w:trHeight w:val="30"/>
        </w:trPr>
        <w:tc>
          <w:tcPr>
            <w:tcW w:w="7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720" w:type="dxa"/>
            <w:vAlign w:val="bottom"/>
            <w:tcBorders>
              <w:bottom w:val="single" w:sz="8" w:color="CFF0FC"/>
            </w:tcBorders>
            <w:shd w:val="clear" w:color="auto" w:fill="CFF0FC"/>
          </w:tcPr>
          <w:p>
            <w:pPr>
              <w:ind w:left="20"/>
              <w:spacing w:after="0" w:line="176" w:lineRule="exact"/>
              <w:rPr>
                <w:sz w:val="20"/>
                <w:szCs w:val="20"/>
                <w:color w:val="auto"/>
              </w:rPr>
            </w:pPr>
            <w:r>
              <w:rPr>
                <w:rFonts w:ascii="Calibri" w:cs="Calibri" w:eastAsia="Calibri" w:hAnsi="Calibri"/>
                <w:sz w:val="15"/>
                <w:szCs w:val="15"/>
                <w:b w:val="1"/>
                <w:bCs w:val="1"/>
                <w:color w:val="auto"/>
              </w:rPr>
              <w:t>Cash Flows from Financing Actvites:</w:t>
            </w:r>
          </w:p>
        </w:tc>
        <w:tc>
          <w:tcPr>
            <w:tcW w:w="11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Proceeds from short-term borrowings</w:t>
            </w:r>
          </w:p>
        </w:tc>
        <w:tc>
          <w:tcPr>
            <w:tcW w:w="1120" w:type="dxa"/>
            <w:vAlign w:val="bottom"/>
          </w:tcPr>
          <w:p>
            <w:pPr>
              <w:spacing w:after="0"/>
              <w:rPr>
                <w:sz w:val="15"/>
                <w:szCs w:val="15"/>
                <w:color w:val="auto"/>
              </w:rPr>
            </w:pPr>
          </w:p>
        </w:tc>
        <w:tc>
          <w:tcPr>
            <w:tcW w:w="74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24</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Repayments of short-term borrowings</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(48 )</w:t>
            </w: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Proceeds from issuance (repayments) of commercial paper, net</w:t>
            </w:r>
          </w:p>
        </w:tc>
        <w:tc>
          <w:tcPr>
            <w:tcW w:w="112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(123 )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(188 )</w:t>
            </w: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long-term debt, net of issuance costs</w:t>
            </w:r>
          </w:p>
        </w:tc>
        <w:tc>
          <w:tcPr>
            <w:tcW w:w="1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14</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Repayments of long-term debt</w:t>
            </w:r>
          </w:p>
        </w:tc>
        <w:tc>
          <w:tcPr>
            <w:tcW w:w="112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(29 )</w:t>
            </w:r>
          </w:p>
        </w:tc>
        <w:tc>
          <w:tcPr>
            <w:tcW w:w="1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(88 )</w:t>
            </w: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Purchases of common stock</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(106 )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(48 )</w:t>
            </w:r>
          </w:p>
        </w:tc>
      </w:tr>
      <w:tr>
        <w:trPr>
          <w:trHeight w:val="183"/>
        </w:trPr>
        <w:tc>
          <w:tcPr>
            <w:tcW w:w="7720" w:type="dxa"/>
            <w:vAlign w:val="bottom"/>
          </w:tcPr>
          <w:p>
            <w:pPr>
              <w:ind w:left="160"/>
              <w:spacing w:after="0"/>
              <w:rPr>
                <w:sz w:val="20"/>
                <w:szCs w:val="20"/>
                <w:color w:val="auto"/>
              </w:rPr>
            </w:pPr>
            <w:r>
              <w:rPr>
                <w:rFonts w:ascii="Calibri" w:cs="Calibri" w:eastAsia="Calibri" w:hAnsi="Calibri"/>
                <w:sz w:val="15"/>
                <w:szCs w:val="15"/>
                <w:color w:val="auto"/>
              </w:rPr>
              <w:t>Proceeds from sales of common stock</w:t>
            </w:r>
          </w:p>
        </w:tc>
        <w:tc>
          <w:tcPr>
            <w:tcW w:w="1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15</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4</w:t>
            </w: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Cash dividends paid to noncontrolling interests</w:t>
            </w:r>
          </w:p>
        </w:tc>
        <w:tc>
          <w:tcPr>
            <w:tcW w:w="1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(27 )</w:t>
            </w:r>
          </w:p>
        </w:tc>
        <w:tc>
          <w:tcPr>
            <w:tcW w:w="1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(41 )</w:t>
            </w:r>
          </w:p>
        </w:tc>
      </w:tr>
      <w:tr>
        <w:trPr>
          <w:trHeight w:val="186"/>
        </w:trPr>
        <w:tc>
          <w:tcPr>
            <w:tcW w:w="7720" w:type="dxa"/>
            <w:vAlign w:val="bottom"/>
          </w:tcPr>
          <w:p>
            <w:pPr>
              <w:ind w:left="160"/>
              <w:spacing w:after="0"/>
              <w:rPr>
                <w:sz w:val="20"/>
                <w:szCs w:val="20"/>
                <w:color w:val="auto"/>
              </w:rPr>
            </w:pPr>
            <w:r>
              <w:rPr>
                <w:rFonts w:ascii="Calibri" w:cs="Calibri" w:eastAsia="Calibri" w:hAnsi="Calibri"/>
                <w:sz w:val="15"/>
                <w:szCs w:val="15"/>
                <w:color w:val="auto"/>
              </w:rPr>
              <w:t>Cash dividends paid to common stockholders</w:t>
            </w:r>
          </w:p>
        </w:tc>
        <w:tc>
          <w:tcPr>
            <w:tcW w:w="1120" w:type="dxa"/>
            <w:vAlign w:val="bottom"/>
          </w:tcPr>
          <w:p>
            <w:pPr>
              <w:spacing w:after="0"/>
              <w:rPr>
                <w:sz w:val="16"/>
                <w:szCs w:val="16"/>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(69 )</w:t>
            </w:r>
          </w:p>
        </w:tc>
        <w:tc>
          <w:tcPr>
            <w:tcW w:w="1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(65 )</w:t>
            </w:r>
          </w:p>
        </w:tc>
      </w:tr>
      <w:tr>
        <w:trPr>
          <w:trHeight w:val="30"/>
        </w:trPr>
        <w:tc>
          <w:tcPr>
            <w:tcW w:w="7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720" w:type="dxa"/>
            <w:vAlign w:val="bottom"/>
            <w:tcBorders>
              <w:bottom w:val="single" w:sz="8" w:color="CFF0FC"/>
            </w:tcBorders>
            <w:shd w:val="clear" w:color="auto" w:fill="CFF0FC"/>
          </w:tcPr>
          <w:p>
            <w:pPr>
              <w:ind w:left="600"/>
              <w:spacing w:after="0" w:line="180" w:lineRule="exact"/>
              <w:rPr>
                <w:sz w:val="20"/>
                <w:szCs w:val="20"/>
                <w:color w:val="auto"/>
              </w:rPr>
            </w:pPr>
            <w:r>
              <w:rPr>
                <w:rFonts w:ascii="Calibri" w:cs="Calibri" w:eastAsia="Calibri" w:hAnsi="Calibri"/>
                <w:sz w:val="15"/>
                <w:szCs w:val="15"/>
                <w:color w:val="auto"/>
              </w:rPr>
              <w:t>Cash provided by (used in) fnancing actvites</w:t>
            </w:r>
          </w:p>
        </w:tc>
        <w:tc>
          <w:tcPr>
            <w:tcW w:w="11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gridSpan w:val="2"/>
            <w:shd w:val="clear" w:color="auto" w:fill="CFF0FC"/>
          </w:tcPr>
          <w:p>
            <w:pPr>
              <w:jc w:val="right"/>
              <w:ind w:right="144"/>
              <w:spacing w:after="0" w:line="180" w:lineRule="exact"/>
              <w:rPr>
                <w:sz w:val="20"/>
                <w:szCs w:val="20"/>
                <w:color w:val="auto"/>
              </w:rPr>
            </w:pPr>
            <w:r>
              <w:rPr>
                <w:rFonts w:ascii="Calibri" w:cs="Calibri" w:eastAsia="Calibri" w:hAnsi="Calibri"/>
                <w:sz w:val="15"/>
                <w:szCs w:val="15"/>
                <w:color w:val="auto"/>
              </w:rPr>
              <w:t>(326 )</w:t>
            </w:r>
          </w:p>
        </w:tc>
        <w:tc>
          <w:tcPr>
            <w:tcW w:w="1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gridSpan w:val="2"/>
            <w:shd w:val="clear" w:color="auto" w:fill="CFF0FC"/>
          </w:tcPr>
          <w:p>
            <w:pPr>
              <w:jc w:val="right"/>
              <w:ind w:right="40"/>
              <w:spacing w:after="0" w:line="180" w:lineRule="exact"/>
              <w:rPr>
                <w:sz w:val="20"/>
                <w:szCs w:val="20"/>
                <w:color w:val="auto"/>
              </w:rPr>
            </w:pPr>
            <w:r>
              <w:rPr>
                <w:rFonts w:ascii="Calibri" w:cs="Calibri" w:eastAsia="Calibri" w:hAnsi="Calibri"/>
                <w:sz w:val="15"/>
                <w:szCs w:val="15"/>
                <w:color w:val="auto"/>
              </w:rPr>
              <w:t>(371 )</w:t>
            </w:r>
          </w:p>
        </w:tc>
      </w:tr>
      <w:tr>
        <w:trPr>
          <w:trHeight w:val="20"/>
        </w:trPr>
        <w:tc>
          <w:tcPr>
            <w:tcW w:w="77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7720" w:type="dxa"/>
            <w:vAlign w:val="bottom"/>
          </w:tcPr>
          <w:p>
            <w:pPr>
              <w:ind w:left="20"/>
              <w:spacing w:after="0" w:line="180" w:lineRule="exact"/>
              <w:rPr>
                <w:sz w:val="20"/>
                <w:szCs w:val="20"/>
                <w:color w:val="auto"/>
              </w:rPr>
            </w:pPr>
            <w:r>
              <w:rPr>
                <w:rFonts w:ascii="Calibri" w:cs="Calibri" w:eastAsia="Calibri" w:hAnsi="Calibri"/>
                <w:sz w:val="15"/>
                <w:szCs w:val="15"/>
                <w:color w:val="auto"/>
              </w:rPr>
              <w:t>Efects of exchange rate changes on cash</w:t>
            </w:r>
          </w:p>
        </w:tc>
        <w:tc>
          <w:tcPr>
            <w:tcW w:w="1120" w:type="dxa"/>
            <w:vAlign w:val="bottom"/>
          </w:tcPr>
          <w:p>
            <w:pPr>
              <w:spacing w:after="0"/>
              <w:rPr>
                <w:sz w:val="15"/>
                <w:szCs w:val="15"/>
                <w:color w:val="auto"/>
              </w:rPr>
            </w:pPr>
          </w:p>
        </w:tc>
        <w:tc>
          <w:tcPr>
            <w:tcW w:w="740" w:type="dxa"/>
            <w:vAlign w:val="bottom"/>
            <w:gridSpan w:val="2"/>
          </w:tcPr>
          <w:p>
            <w:pPr>
              <w:jc w:val="right"/>
              <w:ind w:right="144"/>
              <w:spacing w:after="0" w:line="180" w:lineRule="exact"/>
              <w:rPr>
                <w:sz w:val="20"/>
                <w:szCs w:val="20"/>
                <w:color w:val="auto"/>
              </w:rPr>
            </w:pPr>
            <w:r>
              <w:rPr>
                <w:rFonts w:ascii="Calibri" w:cs="Calibri" w:eastAsia="Calibri" w:hAnsi="Calibri"/>
                <w:sz w:val="15"/>
                <w:szCs w:val="15"/>
                <w:color w:val="auto"/>
              </w:rPr>
              <w:t>(57 )</w:t>
            </w:r>
          </w:p>
        </w:tc>
        <w:tc>
          <w:tcPr>
            <w:tcW w:w="110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Calibri" w:cs="Calibri" w:eastAsia="Calibri" w:hAnsi="Calibri"/>
                <w:sz w:val="15"/>
                <w:szCs w:val="15"/>
                <w:color w:val="auto"/>
              </w:rPr>
              <w:t>67</w:t>
            </w:r>
          </w:p>
        </w:tc>
        <w:tc>
          <w:tcPr>
            <w:tcW w:w="100" w:type="dxa"/>
            <w:vAlign w:val="bottom"/>
          </w:tcPr>
          <w:p>
            <w:pPr>
              <w:spacing w:after="0"/>
              <w:rPr>
                <w:sz w:val="15"/>
                <w:szCs w:val="15"/>
                <w:color w:val="auto"/>
              </w:rPr>
            </w:pPr>
          </w:p>
        </w:tc>
      </w:tr>
      <w:tr>
        <w:trPr>
          <w:trHeight w:val="30"/>
        </w:trPr>
        <w:tc>
          <w:tcPr>
            <w:tcW w:w="7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720" w:type="dxa"/>
            <w:vAlign w:val="bottom"/>
            <w:tcBorders>
              <w:bottom w:val="single" w:sz="8" w:color="CFF0FC"/>
            </w:tcBorders>
            <w:shd w:val="clear" w:color="auto" w:fill="CFF0FC"/>
          </w:tcPr>
          <w:p>
            <w:pPr>
              <w:ind w:left="20"/>
              <w:spacing w:after="0" w:line="176" w:lineRule="exact"/>
              <w:rPr>
                <w:sz w:val="20"/>
                <w:szCs w:val="20"/>
                <w:color w:val="auto"/>
              </w:rPr>
            </w:pPr>
            <w:r>
              <w:rPr>
                <w:rFonts w:ascii="Calibri" w:cs="Calibri" w:eastAsia="Calibri" w:hAnsi="Calibri"/>
                <w:sz w:val="15"/>
                <w:szCs w:val="15"/>
                <w:color w:val="auto"/>
              </w:rPr>
              <w:t>Increase (decrease) in cash and cash equivalents</w:t>
            </w:r>
          </w:p>
        </w:tc>
        <w:tc>
          <w:tcPr>
            <w:tcW w:w="11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gridSpan w:val="2"/>
            <w:shd w:val="clear" w:color="auto" w:fill="CFF0FC"/>
          </w:tcPr>
          <w:p>
            <w:pPr>
              <w:jc w:val="right"/>
              <w:ind w:right="144"/>
              <w:spacing w:after="0" w:line="176" w:lineRule="exact"/>
              <w:rPr>
                <w:sz w:val="20"/>
                <w:szCs w:val="20"/>
                <w:color w:val="auto"/>
              </w:rPr>
            </w:pPr>
            <w:r>
              <w:rPr>
                <w:rFonts w:ascii="Calibri" w:cs="Calibri" w:eastAsia="Calibri" w:hAnsi="Calibri"/>
                <w:sz w:val="15"/>
                <w:szCs w:val="15"/>
                <w:color w:val="auto"/>
              </w:rPr>
              <w:t>(41 )</w:t>
            </w:r>
          </w:p>
        </w:tc>
        <w:tc>
          <w:tcPr>
            <w:tcW w:w="1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jc w:val="right"/>
              <w:spacing w:after="0" w:line="176" w:lineRule="exact"/>
              <w:rPr>
                <w:sz w:val="20"/>
                <w:szCs w:val="20"/>
                <w:color w:val="auto"/>
              </w:rPr>
            </w:pPr>
            <w:r>
              <w:rPr>
                <w:rFonts w:ascii="Calibri" w:cs="Calibri" w:eastAsia="Calibri" w:hAnsi="Calibri"/>
                <w:sz w:val="15"/>
                <w:szCs w:val="15"/>
                <w:color w:val="auto"/>
              </w:rPr>
              <w:t>14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7"/>
        </w:trPr>
        <w:tc>
          <w:tcPr>
            <w:tcW w:w="7720" w:type="dxa"/>
            <w:vAlign w:val="bottom"/>
          </w:tcPr>
          <w:p>
            <w:pPr>
              <w:ind w:left="20"/>
              <w:spacing w:after="0"/>
              <w:rPr>
                <w:sz w:val="20"/>
                <w:szCs w:val="20"/>
                <w:color w:val="auto"/>
              </w:rPr>
            </w:pPr>
            <w:r>
              <w:rPr>
                <w:rFonts w:ascii="Calibri" w:cs="Calibri" w:eastAsia="Calibri" w:hAnsi="Calibri"/>
                <w:sz w:val="15"/>
                <w:szCs w:val="15"/>
                <w:color w:val="auto"/>
              </w:rPr>
              <w:t>Cash and cash equivalents at beginning of period</w:t>
            </w:r>
          </w:p>
        </w:tc>
        <w:tc>
          <w:tcPr>
            <w:tcW w:w="1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238</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206</w:t>
            </w:r>
          </w:p>
        </w:tc>
        <w:tc>
          <w:tcPr>
            <w:tcW w:w="100" w:type="dxa"/>
            <w:vAlign w:val="bottom"/>
          </w:tcPr>
          <w:p>
            <w:pPr>
              <w:spacing w:after="0"/>
              <w:rPr>
                <w:sz w:val="16"/>
                <w:szCs w:val="16"/>
                <w:color w:val="auto"/>
              </w:rPr>
            </w:pPr>
          </w:p>
        </w:tc>
      </w:tr>
      <w:tr>
        <w:trPr>
          <w:trHeight w:val="30"/>
        </w:trPr>
        <w:tc>
          <w:tcPr>
            <w:tcW w:w="7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Cash and cash equivalents at end of period</w:t>
            </w:r>
          </w:p>
        </w:tc>
        <w:tc>
          <w:tcPr>
            <w:tcW w:w="1120" w:type="dxa"/>
            <w:vAlign w:val="bottom"/>
            <w:tcBorders>
              <w:bottom w:val="single" w:sz="8" w:color="auto"/>
            </w:tcBorders>
            <w:shd w:val="clear" w:color="auto" w:fill="CFF0FC"/>
          </w:tcPr>
          <w:p>
            <w:pPr>
              <w:jc w:val="right"/>
              <w:ind w:right="944"/>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197</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220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-2271395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2880"/>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Calibri" w:cs="Calibri" w:eastAsia="Calibri" w:hAnsi="Calibri"/>
                <w:sz w:val="14"/>
                <w:szCs w:val="14"/>
                <w:b w:val="1"/>
                <w:bCs w:val="1"/>
                <w:color w:val="auto"/>
              </w:rPr>
              <w:t>Accumulate</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Total Cabot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560" w:type="dxa"/>
            <w:vAlign w:val="bottom"/>
            <w:gridSpan w:val="4"/>
            <w:vMerge w:val="restart"/>
          </w:tcPr>
          <w:p>
            <w:pPr>
              <w:jc w:val="right"/>
              <w:ind w:right="34"/>
              <w:spacing w:after="0"/>
              <w:rPr>
                <w:sz w:val="20"/>
                <w:szCs w:val="20"/>
                <w:color w:val="auto"/>
              </w:rPr>
            </w:pPr>
            <w:r>
              <w:rPr>
                <w:rFonts w:ascii="Calibri" w:cs="Calibri" w:eastAsia="Calibri" w:hAnsi="Calibri"/>
                <w:sz w:val="14"/>
                <w:szCs w:val="14"/>
                <w:b w:val="1"/>
                <w:bCs w:val="1"/>
                <w:color w:val="auto"/>
              </w:rPr>
              <w:t>Common Stock, Net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d Other</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right"/>
              <w:ind w:right="140"/>
              <w:spacing w:after="0" w:line="168" w:lineRule="exact"/>
              <w:rPr>
                <w:sz w:val="20"/>
                <w:szCs w:val="20"/>
                <w:color w:val="auto"/>
              </w:rPr>
            </w:pPr>
            <w:r>
              <w:rPr>
                <w:rFonts w:ascii="Calibri" w:cs="Calibri" w:eastAsia="Calibri" w:hAnsi="Calibri"/>
                <w:sz w:val="14"/>
                <w:szCs w:val="14"/>
                <w:b w:val="1"/>
                <w:bCs w:val="1"/>
                <w:color w:val="auto"/>
              </w:rPr>
              <w:t>Additonal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line="168" w:lineRule="exact"/>
              <w:rPr>
                <w:sz w:val="20"/>
                <w:szCs w:val="20"/>
                <w:color w:val="auto"/>
              </w:rPr>
            </w:pPr>
            <w:r>
              <w:rPr>
                <w:rFonts w:ascii="Calibri" w:cs="Calibri" w:eastAsia="Calibri" w:hAnsi="Calibri"/>
                <w:sz w:val="14"/>
                <w:szCs w:val="14"/>
                <w:b w:val="1"/>
                <w:bCs w:val="1"/>
                <w:color w:val="auto"/>
              </w:rPr>
              <w:t>Comprehen</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Stockholder</w:t>
            </w:r>
          </w:p>
        </w:tc>
        <w:tc>
          <w:tcPr>
            <w:tcW w:w="96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w:t>
            </w:r>
          </w:p>
        </w:tc>
        <w:tc>
          <w:tcPr>
            <w:tcW w:w="88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w:t>
            </w:r>
          </w:p>
        </w:tc>
        <w:tc>
          <w:tcPr>
            <w:tcW w:w="0" w:type="dxa"/>
            <w:vAlign w:val="bottom"/>
          </w:tcPr>
          <w:p>
            <w:pPr>
              <w:spacing w:after="0"/>
              <w:rPr>
                <w:sz w:val="1"/>
                <w:szCs w:val="1"/>
                <w:color w:val="auto"/>
              </w:rPr>
            </w:pPr>
          </w:p>
        </w:tc>
      </w:tr>
      <w:tr>
        <w:trPr>
          <w:trHeight w:val="197"/>
        </w:trPr>
        <w:tc>
          <w:tcPr>
            <w:tcW w:w="3800" w:type="dxa"/>
            <w:vAlign w:val="bottom"/>
          </w:tcPr>
          <w:p>
            <w:pPr>
              <w:spacing w:after="0"/>
              <w:rPr>
                <w:sz w:val="17"/>
                <w:szCs w:val="17"/>
                <w:color w:val="auto"/>
              </w:rPr>
            </w:pPr>
          </w:p>
        </w:tc>
        <w:tc>
          <w:tcPr>
            <w:tcW w:w="1560" w:type="dxa"/>
            <w:vAlign w:val="bottom"/>
            <w:tcBorders>
              <w:bottom w:val="single" w:sz="8" w:color="auto"/>
            </w:tcBorders>
            <w:gridSpan w:val="4"/>
          </w:tcPr>
          <w:p>
            <w:pPr>
              <w:jc w:val="right"/>
              <w:ind w:right="254"/>
              <w:spacing w:after="0"/>
              <w:rPr>
                <w:sz w:val="20"/>
                <w:szCs w:val="20"/>
                <w:color w:val="auto"/>
              </w:rPr>
            </w:pPr>
            <w:r>
              <w:rPr>
                <w:rFonts w:ascii="Calibri" w:cs="Calibri" w:eastAsia="Calibri" w:hAnsi="Calibri"/>
                <w:sz w:val="14"/>
                <w:szCs w:val="14"/>
                <w:b w:val="1"/>
                <w:bCs w:val="1"/>
                <w:color w:val="auto"/>
              </w:rPr>
              <w:t>Treasury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Paid-in</w:t>
            </w:r>
          </w:p>
        </w:tc>
        <w:tc>
          <w:tcPr>
            <w:tcW w:w="120" w:type="dxa"/>
            <w:vAlign w:val="bottom"/>
          </w:tcPr>
          <w:p>
            <w:pPr>
              <w:spacing w:after="0"/>
              <w:rPr>
                <w:sz w:val="17"/>
                <w:szCs w:val="17"/>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sive</w:t>
            </w:r>
          </w:p>
        </w:tc>
        <w:tc>
          <w:tcPr>
            <w:tcW w:w="140" w:type="dxa"/>
            <w:vAlign w:val="bottom"/>
          </w:tcPr>
          <w:p>
            <w:pPr>
              <w:spacing w:after="0"/>
              <w:rPr>
                <w:sz w:val="17"/>
                <w:szCs w:val="17"/>
                <w:color w:val="auto"/>
              </w:rPr>
            </w:pPr>
          </w:p>
        </w:tc>
        <w:tc>
          <w:tcPr>
            <w:tcW w:w="840" w:type="dxa"/>
            <w:vAlign w:val="bottom"/>
            <w:gridSpan w:val="2"/>
          </w:tcPr>
          <w:p>
            <w:pPr>
              <w:jc w:val="right"/>
              <w:ind w:right="560"/>
              <w:spacing w:after="0"/>
              <w:rPr>
                <w:sz w:val="20"/>
                <w:szCs w:val="20"/>
                <w:color w:val="auto"/>
              </w:rPr>
            </w:pPr>
            <w:r>
              <w:rPr>
                <w:rFonts w:ascii="Calibri" w:cs="Calibri" w:eastAsia="Calibri" w:hAnsi="Calibri"/>
                <w:sz w:val="14"/>
                <w:szCs w:val="14"/>
                <w:b w:val="1"/>
                <w:bCs w:val="1"/>
                <w:color w:val="auto"/>
              </w:rPr>
              <w:t>s’</w:t>
            </w:r>
          </w:p>
        </w:tc>
        <w:tc>
          <w:tcPr>
            <w:tcW w:w="100" w:type="dxa"/>
            <w:vAlign w:val="bottom"/>
          </w:tcPr>
          <w:p>
            <w:pPr>
              <w:spacing w:after="0"/>
              <w:rPr>
                <w:sz w:val="17"/>
                <w:szCs w:val="17"/>
                <w:color w:val="auto"/>
              </w:rPr>
            </w:pPr>
          </w:p>
        </w:tc>
        <w:tc>
          <w:tcPr>
            <w:tcW w:w="860" w:type="dxa"/>
            <w:vAlign w:val="bottom"/>
            <w:gridSpan w:val="2"/>
          </w:tcPr>
          <w:p>
            <w:pPr>
              <w:jc w:val="right"/>
              <w:ind w:right="500"/>
              <w:spacing w:after="0"/>
              <w:rPr>
                <w:sz w:val="20"/>
                <w:szCs w:val="20"/>
                <w:color w:val="auto"/>
              </w:rPr>
            </w:pPr>
            <w:r>
              <w:rPr>
                <w:rFonts w:ascii="Calibri" w:cs="Calibri" w:eastAsia="Calibri" w:hAnsi="Calibri"/>
                <w:sz w:val="14"/>
                <w:szCs w:val="14"/>
                <w:b w:val="1"/>
                <w:bCs w:val="1"/>
                <w:color w:val="auto"/>
              </w:rPr>
              <w:t>ing</w:t>
            </w:r>
          </w:p>
        </w:tc>
        <w:tc>
          <w:tcPr>
            <w:tcW w:w="16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s’</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line="169" w:lineRule="exact"/>
              <w:rPr>
                <w:sz w:val="20"/>
                <w:szCs w:val="20"/>
                <w:color w:val="auto"/>
              </w:rPr>
            </w:pPr>
            <w:r>
              <w:rPr>
                <w:rFonts w:ascii="Calibri" w:cs="Calibri" w:eastAsia="Calibri" w:hAnsi="Calibri"/>
                <w:sz w:val="14"/>
                <w:szCs w:val="14"/>
                <w:b w:val="1"/>
                <w:bCs w:val="1"/>
                <w:color w:val="auto"/>
              </w:rPr>
              <w:t>Income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440" w:type="dxa"/>
            <w:vAlign w:val="bottom"/>
          </w:tcPr>
          <w:p>
            <w:pPr>
              <w:jc w:val="right"/>
              <w:ind w:right="74"/>
              <w:spacing w:after="0"/>
              <w:rPr>
                <w:sz w:val="20"/>
                <w:szCs w:val="20"/>
                <w:color w:val="auto"/>
              </w:rPr>
            </w:pPr>
            <w:r>
              <w:rPr>
                <w:rFonts w:ascii="Calibri" w:cs="Calibri" w:eastAsia="Calibri" w:hAnsi="Calibri"/>
                <w:sz w:val="14"/>
                <w:szCs w:val="14"/>
                <w:b w:val="1"/>
                <w:bCs w:val="1"/>
                <w:color w:val="auto"/>
              </w:rPr>
              <w:t>Cost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(Loss)</w:t>
            </w:r>
          </w:p>
        </w:tc>
        <w:tc>
          <w:tcPr>
            <w:tcW w:w="14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Equity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w w:val="97"/>
              </w:rPr>
              <w:t>Interests</w:t>
            </w: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30"/>
              <w:spacing w:after="0" w:line="164" w:lineRule="exact"/>
              <w:rPr>
                <w:sz w:val="20"/>
                <w:szCs w:val="20"/>
                <w:color w:val="auto"/>
              </w:rPr>
            </w:pPr>
            <w:r>
              <w:rPr>
                <w:rFonts w:ascii="Calibri" w:cs="Calibri" w:eastAsia="Calibri" w:hAnsi="Calibri"/>
                <w:sz w:val="14"/>
                <w:szCs w:val="14"/>
                <w:b w:val="1"/>
                <w:bCs w:val="1"/>
                <w:color w:val="auto"/>
              </w:rPr>
              <w:t>(In millions,</w:t>
            </w:r>
          </w:p>
        </w:tc>
        <w:tc>
          <w:tcPr>
            <w:tcW w:w="1320" w:type="dxa"/>
            <w:vAlign w:val="bottom"/>
            <w:gridSpan w:val="5"/>
          </w:tcPr>
          <w:p>
            <w:pPr>
              <w:spacing w:after="0" w:line="164" w:lineRule="exact"/>
              <w:rPr>
                <w:sz w:val="20"/>
                <w:szCs w:val="20"/>
                <w:color w:val="auto"/>
              </w:rPr>
            </w:pPr>
            <w:r>
              <w:rPr>
                <w:rFonts w:ascii="Calibri" w:cs="Calibri" w:eastAsia="Calibri" w:hAnsi="Calibri"/>
                <w:sz w:val="14"/>
                <w:szCs w:val="14"/>
                <w:b w:val="1"/>
                <w:bCs w:val="1"/>
                <w:color w:val="auto"/>
                <w:w w:val="97"/>
              </w:rPr>
              <w:t>except share amounts)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2023</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55,244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52</w:t>
            </w:r>
          </w:p>
        </w:tc>
        <w:tc>
          <w:tcPr>
            <w:tcW w:w="3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gridSpan w:val="2"/>
            <w:shd w:val="clear" w:color="auto" w:fill="CFF0FC"/>
          </w:tcPr>
          <w:p>
            <w:pPr>
              <w:jc w:val="right"/>
              <w:ind w:right="2"/>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1,574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gridSpan w:val="2"/>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(362 )</w:t>
            </w:r>
          </w:p>
        </w:tc>
        <w:tc>
          <w:tcPr>
            <w:tcW w:w="1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1,264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$0.40 per share</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(22 )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(22 )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(22 )</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to noncontrolling interests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(12 )</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(12 )</w:t>
            </w: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Issuance of stock under equity compensaton plans</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10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(260 )</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(13 )</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(20 )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(33 )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(33 )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tcPr>
          <w:p>
            <w:pPr>
              <w:ind w:left="20"/>
              <w:spacing w:after="0"/>
              <w:rPr>
                <w:sz w:val="20"/>
                <w:szCs w:val="20"/>
                <w:color w:val="auto"/>
              </w:rPr>
            </w:pPr>
            <w:r>
              <w:rPr>
                <w:rFonts w:ascii="Calibri" w:cs="Calibri" w:eastAsia="Calibri" w:hAnsi="Calibri"/>
                <w:sz w:val="18"/>
                <w:szCs w:val="18"/>
                <w:color w:val="auto"/>
              </w:rPr>
              <w:t>Balance at December 31, 2023</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55,425</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52</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2"/>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1,582</w:t>
            </w:r>
          </w:p>
        </w:tc>
        <w:tc>
          <w:tcPr>
            <w:tcW w:w="20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(305 )</w:t>
            </w:r>
          </w:p>
        </w:tc>
        <w:tc>
          <w:tcPr>
            <w:tcW w:w="14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1,329</w:t>
            </w:r>
          </w:p>
        </w:tc>
        <w:tc>
          <w:tcPr>
            <w:tcW w:w="220" w:type="dxa"/>
            <w:vAlign w:val="bottom"/>
          </w:tcPr>
          <w:p>
            <w:pPr>
              <w:spacing w:after="0"/>
              <w:rPr>
                <w:sz w:val="20"/>
                <w:szCs w:val="20"/>
                <w:color w:val="auto"/>
              </w:rPr>
            </w:pPr>
          </w:p>
        </w:tc>
        <w:tc>
          <w:tcPr>
            <w:tcW w:w="100" w:type="dxa"/>
            <w:vAlign w:val="bottom"/>
          </w:tcPr>
          <w:p>
            <w:pPr>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146</w:t>
            </w:r>
          </w:p>
        </w:tc>
        <w:tc>
          <w:tcPr>
            <w:tcW w:w="220" w:type="dxa"/>
            <w:vAlign w:val="bottom"/>
          </w:tcPr>
          <w:p>
            <w:pPr>
              <w:spacing w:after="0"/>
              <w:rPr>
                <w:sz w:val="20"/>
                <w:szCs w:val="20"/>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-187960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ind w:left="20"/>
        <w:spacing w:after="0" w:line="225" w:lineRule="auto"/>
        <w:rPr>
          <w:sz w:val="20"/>
          <w:szCs w:val="20"/>
          <w:color w:val="auto"/>
        </w:rPr>
      </w:pPr>
      <w:r>
        <w:rPr>
          <w:rFonts w:ascii="Calibri" w:cs="Calibri" w:eastAsia="Calibri" w:hAnsi="Calibri"/>
          <w:sz w:val="18"/>
          <w:szCs w:val="18"/>
          <w:color w:val="auto"/>
        </w:rPr>
        <w:t>Net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other comprehensive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Cash dividends paid:</w:t>
      </w:r>
    </w:p>
    <w:p>
      <w:pPr>
        <w:spacing w:after="0" w:line="2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Common stock, $0.40 per share</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Cash dividends declared to noncontrolling interests</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Issuance of stock under equity compensaton plans</w:t>
      </w:r>
    </w:p>
    <w:p>
      <w:pPr>
        <w:spacing w:after="0" w:line="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Share-based compensaton</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Purchase and retrement of common stock</w:t>
      </w:r>
    </w:p>
    <w:p>
      <w:pPr>
        <w:spacing w:after="0" w:line="7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Balance at March 31, 2024</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Net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other comprehensive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Cash dividends paid:</w:t>
      </w:r>
    </w:p>
    <w:p>
      <w:pPr>
        <w:spacing w:after="0" w:line="2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Common stock, $0.43 per share</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Cash dividends declared to noncontrolling interests</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Issuance of stock under equity compensaton plans</w:t>
      </w:r>
    </w:p>
    <w:p>
      <w:pPr>
        <w:spacing w:after="0" w:line="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Share-based compensaton</w:t>
      </w:r>
    </w:p>
    <w:p>
      <w:pPr>
        <w:spacing w:after="0" w:line="42" w:lineRule="exact"/>
        <w:rPr>
          <w:sz w:val="20"/>
          <w:szCs w:val="20"/>
          <w:color w:val="auto"/>
        </w:rPr>
      </w:pPr>
    </w:p>
    <w:p>
      <w:pPr>
        <w:ind w:left="20" w:right="600"/>
        <w:spacing w:after="0" w:line="304" w:lineRule="auto"/>
        <w:rPr>
          <w:sz w:val="20"/>
          <w:szCs w:val="20"/>
          <w:color w:val="auto"/>
        </w:rPr>
      </w:pPr>
      <w:r>
        <w:rPr>
          <w:rFonts w:ascii="Calibri" w:cs="Calibri" w:eastAsia="Calibri" w:hAnsi="Calibri"/>
          <w:sz w:val="18"/>
          <w:szCs w:val="18"/>
          <w:color w:val="auto"/>
        </w:rPr>
        <w:t>Purchase and retrement of common stock 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Calibri" w:cs="Calibri" w:eastAsia="Calibri" w:hAnsi="Calibri"/>
                <w:sz w:val="18"/>
                <w:szCs w:val="18"/>
                <w:color w:val="auto"/>
              </w:rPr>
              <w:t>(12 )</w:t>
            </w:r>
          </w:p>
        </w:tc>
        <w:tc>
          <w:tcPr>
            <w:tcW w:w="2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(12 )</w:t>
            </w:r>
          </w:p>
        </w:tc>
        <w:tc>
          <w:tcPr>
            <w:tcW w:w="2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(4 )</w:t>
            </w:r>
          </w:p>
        </w:tc>
        <w:tc>
          <w:tcPr>
            <w:tcW w:w="2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(16 )</w:t>
            </w:r>
          </w:p>
        </w:tc>
        <w:tc>
          <w:tcPr>
            <w:tcW w:w="0" w:type="dxa"/>
            <w:vAlign w:val="bottom"/>
          </w:tcPr>
          <w:p>
            <w:pPr>
              <w:spacing w:after="0"/>
              <w:rPr>
                <w:sz w:val="1"/>
                <w:szCs w:val="1"/>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(23 )</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(23 )</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(23 )</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(15 )</w:t>
            </w:r>
          </w:p>
        </w:tc>
        <w:tc>
          <w:tcPr>
            <w:tcW w:w="2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Calibri" w:cs="Calibri" w:eastAsia="Calibri" w:hAnsi="Calibri"/>
                <w:sz w:val="18"/>
                <w:szCs w:val="18"/>
                <w:color w:val="auto"/>
              </w:rPr>
              <w:t>122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(289 )</w:t>
            </w:r>
          </w:p>
        </w:tc>
        <w:tc>
          <w:tcPr>
            <w:tcW w:w="24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(13 )</w:t>
            </w: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(11 )</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(24 )</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(24 )</w:t>
            </w:r>
          </w:p>
        </w:tc>
        <w:tc>
          <w:tcPr>
            <w:tcW w:w="0" w:type="dxa"/>
            <w:vAlign w:val="bottom"/>
          </w:tcPr>
          <w:p>
            <w:pPr>
              <w:spacing w:after="0"/>
              <w:rPr>
                <w:sz w:val="1"/>
                <w:szCs w:val="1"/>
                <w:color w:val="auto"/>
              </w:rPr>
            </w:pPr>
          </w:p>
        </w:tc>
      </w:tr>
      <w:tr>
        <w:trPr>
          <w:trHeight w:val="37"/>
        </w:trPr>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55,258</w:t>
            </w:r>
          </w:p>
        </w:tc>
        <w:tc>
          <w:tcPr>
            <w:tcW w:w="240" w:type="dxa"/>
            <w:vAlign w:val="bottom"/>
          </w:tcPr>
          <w:p>
            <w:pPr>
              <w:spacing w:after="0"/>
              <w:rPr>
                <w:sz w:val="18"/>
                <w:szCs w:val="18"/>
                <w:color w:val="auto"/>
              </w:rPr>
            </w:pPr>
          </w:p>
        </w:tc>
        <w:tc>
          <w:tcPr>
            <w:tcW w:w="240" w:type="dxa"/>
            <w:vAlign w:val="bottom"/>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320" w:type="dxa"/>
            <w:vAlign w:val="bottom"/>
          </w:tcPr>
          <w:p>
            <w:pPr>
              <w:jc w:val="right"/>
              <w:spacing w:after="0" w:line="208" w:lineRule="exact"/>
              <w:rPr>
                <w:sz w:val="20"/>
                <w:szCs w:val="20"/>
                <w:color w:val="auto"/>
              </w:rPr>
            </w:pPr>
            <w:r>
              <w:rPr>
                <w:rFonts w:ascii="Calibri" w:cs="Calibri" w:eastAsia="Calibri" w:hAnsi="Calibri"/>
                <w:sz w:val="18"/>
                <w:szCs w:val="18"/>
                <w:color w:val="auto"/>
              </w:rPr>
              <w:t>52</w:t>
            </w:r>
          </w:p>
        </w:tc>
        <w:tc>
          <w:tcPr>
            <w:tcW w:w="240" w:type="dxa"/>
            <w:vAlign w:val="bottom"/>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44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08" w:lineRule="exact"/>
              <w:rPr>
                <w:sz w:val="20"/>
                <w:szCs w:val="20"/>
                <w:color w:val="auto"/>
              </w:rPr>
            </w:pPr>
            <w:r>
              <w:rPr>
                <w:rFonts w:ascii="Calibri" w:cs="Calibri" w:eastAsia="Calibri" w:hAnsi="Calibri"/>
                <w:sz w:val="18"/>
                <w:szCs w:val="18"/>
                <w:color w:val="auto"/>
              </w:rPr>
              <w:t>1,632</w:t>
            </w:r>
          </w:p>
        </w:tc>
        <w:tc>
          <w:tcPr>
            <w:tcW w:w="200" w:type="dxa"/>
            <w:vAlign w:val="bottom"/>
          </w:tcPr>
          <w:p>
            <w:pPr>
              <w:spacing w:after="0"/>
              <w:rPr>
                <w:sz w:val="18"/>
                <w:szCs w:val="18"/>
                <w:color w:val="auto"/>
              </w:rPr>
            </w:pPr>
          </w:p>
        </w:tc>
        <w:tc>
          <w:tcPr>
            <w:tcW w:w="280" w:type="dxa"/>
            <w:vAlign w:val="bottom"/>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spacing w:after="0" w:line="208" w:lineRule="exact"/>
              <w:rPr>
                <w:sz w:val="20"/>
                <w:szCs w:val="20"/>
                <w:color w:val="auto"/>
              </w:rPr>
            </w:pPr>
            <w:r>
              <w:rPr>
                <w:rFonts w:ascii="Calibri" w:cs="Calibri" w:eastAsia="Calibri" w:hAnsi="Calibri"/>
                <w:sz w:val="18"/>
                <w:szCs w:val="18"/>
                <w:color w:val="auto"/>
              </w:rPr>
              <w:t>(317</w:t>
            </w:r>
          </w:p>
        </w:tc>
        <w:tc>
          <w:tcPr>
            <w:tcW w:w="220" w:type="dxa"/>
            <w:vAlign w:val="bottom"/>
            <w:vMerge w:val="continue"/>
          </w:tcPr>
          <w:p>
            <w:pPr>
              <w:spacing w:after="0"/>
              <w:rPr>
                <w:sz w:val="18"/>
                <w:szCs w:val="18"/>
                <w:color w:val="auto"/>
              </w:rPr>
            </w:pPr>
          </w:p>
        </w:tc>
        <w:tc>
          <w:tcPr>
            <w:tcW w:w="220" w:type="dxa"/>
            <w:vAlign w:val="bottom"/>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Pr>
          <w:p>
            <w:pPr>
              <w:jc w:val="right"/>
              <w:spacing w:after="0" w:line="208" w:lineRule="exact"/>
              <w:rPr>
                <w:sz w:val="20"/>
                <w:szCs w:val="20"/>
                <w:color w:val="auto"/>
              </w:rPr>
            </w:pPr>
            <w:r>
              <w:rPr>
                <w:rFonts w:ascii="Calibri" w:cs="Calibri" w:eastAsia="Calibri" w:hAnsi="Calibri"/>
                <w:sz w:val="18"/>
                <w:szCs w:val="18"/>
                <w:color w:val="auto"/>
              </w:rPr>
              <w:t>1,367</w:t>
            </w:r>
          </w:p>
        </w:tc>
        <w:tc>
          <w:tcPr>
            <w:tcW w:w="220" w:type="dxa"/>
            <w:vAlign w:val="bottom"/>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08" w:lineRule="exact"/>
              <w:rPr>
                <w:sz w:val="20"/>
                <w:szCs w:val="20"/>
                <w:color w:val="auto"/>
              </w:rPr>
            </w:pPr>
            <w:r>
              <w:rPr>
                <w:rFonts w:ascii="Calibri" w:cs="Calibri" w:eastAsia="Calibri" w:hAnsi="Calibri"/>
                <w:sz w:val="18"/>
                <w:szCs w:val="18"/>
                <w:color w:val="auto"/>
              </w:rPr>
              <w:t>140</w:t>
            </w:r>
          </w:p>
        </w:tc>
        <w:tc>
          <w:tcPr>
            <w:tcW w:w="220" w:type="dxa"/>
            <w:vAlign w:val="bottom"/>
          </w:tcPr>
          <w:p>
            <w:pPr>
              <w:spacing w:after="0"/>
              <w:rPr>
                <w:sz w:val="18"/>
                <w:szCs w:val="18"/>
                <w:color w:val="auto"/>
              </w:rPr>
            </w:pPr>
          </w:p>
        </w:tc>
        <w:tc>
          <w:tcPr>
            <w:tcW w:w="240" w:type="dxa"/>
            <w:vAlign w:val="bottom"/>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Pr>
          <w:p>
            <w:pPr>
              <w:jc w:val="right"/>
              <w:spacing w:after="0" w:line="208" w:lineRule="exact"/>
              <w:rPr>
                <w:sz w:val="20"/>
                <w:szCs w:val="20"/>
                <w:color w:val="auto"/>
              </w:rPr>
            </w:pPr>
            <w:r>
              <w:rPr>
                <w:rFonts w:ascii="Calibri" w:cs="Calibri" w:eastAsia="Calibri" w:hAnsi="Calibri"/>
                <w:sz w:val="18"/>
                <w:szCs w:val="18"/>
                <w:color w:val="auto"/>
              </w:rPr>
              <w:t>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line="196" w:lineRule="exact"/>
              <w:rPr>
                <w:sz w:val="20"/>
                <w:szCs w:val="20"/>
                <w:color w:val="auto"/>
              </w:rPr>
            </w:pPr>
            <w:r>
              <w:rPr>
                <w:rFonts w:ascii="Calibri" w:cs="Calibri" w:eastAsia="Calibri" w:hAnsi="Calibri"/>
                <w:sz w:val="18"/>
                <w:szCs w:val="18"/>
                <w:color w:val="auto"/>
              </w:rPr>
              <w:t>109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line="196" w:lineRule="exact"/>
              <w:rPr>
                <w:sz w:val="20"/>
                <w:szCs w:val="20"/>
                <w:color w:val="auto"/>
              </w:rPr>
            </w:pPr>
            <w:r>
              <w:rPr>
                <w:rFonts w:ascii="Calibri" w:cs="Calibri" w:eastAsia="Calibri" w:hAnsi="Calibri"/>
                <w:sz w:val="18"/>
                <w:szCs w:val="18"/>
                <w:color w:val="auto"/>
              </w:rPr>
              <w:t>109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line="196"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line="196" w:lineRule="exact"/>
              <w:rPr>
                <w:sz w:val="20"/>
                <w:szCs w:val="20"/>
                <w:color w:val="auto"/>
              </w:rPr>
            </w:pPr>
            <w:r>
              <w:rPr>
                <w:rFonts w:ascii="Calibri" w:cs="Calibri" w:eastAsia="Calibri" w:hAnsi="Calibri"/>
                <w:sz w:val="18"/>
                <w:szCs w:val="18"/>
                <w:color w:val="auto"/>
              </w:rPr>
              <w:t>120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Calibri" w:cs="Calibri" w:eastAsia="Calibri" w:hAnsi="Calibri"/>
                <w:sz w:val="18"/>
                <w:szCs w:val="18"/>
                <w:color w:val="auto"/>
              </w:rPr>
              <w:t>(65 )</w:t>
            </w:r>
          </w:p>
        </w:tc>
        <w:tc>
          <w:tcPr>
            <w:tcW w:w="2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(65 )</w:t>
            </w:r>
          </w:p>
        </w:tc>
        <w:tc>
          <w:tcPr>
            <w:tcW w:w="2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(66 )</w:t>
            </w:r>
          </w:p>
        </w:tc>
        <w:tc>
          <w:tcPr>
            <w:tcW w:w="0" w:type="dxa"/>
            <w:vAlign w:val="bottom"/>
          </w:tcPr>
          <w:p>
            <w:pPr>
              <w:spacing w:after="0"/>
              <w:rPr>
                <w:sz w:val="1"/>
                <w:szCs w:val="1"/>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(24 )</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(24 )</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(24 )</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Calibri" w:cs="Calibri" w:eastAsia="Calibri" w:hAnsi="Calibri"/>
                <w:sz w:val="18"/>
                <w:szCs w:val="18"/>
                <w:color w:val="auto"/>
              </w:rPr>
              <w:t>57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(498 )</w:t>
            </w:r>
          </w:p>
        </w:tc>
        <w:tc>
          <w:tcPr>
            <w:tcW w:w="24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(1 )</w:t>
            </w:r>
          </w:p>
        </w:tc>
        <w:tc>
          <w:tcPr>
            <w:tcW w:w="2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(7 )</w:t>
            </w: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(41 )</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(49 )</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(49 )</w:t>
            </w: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54,817</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52</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1,676</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(382</w:t>
            </w:r>
          </w:p>
        </w:tc>
        <w:tc>
          <w:tcPr>
            <w:tcW w:w="220" w:type="dxa"/>
            <w:vAlign w:val="bottom"/>
          </w:tcPr>
          <w:p>
            <w:pPr>
              <w:jc w:val="right"/>
              <w:ind w:right="50"/>
              <w:spacing w:after="0" w:line="199" w:lineRule="exact"/>
              <w:rPr>
                <w:sz w:val="20"/>
                <w:szCs w:val="20"/>
                <w:color w:val="auto"/>
              </w:rPr>
            </w:pPr>
            <w:r>
              <w:rPr>
                <w:rFonts w:ascii="Calibri" w:cs="Calibri" w:eastAsia="Calibri" w:hAnsi="Calibri"/>
                <w:sz w:val="18"/>
                <w:szCs w:val="18"/>
                <w:color w:val="auto"/>
              </w:rPr>
              <w:t>)</w:t>
            </w:r>
          </w:p>
        </w:tc>
        <w:tc>
          <w:tcPr>
            <w:tcW w:w="2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1,346</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4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150</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-2536825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-2228215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-1919605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-1268095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-959485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-650875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-1610995</wp:posOffset>
            </wp:positionV>
            <wp:extent cx="71323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-342265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3660" w:space="140"/>
            <w:col w:w="7440"/>
          </w:cols>
          <w:pgMar w:left="320" w:top="976" w:right="339" w:bottom="1440" w:gutter="0" w:footer="0" w:header="0"/>
          <w:type w:val="continuous"/>
        </w:sectPr>
      </w:pPr>
    </w:p>
    <w:p>
      <w:pPr>
        <w:jc w:val="center"/>
        <w:ind w:right="-19"/>
        <w:spacing w:after="0"/>
        <w:rPr>
          <w:sz w:val="20"/>
          <w:szCs w:val="20"/>
          <w:color w:val="auto"/>
        </w:rPr>
      </w:pPr>
      <w:r>
        <w:rPr>
          <w:rFonts w:ascii="Calibri" w:cs="Calibri" w:eastAsia="Calibri" w:hAnsi="Calibri"/>
          <w:sz w:val="16"/>
          <w:szCs w:val="16"/>
          <w:color w:val="auto"/>
        </w:rPr>
        <w:t>The accompanying notes are an integral part of these consolidated fnancial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8" w:name="page9"/>
    <w:bookmarkEnd w:id="8"/>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Calibri" w:cs="Calibri" w:eastAsia="Calibri" w:hAnsi="Calibri"/>
                <w:sz w:val="14"/>
                <w:szCs w:val="14"/>
                <w:b w:val="1"/>
                <w:bCs w:val="1"/>
                <w:color w:val="auto"/>
              </w:rPr>
              <w:t>Accumulate</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Total Cabot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560" w:type="dxa"/>
            <w:vAlign w:val="bottom"/>
            <w:gridSpan w:val="4"/>
            <w:vMerge w:val="restart"/>
          </w:tcPr>
          <w:p>
            <w:pPr>
              <w:jc w:val="right"/>
              <w:ind w:right="34"/>
              <w:spacing w:after="0"/>
              <w:rPr>
                <w:sz w:val="20"/>
                <w:szCs w:val="20"/>
                <w:color w:val="auto"/>
              </w:rPr>
            </w:pPr>
            <w:r>
              <w:rPr>
                <w:rFonts w:ascii="Calibri" w:cs="Calibri" w:eastAsia="Calibri" w:hAnsi="Calibri"/>
                <w:sz w:val="14"/>
                <w:szCs w:val="14"/>
                <w:b w:val="1"/>
                <w:bCs w:val="1"/>
                <w:color w:val="auto"/>
              </w:rPr>
              <w:t>Common Stock, Net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d Other</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right"/>
              <w:ind w:right="140"/>
              <w:spacing w:after="0" w:line="168" w:lineRule="exact"/>
              <w:rPr>
                <w:sz w:val="20"/>
                <w:szCs w:val="20"/>
                <w:color w:val="auto"/>
              </w:rPr>
            </w:pPr>
            <w:r>
              <w:rPr>
                <w:rFonts w:ascii="Calibri" w:cs="Calibri" w:eastAsia="Calibri" w:hAnsi="Calibri"/>
                <w:sz w:val="14"/>
                <w:szCs w:val="14"/>
                <w:b w:val="1"/>
                <w:bCs w:val="1"/>
                <w:color w:val="auto"/>
              </w:rPr>
              <w:t>Additonal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0"/>
              <w:spacing w:after="0" w:line="168" w:lineRule="exact"/>
              <w:rPr>
                <w:sz w:val="20"/>
                <w:szCs w:val="20"/>
                <w:color w:val="auto"/>
              </w:rPr>
            </w:pPr>
            <w:r>
              <w:rPr>
                <w:rFonts w:ascii="Calibri" w:cs="Calibri" w:eastAsia="Calibri" w:hAnsi="Calibri"/>
                <w:sz w:val="14"/>
                <w:szCs w:val="14"/>
                <w:b w:val="1"/>
                <w:bCs w:val="1"/>
                <w:color w:val="auto"/>
              </w:rPr>
              <w:t>Comprehen</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Stockholder</w:t>
            </w:r>
          </w:p>
        </w:tc>
        <w:tc>
          <w:tcPr>
            <w:tcW w:w="96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w:t>
            </w:r>
          </w:p>
        </w:tc>
        <w:tc>
          <w:tcPr>
            <w:tcW w:w="88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w:t>
            </w:r>
          </w:p>
        </w:tc>
        <w:tc>
          <w:tcPr>
            <w:tcW w:w="0" w:type="dxa"/>
            <w:vAlign w:val="bottom"/>
          </w:tcPr>
          <w:p>
            <w:pPr>
              <w:spacing w:after="0"/>
              <w:rPr>
                <w:sz w:val="1"/>
                <w:szCs w:val="1"/>
                <w:color w:val="auto"/>
              </w:rPr>
            </w:pPr>
          </w:p>
        </w:tc>
      </w:tr>
      <w:tr>
        <w:trPr>
          <w:trHeight w:val="197"/>
        </w:trPr>
        <w:tc>
          <w:tcPr>
            <w:tcW w:w="3800" w:type="dxa"/>
            <w:vAlign w:val="bottom"/>
          </w:tcPr>
          <w:p>
            <w:pPr>
              <w:spacing w:after="0"/>
              <w:rPr>
                <w:sz w:val="17"/>
                <w:szCs w:val="17"/>
                <w:color w:val="auto"/>
              </w:rPr>
            </w:pPr>
          </w:p>
        </w:tc>
        <w:tc>
          <w:tcPr>
            <w:tcW w:w="1560" w:type="dxa"/>
            <w:vAlign w:val="bottom"/>
            <w:tcBorders>
              <w:bottom w:val="single" w:sz="8" w:color="auto"/>
            </w:tcBorders>
            <w:gridSpan w:val="4"/>
          </w:tcPr>
          <w:p>
            <w:pPr>
              <w:jc w:val="right"/>
              <w:ind w:right="254"/>
              <w:spacing w:after="0"/>
              <w:rPr>
                <w:sz w:val="20"/>
                <w:szCs w:val="20"/>
                <w:color w:val="auto"/>
              </w:rPr>
            </w:pPr>
            <w:r>
              <w:rPr>
                <w:rFonts w:ascii="Calibri" w:cs="Calibri" w:eastAsia="Calibri" w:hAnsi="Calibri"/>
                <w:sz w:val="14"/>
                <w:szCs w:val="14"/>
                <w:b w:val="1"/>
                <w:bCs w:val="1"/>
                <w:color w:val="auto"/>
              </w:rPr>
              <w:t>Treasury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Paid-in</w:t>
            </w:r>
          </w:p>
        </w:tc>
        <w:tc>
          <w:tcPr>
            <w:tcW w:w="120" w:type="dxa"/>
            <w:vAlign w:val="bottom"/>
          </w:tcPr>
          <w:p>
            <w:pPr>
              <w:spacing w:after="0"/>
              <w:rPr>
                <w:sz w:val="17"/>
                <w:szCs w:val="17"/>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sive</w:t>
            </w:r>
          </w:p>
        </w:tc>
        <w:tc>
          <w:tcPr>
            <w:tcW w:w="140" w:type="dxa"/>
            <w:vAlign w:val="bottom"/>
          </w:tcPr>
          <w:p>
            <w:pPr>
              <w:spacing w:after="0"/>
              <w:rPr>
                <w:sz w:val="17"/>
                <w:szCs w:val="17"/>
                <w:color w:val="auto"/>
              </w:rPr>
            </w:pPr>
          </w:p>
        </w:tc>
        <w:tc>
          <w:tcPr>
            <w:tcW w:w="840" w:type="dxa"/>
            <w:vAlign w:val="bottom"/>
            <w:gridSpan w:val="2"/>
          </w:tcPr>
          <w:p>
            <w:pPr>
              <w:jc w:val="right"/>
              <w:ind w:right="560"/>
              <w:spacing w:after="0"/>
              <w:rPr>
                <w:sz w:val="20"/>
                <w:szCs w:val="20"/>
                <w:color w:val="auto"/>
              </w:rPr>
            </w:pPr>
            <w:r>
              <w:rPr>
                <w:rFonts w:ascii="Calibri" w:cs="Calibri" w:eastAsia="Calibri" w:hAnsi="Calibri"/>
                <w:sz w:val="14"/>
                <w:szCs w:val="14"/>
                <w:b w:val="1"/>
                <w:bCs w:val="1"/>
                <w:color w:val="auto"/>
              </w:rPr>
              <w:t>s’</w:t>
            </w:r>
          </w:p>
        </w:tc>
        <w:tc>
          <w:tcPr>
            <w:tcW w:w="100" w:type="dxa"/>
            <w:vAlign w:val="bottom"/>
          </w:tcPr>
          <w:p>
            <w:pPr>
              <w:spacing w:after="0"/>
              <w:rPr>
                <w:sz w:val="17"/>
                <w:szCs w:val="17"/>
                <w:color w:val="auto"/>
              </w:rPr>
            </w:pPr>
          </w:p>
        </w:tc>
        <w:tc>
          <w:tcPr>
            <w:tcW w:w="860" w:type="dxa"/>
            <w:vAlign w:val="bottom"/>
            <w:gridSpan w:val="2"/>
          </w:tcPr>
          <w:p>
            <w:pPr>
              <w:jc w:val="right"/>
              <w:ind w:right="500"/>
              <w:spacing w:after="0"/>
              <w:rPr>
                <w:sz w:val="20"/>
                <w:szCs w:val="20"/>
                <w:color w:val="auto"/>
              </w:rPr>
            </w:pPr>
            <w:r>
              <w:rPr>
                <w:rFonts w:ascii="Calibri" w:cs="Calibri" w:eastAsia="Calibri" w:hAnsi="Calibri"/>
                <w:sz w:val="14"/>
                <w:szCs w:val="14"/>
                <w:b w:val="1"/>
                <w:bCs w:val="1"/>
                <w:color w:val="auto"/>
              </w:rPr>
              <w:t>ing</w:t>
            </w:r>
          </w:p>
        </w:tc>
        <w:tc>
          <w:tcPr>
            <w:tcW w:w="16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s’</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line="169" w:lineRule="exact"/>
              <w:rPr>
                <w:sz w:val="20"/>
                <w:szCs w:val="20"/>
                <w:color w:val="auto"/>
              </w:rPr>
            </w:pPr>
            <w:r>
              <w:rPr>
                <w:rFonts w:ascii="Calibri" w:cs="Calibri" w:eastAsia="Calibri" w:hAnsi="Calibri"/>
                <w:sz w:val="14"/>
                <w:szCs w:val="14"/>
                <w:b w:val="1"/>
                <w:bCs w:val="1"/>
                <w:color w:val="auto"/>
              </w:rPr>
              <w:t>Income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440" w:type="dxa"/>
            <w:vAlign w:val="bottom"/>
          </w:tcPr>
          <w:p>
            <w:pPr>
              <w:jc w:val="right"/>
              <w:ind w:right="74"/>
              <w:spacing w:after="0"/>
              <w:rPr>
                <w:sz w:val="20"/>
                <w:szCs w:val="20"/>
                <w:color w:val="auto"/>
              </w:rPr>
            </w:pPr>
            <w:r>
              <w:rPr>
                <w:rFonts w:ascii="Calibri" w:cs="Calibri" w:eastAsia="Calibri" w:hAnsi="Calibri"/>
                <w:sz w:val="14"/>
                <w:szCs w:val="14"/>
                <w:b w:val="1"/>
                <w:bCs w:val="1"/>
                <w:color w:val="auto"/>
              </w:rPr>
              <w:t>Cost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(Loss)</w:t>
            </w:r>
          </w:p>
        </w:tc>
        <w:tc>
          <w:tcPr>
            <w:tcW w:w="14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Equity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w w:val="97"/>
              </w:rPr>
              <w:t>Interests</w:t>
            </w: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30"/>
              <w:spacing w:after="0" w:line="164" w:lineRule="exact"/>
              <w:rPr>
                <w:sz w:val="20"/>
                <w:szCs w:val="20"/>
                <w:color w:val="auto"/>
              </w:rPr>
            </w:pPr>
            <w:r>
              <w:rPr>
                <w:rFonts w:ascii="Calibri" w:cs="Calibri" w:eastAsia="Calibri" w:hAnsi="Calibri"/>
                <w:sz w:val="14"/>
                <w:szCs w:val="14"/>
                <w:b w:val="1"/>
                <w:bCs w:val="1"/>
                <w:color w:val="auto"/>
              </w:rPr>
              <w:t>(In millions,</w:t>
            </w:r>
          </w:p>
        </w:tc>
        <w:tc>
          <w:tcPr>
            <w:tcW w:w="1320" w:type="dxa"/>
            <w:vAlign w:val="bottom"/>
            <w:gridSpan w:val="5"/>
          </w:tcPr>
          <w:p>
            <w:pPr>
              <w:spacing w:after="0" w:line="164" w:lineRule="exact"/>
              <w:rPr>
                <w:sz w:val="20"/>
                <w:szCs w:val="20"/>
                <w:color w:val="auto"/>
              </w:rPr>
            </w:pPr>
            <w:r>
              <w:rPr>
                <w:rFonts w:ascii="Calibri" w:cs="Calibri" w:eastAsia="Calibri" w:hAnsi="Calibri"/>
                <w:sz w:val="14"/>
                <w:szCs w:val="14"/>
                <w:b w:val="1"/>
                <w:bCs w:val="1"/>
                <w:color w:val="auto"/>
                <w:w w:val="97"/>
              </w:rPr>
              <w:t>except share amounts)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2022</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56,249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52</w:t>
            </w:r>
          </w:p>
        </w:tc>
        <w:tc>
          <w:tcPr>
            <w:tcW w:w="3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2"/>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1,284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gridSpan w:val="2"/>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(439 )</w:t>
            </w:r>
          </w:p>
        </w:tc>
        <w:tc>
          <w:tcPr>
            <w:tcW w:w="1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898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(21 )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to noncontrolling interests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Issuance of stock under equity compensaton plans</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10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(242 )</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(14 )</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(3 )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(17 )</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(17 )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tcPr>
          <w:p>
            <w:pPr>
              <w:ind w:left="20"/>
              <w:spacing w:after="0"/>
              <w:rPr>
                <w:sz w:val="20"/>
                <w:szCs w:val="20"/>
                <w:color w:val="auto"/>
              </w:rPr>
            </w:pPr>
            <w:r>
              <w:rPr>
                <w:rFonts w:ascii="Calibri" w:cs="Calibri" w:eastAsia="Calibri" w:hAnsi="Calibri"/>
                <w:sz w:val="18"/>
                <w:szCs w:val="18"/>
                <w:color w:val="auto"/>
              </w:rPr>
              <w:t>Balance at December 31, 2022</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56,316</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24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2"/>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1,314</w:t>
            </w:r>
          </w:p>
        </w:tc>
        <w:tc>
          <w:tcPr>
            <w:tcW w:w="20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(358 )</w:t>
            </w:r>
          </w:p>
        </w:tc>
        <w:tc>
          <w:tcPr>
            <w:tcW w:w="14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1,009</w:t>
            </w:r>
          </w:p>
        </w:tc>
        <w:tc>
          <w:tcPr>
            <w:tcW w:w="220" w:type="dxa"/>
            <w:vAlign w:val="bottom"/>
          </w:tcPr>
          <w:p>
            <w:pPr>
              <w:spacing w:after="0"/>
              <w:rPr>
                <w:sz w:val="20"/>
                <w:szCs w:val="20"/>
                <w:color w:val="auto"/>
              </w:rPr>
            </w:pPr>
          </w:p>
        </w:tc>
        <w:tc>
          <w:tcPr>
            <w:tcW w:w="100" w:type="dxa"/>
            <w:vAlign w:val="bottom"/>
          </w:tcPr>
          <w:p>
            <w:pPr>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150</w:t>
            </w:r>
          </w:p>
        </w:tc>
        <w:tc>
          <w:tcPr>
            <w:tcW w:w="220" w:type="dxa"/>
            <w:vAlign w:val="bottom"/>
          </w:tcPr>
          <w:p>
            <w:pPr>
              <w:spacing w:after="0"/>
              <w:rPr>
                <w:sz w:val="20"/>
                <w:szCs w:val="20"/>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-187960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ind w:left="20"/>
        <w:spacing w:after="0" w:line="225" w:lineRule="auto"/>
        <w:rPr>
          <w:sz w:val="20"/>
          <w:szCs w:val="20"/>
          <w:color w:val="auto"/>
        </w:rPr>
      </w:pPr>
      <w:r>
        <w:rPr>
          <w:rFonts w:ascii="Calibri" w:cs="Calibri" w:eastAsia="Calibri" w:hAnsi="Calibri"/>
          <w:sz w:val="18"/>
          <w:szCs w:val="18"/>
          <w:color w:val="auto"/>
        </w:rPr>
        <w:t>Net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other comprehensive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Cash dividends paid:</w:t>
      </w:r>
    </w:p>
    <w:p>
      <w:pPr>
        <w:spacing w:after="0" w:line="2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Common stock, $0.37 per share</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Cash dividends declared to noncontrolling interests</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Issuance of stock under equity compensaton plans</w:t>
      </w:r>
    </w:p>
    <w:p>
      <w:pPr>
        <w:spacing w:after="0" w:line="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Share-based compensaton</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Purchase and retrement of common stock</w:t>
      </w:r>
    </w:p>
    <w:p>
      <w:pPr>
        <w:spacing w:after="0" w:line="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Balance at March 31, 2023</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Net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other comprehensive income (loss)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Cash dividends paid:</w:t>
      </w:r>
    </w:p>
    <w:p>
      <w:pPr>
        <w:spacing w:after="0" w:line="2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Common stock, $0.40 per share</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Cash dividends declared to noncontrolling interests</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Issuance of stock under equity compensaton plans</w:t>
      </w:r>
    </w:p>
    <w:p>
      <w:pPr>
        <w:spacing w:after="0" w:line="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Share-based compensaton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75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Calibri" w:cs="Calibri" w:eastAsia="Calibri" w:hAnsi="Calibri"/>
                <w:sz w:val="18"/>
                <w:szCs w:val="18"/>
                <w:color w:val="auto"/>
              </w:rPr>
              <w:t>44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44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(21 )</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(21 )</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(27 )</w:t>
            </w:r>
          </w:p>
        </w:tc>
        <w:tc>
          <w:tcPr>
            <w:tcW w:w="2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(27 )</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Calibri" w:cs="Calibri" w:eastAsia="Calibri" w:hAnsi="Calibri"/>
                <w:sz w:val="18"/>
                <w:szCs w:val="18"/>
                <w:color w:val="auto"/>
              </w:rPr>
              <w:t>29</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(199 )</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(8 )</w:t>
            </w: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(8 )</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(16 )</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(16 )</w:t>
            </w:r>
          </w:p>
        </w:tc>
        <w:tc>
          <w:tcPr>
            <w:tcW w:w="0" w:type="dxa"/>
            <w:vAlign w:val="bottom"/>
          </w:tcPr>
          <w:p>
            <w:pPr>
              <w:spacing w:after="0"/>
              <w:rPr>
                <w:sz w:val="1"/>
                <w:szCs w:val="1"/>
                <w:color w:val="auto"/>
              </w:rPr>
            </w:pPr>
          </w:p>
        </w:tc>
      </w:tr>
      <w:tr>
        <w:trPr>
          <w:trHeight w:val="37"/>
        </w:trPr>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56,146</w:t>
            </w:r>
          </w:p>
        </w:tc>
        <w:tc>
          <w:tcPr>
            <w:tcW w:w="240" w:type="dxa"/>
            <w:vAlign w:val="bottom"/>
          </w:tcPr>
          <w:p>
            <w:pPr>
              <w:spacing w:after="0"/>
              <w:rPr>
                <w:sz w:val="18"/>
                <w:szCs w:val="18"/>
                <w:color w:val="auto"/>
              </w:rPr>
            </w:pPr>
          </w:p>
        </w:tc>
        <w:tc>
          <w:tcPr>
            <w:tcW w:w="560" w:type="dxa"/>
            <w:vAlign w:val="bottom"/>
          </w:tcPr>
          <w:p>
            <w:pPr>
              <w:jc w:val="right"/>
              <w:spacing w:after="0" w:line="208" w:lineRule="exact"/>
              <w:rPr>
                <w:sz w:val="20"/>
                <w:szCs w:val="20"/>
                <w:color w:val="auto"/>
              </w:rPr>
            </w:pPr>
            <w:r>
              <w:rPr>
                <w:rFonts w:ascii="Calibri" w:cs="Calibri" w:eastAsia="Calibri" w:hAnsi="Calibri"/>
                <w:sz w:val="18"/>
                <w:szCs w:val="18"/>
                <w:color w:val="auto"/>
              </w:rPr>
              <w:t>$   53</w:t>
            </w:r>
          </w:p>
        </w:tc>
        <w:tc>
          <w:tcPr>
            <w:tcW w:w="240" w:type="dxa"/>
            <w:vAlign w:val="bottom"/>
          </w:tcPr>
          <w:p>
            <w:pPr>
              <w:spacing w:after="0"/>
              <w:rPr>
                <w:sz w:val="18"/>
                <w:szCs w:val="18"/>
                <w:color w:val="auto"/>
              </w:rPr>
            </w:pPr>
          </w:p>
        </w:tc>
        <w:tc>
          <w:tcPr>
            <w:tcW w:w="320" w:type="dxa"/>
            <w:vAlign w:val="bottom"/>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4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08" w:lineRule="exact"/>
              <w:rPr>
                <w:sz w:val="20"/>
                <w:szCs w:val="20"/>
                <w:color w:val="auto"/>
              </w:rPr>
            </w:pPr>
            <w:r>
              <w:rPr>
                <w:rFonts w:ascii="Calibri" w:cs="Calibri" w:eastAsia="Calibri" w:hAnsi="Calibri"/>
                <w:sz w:val="18"/>
                <w:szCs w:val="18"/>
                <w:color w:val="auto"/>
              </w:rPr>
              <w:t>1,360</w:t>
            </w:r>
          </w:p>
        </w:tc>
        <w:tc>
          <w:tcPr>
            <w:tcW w:w="200" w:type="dxa"/>
            <w:vAlign w:val="bottom"/>
          </w:tcPr>
          <w:p>
            <w:pPr>
              <w:spacing w:after="0"/>
              <w:rPr>
                <w:sz w:val="18"/>
                <w:szCs w:val="18"/>
                <w:color w:val="auto"/>
              </w:rPr>
            </w:pPr>
          </w:p>
        </w:tc>
        <w:tc>
          <w:tcPr>
            <w:tcW w:w="280" w:type="dxa"/>
            <w:vAlign w:val="bottom"/>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spacing w:after="0" w:line="208" w:lineRule="exact"/>
              <w:rPr>
                <w:sz w:val="20"/>
                <w:szCs w:val="20"/>
                <w:color w:val="auto"/>
              </w:rPr>
            </w:pPr>
            <w:r>
              <w:rPr>
                <w:rFonts w:ascii="Calibri" w:cs="Calibri" w:eastAsia="Calibri" w:hAnsi="Calibri"/>
                <w:sz w:val="18"/>
                <w:szCs w:val="18"/>
                <w:color w:val="auto"/>
              </w:rPr>
              <w:t>(314</w:t>
            </w:r>
          </w:p>
        </w:tc>
        <w:tc>
          <w:tcPr>
            <w:tcW w:w="220" w:type="dxa"/>
            <w:vAlign w:val="bottom"/>
            <w:vMerge w:val="continue"/>
          </w:tcPr>
          <w:p>
            <w:pPr>
              <w:spacing w:after="0"/>
              <w:rPr>
                <w:sz w:val="18"/>
                <w:szCs w:val="18"/>
                <w:color w:val="auto"/>
              </w:rPr>
            </w:pPr>
          </w:p>
        </w:tc>
        <w:tc>
          <w:tcPr>
            <w:tcW w:w="220" w:type="dxa"/>
            <w:vAlign w:val="bottom"/>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Pr>
          <w:p>
            <w:pPr>
              <w:jc w:val="right"/>
              <w:spacing w:after="0" w:line="208" w:lineRule="exact"/>
              <w:rPr>
                <w:sz w:val="20"/>
                <w:szCs w:val="20"/>
                <w:color w:val="auto"/>
              </w:rPr>
            </w:pPr>
            <w:r>
              <w:rPr>
                <w:rFonts w:ascii="Calibri" w:cs="Calibri" w:eastAsia="Calibri" w:hAnsi="Calibri"/>
                <w:sz w:val="18"/>
                <w:szCs w:val="18"/>
                <w:color w:val="auto"/>
              </w:rPr>
              <w:t>1,099</w:t>
            </w:r>
          </w:p>
        </w:tc>
        <w:tc>
          <w:tcPr>
            <w:tcW w:w="220" w:type="dxa"/>
            <w:vAlign w:val="bottom"/>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08" w:lineRule="exact"/>
              <w:rPr>
                <w:sz w:val="20"/>
                <w:szCs w:val="20"/>
                <w:color w:val="auto"/>
              </w:rPr>
            </w:pPr>
            <w:r>
              <w:rPr>
                <w:rFonts w:ascii="Calibri" w:cs="Calibri" w:eastAsia="Calibri" w:hAnsi="Calibri"/>
                <w:sz w:val="18"/>
                <w:szCs w:val="18"/>
                <w:color w:val="auto"/>
              </w:rPr>
              <w:t>133</w:t>
            </w:r>
          </w:p>
        </w:tc>
        <w:tc>
          <w:tcPr>
            <w:tcW w:w="220" w:type="dxa"/>
            <w:vAlign w:val="bottom"/>
          </w:tcPr>
          <w:p>
            <w:pPr>
              <w:spacing w:after="0"/>
              <w:rPr>
                <w:sz w:val="18"/>
                <w:szCs w:val="18"/>
                <w:color w:val="auto"/>
              </w:rPr>
            </w:pPr>
          </w:p>
        </w:tc>
        <w:tc>
          <w:tcPr>
            <w:tcW w:w="240" w:type="dxa"/>
            <w:vAlign w:val="bottom"/>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Pr>
          <w:p>
            <w:pPr>
              <w:jc w:val="right"/>
              <w:spacing w:after="0" w:line="208" w:lineRule="exact"/>
              <w:rPr>
                <w:sz w:val="20"/>
                <w:szCs w:val="20"/>
                <w:color w:val="auto"/>
              </w:rPr>
            </w:pPr>
            <w:r>
              <w:rPr>
                <w:rFonts w:ascii="Calibri" w:cs="Calibri" w:eastAsia="Calibri" w:hAnsi="Calibri"/>
                <w:sz w:val="18"/>
                <w:szCs w:val="18"/>
                <w:color w:val="auto"/>
              </w:rPr>
              <w:t>1,232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line="196" w:lineRule="exact"/>
              <w:rPr>
                <w:sz w:val="20"/>
                <w:szCs w:val="20"/>
                <w:color w:val="auto"/>
              </w:rPr>
            </w:pPr>
            <w:r>
              <w:rPr>
                <w:rFonts w:ascii="Calibri" w:cs="Calibri" w:eastAsia="Calibri" w:hAnsi="Calibri"/>
                <w:sz w:val="18"/>
                <w:szCs w:val="18"/>
                <w:color w:val="auto"/>
              </w:rPr>
              <w:t>82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line="196" w:lineRule="exact"/>
              <w:rPr>
                <w:sz w:val="20"/>
                <w:szCs w:val="20"/>
                <w:color w:val="auto"/>
              </w:rPr>
            </w:pPr>
            <w:r>
              <w:rPr>
                <w:rFonts w:ascii="Calibri" w:cs="Calibri" w:eastAsia="Calibri" w:hAnsi="Calibri"/>
                <w:sz w:val="18"/>
                <w:szCs w:val="18"/>
                <w:color w:val="auto"/>
              </w:rPr>
              <w:t>82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line="196"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line="196" w:lineRule="exact"/>
              <w:rPr>
                <w:sz w:val="20"/>
                <w:szCs w:val="20"/>
                <w:color w:val="auto"/>
              </w:rPr>
            </w:pPr>
            <w:r>
              <w:rPr>
                <w:rFonts w:ascii="Calibri" w:cs="Calibri" w:eastAsia="Calibri" w:hAnsi="Calibri"/>
                <w:sz w:val="18"/>
                <w:szCs w:val="18"/>
                <w:color w:val="auto"/>
              </w:rPr>
              <w:t>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Calibri" w:cs="Calibri" w:eastAsia="Calibri" w:hAnsi="Calibri"/>
                <w:sz w:val="18"/>
                <w:szCs w:val="18"/>
                <w:color w:val="auto"/>
              </w:rPr>
              <w:t>(15 )</w:t>
            </w:r>
          </w:p>
        </w:tc>
        <w:tc>
          <w:tcPr>
            <w:tcW w:w="2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(15 )</w:t>
            </w:r>
          </w:p>
        </w:tc>
        <w:tc>
          <w:tcPr>
            <w:tcW w:w="2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(6 )</w:t>
            </w:r>
          </w:p>
        </w:tc>
        <w:tc>
          <w:tcPr>
            <w:tcW w:w="2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(23 )</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(23 )</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alibri" w:cs="Calibri" w:eastAsia="Calibri" w:hAnsi="Calibri"/>
                <w:sz w:val="18"/>
                <w:szCs w:val="18"/>
                <w:color w:val="auto"/>
              </w:rPr>
              <w:t>(23 )</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3"/>
          </w:tcPr>
          <w:p>
            <w:pPr>
              <w:jc w:val="right"/>
              <w:ind w:right="330"/>
              <w:spacing w:after="0"/>
              <w:rPr>
                <w:sz w:val="20"/>
                <w:szCs w:val="20"/>
                <w:color w:val="auto"/>
              </w:rPr>
            </w:pPr>
            <w:r>
              <w:rPr>
                <w:rFonts w:ascii="Calibri" w:cs="Calibri" w:eastAsia="Calibri" w:hAnsi="Calibri"/>
                <w:sz w:val="18"/>
                <w:szCs w:val="18"/>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-2170430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-1861820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-1553210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-901700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-593090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-284480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-1236345</wp:posOffset>
            </wp:positionV>
            <wp:extent cx="713232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660" w:space="140"/>
            <w:col w:w="7440"/>
          </w:cols>
          <w:pgMar w:left="320" w:top="976"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38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100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8"/>
                <w:szCs w:val="18"/>
                <w:color w:val="auto"/>
              </w:rPr>
              <w:t>(213 )</w:t>
            </w:r>
          </w:p>
        </w:tc>
        <w:tc>
          <w:tcPr>
            <w:tcW w:w="5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8"/>
                <w:szCs w:val="18"/>
                <w:color w:val="auto"/>
              </w:rPr>
              <w:t>(3 )</w:t>
            </w:r>
          </w:p>
        </w:tc>
        <w:tc>
          <w:tcPr>
            <w:tcW w:w="92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8"/>
                <w:szCs w:val="18"/>
                <w:color w:val="auto"/>
              </w:rPr>
              <w:t>(12 )</w:t>
            </w:r>
          </w:p>
        </w:tc>
        <w:tc>
          <w:tcPr>
            <w:tcW w:w="280" w:type="dxa"/>
            <w:vAlign w:val="bottom"/>
            <w:shd w:val="clear" w:color="auto" w:fill="CFF0FC"/>
          </w:tcPr>
          <w:p>
            <w:pPr>
              <w:spacing w:after="0"/>
              <w:rPr>
                <w:sz w:val="20"/>
                <w:szCs w:val="20"/>
                <w:color w:val="auto"/>
              </w:rPr>
            </w:pPr>
          </w:p>
        </w:tc>
        <w:tc>
          <w:tcPr>
            <w:tcW w:w="1680" w:type="dxa"/>
            <w:vAlign w:val="bottom"/>
            <w:gridSpan w:val="4"/>
            <w:shd w:val="clear" w:color="auto" w:fill="CFF0FC"/>
          </w:tcPr>
          <w:p>
            <w:pPr>
              <w:jc w:val="right"/>
              <w:ind w:right="160"/>
              <w:spacing w:after="0"/>
              <w:rPr>
                <w:sz w:val="20"/>
                <w:szCs w:val="20"/>
                <w:color w:val="auto"/>
              </w:rPr>
            </w:pPr>
            <w:r>
              <w:rPr>
                <w:rFonts w:ascii="Calibri" w:cs="Calibri" w:eastAsia="Calibri" w:hAnsi="Calibri"/>
                <w:sz w:val="18"/>
                <w:szCs w:val="18"/>
                <w:color w:val="auto"/>
              </w:rPr>
              <w:t>(15 )</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40"/>
              <w:spacing w:after="0"/>
              <w:rPr>
                <w:sz w:val="20"/>
                <w:szCs w:val="20"/>
                <w:color w:val="auto"/>
              </w:rPr>
            </w:pPr>
            <w:r>
              <w:rPr>
                <w:rFonts w:ascii="Calibri" w:cs="Calibri" w:eastAsia="Calibri" w:hAnsi="Calibri"/>
                <w:sz w:val="18"/>
                <w:szCs w:val="18"/>
                <w:color w:val="auto"/>
              </w:rPr>
              <w:t>(15 )</w:t>
            </w: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3800" w:type="dxa"/>
            <w:vAlign w:val="bottom"/>
          </w:tcPr>
          <w:p>
            <w:pPr>
              <w:ind w:left="20"/>
              <w:spacing w:after="0"/>
              <w:rPr>
                <w:sz w:val="20"/>
                <w:szCs w:val="20"/>
                <w:color w:val="auto"/>
              </w:rPr>
            </w:pPr>
            <w:r>
              <w:rPr>
                <w:rFonts w:ascii="Calibri" w:cs="Calibri" w:eastAsia="Calibri" w:hAnsi="Calibri"/>
                <w:sz w:val="18"/>
                <w:szCs w:val="18"/>
                <w:color w:val="auto"/>
              </w:rPr>
              <w:t>Balance at June 30, 2023</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55,937</w:t>
            </w:r>
          </w:p>
        </w:tc>
        <w:tc>
          <w:tcPr>
            <w:tcW w:w="240" w:type="dxa"/>
            <w:vAlign w:val="bottom"/>
          </w:tcPr>
          <w:p>
            <w:pPr>
              <w:spacing w:after="0"/>
              <w:rPr>
                <w:sz w:val="20"/>
                <w:szCs w:val="20"/>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   53</w:t>
            </w:r>
          </w:p>
        </w:tc>
        <w:tc>
          <w:tcPr>
            <w:tcW w:w="240" w:type="dxa"/>
            <w:vAlign w:val="bottom"/>
          </w:tcPr>
          <w:p>
            <w:pPr>
              <w:spacing w:after="0"/>
              <w:rPr>
                <w:sz w:val="20"/>
                <w:szCs w:val="20"/>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  1,407</w:t>
            </w:r>
          </w:p>
        </w:tc>
        <w:tc>
          <w:tcPr>
            <w:tcW w:w="200" w:type="dxa"/>
            <w:vAlign w:val="bottom"/>
          </w:tcPr>
          <w:p>
            <w:pPr>
              <w:spacing w:after="0"/>
              <w:rPr>
                <w:sz w:val="20"/>
                <w:szCs w:val="20"/>
                <w:color w:val="auto"/>
              </w:rPr>
            </w:pP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(329 )  $   1,131</w:t>
            </w:r>
          </w:p>
        </w:tc>
        <w:tc>
          <w:tcPr>
            <w:tcW w:w="220" w:type="dxa"/>
            <w:vAlign w:val="bottom"/>
          </w:tcPr>
          <w:p>
            <w:pPr>
              <w:spacing w:after="0"/>
              <w:rPr>
                <w:sz w:val="20"/>
                <w:szCs w:val="20"/>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135</w:t>
            </w:r>
          </w:p>
        </w:tc>
        <w:tc>
          <w:tcPr>
            <w:tcW w:w="10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   1,266</w:t>
            </w:r>
          </w:p>
        </w:tc>
        <w:tc>
          <w:tcPr>
            <w:tcW w:w="100" w:type="dxa"/>
            <w:vAlign w:val="bottom"/>
          </w:tcPr>
          <w:p>
            <w:pPr>
              <w:spacing w:after="0"/>
              <w:rPr>
                <w:sz w:val="20"/>
                <w:szCs w:val="20"/>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-187960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9" w:name="page10"/>
    <w:bookmarkEnd w:id="9"/>
    <w:p>
      <w:pPr>
        <w:jc w:val="center"/>
        <w:ind w:right="-39"/>
        <w:spacing w:after="0"/>
        <w:rPr>
          <w:sz w:val="20"/>
          <w:szCs w:val="20"/>
          <w:color w:val="auto"/>
        </w:rPr>
      </w:pPr>
      <w:r>
        <w:rPr>
          <w:rFonts w:ascii="Calibri" w:cs="Calibri" w:eastAsia="Calibri" w:hAnsi="Calibri"/>
          <w:sz w:val="18"/>
          <w:szCs w:val="18"/>
          <w:b w:val="1"/>
          <w:bCs w:val="1"/>
          <w:color w:val="auto"/>
        </w:rPr>
        <w:t>CABOT CORPORATION</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jc w:val="center"/>
        <w:ind w:right="-39"/>
        <w:spacing w:after="0" w:line="236" w:lineRule="auto"/>
        <w:rPr>
          <w:sz w:val="20"/>
          <w:szCs w:val="20"/>
          <w:color w:val="auto"/>
        </w:rPr>
      </w:pPr>
      <w:r>
        <w:rPr>
          <w:rFonts w:ascii="Calibri" w:cs="Calibri" w:eastAsia="Calibri" w:hAnsi="Calibri"/>
          <w:sz w:val="18"/>
          <w:szCs w:val="18"/>
          <w:b w:val="1"/>
          <w:bCs w:val="1"/>
          <w:color w:val="auto"/>
        </w:rPr>
        <w:t>June 30, 2024</w:t>
      </w:r>
    </w:p>
    <w:p>
      <w:pPr>
        <w:jc w:val="center"/>
        <w:ind w:right="-3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 Basis of Presentaton</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consolidated fnancial statements have been prepared in conformity with accountng principles generally accepted in the United States (“U.S.”) (“GAAP”) and include the accounts of Cabot Corporaton (“Cabot” or the “Company”) and its wholly-owned subsidiaries and majority-owned and controlled U.S. and non-U.S. subsidiaries. Additonally, Cabot considers consolidaton of enttes over which control is achieved through means other than votng rights. Intercompany transactons have been eliminated in consolidaton.</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unaudited consolidated fnancial statements have been prepared in accordance with the requirements of Form 10-Q and consequently do not include all disclosures required by Form 10-K. Additonal informaton may be obtained by referring to Cabot’s Annual Report on Form 10-K for its fscal year ended September 30, 2023 (the “2023 10-K”).</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fnancial informaton submited herewith is unaudited and refects all adjustments which are, in the opinion of management, necessary to provide a fair statement of the results for the interim periods ended June 30, 2024 and 2023. All such adjustments are of a normal recurring nature. The results for interim periods are not necessarily indicatve of the results to be expected for the fscal year.</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 Signifcant Accountng Policies</w:t>
      </w:r>
    </w:p>
    <w:p>
      <w:pPr>
        <w:spacing w:after="0" w:line="7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Full detail on the Company’s signifcant accountng policies may be obtained by referring to Note A in the 2023 10-K.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Argentnian Government Actons</w:t>
      </w:r>
    </w:p>
    <w:p>
      <w:pPr>
        <w:spacing w:after="0" w:line="82"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The Company’s wholly-owned Argentnian subsidiary operates in a highly infatonary economy and, as a result, the functonal currency of the subsidiary is Cabot’s reportng currency, the U.S. dollar. During the three and nine months ended June 30, 2024, the Company recorded foreign exchange losses of $2 million and $42 million, respectvely, related to the revaluaton of non-functonal currency denominated monetary asset and liability balances, of which $33 million related to a single devaluaton acton in December 2023 by the newly-elected Argentne government. The Company invests cash in money market funds and recorded investment income of nil and $16 million, respectvely, for the three and nine months ended June 30, 2024. The foreign exchange losses and investment gains are recorded in Other income (expense) in the Consolidated Statement of Operatons.</w:t>
      </w:r>
    </w:p>
    <w:p>
      <w:pPr>
        <w:spacing w:after="0" w:line="86"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During the second quarter of fscal 2024, the Company purchased $30 million in BOPREAL bonds (standing for “Bond for the Reconstructon of a Free Argentna” in Spanish), which are U.S. dollar-denominated securites issued by the Central Bank of Argentna, as part of an Argentne government program to setle foreign payables for importers with debts for goods with customs registraton and/or services, incurred on or prior to December 12, 2023. The Company subsequently sold the bonds for $22 million and utlized the proceeds to partally repay its foreign payables in Argentna. The purchase and proceeds of BOPREAL bonds are included in the Changes in Prepaid expenses and other assets in the Consolidated Statement of Cash Flows. The $8 million investment loss is included in Other non-cash (income) expense in the Consolidated Statement of Cash Flows and in Other income (expense) in the Consolidated Statement of Operatons. In accordance with Argentne government regulatons, the Company purchased an additonal $8 million of U.S. dollars in the third quarter of fscal 2024 at a foreign exchange loss of $2 million and utlized the funds to complete the setlement of outstanding foreign payables incurred on or prior to December 12, 2023.</w:t>
      </w:r>
    </w:p>
    <w:p>
      <w:pPr>
        <w:spacing w:after="0" w:line="8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Recently Adopted Accountng Standards</w:t>
      </w:r>
    </w:p>
    <w:p>
      <w:pPr>
        <w:spacing w:after="0" w:line="82"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In November 2022, the Financial Accountng Standards Board (“FASB”) issued a new standard on the disclosure of supplier fnancing programs. The new standard requires qualitatve and quanttatve disclosures as to the nature and potental magnitude of such programs in additon to program actvity and changes for the periods presented. The Company adopted this standard on October 1, 2023. See Note J for disclosures related to the Company's supplier fnancing programs. The adopton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March 2024, the Securites and Exchange Commission (“SEC”) issued its fnal rule, The Enhancement and Standardizaton of Climate-Related Disclosures for Investors that requires the Company to provide certain climate-related informaton. The rule provides a phased-in compliance period and is efectve for fscal years beginning afer December 15, 2024, with early adopton permited. In April 2024, the SEC voluntarily stayed its rule pending completon of judicial review by the U.S. Court of Appeals for the Eighth Circuit and, therefore, the tming of the efectveness of these disclosure requirements is uncertain. The Company is currently monitoring the tming of adopton and evaluatng the impact of the potental adopton of this standard on the Company’s Consolidated Financial Statements.</w:t>
      </w:r>
    </w:p>
    <w:p>
      <w:pPr>
        <w:spacing w:after="0" w:line="8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November 2023, the FASB issued a new standard, Improvement to Reportable Segment Disclosures. The new guidance enhances the disclosure of signifcant reportable segment expenses. The new standard is efectve for the Company’s fscal years beginning October 1, 2024, and for interim periods beginning October 1, 2025. The Company is currently evaluatng the impact of the adopton of this standard on the Company’s Consolidated Financial Statements.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December 2023, the FASB issued a new standard, Improvements to Income Tax Disclosures. The new guidance requires additonal disclosures primarily related to the income tax rate reconciliaton and income taxes paid. The new standard is efectve for the Company’s fscal years and interim periods beginning October 1, 2025. The Company is currently evaluatng the impact of the adopton of this standard on the Company’s Consolidated Financial Statements.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 Goodwill and Intangible Assets</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carrying amount of goodwill atributable to each reportable segment and the changes in those balances during the nine months ended June 30,</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2024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b w:val="1"/>
                <w:bCs w:val="1"/>
                <w:color w:val="auto"/>
              </w:rPr>
              <w:t>Reinforcement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alibri" w:cs="Calibri" w:eastAsia="Calibri" w:hAnsi="Calibri"/>
                <w:sz w:val="14"/>
                <w:szCs w:val="14"/>
                <w:b w:val="1"/>
                <w:bCs w:val="1"/>
                <w:color w:val="auto"/>
              </w:rPr>
              <w:t>Performance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640" w:type="dxa"/>
            <w:vAlign w:val="bottom"/>
          </w:tcPr>
          <w:p>
            <w:pPr>
              <w:spacing w:after="0"/>
              <w:rPr>
                <w:sz w:val="15"/>
                <w:szCs w:val="15"/>
                <w:color w:val="auto"/>
              </w:rPr>
            </w:pPr>
          </w:p>
        </w:tc>
        <w:tc>
          <w:tcPr>
            <w:tcW w:w="1120" w:type="dxa"/>
            <w:vAlign w:val="bottom"/>
          </w:tcPr>
          <w:p>
            <w:pPr>
              <w:jc w:val="right"/>
              <w:ind w:right="99"/>
              <w:spacing w:after="0"/>
              <w:rPr>
                <w:sz w:val="20"/>
                <w:szCs w:val="20"/>
                <w:color w:val="auto"/>
              </w:rPr>
            </w:pPr>
            <w:r>
              <w:rPr>
                <w:rFonts w:ascii="Calibri" w:cs="Calibri" w:eastAsia="Calibri" w:hAnsi="Calibri"/>
                <w:sz w:val="14"/>
                <w:szCs w:val="14"/>
                <w:b w:val="1"/>
                <w:bCs w:val="1"/>
                <w:color w:val="auto"/>
              </w:rPr>
              <w:t>Materials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59"/>
              <w:spacing w:after="0"/>
              <w:rPr>
                <w:sz w:val="20"/>
                <w:szCs w:val="20"/>
                <w:color w:val="auto"/>
              </w:rPr>
            </w:pPr>
            <w:r>
              <w:rPr>
                <w:rFonts w:ascii="Calibri" w:cs="Calibri" w:eastAsia="Calibri" w:hAnsi="Calibri"/>
                <w:sz w:val="14"/>
                <w:szCs w:val="14"/>
                <w:b w:val="1"/>
                <w:bCs w:val="1"/>
                <w:color w:val="auto"/>
              </w:rPr>
              <w:t>Chemicals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6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100"/>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2023</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51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5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640" w:type="dxa"/>
            <w:vAlign w:val="bottom"/>
          </w:tcPr>
          <w:p>
            <w:pPr>
              <w:ind w:left="20"/>
              <w:spacing w:after="0"/>
              <w:rPr>
                <w:sz w:val="20"/>
                <w:szCs w:val="20"/>
                <w:color w:val="auto"/>
              </w:rPr>
            </w:pPr>
            <w:r>
              <w:rPr>
                <w:rFonts w:ascii="Calibri" w:cs="Calibri" w:eastAsia="Calibri" w:hAnsi="Calibri"/>
                <w:sz w:val="18"/>
                <w:szCs w:val="18"/>
                <w:color w:val="auto"/>
              </w:rPr>
              <w:t>Foreign currency impact</w:t>
            </w:r>
          </w:p>
        </w:tc>
        <w:tc>
          <w:tcPr>
            <w:tcW w:w="1120" w:type="dxa"/>
            <w:vAlign w:val="bottom"/>
          </w:tcPr>
          <w:p>
            <w:pPr>
              <w:spacing w:after="0"/>
              <w:rPr>
                <w:sz w:val="19"/>
                <w:szCs w:val="19"/>
                <w:color w:val="auto"/>
              </w:rPr>
            </w:pPr>
          </w:p>
        </w:tc>
        <w:tc>
          <w:tcPr>
            <w:tcW w:w="5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23"/>
        </w:trPr>
        <w:tc>
          <w:tcPr>
            <w:tcW w:w="6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Balance at June 30, 2024</w:t>
            </w:r>
          </w:p>
        </w:tc>
        <w:tc>
          <w:tcPr>
            <w:tcW w:w="1120" w:type="dxa"/>
            <w:vAlign w:val="bottom"/>
            <w:tcBorders>
              <w:bottom w:val="single" w:sz="8" w:color="auto"/>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49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provides informaton regarding the Company’s intangible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June 30, 2024</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4"/>
          </w:tcPr>
          <w:p>
            <w:pPr>
              <w:jc w:val="right"/>
              <w:ind w:right="60"/>
              <w:spacing w:after="0"/>
              <w:rPr>
                <w:sz w:val="20"/>
                <w:szCs w:val="20"/>
                <w:color w:val="auto"/>
              </w:rPr>
            </w:pPr>
            <w:r>
              <w:rPr>
                <w:rFonts w:ascii="Calibri" w:cs="Calibri" w:eastAsia="Calibri" w:hAnsi="Calibri"/>
                <w:sz w:val="14"/>
                <w:szCs w:val="14"/>
                <w:b w:val="1"/>
                <w:bCs w:val="1"/>
                <w:color w:val="auto"/>
              </w:rPr>
              <w:t>September 30, 2023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720" w:type="dxa"/>
            <w:vAlign w:val="bottom"/>
          </w:tcPr>
          <w:p>
            <w:pPr>
              <w:jc w:val="center"/>
              <w:ind w:left="121"/>
              <w:spacing w:after="0" w:line="164" w:lineRule="exact"/>
              <w:rPr>
                <w:sz w:val="20"/>
                <w:szCs w:val="20"/>
                <w:color w:val="auto"/>
              </w:rPr>
            </w:pPr>
            <w:r>
              <w:rPr>
                <w:rFonts w:ascii="Calibri" w:cs="Calibri" w:eastAsia="Calibri" w:hAnsi="Calibri"/>
                <w:sz w:val="14"/>
                <w:szCs w:val="14"/>
                <w:b w:val="1"/>
                <w:bCs w:val="1"/>
                <w:color w:val="auto"/>
                <w:w w:val="98"/>
              </w:rPr>
              <w:t>Gross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line="164" w:lineRule="exact"/>
              <w:rPr>
                <w:sz w:val="20"/>
                <w:szCs w:val="20"/>
                <w:color w:val="auto"/>
              </w:rPr>
            </w:pPr>
            <w:r>
              <w:rPr>
                <w:rFonts w:ascii="Calibri" w:cs="Calibri" w:eastAsia="Calibri" w:hAnsi="Calibri"/>
                <w:sz w:val="14"/>
                <w:szCs w:val="14"/>
                <w:b w:val="1"/>
                <w:bCs w:val="1"/>
                <w:color w:val="auto"/>
              </w:rPr>
              <w:t>Net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right="98"/>
              <w:spacing w:after="0" w:line="164" w:lineRule="exact"/>
              <w:rPr>
                <w:sz w:val="20"/>
                <w:szCs w:val="20"/>
                <w:color w:val="auto"/>
              </w:rPr>
            </w:pPr>
            <w:r>
              <w:rPr>
                <w:rFonts w:ascii="Calibri" w:cs="Calibri" w:eastAsia="Calibri" w:hAnsi="Calibri"/>
                <w:sz w:val="14"/>
                <w:szCs w:val="14"/>
                <w:b w:val="1"/>
                <w:bCs w:val="1"/>
                <w:color w:val="auto"/>
              </w:rPr>
              <w:t>Gross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line="164" w:lineRule="exact"/>
              <w:rPr>
                <w:sz w:val="20"/>
                <w:szCs w:val="20"/>
                <w:color w:val="auto"/>
              </w:rPr>
            </w:pPr>
            <w:r>
              <w:rPr>
                <w:rFonts w:ascii="Calibri" w:cs="Calibri" w:eastAsia="Calibri" w:hAnsi="Calibri"/>
                <w:sz w:val="14"/>
                <w:szCs w:val="14"/>
                <w:b w:val="1"/>
                <w:bCs w:val="1"/>
                <w:color w:val="auto"/>
              </w:rPr>
              <w:t>Net</w:t>
            </w:r>
          </w:p>
        </w:tc>
        <w:tc>
          <w:tcPr>
            <w:tcW w:w="100" w:type="dxa"/>
            <w:vAlign w:val="bottom"/>
          </w:tcPr>
          <w:p>
            <w:pPr>
              <w:spacing w:after="0"/>
              <w:rPr>
                <w:sz w:val="14"/>
                <w:szCs w:val="14"/>
                <w:color w:val="auto"/>
              </w:rPr>
            </w:pPr>
          </w:p>
        </w:tc>
      </w:tr>
      <w:tr>
        <w:trPr>
          <w:trHeight w:val="175"/>
        </w:trPr>
        <w:tc>
          <w:tcPr>
            <w:tcW w:w="4660" w:type="dxa"/>
            <w:vAlign w:val="bottom"/>
          </w:tcPr>
          <w:p>
            <w:pPr>
              <w:spacing w:after="0"/>
              <w:rPr>
                <w:sz w:val="15"/>
                <w:szCs w:val="15"/>
                <w:color w:val="auto"/>
              </w:rPr>
            </w:pPr>
          </w:p>
        </w:tc>
        <w:tc>
          <w:tcPr>
            <w:tcW w:w="720" w:type="dxa"/>
            <w:vAlign w:val="bottom"/>
          </w:tcPr>
          <w:p>
            <w:pPr>
              <w:jc w:val="center"/>
              <w:ind w:left="101"/>
              <w:spacing w:after="0"/>
              <w:rPr>
                <w:sz w:val="20"/>
                <w:szCs w:val="20"/>
                <w:color w:val="auto"/>
              </w:rPr>
            </w:pPr>
            <w:r>
              <w:rPr>
                <w:rFonts w:ascii="Calibri" w:cs="Calibri" w:eastAsia="Calibri" w:hAnsi="Calibri"/>
                <w:sz w:val="14"/>
                <w:szCs w:val="14"/>
                <w:b w:val="1"/>
                <w:bCs w:val="1"/>
                <w:color w:val="auto"/>
              </w:rPr>
              <w:t>Carrying</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5"/>
                <w:szCs w:val="15"/>
                <w:color w:val="auto"/>
              </w:rPr>
            </w:pPr>
          </w:p>
        </w:tc>
        <w:tc>
          <w:tcPr>
            <w:tcW w:w="78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Intangible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Intangible</w:t>
            </w:r>
          </w:p>
        </w:tc>
      </w:tr>
      <w:tr>
        <w:trPr>
          <w:trHeight w:val="175"/>
        </w:trPr>
        <w:tc>
          <w:tcPr>
            <w:tcW w:w="4660" w:type="dxa"/>
            <w:vAlign w:val="bottom"/>
          </w:tcPr>
          <w:p>
            <w:pPr>
              <w:spacing w:after="0"/>
              <w:rPr>
                <w:sz w:val="15"/>
                <w:szCs w:val="15"/>
                <w:color w:val="auto"/>
              </w:rPr>
            </w:pPr>
          </w:p>
        </w:tc>
        <w:tc>
          <w:tcPr>
            <w:tcW w:w="720" w:type="dxa"/>
            <w:vAlign w:val="bottom"/>
          </w:tcPr>
          <w:p>
            <w:pPr>
              <w:jc w:val="center"/>
              <w:ind w:left="121"/>
              <w:spacing w:after="0"/>
              <w:rPr>
                <w:sz w:val="20"/>
                <w:szCs w:val="20"/>
                <w:color w:val="auto"/>
              </w:rPr>
            </w:pPr>
            <w:r>
              <w:rPr>
                <w:rFonts w:ascii="Calibri" w:cs="Calibri" w:eastAsia="Calibri" w:hAnsi="Calibri"/>
                <w:sz w:val="14"/>
                <w:szCs w:val="14"/>
                <w:b w:val="1"/>
                <w:bCs w:val="1"/>
                <w:color w:val="auto"/>
                <w:w w:val="96"/>
              </w:rPr>
              <w:t>Value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Amortzaton</w:t>
            </w:r>
          </w:p>
        </w:tc>
        <w:tc>
          <w:tcPr>
            <w:tcW w:w="120" w:type="dxa"/>
            <w:vAlign w:val="bottom"/>
          </w:tcPr>
          <w:p>
            <w:pPr>
              <w:spacing w:after="0"/>
              <w:rPr>
                <w:sz w:val="15"/>
                <w:szCs w:val="15"/>
                <w:color w:val="auto"/>
              </w:rPr>
            </w:pPr>
          </w:p>
        </w:tc>
        <w:tc>
          <w:tcPr>
            <w:tcW w:w="78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Value</w:t>
            </w:r>
          </w:p>
        </w:tc>
        <w:tc>
          <w:tcPr>
            <w:tcW w:w="22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Calibri" w:cs="Calibri" w:eastAsia="Calibri" w:hAnsi="Calibri"/>
                <w:sz w:val="14"/>
                <w:szCs w:val="14"/>
                <w:b w:val="1"/>
                <w:bCs w:val="1"/>
                <w:color w:val="auto"/>
              </w:rPr>
              <w:t>Amortzaton</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Assets</w:t>
            </w:r>
          </w:p>
        </w:tc>
      </w:tr>
      <w:tr>
        <w:trPr>
          <w:trHeight w:val="33"/>
        </w:trPr>
        <w:tc>
          <w:tcPr>
            <w:tcW w:w="4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9"/>
              <w:spacing w:after="0" w:line="164" w:lineRule="exact"/>
              <w:rPr>
                <w:sz w:val="20"/>
                <w:szCs w:val="20"/>
                <w:color w:val="auto"/>
              </w:rPr>
            </w:pPr>
            <w:r>
              <w:rPr>
                <w:rFonts w:ascii="Calibri" w:cs="Calibri" w:eastAsia="Calibri" w:hAnsi="Calibri"/>
                <w:sz w:val="14"/>
                <w:szCs w:val="14"/>
                <w:b w:val="1"/>
                <w:bCs w:val="1"/>
                <w:color w:val="auto"/>
              </w:rPr>
              <w:t>(In</w:t>
            </w:r>
          </w:p>
        </w:tc>
        <w:tc>
          <w:tcPr>
            <w:tcW w:w="40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 with fnite lives</w:t>
            </w:r>
          </w:p>
        </w:tc>
        <w:tc>
          <w:tcPr>
            <w:tcW w:w="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660" w:type="dxa"/>
            <w:vAlign w:val="bottom"/>
          </w:tcPr>
          <w:p>
            <w:pPr>
              <w:ind w:left="200"/>
              <w:spacing w:after="0" w:line="215" w:lineRule="exact"/>
              <w:rPr>
                <w:sz w:val="20"/>
                <w:szCs w:val="20"/>
                <w:color w:val="auto"/>
              </w:rPr>
            </w:pPr>
            <w:r>
              <w:rPr>
                <w:rFonts w:ascii="Calibri" w:cs="Calibri" w:eastAsia="Calibri" w:hAnsi="Calibri"/>
                <w:sz w:val="18"/>
                <w:szCs w:val="18"/>
                <w:color w:val="auto"/>
              </w:rPr>
              <w:t>Developed technologies</w:t>
            </w:r>
          </w:p>
        </w:tc>
        <w:tc>
          <w:tcPr>
            <w:tcW w:w="720" w:type="dxa"/>
            <w:vAlign w:val="bottom"/>
          </w:tcPr>
          <w:p>
            <w:pPr>
              <w:jc w:val="right"/>
              <w:ind w:right="52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33</w:t>
            </w:r>
          </w:p>
        </w:tc>
        <w:tc>
          <w:tcPr>
            <w:tcW w:w="640" w:type="dxa"/>
            <w:vAlign w:val="bottom"/>
            <w:gridSpan w:val="2"/>
          </w:tcPr>
          <w:p>
            <w:pPr>
              <w:jc w:val="right"/>
              <w:ind w:right="204"/>
              <w:spacing w:after="0" w:line="215" w:lineRule="exact"/>
              <w:rPr>
                <w:sz w:val="20"/>
                <w:szCs w:val="20"/>
                <w:color w:val="auto"/>
              </w:rPr>
            </w:pPr>
            <w:r>
              <w:rPr>
                <w:rFonts w:ascii="Calibri" w:cs="Calibri" w:eastAsia="Calibri" w:hAnsi="Calibri"/>
                <w:sz w:val="18"/>
                <w:szCs w:val="18"/>
                <w:color w:val="auto"/>
              </w:rPr>
              <w:t>$</w:t>
            </w: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(11 )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c>
          <w:tcPr>
            <w:tcW w:w="4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580" w:type="dxa"/>
            <w:vAlign w:val="bottom"/>
            <w:gridSpan w:val="2"/>
          </w:tcPr>
          <w:p>
            <w:pPr>
              <w:jc w:val="right"/>
              <w:ind w:right="188"/>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(10 )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Pr>
          <w:p>
            <w:pPr>
              <w:spacing w:after="0"/>
              <w:rPr>
                <w:sz w:val="18"/>
                <w:szCs w:val="18"/>
                <w:color w:val="auto"/>
              </w:rPr>
            </w:pPr>
          </w:p>
        </w:tc>
      </w:tr>
      <w:tr>
        <w:trPr>
          <w:trHeight w:val="28"/>
        </w:trPr>
        <w:tc>
          <w:tcPr>
            <w:tcW w:w="4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Trademarks</w:t>
            </w:r>
          </w:p>
        </w:tc>
        <w:tc>
          <w:tcPr>
            <w:tcW w:w="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660" w:type="dxa"/>
            <w:vAlign w:val="bottom"/>
          </w:tcPr>
          <w:p>
            <w:pPr>
              <w:ind w:left="200"/>
              <w:spacing w:after="0"/>
              <w:rPr>
                <w:sz w:val="20"/>
                <w:szCs w:val="20"/>
                <w:color w:val="auto"/>
              </w:rPr>
            </w:pPr>
            <w:r>
              <w:rPr>
                <w:rFonts w:ascii="Calibri" w:cs="Calibri" w:eastAsia="Calibri" w:hAnsi="Calibri"/>
                <w:sz w:val="18"/>
                <w:szCs w:val="18"/>
                <w:color w:val="auto"/>
              </w:rPr>
              <w:t>Customer relatonships</w:t>
            </w:r>
          </w:p>
        </w:tc>
        <w:tc>
          <w:tcPr>
            <w:tcW w:w="7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63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(31 )</w:t>
            </w:r>
          </w:p>
        </w:tc>
        <w:tc>
          <w:tcPr>
            <w:tcW w:w="12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(30 )</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100" w:type="dxa"/>
            <w:vAlign w:val="bottom"/>
          </w:tcPr>
          <w:p>
            <w:pPr>
              <w:spacing w:after="0"/>
              <w:rPr>
                <w:sz w:val="19"/>
                <w:szCs w:val="19"/>
                <w:color w:val="auto"/>
              </w:rPr>
            </w:pPr>
          </w:p>
        </w:tc>
      </w:tr>
      <w:tr>
        <w:trPr>
          <w:trHeight w:val="23"/>
        </w:trPr>
        <w:tc>
          <w:tcPr>
            <w:tcW w:w="4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466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Total intangible assets</w:t>
            </w:r>
          </w:p>
        </w:tc>
        <w:tc>
          <w:tcPr>
            <w:tcW w:w="720" w:type="dxa"/>
            <w:vAlign w:val="bottom"/>
            <w:shd w:val="clear" w:color="auto" w:fill="CFF0FC"/>
          </w:tcPr>
          <w:p>
            <w:pPr>
              <w:jc w:val="right"/>
              <w:ind w:right="52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98</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204"/>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(43 )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40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w:t>
            </w:r>
          </w:p>
        </w:tc>
        <w:tc>
          <w:tcPr>
            <w:tcW w:w="580" w:type="dxa"/>
            <w:vAlign w:val="bottom"/>
            <w:gridSpan w:val="2"/>
            <w:shd w:val="clear" w:color="auto" w:fill="CFF0FC"/>
          </w:tcPr>
          <w:p>
            <w:pPr>
              <w:jc w:val="right"/>
              <w:ind w:right="188"/>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(41 )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shd w:val="clear" w:color="auto" w:fill="CFF0FC"/>
          </w:tcPr>
          <w:p>
            <w:pPr>
              <w:spacing w:after="0"/>
              <w:rPr>
                <w:sz w:val="22"/>
                <w:szCs w:val="22"/>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Intangible assets are amortzed over their estmated useful lives, which range between ten and twenty-fve years, with a weighted average amortzaton period of approximately seventeen years. Amortzaton expense was $1 million for both the three months ended June 30, 2024 and 2023. Amortzaton expense was $4 million for both the nine months ended June 30, 2024 and 2023. Amortzaton expense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D. Accumulated Other Comprehensive Income (Loss) (“AOCI”)</w:t>
      </w:r>
    </w:p>
    <w:p>
      <w:pPr>
        <w:spacing w:after="0" w:line="82"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Comprehensive income combines net income (loss) and other comprehensive income items, which are reported as components of stockholders’ equity in the accompanying Consolidated Balance Sheets.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each component of AOCI, net of tax, were as follows:</w:t>
      </w:r>
    </w:p>
    <w:p>
      <w:pPr>
        <w:sectPr>
          <w:pgSz w:w="11900" w:h="16838" w:orient="portrait"/>
          <w:cols w:equalWidth="0" w:num="1">
            <w:col w:w="11200"/>
          </w:cols>
          <w:pgMar w:left="320" w:top="105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right="1200"/>
        <w:spacing w:after="0" w:line="262" w:lineRule="auto"/>
        <w:rPr>
          <w:sz w:val="20"/>
          <w:szCs w:val="20"/>
          <w:color w:val="auto"/>
        </w:rPr>
      </w:pPr>
      <w:r>
        <w:rPr>
          <w:rFonts w:ascii="Calibri" w:cs="Calibri" w:eastAsia="Calibri" w:hAnsi="Calibri"/>
          <w:sz w:val="18"/>
          <w:szCs w:val="18"/>
          <w:color w:val="auto"/>
        </w:rPr>
        <w:t>Balance at September 30, 2023, atributable to Cabot Corporaton Other comprehensive income (loss) before reclassifcatons Amounts reclassifed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right="1920" w:hanging="118"/>
        <w:spacing w:after="0" w:line="235" w:lineRule="auto"/>
        <w:rPr>
          <w:sz w:val="20"/>
          <w:szCs w:val="20"/>
          <w:color w:val="auto"/>
        </w:rPr>
      </w:pPr>
      <w:r>
        <w:rPr>
          <w:rFonts w:ascii="Calibri" w:cs="Calibri" w:eastAsia="Calibri" w:hAnsi="Calibri"/>
          <w:sz w:val="18"/>
          <w:szCs w:val="18"/>
          <w:color w:val="auto"/>
        </w:rPr>
        <w:t>Less: Other comprehensive income (loss) atributable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9" w:lineRule="exact"/>
        <w:rPr>
          <w:sz w:val="20"/>
          <w:szCs w:val="20"/>
          <w:color w:val="auto"/>
        </w:rPr>
      </w:pPr>
    </w:p>
    <w:p>
      <w:pPr>
        <w:ind w:left="20" w:right="1260"/>
        <w:spacing w:after="0" w:line="262" w:lineRule="auto"/>
        <w:rPr>
          <w:sz w:val="20"/>
          <w:szCs w:val="20"/>
          <w:color w:val="auto"/>
        </w:rPr>
      </w:pPr>
      <w:r>
        <w:rPr>
          <w:rFonts w:ascii="Calibri" w:cs="Calibri" w:eastAsia="Calibri" w:hAnsi="Calibri"/>
          <w:sz w:val="18"/>
          <w:szCs w:val="18"/>
          <w:color w:val="auto"/>
        </w:rPr>
        <w:t>Balance at December 31, 2023, atributable to Cabot Corporaton Other comprehensive income (loss) before reclassifcatons Amounts reclassifed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right="1920" w:hanging="118"/>
        <w:spacing w:after="0" w:line="235" w:lineRule="auto"/>
        <w:rPr>
          <w:sz w:val="20"/>
          <w:szCs w:val="20"/>
          <w:color w:val="auto"/>
        </w:rPr>
      </w:pPr>
      <w:r>
        <w:rPr>
          <w:rFonts w:ascii="Calibri" w:cs="Calibri" w:eastAsia="Calibri" w:hAnsi="Calibri"/>
          <w:sz w:val="18"/>
          <w:szCs w:val="18"/>
          <w:color w:val="auto"/>
        </w:rPr>
        <w:t>Less: Other comprehensive income (loss) atributable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 w:lineRule="exact"/>
        <w:rPr>
          <w:sz w:val="20"/>
          <w:szCs w:val="20"/>
          <w:color w:val="auto"/>
        </w:rPr>
      </w:pPr>
    </w:p>
    <w:p>
      <w:pPr>
        <w:ind w:left="20" w:right="1540"/>
        <w:spacing w:after="0" w:line="262" w:lineRule="auto"/>
        <w:rPr>
          <w:sz w:val="20"/>
          <w:szCs w:val="20"/>
          <w:color w:val="auto"/>
        </w:rPr>
      </w:pPr>
      <w:r>
        <w:rPr>
          <w:rFonts w:ascii="Calibri" w:cs="Calibri" w:eastAsia="Calibri" w:hAnsi="Calibri"/>
          <w:sz w:val="18"/>
          <w:szCs w:val="18"/>
          <w:color w:val="auto"/>
        </w:rPr>
        <w:t>Balance at March 31, 2024, atributable to Cabot Corporaton Other comprehensive income (loss) before reclassifcatons Amounts reclassifed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right="1920" w:hanging="118"/>
        <w:spacing w:after="0" w:line="235" w:lineRule="auto"/>
        <w:rPr>
          <w:sz w:val="20"/>
          <w:szCs w:val="20"/>
          <w:color w:val="auto"/>
        </w:rPr>
      </w:pPr>
      <w:r>
        <w:rPr>
          <w:rFonts w:ascii="Calibri" w:cs="Calibri" w:eastAsia="Calibri" w:hAnsi="Calibri"/>
          <w:sz w:val="18"/>
          <w:szCs w:val="18"/>
          <w:color w:val="auto"/>
        </w:rPr>
        <w:t>Less: Other comprehensive income (loss) atributable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Balance at June 30, 2024, atributable to Cabot Corporaton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right="1200"/>
        <w:spacing w:after="0" w:line="262" w:lineRule="auto"/>
        <w:rPr>
          <w:sz w:val="20"/>
          <w:szCs w:val="20"/>
          <w:color w:val="auto"/>
        </w:rPr>
      </w:pPr>
      <w:r>
        <w:rPr>
          <w:rFonts w:ascii="Calibri" w:cs="Calibri" w:eastAsia="Calibri" w:hAnsi="Calibri"/>
          <w:sz w:val="18"/>
          <w:szCs w:val="18"/>
          <w:color w:val="auto"/>
        </w:rPr>
        <w:t>Balance at September 30, 2022, atributable to Cabot Corporaton Other comprehensive income (loss) before reclassifcatons Amounts reclassifed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right="1920" w:hanging="118"/>
        <w:spacing w:after="0" w:line="235" w:lineRule="auto"/>
        <w:rPr>
          <w:sz w:val="20"/>
          <w:szCs w:val="20"/>
          <w:color w:val="auto"/>
        </w:rPr>
      </w:pPr>
      <w:r>
        <w:rPr>
          <w:rFonts w:ascii="Calibri" w:cs="Calibri" w:eastAsia="Calibri" w:hAnsi="Calibri"/>
          <w:sz w:val="18"/>
          <w:szCs w:val="18"/>
          <w:color w:val="auto"/>
        </w:rPr>
        <w:t>Less: Other comprehensive income (loss) atributable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9" w:lineRule="exact"/>
        <w:rPr>
          <w:sz w:val="20"/>
          <w:szCs w:val="20"/>
          <w:color w:val="auto"/>
        </w:rPr>
      </w:pPr>
    </w:p>
    <w:p>
      <w:pPr>
        <w:ind w:left="20" w:right="1260"/>
        <w:spacing w:after="0" w:line="262" w:lineRule="auto"/>
        <w:rPr>
          <w:sz w:val="20"/>
          <w:szCs w:val="20"/>
          <w:color w:val="auto"/>
        </w:rPr>
      </w:pPr>
      <w:r>
        <w:rPr>
          <w:rFonts w:ascii="Calibri" w:cs="Calibri" w:eastAsia="Calibri" w:hAnsi="Calibri"/>
          <w:sz w:val="18"/>
          <w:szCs w:val="18"/>
          <w:color w:val="auto"/>
        </w:rPr>
        <w:t>Balance at December 31, 2022, atributable to Cabot Corporaton Other comprehensive income (loss) before reclassifcatons Amounts reclassifed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right="1920" w:hanging="118"/>
        <w:spacing w:after="0" w:line="235" w:lineRule="auto"/>
        <w:rPr>
          <w:sz w:val="20"/>
          <w:szCs w:val="20"/>
          <w:color w:val="auto"/>
        </w:rPr>
      </w:pPr>
      <w:r>
        <w:rPr>
          <w:rFonts w:ascii="Calibri" w:cs="Calibri" w:eastAsia="Calibri" w:hAnsi="Calibri"/>
          <w:sz w:val="18"/>
          <w:szCs w:val="18"/>
          <w:color w:val="auto"/>
        </w:rPr>
        <w:t>Less: Other comprehensive income (loss) atributable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 w:lineRule="exact"/>
        <w:rPr>
          <w:sz w:val="20"/>
          <w:szCs w:val="20"/>
          <w:color w:val="auto"/>
        </w:rPr>
      </w:pPr>
    </w:p>
    <w:p>
      <w:pPr>
        <w:ind w:left="20" w:right="1540"/>
        <w:spacing w:after="0" w:line="262" w:lineRule="auto"/>
        <w:rPr>
          <w:sz w:val="20"/>
          <w:szCs w:val="20"/>
          <w:color w:val="auto"/>
        </w:rPr>
      </w:pPr>
      <w:r>
        <w:rPr>
          <w:rFonts w:ascii="Calibri" w:cs="Calibri" w:eastAsia="Calibri" w:hAnsi="Calibri"/>
          <w:sz w:val="18"/>
          <w:szCs w:val="18"/>
          <w:color w:val="auto"/>
        </w:rPr>
        <w:t>Balance at March 31, 2023, atributable to Cabot Corporaton Other comprehensive income (loss) before reclassifcatons Amounts reclassifed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right="1920" w:hanging="118"/>
        <w:spacing w:after="0" w:line="235" w:lineRule="auto"/>
        <w:rPr>
          <w:sz w:val="20"/>
          <w:szCs w:val="20"/>
          <w:color w:val="auto"/>
        </w:rPr>
      </w:pPr>
      <w:r>
        <w:rPr>
          <w:rFonts w:ascii="Calibri" w:cs="Calibri" w:eastAsia="Calibri" w:hAnsi="Calibri"/>
          <w:sz w:val="18"/>
          <w:szCs w:val="18"/>
          <w:color w:val="auto"/>
        </w:rPr>
        <w:t>Less: Other comprehensive income (loss) atributable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Balance at June 30, 2023, atributable to Cabot Corporaton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right="17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200" w:type="dxa"/>
            <w:vAlign w:val="bottom"/>
          </w:tcPr>
          <w:p>
            <w:pPr>
              <w:spacing w:after="0"/>
              <w:rPr>
                <w:sz w:val="15"/>
                <w:szCs w:val="15"/>
                <w:color w:val="auto"/>
              </w:rPr>
            </w:pPr>
          </w:p>
        </w:tc>
        <w:tc>
          <w:tcPr>
            <w:tcW w:w="1420" w:type="dxa"/>
            <w:vAlign w:val="bottom"/>
            <w:gridSpan w:val="2"/>
          </w:tcPr>
          <w:p>
            <w:pPr>
              <w:jc w:val="center"/>
              <w:ind w:right="39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20" w:type="dxa"/>
            <w:vAlign w:val="bottom"/>
            <w:gridSpan w:val="2"/>
          </w:tcPr>
          <w:p>
            <w:pPr>
              <w:jc w:val="center"/>
              <w:ind w:right="31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200" w:type="dxa"/>
            <w:vAlign w:val="bottom"/>
          </w:tcPr>
          <w:p>
            <w:pPr>
              <w:spacing w:after="0"/>
              <w:rPr>
                <w:sz w:val="15"/>
                <w:szCs w:val="15"/>
                <w:color w:val="auto"/>
              </w:rPr>
            </w:pPr>
          </w:p>
        </w:tc>
        <w:tc>
          <w:tcPr>
            <w:tcW w:w="1420" w:type="dxa"/>
            <w:vAlign w:val="bottom"/>
            <w:gridSpan w:val="2"/>
          </w:tcPr>
          <w:p>
            <w:pPr>
              <w:jc w:val="center"/>
              <w:ind w:right="39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20" w:type="dxa"/>
            <w:vAlign w:val="bottom"/>
            <w:gridSpan w:val="2"/>
          </w:tcPr>
          <w:p>
            <w:pPr>
              <w:jc w:val="center"/>
              <w:ind w:right="31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00" w:type="dxa"/>
            <w:vAlign w:val="bottom"/>
          </w:tcPr>
          <w:p>
            <w:pPr>
              <w:spacing w:after="0"/>
              <w:rPr>
                <w:sz w:val="15"/>
                <w:szCs w:val="15"/>
                <w:color w:val="auto"/>
              </w:rPr>
            </w:pPr>
          </w:p>
        </w:tc>
        <w:tc>
          <w:tcPr>
            <w:tcW w:w="1420" w:type="dxa"/>
            <w:vAlign w:val="bottom"/>
            <w:gridSpan w:val="2"/>
          </w:tcPr>
          <w:p>
            <w:pPr>
              <w:jc w:val="center"/>
              <w:ind w:right="39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5"/>
                <w:szCs w:val="15"/>
                <w:color w:val="auto"/>
              </w:rPr>
            </w:pPr>
          </w:p>
        </w:tc>
        <w:tc>
          <w:tcPr>
            <w:tcW w:w="1420" w:type="dxa"/>
            <w:vAlign w:val="bottom"/>
            <w:gridSpan w:val="2"/>
          </w:tcPr>
          <w:p>
            <w:pPr>
              <w:jc w:val="center"/>
              <w:ind w:right="31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5"/>
                <w:szCs w:val="15"/>
                <w:color w:val="auto"/>
              </w:rPr>
            </w:pPr>
          </w:p>
        </w:tc>
        <w:tc>
          <w:tcPr>
            <w:tcW w:w="1080" w:type="dxa"/>
            <w:vAlign w:val="bottom"/>
            <w:gridSpan w:val="2"/>
          </w:tcPr>
          <w:p>
            <w:pPr>
              <w:jc w:val="right"/>
              <w:ind w:right="49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34"/>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9"/>
        </w:trPr>
        <w:tc>
          <w:tcPr>
            <w:tcW w:w="200" w:type="dxa"/>
            <w:vAlign w:val="bottom"/>
          </w:tcPr>
          <w:p>
            <w:pPr>
              <w:jc w:val="right"/>
              <w:ind w:right="10"/>
              <w:spacing w:after="0"/>
              <w:rPr>
                <w:sz w:val="20"/>
                <w:szCs w:val="20"/>
                <w:color w:val="auto"/>
              </w:rPr>
            </w:pPr>
            <w:r>
              <w:rPr>
                <w:rFonts w:ascii="Calibri" w:cs="Calibri" w:eastAsia="Calibri" w:hAnsi="Calibri"/>
                <w:sz w:val="18"/>
                <w:szCs w:val="18"/>
                <w:color w:val="auto"/>
                <w:w w:val="87"/>
              </w:rPr>
              <w:t>$</w:t>
            </w: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(353 )</w:t>
            </w:r>
          </w:p>
        </w:tc>
        <w:tc>
          <w:tcPr>
            <w:tcW w:w="14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420" w:type="dxa"/>
            <w:vAlign w:val="bottom"/>
            <w:gridSpan w:val="2"/>
          </w:tcPr>
          <w:p>
            <w:pPr>
              <w:jc w:val="right"/>
              <w:ind w:right="90"/>
              <w:spacing w:after="0"/>
              <w:rPr>
                <w:sz w:val="20"/>
                <w:szCs w:val="20"/>
                <w:color w:val="auto"/>
              </w:rPr>
            </w:pPr>
            <w:r>
              <w:rPr>
                <w:rFonts w:ascii="Calibri" w:cs="Calibri" w:eastAsia="Calibri" w:hAnsi="Calibri"/>
                <w:sz w:val="18"/>
                <w:szCs w:val="18"/>
                <w:color w:val="auto"/>
              </w:rPr>
              <w:t>(9 )</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(362 )</w:t>
            </w:r>
          </w:p>
        </w:tc>
      </w:tr>
      <w:tr>
        <w:trPr>
          <w:trHeight w:val="243"/>
        </w:trPr>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62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62</w:t>
            </w:r>
          </w:p>
        </w:tc>
        <w:tc>
          <w:tcPr>
            <w:tcW w:w="60" w:type="dxa"/>
            <w:vAlign w:val="bottom"/>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(1 )</w:t>
            </w:r>
          </w:p>
        </w:tc>
        <w:tc>
          <w:tcPr>
            <w:tcW w:w="140" w:type="dxa"/>
            <w:vAlign w:val="bottom"/>
          </w:tcPr>
          <w:p>
            <w:pPr>
              <w:spacing w:after="0"/>
              <w:rPr>
                <w:sz w:val="21"/>
                <w:szCs w:val="21"/>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(1 )</w:t>
            </w:r>
          </w:p>
        </w:tc>
      </w:tr>
      <w:tr>
        <w:trPr>
          <w:trHeight w:val="446"/>
        </w:trPr>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60" w:type="dxa"/>
            <w:vAlign w:val="bottom"/>
          </w:tcPr>
          <w:p>
            <w:pPr>
              <w:spacing w:after="0"/>
              <w:rPr>
                <w:sz w:val="24"/>
                <w:szCs w:val="24"/>
                <w:color w:val="auto"/>
              </w:rPr>
            </w:pPr>
          </w:p>
        </w:tc>
      </w:tr>
      <w:tr>
        <w:trPr>
          <w:trHeight w:val="37"/>
        </w:trPr>
        <w:tc>
          <w:tcPr>
            <w:tcW w:w="20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08"/>
        </w:trPr>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(296</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w:t>
            </w:r>
          </w:p>
        </w:tc>
        <w:tc>
          <w:tcPr>
            <w:tcW w:w="26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(305</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5"/>
        </w:trPr>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(15</w:t>
            </w:r>
          </w:p>
        </w:tc>
        <w:tc>
          <w:tcPr>
            <w:tcW w:w="280" w:type="dxa"/>
            <w:vAlign w:val="bottom"/>
          </w:tcPr>
          <w:p>
            <w:pPr>
              <w:jc w:val="right"/>
              <w:ind w:right="130"/>
              <w:spacing w:after="0" w:line="195"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(15</w:t>
            </w:r>
          </w:p>
        </w:tc>
        <w:tc>
          <w:tcPr>
            <w:tcW w:w="60" w:type="dxa"/>
            <w:vAlign w:val="bottom"/>
          </w:tcPr>
          <w:p>
            <w:pPr>
              <w:jc w:val="right"/>
              <w:spacing w:after="0" w:line="195" w:lineRule="exact"/>
              <w:rPr>
                <w:sz w:val="20"/>
                <w:szCs w:val="20"/>
                <w:color w:val="auto"/>
              </w:rPr>
            </w:pPr>
            <w:r>
              <w:rPr>
                <w:rFonts w:ascii="Calibri" w:cs="Calibri" w:eastAsia="Calibri" w:hAnsi="Calibri"/>
                <w:sz w:val="18"/>
                <w:szCs w:val="18"/>
                <w:color w:val="auto"/>
                <w:w w:val="72"/>
              </w:rPr>
              <w:t>)</w:t>
            </w:r>
          </w:p>
        </w:tc>
      </w:tr>
      <w:tr>
        <w:trPr>
          <w:trHeight w:val="234"/>
        </w:trPr>
        <w:tc>
          <w:tcPr>
            <w:tcW w:w="200" w:type="dxa"/>
            <w:vAlign w:val="bottom"/>
          </w:tcPr>
          <w:p>
            <w:pPr>
              <w:spacing w:after="0"/>
              <w:rPr>
                <w:sz w:val="20"/>
                <w:szCs w:val="20"/>
                <w:color w:val="auto"/>
              </w:rPr>
            </w:pPr>
          </w:p>
        </w:tc>
        <w:tc>
          <w:tcPr>
            <w:tcW w:w="1420" w:type="dxa"/>
            <w:vAlign w:val="bottom"/>
            <w:gridSpan w:val="2"/>
          </w:tcPr>
          <w:p>
            <w:pPr>
              <w:jc w:val="right"/>
              <w:ind w:right="210"/>
              <w:spacing w:after="0"/>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Calibri" w:cs="Calibri" w:eastAsia="Calibri" w:hAnsi="Calibri"/>
                <w:sz w:val="18"/>
                <w:szCs w:val="18"/>
                <w:color w:val="auto"/>
              </w:rPr>
              <w:t>(1 )</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(1 )</w:t>
            </w:r>
          </w:p>
        </w:tc>
      </w:tr>
      <w:tr>
        <w:trPr>
          <w:trHeight w:val="445"/>
        </w:trPr>
        <w:tc>
          <w:tcPr>
            <w:tcW w:w="20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(4 )</w:t>
            </w:r>
          </w:p>
        </w:tc>
        <w:tc>
          <w:tcPr>
            <w:tcW w:w="140" w:type="dxa"/>
            <w:vAlign w:val="bottom"/>
          </w:tcPr>
          <w:p>
            <w:pPr>
              <w:spacing w:after="0"/>
              <w:rPr>
                <w:sz w:val="24"/>
                <w:szCs w:val="24"/>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(4 )</w:t>
            </w:r>
          </w:p>
        </w:tc>
      </w:tr>
      <w:tr>
        <w:trPr>
          <w:trHeight w:val="37"/>
        </w:trPr>
        <w:tc>
          <w:tcPr>
            <w:tcW w:w="20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08"/>
        </w:trPr>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(307</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w:t>
            </w:r>
          </w:p>
        </w:tc>
        <w:tc>
          <w:tcPr>
            <w:tcW w:w="26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(317</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08"/>
        </w:trPr>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(66</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(66</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34"/>
        </w:trPr>
        <w:tc>
          <w:tcPr>
            <w:tcW w:w="200" w:type="dxa"/>
            <w:vAlign w:val="bottom"/>
          </w:tcPr>
          <w:p>
            <w:pPr>
              <w:spacing w:after="0"/>
              <w:rPr>
                <w:sz w:val="20"/>
                <w:szCs w:val="20"/>
                <w:color w:val="auto"/>
              </w:rPr>
            </w:pPr>
          </w:p>
        </w:tc>
        <w:tc>
          <w:tcPr>
            <w:tcW w:w="1420" w:type="dxa"/>
            <w:vAlign w:val="bottom"/>
            <w:gridSpan w:val="2"/>
          </w:tcPr>
          <w:p>
            <w:pPr>
              <w:jc w:val="right"/>
              <w:ind w:right="210"/>
              <w:spacing w:after="0"/>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r>
      <w:tr>
        <w:trPr>
          <w:trHeight w:val="446"/>
        </w:trPr>
        <w:tc>
          <w:tcPr>
            <w:tcW w:w="20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(1 )</w:t>
            </w:r>
          </w:p>
        </w:tc>
        <w:tc>
          <w:tcPr>
            <w:tcW w:w="140" w:type="dxa"/>
            <w:vAlign w:val="bottom"/>
          </w:tcPr>
          <w:p>
            <w:pPr>
              <w:spacing w:after="0"/>
              <w:rPr>
                <w:sz w:val="24"/>
                <w:szCs w:val="24"/>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(1 )</w:t>
            </w:r>
          </w:p>
        </w:tc>
      </w:tr>
      <w:tr>
        <w:trPr>
          <w:trHeight w:val="37"/>
        </w:trPr>
        <w:tc>
          <w:tcPr>
            <w:tcW w:w="20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08"/>
        </w:trPr>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(372</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w:t>
            </w:r>
          </w:p>
        </w:tc>
        <w:tc>
          <w:tcPr>
            <w:tcW w:w="26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(382</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5"/>
        </w:trPr>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17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200" w:type="dxa"/>
            <w:vAlign w:val="bottom"/>
          </w:tcPr>
          <w:p>
            <w:pPr>
              <w:spacing w:after="0"/>
              <w:rPr>
                <w:sz w:val="15"/>
                <w:szCs w:val="15"/>
                <w:color w:val="auto"/>
              </w:rPr>
            </w:pPr>
          </w:p>
        </w:tc>
        <w:tc>
          <w:tcPr>
            <w:tcW w:w="1420" w:type="dxa"/>
            <w:vAlign w:val="bottom"/>
            <w:gridSpan w:val="2"/>
          </w:tcPr>
          <w:p>
            <w:pPr>
              <w:jc w:val="center"/>
              <w:ind w:right="39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20" w:type="dxa"/>
            <w:vAlign w:val="bottom"/>
            <w:gridSpan w:val="2"/>
          </w:tcPr>
          <w:p>
            <w:pPr>
              <w:jc w:val="center"/>
              <w:ind w:right="31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200" w:type="dxa"/>
            <w:vAlign w:val="bottom"/>
          </w:tcPr>
          <w:p>
            <w:pPr>
              <w:spacing w:after="0"/>
              <w:rPr>
                <w:sz w:val="15"/>
                <w:szCs w:val="15"/>
                <w:color w:val="auto"/>
              </w:rPr>
            </w:pPr>
          </w:p>
        </w:tc>
        <w:tc>
          <w:tcPr>
            <w:tcW w:w="1420" w:type="dxa"/>
            <w:vAlign w:val="bottom"/>
            <w:gridSpan w:val="2"/>
          </w:tcPr>
          <w:p>
            <w:pPr>
              <w:jc w:val="center"/>
              <w:ind w:right="39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20" w:type="dxa"/>
            <w:vAlign w:val="bottom"/>
            <w:gridSpan w:val="2"/>
          </w:tcPr>
          <w:p>
            <w:pPr>
              <w:jc w:val="center"/>
              <w:ind w:right="31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200" w:type="dxa"/>
            <w:vAlign w:val="bottom"/>
          </w:tcPr>
          <w:p>
            <w:pPr>
              <w:spacing w:after="0"/>
              <w:rPr>
                <w:sz w:val="15"/>
                <w:szCs w:val="15"/>
                <w:color w:val="auto"/>
              </w:rPr>
            </w:pPr>
          </w:p>
        </w:tc>
        <w:tc>
          <w:tcPr>
            <w:tcW w:w="1420" w:type="dxa"/>
            <w:vAlign w:val="bottom"/>
            <w:gridSpan w:val="2"/>
          </w:tcPr>
          <w:p>
            <w:pPr>
              <w:jc w:val="center"/>
              <w:ind w:right="39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5"/>
                <w:szCs w:val="15"/>
                <w:color w:val="auto"/>
              </w:rPr>
            </w:pPr>
          </w:p>
        </w:tc>
        <w:tc>
          <w:tcPr>
            <w:tcW w:w="1420" w:type="dxa"/>
            <w:vAlign w:val="bottom"/>
            <w:gridSpan w:val="2"/>
          </w:tcPr>
          <w:p>
            <w:pPr>
              <w:jc w:val="center"/>
              <w:ind w:right="31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5"/>
                <w:szCs w:val="15"/>
                <w:color w:val="auto"/>
              </w:rPr>
            </w:pPr>
          </w:p>
        </w:tc>
        <w:tc>
          <w:tcPr>
            <w:tcW w:w="1080" w:type="dxa"/>
            <w:vAlign w:val="bottom"/>
            <w:gridSpan w:val="2"/>
          </w:tcPr>
          <w:p>
            <w:pPr>
              <w:jc w:val="right"/>
              <w:ind w:right="49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34"/>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9"/>
        </w:trPr>
        <w:tc>
          <w:tcPr>
            <w:tcW w:w="200" w:type="dxa"/>
            <w:vAlign w:val="bottom"/>
          </w:tcPr>
          <w:p>
            <w:pPr>
              <w:jc w:val="right"/>
              <w:ind w:right="10"/>
              <w:spacing w:after="0"/>
              <w:rPr>
                <w:sz w:val="20"/>
                <w:szCs w:val="20"/>
                <w:color w:val="auto"/>
              </w:rPr>
            </w:pPr>
            <w:r>
              <w:rPr>
                <w:rFonts w:ascii="Calibri" w:cs="Calibri" w:eastAsia="Calibri" w:hAnsi="Calibri"/>
                <w:sz w:val="18"/>
                <w:szCs w:val="18"/>
                <w:color w:val="auto"/>
                <w:w w:val="87"/>
              </w:rPr>
              <w:t>$</w:t>
            </w: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(429 )</w:t>
            </w:r>
          </w:p>
        </w:tc>
        <w:tc>
          <w:tcPr>
            <w:tcW w:w="14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420" w:type="dxa"/>
            <w:vAlign w:val="bottom"/>
            <w:gridSpan w:val="2"/>
          </w:tcPr>
          <w:p>
            <w:pPr>
              <w:jc w:val="right"/>
              <w:ind w:right="90"/>
              <w:spacing w:after="0"/>
              <w:rPr>
                <w:sz w:val="20"/>
                <w:szCs w:val="20"/>
                <w:color w:val="auto"/>
              </w:rPr>
            </w:pPr>
            <w:r>
              <w:rPr>
                <w:rFonts w:ascii="Calibri" w:cs="Calibri" w:eastAsia="Calibri" w:hAnsi="Calibri"/>
                <w:sz w:val="18"/>
                <w:szCs w:val="18"/>
                <w:color w:val="auto"/>
              </w:rPr>
              <w:t>(10 )</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(439 )</w:t>
            </w:r>
          </w:p>
        </w:tc>
      </w:tr>
      <w:tr>
        <w:trPr>
          <w:trHeight w:val="243"/>
        </w:trPr>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88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88</w:t>
            </w:r>
          </w:p>
        </w:tc>
        <w:tc>
          <w:tcPr>
            <w:tcW w:w="60" w:type="dxa"/>
            <w:vAlign w:val="bottom"/>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(1 )</w:t>
            </w:r>
          </w:p>
        </w:tc>
        <w:tc>
          <w:tcPr>
            <w:tcW w:w="140" w:type="dxa"/>
            <w:vAlign w:val="bottom"/>
          </w:tcPr>
          <w:p>
            <w:pPr>
              <w:spacing w:after="0"/>
              <w:rPr>
                <w:sz w:val="21"/>
                <w:szCs w:val="21"/>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(1 )</w:t>
            </w:r>
          </w:p>
        </w:tc>
      </w:tr>
      <w:tr>
        <w:trPr>
          <w:trHeight w:val="445"/>
        </w:trPr>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60" w:type="dxa"/>
            <w:vAlign w:val="bottom"/>
          </w:tcPr>
          <w:p>
            <w:pPr>
              <w:spacing w:after="0"/>
              <w:rPr>
                <w:sz w:val="24"/>
                <w:szCs w:val="24"/>
                <w:color w:val="auto"/>
              </w:rPr>
            </w:pPr>
          </w:p>
        </w:tc>
      </w:tr>
      <w:tr>
        <w:trPr>
          <w:trHeight w:val="37"/>
        </w:trPr>
        <w:tc>
          <w:tcPr>
            <w:tcW w:w="20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08"/>
        </w:trPr>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(348</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w:t>
            </w:r>
          </w:p>
        </w:tc>
        <w:tc>
          <w:tcPr>
            <w:tcW w:w="26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(358</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49</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49</w:t>
            </w:r>
          </w:p>
        </w:tc>
        <w:tc>
          <w:tcPr>
            <w:tcW w:w="60" w:type="dxa"/>
            <w:vAlign w:val="bottom"/>
          </w:tcPr>
          <w:p>
            <w:pPr>
              <w:spacing w:after="0"/>
              <w:rPr>
                <w:sz w:val="16"/>
                <w:szCs w:val="16"/>
                <w:color w:val="auto"/>
              </w:rPr>
            </w:pPr>
          </w:p>
        </w:tc>
      </w:tr>
      <w:tr>
        <w:trPr>
          <w:trHeight w:val="234"/>
        </w:trPr>
        <w:tc>
          <w:tcPr>
            <w:tcW w:w="200" w:type="dxa"/>
            <w:vAlign w:val="bottom"/>
          </w:tcPr>
          <w:p>
            <w:pPr>
              <w:spacing w:after="0"/>
              <w:rPr>
                <w:sz w:val="20"/>
                <w:szCs w:val="20"/>
                <w:color w:val="auto"/>
              </w:rPr>
            </w:pP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(1 )</w:t>
            </w:r>
          </w:p>
        </w:tc>
        <w:tc>
          <w:tcPr>
            <w:tcW w:w="14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Calibri" w:cs="Calibri" w:eastAsia="Calibri" w:hAnsi="Calibri"/>
                <w:sz w:val="18"/>
                <w:szCs w:val="18"/>
                <w:color w:val="auto"/>
              </w:rPr>
              <w:t>(1 )</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(2 )</w:t>
            </w:r>
          </w:p>
        </w:tc>
      </w:tr>
      <w:tr>
        <w:trPr>
          <w:trHeight w:val="445"/>
        </w:trPr>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60" w:type="dxa"/>
            <w:vAlign w:val="bottom"/>
          </w:tcPr>
          <w:p>
            <w:pPr>
              <w:spacing w:after="0"/>
              <w:rPr>
                <w:sz w:val="24"/>
                <w:szCs w:val="24"/>
                <w:color w:val="auto"/>
              </w:rPr>
            </w:pPr>
          </w:p>
        </w:tc>
      </w:tr>
      <w:tr>
        <w:trPr>
          <w:trHeight w:val="37"/>
        </w:trPr>
        <w:tc>
          <w:tcPr>
            <w:tcW w:w="20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08"/>
        </w:trPr>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(303</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w:t>
            </w:r>
          </w:p>
        </w:tc>
        <w:tc>
          <w:tcPr>
            <w:tcW w:w="26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(314</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08"/>
        </w:trPr>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(20</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(19</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34"/>
        </w:trPr>
        <w:tc>
          <w:tcPr>
            <w:tcW w:w="200" w:type="dxa"/>
            <w:vAlign w:val="bottom"/>
          </w:tcPr>
          <w:p>
            <w:pPr>
              <w:spacing w:after="0"/>
              <w:rPr>
                <w:sz w:val="20"/>
                <w:szCs w:val="20"/>
                <w:color w:val="auto"/>
              </w:rPr>
            </w:pP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(1 )</w:t>
            </w:r>
          </w:p>
        </w:tc>
        <w:tc>
          <w:tcPr>
            <w:tcW w:w="14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Calibri" w:cs="Calibri" w:eastAsia="Calibri" w:hAnsi="Calibri"/>
                <w:sz w:val="18"/>
                <w:szCs w:val="18"/>
                <w:color w:val="auto"/>
              </w:rPr>
              <w:t>(1 )</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(2 )</w:t>
            </w:r>
          </w:p>
        </w:tc>
      </w:tr>
      <w:tr>
        <w:trPr>
          <w:trHeight w:val="445"/>
        </w:trPr>
        <w:tc>
          <w:tcPr>
            <w:tcW w:w="20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(6 )</w:t>
            </w:r>
          </w:p>
        </w:tc>
        <w:tc>
          <w:tcPr>
            <w:tcW w:w="140" w:type="dxa"/>
            <w:vAlign w:val="bottom"/>
          </w:tcPr>
          <w:p>
            <w:pPr>
              <w:spacing w:after="0"/>
              <w:rPr>
                <w:sz w:val="24"/>
                <w:szCs w:val="24"/>
                <w:color w:val="auto"/>
              </w:rPr>
            </w:pPr>
          </w:p>
        </w:tc>
        <w:tc>
          <w:tcPr>
            <w:tcW w:w="1420" w:type="dxa"/>
            <w:vAlign w:val="bottom"/>
            <w:gridSpan w:val="2"/>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(6 )</w:t>
            </w:r>
          </w:p>
        </w:tc>
      </w:tr>
      <w:tr>
        <w:trPr>
          <w:trHeight w:val="37"/>
        </w:trPr>
        <w:tc>
          <w:tcPr>
            <w:tcW w:w="20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08"/>
        </w:trPr>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(318</w:t>
            </w:r>
          </w:p>
        </w:tc>
        <w:tc>
          <w:tcPr>
            <w:tcW w:w="280" w:type="dxa"/>
            <w:vAlign w:val="bottom"/>
          </w:tcPr>
          <w:p>
            <w:pPr>
              <w:jc w:val="right"/>
              <w:ind w:right="13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w:t>
            </w:r>
          </w:p>
        </w:tc>
        <w:tc>
          <w:tcPr>
            <w:tcW w:w="26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(329</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20" w:space="720"/>
            <w:col w:w="4560"/>
          </w:cols>
          <w:pgMar w:left="320" w:top="1057" w:right="379" w:bottom="1440" w:gutter="0" w:footer="0" w:header="0"/>
          <w:type w:val="continuous"/>
        </w:sectPr>
      </w:pP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12" w:name="page13"/>
    <w:bookmarkEnd w:id="12"/>
    <w:p>
      <w:pPr>
        <w:ind w:right="160" w:firstLine="509"/>
        <w:spacing w:after="0" w:line="235" w:lineRule="auto"/>
        <w:rPr>
          <w:sz w:val="20"/>
          <w:szCs w:val="20"/>
          <w:color w:val="auto"/>
        </w:rPr>
      </w:pPr>
      <w:r>
        <w:rPr>
          <w:rFonts w:ascii="Calibri" w:cs="Calibri" w:eastAsia="Calibri" w:hAnsi="Calibri"/>
          <w:sz w:val="18"/>
          <w:szCs w:val="18"/>
          <w:color w:val="auto"/>
        </w:rPr>
        <w:t>The amounts reclassifed out of AOCI and into the Consolidated Statements of Operatons in each of the three and nine months ended June 30, 2024 and 2023 are as follows: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right="420" w:hanging="179"/>
        <w:spacing w:after="0" w:line="265" w:lineRule="auto"/>
        <w:rPr>
          <w:sz w:val="20"/>
          <w:szCs w:val="20"/>
          <w:color w:val="auto"/>
        </w:rPr>
      </w:pPr>
      <w:r>
        <w:rPr>
          <w:rFonts w:ascii="Calibri" w:cs="Calibri" w:eastAsia="Calibri" w:hAnsi="Calibri"/>
          <w:sz w:val="17"/>
          <w:szCs w:val="17"/>
          <w:color w:val="auto"/>
        </w:rPr>
        <w:t>Derivatves: net investment hedges (Gains) losses reclassifed to interest</w:t>
      </w:r>
    </w:p>
    <w:p>
      <w:pPr>
        <w:ind w:left="320"/>
        <w:spacing w:after="0" w:line="235" w:lineRule="auto"/>
        <w:rPr>
          <w:sz w:val="20"/>
          <w:szCs w:val="20"/>
          <w:color w:val="auto"/>
        </w:rPr>
      </w:pPr>
      <w:r>
        <w:rPr>
          <w:rFonts w:ascii="Calibri" w:cs="Calibri" w:eastAsia="Calibri" w:hAnsi="Calibri"/>
          <w:sz w:val="18"/>
          <w:szCs w:val="18"/>
          <w:color w:val="auto"/>
        </w:rPr>
        <w:t>expense</w:t>
      </w:r>
    </w:p>
    <w:p>
      <w:pPr>
        <w:spacing w:after="0" w:line="29" w:lineRule="exact"/>
        <w:rPr>
          <w:sz w:val="20"/>
          <w:szCs w:val="20"/>
          <w:color w:val="auto"/>
        </w:rPr>
      </w:pPr>
    </w:p>
    <w:p>
      <w:pPr>
        <w:ind w:left="200"/>
        <w:spacing w:after="0" w:line="235" w:lineRule="auto"/>
        <w:rPr>
          <w:sz w:val="20"/>
          <w:szCs w:val="20"/>
          <w:color w:val="auto"/>
        </w:rPr>
      </w:pPr>
      <w:r>
        <w:rPr>
          <w:rFonts w:ascii="Calibri" w:cs="Calibri" w:eastAsia="Calibri" w:hAnsi="Calibri"/>
          <w:sz w:val="18"/>
          <w:szCs w:val="18"/>
          <w:color w:val="auto"/>
        </w:rPr>
        <w:t>(Gains) losses excluded from efectveness testng and amortzed to interest expense</w:t>
      </w:r>
    </w:p>
    <w:p>
      <w:pPr>
        <w:spacing w:after="0" w:line="29" w:lineRule="exact"/>
        <w:rPr>
          <w:sz w:val="20"/>
          <w:szCs w:val="20"/>
          <w:color w:val="auto"/>
        </w:rPr>
      </w:pPr>
    </w:p>
    <w:p>
      <w:pPr>
        <w:ind w:left="200" w:right="60" w:hanging="179"/>
        <w:spacing w:after="0" w:line="248" w:lineRule="auto"/>
        <w:rPr>
          <w:sz w:val="20"/>
          <w:szCs w:val="20"/>
          <w:color w:val="auto"/>
        </w:rPr>
      </w:pPr>
      <w:r>
        <w:rPr>
          <w:rFonts w:ascii="Calibri" w:cs="Calibri" w:eastAsia="Calibri" w:hAnsi="Calibri"/>
          <w:sz w:val="18"/>
          <w:szCs w:val="18"/>
          <w:color w:val="auto"/>
        </w:rPr>
        <w:t>Pension and other postretrement Amortzaton of actuarial losses and prior service cost (credit)</w:t>
      </w:r>
    </w:p>
    <w:p>
      <w:pPr>
        <w:spacing w:after="0" w:line="1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before tax</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 Contngencies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Respirator Liabilites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3020" w:type="dxa"/>
            <w:vAlign w:val="bottom"/>
            <w:gridSpan w:val="2"/>
          </w:tcPr>
          <w:p>
            <w:pPr>
              <w:jc w:val="center"/>
              <w:ind w:right="180"/>
              <w:spacing w:after="0"/>
              <w:rPr>
                <w:sz w:val="20"/>
                <w:szCs w:val="20"/>
                <w:color w:val="auto"/>
              </w:rPr>
            </w:pPr>
            <w:r>
              <w:rPr>
                <w:rFonts w:ascii="Calibri" w:cs="Calibri" w:eastAsia="Calibri" w:hAnsi="Calibri"/>
                <w:sz w:val="14"/>
                <w:szCs w:val="14"/>
                <w:b w:val="1"/>
                <w:bCs w:val="1"/>
                <w:color w:val="auto"/>
              </w:rPr>
              <w:t>Afected Line Item in the Consolidated</w:t>
            </w:r>
          </w:p>
        </w:tc>
        <w:tc>
          <w:tcPr>
            <w:tcW w:w="2120" w:type="dxa"/>
            <w:vAlign w:val="bottom"/>
            <w:tcBorders>
              <w:bottom w:val="single" w:sz="8" w:color="auto"/>
            </w:tcBorders>
            <w:gridSpan w:val="4"/>
          </w:tcPr>
          <w:p>
            <w:pPr>
              <w:jc w:val="right"/>
              <w:ind w:right="200"/>
              <w:spacing w:after="0"/>
              <w:rPr>
                <w:sz w:val="20"/>
                <w:szCs w:val="20"/>
                <w:color w:val="auto"/>
              </w:rPr>
            </w:pPr>
            <w:r>
              <w:rPr>
                <w:rFonts w:ascii="Calibri" w:cs="Calibri" w:eastAsia="Calibri" w:hAnsi="Calibri"/>
                <w:sz w:val="14"/>
                <w:szCs w:val="14"/>
                <w:b w:val="1"/>
                <w:bCs w:val="1"/>
                <w:color w:val="auto"/>
              </w:rPr>
              <w:t>Three Months Ended June 30</w:t>
            </w:r>
          </w:p>
        </w:tc>
        <w:tc>
          <w:tcPr>
            <w:tcW w:w="260" w:type="dxa"/>
            <w:vAlign w:val="bottom"/>
          </w:tcPr>
          <w:p>
            <w:pPr>
              <w:spacing w:after="0"/>
              <w:rPr>
                <w:sz w:val="17"/>
                <w:szCs w:val="17"/>
                <w:color w:val="auto"/>
              </w:rPr>
            </w:pPr>
          </w:p>
        </w:tc>
        <w:tc>
          <w:tcPr>
            <w:tcW w:w="2080" w:type="dxa"/>
            <w:vAlign w:val="bottom"/>
            <w:tcBorders>
              <w:bottom w:val="single" w:sz="8" w:color="auto"/>
            </w:tcBorders>
            <w:gridSpan w:val="3"/>
          </w:tcPr>
          <w:p>
            <w:pPr>
              <w:jc w:val="right"/>
              <w:ind w:right="200"/>
              <w:spacing w:after="0"/>
              <w:rPr>
                <w:sz w:val="20"/>
                <w:szCs w:val="20"/>
                <w:color w:val="auto"/>
              </w:rPr>
            </w:pPr>
            <w:r>
              <w:rPr>
                <w:rFonts w:ascii="Calibri" w:cs="Calibri" w:eastAsia="Calibri" w:hAnsi="Calibri"/>
                <w:sz w:val="14"/>
                <w:szCs w:val="14"/>
                <w:b w:val="1"/>
                <w:bCs w:val="1"/>
                <w:color w:val="auto"/>
              </w:rPr>
              <w:t>Nine Months Ended June 30</w:t>
            </w:r>
          </w:p>
        </w:tc>
      </w:tr>
      <w:tr>
        <w:trPr>
          <w:trHeight w:val="170"/>
        </w:trPr>
        <w:tc>
          <w:tcPr>
            <w:tcW w:w="3020" w:type="dxa"/>
            <w:vAlign w:val="bottom"/>
            <w:gridSpan w:val="2"/>
          </w:tcPr>
          <w:p>
            <w:pPr>
              <w:jc w:val="center"/>
              <w:ind w:right="180"/>
              <w:spacing w:after="0" w:line="169" w:lineRule="exact"/>
              <w:rPr>
                <w:sz w:val="20"/>
                <w:szCs w:val="20"/>
                <w:color w:val="auto"/>
              </w:rPr>
            </w:pPr>
            <w:r>
              <w:rPr>
                <w:rFonts w:ascii="Calibri" w:cs="Calibri" w:eastAsia="Calibri" w:hAnsi="Calibri"/>
                <w:sz w:val="14"/>
                <w:szCs w:val="14"/>
                <w:b w:val="1"/>
                <w:bCs w:val="1"/>
                <w:color w:val="auto"/>
              </w:rPr>
              <w:t>Statements of Operatons</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2024</w:t>
            </w:r>
          </w:p>
        </w:tc>
        <w:tc>
          <w:tcPr>
            <w:tcW w:w="146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2024</w:t>
            </w:r>
          </w:p>
        </w:tc>
        <w:tc>
          <w:tcPr>
            <w:tcW w:w="116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2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3"/>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ind w:left="40"/>
              <w:spacing w:after="0" w:line="164" w:lineRule="exact"/>
              <w:rPr>
                <w:sz w:val="20"/>
                <w:szCs w:val="20"/>
                <w:color w:val="auto"/>
              </w:rPr>
            </w:pPr>
            <w:r>
              <w:rPr>
                <w:rFonts w:ascii="Calibri" w:cs="Calibri" w:eastAsia="Calibri" w:hAnsi="Calibri"/>
                <w:sz w:val="14"/>
                <w:szCs w:val="14"/>
                <w:b w:val="1"/>
                <w:bCs w:val="1"/>
                <w:color w:val="auto"/>
              </w:rPr>
              <w:t>(In</w:t>
            </w:r>
          </w:p>
        </w:tc>
        <w:tc>
          <w:tcPr>
            <w:tcW w:w="1200" w:type="dxa"/>
            <w:vAlign w:val="bottom"/>
            <w:gridSpan w:val="2"/>
          </w:tcPr>
          <w:p>
            <w:pPr>
              <w:jc w:val="right"/>
              <w:ind w:right="700"/>
              <w:spacing w:after="0" w:line="164" w:lineRule="exact"/>
              <w:rPr>
                <w:sz w:val="20"/>
                <w:szCs w:val="20"/>
                <w:color w:val="auto"/>
              </w:rPr>
            </w:pPr>
            <w:r>
              <w:rPr>
                <w:rFonts w:ascii="Calibri" w:cs="Calibri" w:eastAsia="Calibri" w:hAnsi="Calibri"/>
                <w:sz w:val="14"/>
                <w:szCs w:val="14"/>
                <w:b w:val="1"/>
                <w:bCs w:val="1"/>
                <w:color w:val="auto"/>
                <w:w w:val="95"/>
              </w:rPr>
              <w:t>millions)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20955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20" w:type="dxa"/>
            <w:vAlign w:val="bottom"/>
          </w:tcPr>
          <w:p>
            <w:pPr>
              <w:spacing w:after="0"/>
              <w:rPr>
                <w:sz w:val="20"/>
                <w:szCs w:val="20"/>
                <w:color w:val="auto"/>
              </w:rPr>
            </w:pPr>
            <w:r>
              <w:rPr>
                <w:rFonts w:ascii="Calibri" w:cs="Calibri" w:eastAsia="Calibri" w:hAnsi="Calibri"/>
                <w:sz w:val="18"/>
                <w:szCs w:val="18"/>
                <w:color w:val="auto"/>
              </w:rPr>
              <w:t>Interest expense</w:t>
            </w:r>
          </w:p>
        </w:tc>
        <w:tc>
          <w:tcPr>
            <w:tcW w:w="420" w:type="dxa"/>
            <w:vAlign w:val="bottom"/>
            <w:vMerge w:val="restart"/>
          </w:tcPr>
          <w:p>
            <w:pPr>
              <w:jc w:val="right"/>
              <w:ind w:right="230"/>
              <w:spacing w:after="0"/>
              <w:rPr>
                <w:sz w:val="20"/>
                <w:szCs w:val="20"/>
                <w:color w:val="auto"/>
              </w:rPr>
            </w:pPr>
            <w:r>
              <w:rPr>
                <w:rFonts w:ascii="Calibri" w:cs="Calibri" w:eastAsia="Calibri" w:hAnsi="Calibri"/>
                <w:sz w:val="18"/>
                <w:szCs w:val="18"/>
                <w:color w:val="auto"/>
                <w:w w:val="87"/>
              </w:rPr>
              <w:t>$</w:t>
            </w:r>
          </w:p>
        </w:tc>
        <w:tc>
          <w:tcPr>
            <w:tcW w:w="800" w:type="dxa"/>
            <w:vAlign w:val="bottom"/>
            <w:gridSpan w:val="2"/>
            <w:vMerge w:val="restart"/>
          </w:tcPr>
          <w:p>
            <w:pPr>
              <w:jc w:val="right"/>
              <w:ind w:right="220"/>
              <w:spacing w:after="0"/>
              <w:rPr>
                <w:sz w:val="20"/>
                <w:szCs w:val="20"/>
                <w:color w:val="auto"/>
              </w:rPr>
            </w:pPr>
            <w:r>
              <w:rPr>
                <w:rFonts w:ascii="Calibri" w:cs="Calibri" w:eastAsia="Calibri" w:hAnsi="Calibri"/>
                <w:sz w:val="18"/>
                <w:szCs w:val="18"/>
                <w:color w:val="auto"/>
              </w:rPr>
              <w:t>(1 )</w:t>
            </w:r>
          </w:p>
        </w:tc>
        <w:tc>
          <w:tcPr>
            <w:tcW w:w="420" w:type="dxa"/>
            <w:vAlign w:val="bottom"/>
            <w:vMerge w:val="restart"/>
          </w:tcPr>
          <w:p>
            <w:pPr>
              <w:jc w:val="right"/>
              <w:ind w:right="230"/>
              <w:spacing w:after="0"/>
              <w:rPr>
                <w:sz w:val="20"/>
                <w:szCs w:val="20"/>
                <w:color w:val="auto"/>
              </w:rPr>
            </w:pPr>
            <w:r>
              <w:rPr>
                <w:rFonts w:ascii="Calibri" w:cs="Calibri" w:eastAsia="Calibri" w:hAnsi="Calibri"/>
                <w:sz w:val="18"/>
                <w:szCs w:val="18"/>
                <w:color w:val="auto"/>
                <w:w w:val="87"/>
              </w:rPr>
              <w:t>$</w:t>
            </w:r>
          </w:p>
        </w:tc>
        <w:tc>
          <w:tcPr>
            <w:tcW w:w="1180" w:type="dxa"/>
            <w:vAlign w:val="bottom"/>
            <w:gridSpan w:val="3"/>
            <w:vMerge w:val="restart"/>
          </w:tcPr>
          <w:p>
            <w:pPr>
              <w:jc w:val="right"/>
              <w:ind w:right="230"/>
              <w:spacing w:after="0"/>
              <w:rPr>
                <w:sz w:val="20"/>
                <w:szCs w:val="20"/>
                <w:color w:val="auto"/>
              </w:rPr>
            </w:pPr>
            <w:r>
              <w:rPr>
                <w:rFonts w:ascii="Calibri" w:cs="Calibri" w:eastAsia="Calibri" w:hAnsi="Calibri"/>
                <w:sz w:val="18"/>
                <w:szCs w:val="18"/>
                <w:color w:val="auto"/>
              </w:rPr>
              <w:t>(1 )   $</w:t>
            </w:r>
          </w:p>
        </w:tc>
        <w:tc>
          <w:tcPr>
            <w:tcW w:w="1160" w:type="dxa"/>
            <w:vAlign w:val="bottom"/>
            <w:gridSpan w:val="3"/>
            <w:vMerge w:val="restart"/>
          </w:tcPr>
          <w:p>
            <w:pPr>
              <w:jc w:val="right"/>
              <w:ind w:right="230"/>
              <w:spacing w:after="0"/>
              <w:rPr>
                <w:sz w:val="20"/>
                <w:szCs w:val="20"/>
                <w:color w:val="auto"/>
              </w:rPr>
            </w:pPr>
            <w:r>
              <w:rPr>
                <w:rFonts w:ascii="Calibri" w:cs="Calibri" w:eastAsia="Calibri" w:hAnsi="Calibri"/>
                <w:sz w:val="18"/>
                <w:szCs w:val="18"/>
                <w:color w:val="auto"/>
              </w:rPr>
              <w:t>(4 )   $</w:t>
            </w:r>
          </w:p>
        </w:tc>
        <w:tc>
          <w:tcPr>
            <w:tcW w:w="54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(4 )</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3020" w:type="dxa"/>
            <w:vAlign w:val="bottom"/>
          </w:tcPr>
          <w:p>
            <w:pPr>
              <w:spacing w:after="0"/>
              <w:rPr>
                <w:sz w:val="20"/>
                <w:szCs w:val="20"/>
                <w:color w:val="auto"/>
              </w:rPr>
            </w:pPr>
            <w:r>
              <w:rPr>
                <w:rFonts w:ascii="Calibri" w:cs="Calibri" w:eastAsia="Calibri" w:hAnsi="Calibri"/>
                <w:sz w:val="18"/>
                <w:szCs w:val="18"/>
                <w:color w:val="auto"/>
              </w:rPr>
              <w:t>Interest expense</w:t>
            </w:r>
          </w:p>
        </w:tc>
        <w:tc>
          <w:tcPr>
            <w:tcW w:w="4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3"/>
            <w:vMerge w:val="restart"/>
          </w:tcPr>
          <w:p>
            <w:pPr>
              <w:jc w:val="right"/>
              <w:ind w:right="610"/>
              <w:spacing w:after="0"/>
              <w:rPr>
                <w:sz w:val="20"/>
                <w:szCs w:val="20"/>
                <w:color w:val="auto"/>
              </w:rPr>
            </w:pPr>
            <w:r>
              <w:rPr>
                <w:rFonts w:ascii="Calibri" w:cs="Calibri" w:eastAsia="Calibri" w:hAnsi="Calibri"/>
                <w:sz w:val="18"/>
                <w:szCs w:val="18"/>
                <w:color w:val="auto"/>
              </w:rPr>
              <w:t>—</w:t>
            </w:r>
          </w:p>
        </w:tc>
        <w:tc>
          <w:tcPr>
            <w:tcW w:w="480" w:type="dxa"/>
            <w:vAlign w:val="bottom"/>
            <w:vMerge w:val="restart"/>
          </w:tcPr>
          <w:p>
            <w:pPr>
              <w:jc w:val="right"/>
              <w:spacing w:after="0"/>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4"/>
        </w:trPr>
        <w:tc>
          <w:tcPr>
            <w:tcW w:w="3020" w:type="dxa"/>
            <w:vAlign w:val="bottom"/>
          </w:tcPr>
          <w:p>
            <w:pPr>
              <w:spacing w:after="0"/>
              <w:rPr>
                <w:sz w:val="20"/>
                <w:szCs w:val="20"/>
                <w:color w:val="auto"/>
              </w:rPr>
            </w:pPr>
            <w:r>
              <w:rPr>
                <w:rFonts w:ascii="Calibri" w:cs="Calibri" w:eastAsia="Calibri" w:hAnsi="Calibri"/>
                <w:sz w:val="18"/>
                <w:szCs w:val="18"/>
                <w:color w:val="auto"/>
              </w:rPr>
              <w:t>Other income (expense)</w:t>
            </w:r>
          </w:p>
        </w:tc>
        <w:tc>
          <w:tcPr>
            <w:tcW w:w="420" w:type="dxa"/>
            <w:vAlign w:val="bottom"/>
          </w:tcPr>
          <w:p>
            <w:pPr>
              <w:spacing w:after="0"/>
              <w:rPr>
                <w:sz w:val="24"/>
                <w:szCs w:val="24"/>
                <w:color w:val="auto"/>
              </w:rPr>
            </w:pPr>
          </w:p>
        </w:tc>
        <w:tc>
          <w:tcPr>
            <w:tcW w:w="800" w:type="dxa"/>
            <w:vAlign w:val="bottom"/>
            <w:gridSpan w:val="2"/>
            <w:vMerge w:val="restart"/>
          </w:tcPr>
          <w:p>
            <w:pPr>
              <w:jc w:val="right"/>
              <w:ind w:right="300"/>
              <w:spacing w:after="0"/>
              <w:rPr>
                <w:sz w:val="20"/>
                <w:szCs w:val="20"/>
                <w:color w:val="auto"/>
              </w:rPr>
            </w:pPr>
            <w:r>
              <w:rPr>
                <w:rFonts w:ascii="Calibri" w:cs="Calibri" w:eastAsia="Calibri" w:hAnsi="Calibri"/>
                <w:sz w:val="18"/>
                <w:szCs w:val="18"/>
                <w:color w:val="auto"/>
              </w:rPr>
              <w:t>—</w:t>
            </w:r>
          </w:p>
        </w:tc>
        <w:tc>
          <w:tcPr>
            <w:tcW w:w="420" w:type="dxa"/>
            <w:vAlign w:val="bottom"/>
          </w:tcPr>
          <w:p>
            <w:pPr>
              <w:spacing w:after="0"/>
              <w:rPr>
                <w:sz w:val="24"/>
                <w:szCs w:val="24"/>
                <w:color w:val="auto"/>
              </w:rPr>
            </w:pPr>
          </w:p>
        </w:tc>
        <w:tc>
          <w:tcPr>
            <w:tcW w:w="740" w:type="dxa"/>
            <w:vAlign w:val="bottom"/>
            <w:gridSpan w:val="2"/>
            <w:vMerge w:val="restart"/>
          </w:tcPr>
          <w:p>
            <w:pPr>
              <w:jc w:val="right"/>
              <w:ind w:right="90"/>
              <w:spacing w:after="0"/>
              <w:rPr>
                <w:sz w:val="20"/>
                <w:szCs w:val="20"/>
                <w:color w:val="auto"/>
              </w:rPr>
            </w:pPr>
            <w:r>
              <w:rPr>
                <w:rFonts w:ascii="Calibri" w:cs="Calibri" w:eastAsia="Calibri" w:hAnsi="Calibri"/>
                <w:sz w:val="18"/>
                <w:szCs w:val="18"/>
                <w:color w:val="auto"/>
              </w:rPr>
              <w:t>(1 )</w:t>
            </w:r>
          </w:p>
        </w:tc>
        <w:tc>
          <w:tcPr>
            <w:tcW w:w="440" w:type="dxa"/>
            <w:vAlign w:val="bottom"/>
          </w:tcPr>
          <w:p>
            <w:pPr>
              <w:spacing w:after="0"/>
              <w:rPr>
                <w:sz w:val="24"/>
                <w:szCs w:val="24"/>
                <w:color w:val="auto"/>
              </w:rPr>
            </w:pPr>
          </w:p>
        </w:tc>
        <w:tc>
          <w:tcPr>
            <w:tcW w:w="720" w:type="dxa"/>
            <w:vAlign w:val="bottom"/>
            <w:gridSpan w:val="2"/>
            <w:vMerge w:val="restart"/>
          </w:tcPr>
          <w:p>
            <w:pPr>
              <w:jc w:val="right"/>
              <w:ind w:right="90"/>
              <w:spacing w:after="0"/>
              <w:rPr>
                <w:sz w:val="20"/>
                <w:szCs w:val="20"/>
                <w:color w:val="auto"/>
              </w:rPr>
            </w:pPr>
            <w:r>
              <w:rPr>
                <w:rFonts w:ascii="Calibri" w:cs="Calibri" w:eastAsia="Calibri" w:hAnsi="Calibri"/>
                <w:sz w:val="18"/>
                <w:szCs w:val="18"/>
                <w:color w:val="auto"/>
              </w:rPr>
              <w:t>(1 )</w:t>
            </w:r>
          </w:p>
        </w:tc>
        <w:tc>
          <w:tcPr>
            <w:tcW w:w="4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94"/>
        </w:trPr>
        <w:tc>
          <w:tcPr>
            <w:tcW w:w="3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vMerge w:val="restart"/>
          </w:tcPr>
          <w:p>
            <w:pPr>
              <w:jc w:val="right"/>
              <w:ind w:right="90"/>
              <w:spacing w:after="0"/>
              <w:rPr>
                <w:sz w:val="20"/>
                <w:szCs w:val="20"/>
                <w:color w:val="auto"/>
              </w:rPr>
            </w:pPr>
            <w:r>
              <w:rPr>
                <w:rFonts w:ascii="Calibri" w:cs="Calibri" w:eastAsia="Calibri" w:hAnsi="Calibri"/>
                <w:sz w:val="18"/>
                <w:szCs w:val="18"/>
                <w:color w:val="auto"/>
              </w:rPr>
              <w:t>)</w:t>
            </w: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vMerge w:val="restart"/>
          </w:tcPr>
          <w:p>
            <w:pPr>
              <w:jc w:val="right"/>
              <w:ind w:right="90"/>
              <w:spacing w:after="0"/>
              <w:rPr>
                <w:sz w:val="20"/>
                <w:szCs w:val="20"/>
                <w:color w:val="auto"/>
              </w:rPr>
            </w:pPr>
            <w:r>
              <w:rPr>
                <w:rFonts w:ascii="Calibri" w:cs="Calibri" w:eastAsia="Calibri" w:hAnsi="Calibri"/>
                <w:sz w:val="18"/>
                <w:szCs w:val="18"/>
                <w:color w:val="auto"/>
                <w:w w:val="72"/>
              </w:rPr>
              <w:t>)</w:t>
            </w: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8"/>
        </w:trPr>
        <w:tc>
          <w:tcPr>
            <w:tcW w:w="302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5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w:t>
            </w:r>
          </w:p>
        </w:tc>
        <w:tc>
          <w:tcPr>
            <w:tcW w:w="260" w:type="dxa"/>
            <w:vAlign w:val="bottom"/>
            <w:vMerge w:val="continue"/>
          </w:tcPr>
          <w:p>
            <w:pPr>
              <w:spacing w:after="0"/>
              <w:rPr>
                <w:sz w:val="18"/>
                <w:szCs w:val="18"/>
                <w:color w:val="auto"/>
              </w:rPr>
            </w:pPr>
          </w:p>
        </w:tc>
        <w:tc>
          <w:tcPr>
            <w:tcW w:w="44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w:t>
            </w:r>
          </w:p>
        </w:tc>
        <w:tc>
          <w:tcPr>
            <w:tcW w:w="240" w:type="dxa"/>
            <w:vAlign w:val="bottom"/>
            <w:vMerge w:val="continue"/>
          </w:tcPr>
          <w:p>
            <w:pPr>
              <w:spacing w:after="0"/>
              <w:rPr>
                <w:sz w:val="18"/>
                <w:szCs w:val="18"/>
                <w:color w:val="auto"/>
              </w:rPr>
            </w:pPr>
          </w:p>
        </w:tc>
        <w:tc>
          <w:tcPr>
            <w:tcW w:w="44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-916940</wp:posOffset>
            </wp:positionV>
            <wp:extent cx="7132320" cy="291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-471170</wp:posOffset>
            </wp:positionV>
            <wp:extent cx="7132320"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3200" w:space="460"/>
            <w:col w:w="7580"/>
          </w:cols>
          <w:pgMar w:left="320" w:top="1089" w:right="339" w:bottom="1440" w:gutter="0" w:footer="0" w:header="0"/>
          <w:type w:val="continuous"/>
        </w:sectPr>
      </w:pPr>
    </w:p>
    <w:p>
      <w:pPr>
        <w:ind w:right="40" w:firstLine="509"/>
        <w:spacing w:after="0" w:line="250" w:lineRule="auto"/>
        <w:rPr>
          <w:sz w:val="20"/>
          <w:szCs w:val="20"/>
          <w:color w:val="auto"/>
        </w:rPr>
      </w:pPr>
      <w:r>
        <w:rPr>
          <w:rFonts w:ascii="Calibri" w:cs="Calibri" w:eastAsia="Calibri" w:hAnsi="Calibri"/>
          <w:sz w:val="17"/>
          <w:szCs w:val="17"/>
          <w:color w:val="auto"/>
        </w:rPr>
        <w:t>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 As more fully described in the 2023 10-K, the respirator liabilites generally involve claims for personal injury, including asbestosis, silicosis and coal worker’s pneumoconiosis, allegedly resultng from the use of respirators that are alleged to have been negligently designed and/or labeled. At no tme did this respiratory product line represent a signifcant porton of the respirator market. In additon to Cabot’s subsidiary, other partes are responsible for signifcant portons of the costs of these respirator liabilites (as defned in the 2023 10-K, the “Payor Group”).</w:t>
      </w:r>
    </w:p>
    <w:p>
      <w:pPr>
        <w:spacing w:after="0" w:line="52" w:lineRule="exact"/>
        <w:rPr>
          <w:sz w:val="20"/>
          <w:szCs w:val="20"/>
          <w:color w:val="auto"/>
        </w:rPr>
      </w:pPr>
    </w:p>
    <w:p>
      <w:pPr>
        <w:ind w:right="180" w:firstLine="509"/>
        <w:spacing w:after="0"/>
        <w:rPr>
          <w:sz w:val="20"/>
          <w:szCs w:val="20"/>
          <w:color w:val="auto"/>
        </w:rPr>
      </w:pPr>
      <w:r>
        <w:rPr>
          <w:rFonts w:ascii="Calibri" w:cs="Calibri" w:eastAsia="Calibri" w:hAnsi="Calibri"/>
          <w:sz w:val="18"/>
          <w:szCs w:val="18"/>
          <w:color w:val="auto"/>
        </w:rPr>
        <w:t>Cabot has a reserve to cover its expected share of liabilites for pending and future respirator liability claims, which is included in Other liabilites and Accounts payable and accrued liabilites on the Consolidated Balance Sheets. The Company expects these liabilites to be incurred over a number of years. The reserve balance was $37 million and $38 million at June 30, 2024 and September 30, 2023, respectvely.</w:t>
      </w:r>
    </w:p>
    <w:p>
      <w:pPr>
        <w:spacing w:after="0" w:line="5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 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8"/>
          <w:szCs w:val="18"/>
          <w:b w:val="1"/>
          <w:bCs w:val="1"/>
          <w:i w:val="1"/>
          <w:iCs w:val="1"/>
          <w:color w:val="auto"/>
        </w:rPr>
        <w:t>Other Maters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 Income Tax</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Efectve Tax Rate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200" w:type="dxa"/>
            <w:vAlign w:val="bottom"/>
            <w:gridSpan w:val="7"/>
          </w:tcPr>
          <w:p>
            <w:pPr>
              <w:ind w:left="380"/>
              <w:spacing w:after="0"/>
              <w:rPr>
                <w:sz w:val="20"/>
                <w:szCs w:val="20"/>
                <w:color w:val="auto"/>
              </w:rPr>
            </w:pPr>
            <w:r>
              <w:rPr>
                <w:rFonts w:ascii="Calibri" w:cs="Calibri" w:eastAsia="Calibri" w:hAnsi="Calibri"/>
                <w:sz w:val="14"/>
                <w:szCs w:val="14"/>
                <w:b w:val="1"/>
                <w:bCs w:val="1"/>
                <w:color w:val="auto"/>
              </w:rPr>
              <w:t>Three Months Ended June 30</w:t>
            </w:r>
          </w:p>
        </w:tc>
        <w:tc>
          <w:tcPr>
            <w:tcW w:w="2180" w:type="dxa"/>
            <w:vAlign w:val="bottom"/>
            <w:gridSpan w:val="6"/>
          </w:tcPr>
          <w:p>
            <w:pPr>
              <w:jc w:val="right"/>
              <w:ind w:right="52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5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900" w:type="dxa"/>
            <w:vAlign w:val="bottom"/>
          </w:tcPr>
          <w:p>
            <w:pPr>
              <w:spacing w:after="0"/>
              <w:rPr>
                <w:sz w:val="14"/>
                <w:szCs w:val="14"/>
                <w:color w:val="auto"/>
              </w:rPr>
            </w:pPr>
          </w:p>
        </w:tc>
        <w:tc>
          <w:tcPr>
            <w:tcW w:w="760" w:type="dxa"/>
            <w:vAlign w:val="bottom"/>
          </w:tcPr>
          <w:p>
            <w:pPr>
              <w:ind w:left="380"/>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w w:val="91"/>
              </w:rPr>
              <w:t>2024</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5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w:t>
            </w:r>
          </w:p>
        </w:tc>
        <w:tc>
          <w:tcPr>
            <w:tcW w:w="70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5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760" w:type="dxa"/>
            <w:vAlign w:val="bottom"/>
            <w:tcBorders>
              <w:bottom w:val="single" w:sz="8" w:color="CFF0FC"/>
            </w:tcBorders>
            <w:shd w:val="clear" w:color="auto" w:fill="CFF0FC"/>
          </w:tcPr>
          <w:p>
            <w:pPr>
              <w:jc w:val="right"/>
              <w:ind w:right="582"/>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(40 )</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540" w:type="dxa"/>
            <w:vAlign w:val="bottom"/>
            <w:tcBorders>
              <w:bottom w:val="single" w:sz="8" w:color="CFF0FC"/>
            </w:tcBorders>
            <w:gridSpan w:val="3"/>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(41 )   $</w:t>
            </w:r>
          </w:p>
        </w:tc>
        <w:tc>
          <w:tcPr>
            <w:tcW w:w="122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(121 )   $</w:t>
            </w: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(90 )</w:t>
            </w:r>
          </w:p>
        </w:tc>
        <w:tc>
          <w:tcPr>
            <w:tcW w:w="40" w:type="dxa"/>
            <w:vAlign w:val="bottom"/>
          </w:tcPr>
          <w:p>
            <w:pPr>
              <w:spacing w:after="0"/>
              <w:rPr>
                <w:sz w:val="19"/>
                <w:szCs w:val="19"/>
                <w:color w:val="auto"/>
              </w:rPr>
            </w:pPr>
          </w:p>
        </w:tc>
      </w:tr>
      <w:tr>
        <w:trPr>
          <w:trHeight w:val="215"/>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Efectve tax rate</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25 %</w:t>
            </w:r>
          </w:p>
        </w:tc>
        <w:tc>
          <w:tcPr>
            <w:tcW w:w="240" w:type="dxa"/>
            <w:vAlign w:val="bottom"/>
          </w:tcPr>
          <w:p>
            <w:pPr>
              <w:spacing w:after="0"/>
              <w:rPr>
                <w:sz w:val="18"/>
                <w:szCs w:val="18"/>
                <w:color w:val="auto"/>
              </w:rPr>
            </w:pPr>
          </w:p>
        </w:tc>
        <w:tc>
          <w:tcPr>
            <w:tcW w:w="116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32 %</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31 %</w:t>
            </w:r>
          </w:p>
        </w:tc>
        <w:tc>
          <w:tcPr>
            <w:tcW w:w="240" w:type="dxa"/>
            <w:vAlign w:val="bottom"/>
          </w:tcPr>
          <w:p>
            <w:pPr>
              <w:spacing w:after="0"/>
              <w:rPr>
                <w:sz w:val="18"/>
                <w:szCs w:val="18"/>
                <w:color w:val="auto"/>
              </w:rPr>
            </w:pPr>
          </w:p>
        </w:tc>
        <w:tc>
          <w:tcPr>
            <w:tcW w:w="9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28 %</w:t>
            </w:r>
          </w:p>
        </w:tc>
      </w:tr>
    </w:tbl>
    <w:p>
      <w:pPr>
        <w:spacing w:after="0" w:line="7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For the three and nine months ended June 30, 2024, the (Provision) beneft for income taxes included a net discrete tax beneft of $1 million and an expense of $14 million, respectvely. The net discrete tax expense of $14 million is primarily comprised of additonal accruals and corresponding interest of uncertain tax positons. For the three and nine months ended June 30, 2023, the (Provision) beneft for income taxes included a net discrete tax expense of $2 million and $3 million, respectvely.</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 in Interim Periods</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The Company records its tax provision or beneft on an interim basis using an estmated annual efectve tax rate. This rate is applied to the current period ordinary income or loss to determine the income tax provision or beneft allocated to the interim period. The income tax efects of unusual or infrequent items are excluded from the estmated annual efectve tax rate and are recognized in the impacted interim period. Losses from jurisdictons for which no beneft can be recognized are excluded from the overall computatons of the estmated annual efectve tax rate and a separate estmated annual efectve tax rate is computed and applied to ordinary income or loss in the loss jurisdicton.</w:t>
      </w:r>
    </w:p>
    <w:p>
      <w:pPr>
        <w:spacing w:after="0" w:line="85"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Valuaton allowances are provided against the future tax benefts that arise from the deferred tax assets in jurisdictons for which the Company expects that no beneft can be recognized. The estmated annual efectve tax rate may be signifcantly impacted by nondeductble expenses and the Company’s projected earnings mix by tax jurisdicton. Adjustments to the estmated annual efectve income tax rate are recognized in the period when such estmates are revised.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Uncertaintes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Cabot and certain subsidiaries are under audit in a number of jurisdictons. In additon, certain statutes of limitatons are scheduled to expire in the near future. It is reasonably possible that a change in the unrecognized tax benefts may also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Cabot fles U.S. federal and state and non-U.S. income tax returns in jurisdictons with varying statutes of limitatons. The 2021 through 2023 tax years generally remain subject to examinaton by the IRS and various tax years from 2018 through 2023 remain subject to examinaton by the respectve state tax authorites. In foreign jurisdictons, various tax years from 2006 through 2023 remain subject to examinaton by their respectve tax authorites.</w:t>
      </w:r>
    </w:p>
    <w:p>
      <w:pPr>
        <w:spacing w:after="0" w:line="8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During each of the three and nine months ended June 30, 2024, Cabot released uncertain tax positons of nil and $1 million, respectvely, due to the expiraton of statutes of limitatons in various jurisdictons. During each of the three and nine months ended June 30, 2023, Cabot released uncertain tax positons of nil and $1 million, respectvely, due to the expiraton of statutes of limitatons in various jurisdictons.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57" w:right="29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auto"/>
        </w:rPr>
        <w:t>G. Earnings Per Share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tables summarize the components of the basic and diluted earnings (loss) per common share (“EPS”) computatons: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460" w:type="dxa"/>
            <w:vAlign w:val="bottom"/>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1020" w:type="dxa"/>
            <w:vAlign w:val="bottom"/>
            <w:gridSpan w:val="2"/>
          </w:tcPr>
          <w:p>
            <w:pPr>
              <w:jc w:val="right"/>
              <w:ind w:right="30"/>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36"/>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4"/>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(In millions, except</w:t>
            </w:r>
          </w:p>
        </w:tc>
        <w:tc>
          <w:tcPr>
            <w:tcW w:w="260" w:type="dxa"/>
            <w:vAlign w:val="bottom"/>
          </w:tcPr>
          <w:p>
            <w:pPr>
              <w:ind w:left="120"/>
              <w:spacing w:after="0"/>
              <w:rPr>
                <w:sz w:val="20"/>
                <w:szCs w:val="20"/>
                <w:color w:val="auto"/>
              </w:rPr>
            </w:pPr>
            <w:r>
              <w:rPr>
                <w:rFonts w:ascii="Calibri" w:cs="Calibri" w:eastAsia="Calibri" w:hAnsi="Calibri"/>
                <w:sz w:val="12"/>
                <w:szCs w:val="12"/>
                <w:b w:val="1"/>
                <w:bCs w:val="1"/>
                <w:color w:val="auto"/>
                <w:w w:val="71"/>
              </w:rPr>
              <w:t>per</w:t>
            </w:r>
          </w:p>
        </w:tc>
        <w:tc>
          <w:tcPr>
            <w:tcW w:w="9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share amounts)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Basic EPS:</w:t>
            </w:r>
          </w:p>
        </w:tc>
        <w:tc>
          <w:tcPr>
            <w:tcW w:w="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60" w:type="dxa"/>
            <w:vAlign w:val="bottom"/>
          </w:tcPr>
          <w:p>
            <w:pPr>
              <w:ind w:left="200"/>
              <w:spacing w:after="0" w:line="207" w:lineRule="exact"/>
              <w:rPr>
                <w:sz w:val="20"/>
                <w:szCs w:val="20"/>
                <w:color w:val="auto"/>
              </w:rPr>
            </w:pPr>
            <w:r>
              <w:rPr>
                <w:rFonts w:ascii="Calibri" w:cs="Calibri" w:eastAsia="Calibri" w:hAnsi="Calibri"/>
                <w:sz w:val="18"/>
                <w:szCs w:val="18"/>
                <w:color w:val="auto"/>
              </w:rPr>
              <w:t>Net income (loss) atributable to Cabot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tcPr>
          <w:p>
            <w:pPr>
              <w:ind w:left="320"/>
              <w:spacing w:after="0" w:line="215" w:lineRule="exact"/>
              <w:rPr>
                <w:sz w:val="20"/>
                <w:szCs w:val="20"/>
                <w:color w:val="auto"/>
              </w:rPr>
            </w:pPr>
            <w:r>
              <w:rPr>
                <w:rFonts w:ascii="Calibri" w:cs="Calibri" w:eastAsia="Calibri" w:hAnsi="Calibri"/>
                <w:sz w:val="18"/>
                <w:szCs w:val="18"/>
                <w:color w:val="auto"/>
              </w:rPr>
              <w:t>Corporaton</w:t>
            </w:r>
          </w:p>
        </w:tc>
        <w:tc>
          <w:tcPr>
            <w:tcW w:w="680" w:type="dxa"/>
            <w:vAlign w:val="bottom"/>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109</w:t>
            </w:r>
          </w:p>
        </w:tc>
        <w:tc>
          <w:tcPr>
            <w:tcW w:w="1020" w:type="dxa"/>
            <w:vAlign w:val="bottom"/>
            <w:gridSpan w:val="2"/>
          </w:tcPr>
          <w:p>
            <w:pPr>
              <w:jc w:val="right"/>
              <w:ind w:right="55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w w:val="98"/>
              </w:rPr>
              <w:t>82</w:t>
            </w:r>
          </w:p>
        </w:tc>
        <w:tc>
          <w:tcPr>
            <w:tcW w:w="4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243</w:t>
            </w:r>
          </w:p>
        </w:tc>
        <w:tc>
          <w:tcPr>
            <w:tcW w:w="28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Less: Dividends and dividend equivalents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6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to partcipatng securites</w:t>
            </w:r>
          </w:p>
        </w:tc>
        <w:tc>
          <w:tcPr>
            <w:tcW w:w="6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60" w:type="dxa"/>
            <w:vAlign w:val="bottom"/>
          </w:tcPr>
          <w:p>
            <w:pPr>
              <w:ind w:left="200"/>
              <w:spacing w:after="0" w:line="183" w:lineRule="exact"/>
              <w:rPr>
                <w:sz w:val="20"/>
                <w:szCs w:val="20"/>
                <w:color w:val="auto"/>
              </w:rPr>
            </w:pPr>
            <w:r>
              <w:rPr>
                <w:rFonts w:ascii="Calibri" w:cs="Calibri" w:eastAsia="Calibri" w:hAnsi="Calibri"/>
                <w:sz w:val="18"/>
                <w:szCs w:val="18"/>
                <w:color w:val="auto"/>
              </w:rPr>
              <w:t>Less: Undistributed earnings allocated to</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60" w:type="dxa"/>
            <w:vAlign w:val="bottom"/>
          </w:tcPr>
          <w:p>
            <w:pPr>
              <w:ind w:left="320"/>
              <w:spacing w:after="0" w:line="263"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(1)</w:t>
            </w:r>
          </w:p>
        </w:tc>
        <w:tc>
          <w:tcPr>
            <w:tcW w:w="6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w:t>
            </w: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460" w:type="dxa"/>
            <w:vAlign w:val="bottom"/>
            <w:shd w:val="clear" w:color="auto" w:fill="CFF0FC"/>
          </w:tcPr>
          <w:p>
            <w:pPr>
              <w:ind w:left="480"/>
              <w:spacing w:after="0" w:line="201" w:lineRule="exact"/>
              <w:rPr>
                <w:sz w:val="20"/>
                <w:szCs w:val="20"/>
                <w:color w:val="auto"/>
              </w:rPr>
            </w:pPr>
            <w:r>
              <w:rPr>
                <w:rFonts w:ascii="Calibri" w:cs="Calibri" w:eastAsia="Calibri" w:hAnsi="Calibri"/>
                <w:sz w:val="18"/>
                <w:szCs w:val="18"/>
                <w:color w:val="auto"/>
              </w:rPr>
              <w:t>Earnings (loss) allocated to common</w:t>
            </w:r>
          </w:p>
        </w:tc>
        <w:tc>
          <w:tcPr>
            <w:tcW w:w="680" w:type="dxa"/>
            <w:vAlign w:val="bottom"/>
            <w:vMerge w:val="restart"/>
            <w:shd w:val="clear" w:color="auto" w:fill="CFF0FC"/>
          </w:tcPr>
          <w:p>
            <w:pPr>
              <w:jc w:val="right"/>
              <w:ind w:right="499"/>
              <w:spacing w:after="0"/>
              <w:rPr>
                <w:sz w:val="20"/>
                <w:szCs w:val="20"/>
                <w:color w:val="auto"/>
              </w:rPr>
            </w:pPr>
            <w:r>
              <w:rPr>
                <w:rFonts w:ascii="Calibri" w:cs="Calibri" w:eastAsia="Calibri" w:hAnsi="Calibri"/>
                <w:sz w:val="18"/>
                <w:szCs w:val="18"/>
                <w:color w:val="auto"/>
                <w:w w:val="87"/>
              </w:rPr>
              <w:t>$</w:t>
            </w:r>
          </w:p>
        </w:tc>
        <w:tc>
          <w:tcPr>
            <w:tcW w:w="3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108</w:t>
            </w:r>
          </w:p>
        </w:tc>
        <w:tc>
          <w:tcPr>
            <w:tcW w:w="280" w:type="dxa"/>
            <w:vAlign w:val="bottom"/>
            <w:vMerge w:val="restart"/>
            <w:shd w:val="clear" w:color="auto" w:fill="CFF0FC"/>
          </w:tcPr>
          <w:p>
            <w:pPr>
              <w:spacing w:after="0"/>
              <w:rPr>
                <w:sz w:val="17"/>
                <w:szCs w:val="17"/>
                <w:color w:val="auto"/>
              </w:rPr>
            </w:pPr>
          </w:p>
        </w:tc>
        <w:tc>
          <w:tcPr>
            <w:tcW w:w="740" w:type="dxa"/>
            <w:vAlign w:val="bottom"/>
            <w:vMerge w:val="restart"/>
            <w:shd w:val="clear" w:color="auto" w:fill="CFF0FC"/>
          </w:tcPr>
          <w:p>
            <w:pPr>
              <w:jc w:val="right"/>
              <w:ind w:right="550"/>
              <w:spacing w:after="0"/>
              <w:rPr>
                <w:sz w:val="20"/>
                <w:szCs w:val="20"/>
                <w:color w:val="auto"/>
              </w:rPr>
            </w:pPr>
            <w:r>
              <w:rPr>
                <w:rFonts w:ascii="Calibri" w:cs="Calibri" w:eastAsia="Calibri" w:hAnsi="Calibri"/>
                <w:sz w:val="18"/>
                <w:szCs w:val="18"/>
                <w:color w:val="auto"/>
                <w:w w:val="87"/>
              </w:rPr>
              <w:t>$</w:t>
            </w:r>
          </w:p>
        </w:tc>
        <w:tc>
          <w:tcPr>
            <w:tcW w:w="2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98"/>
              </w:rPr>
              <w:t>81</w:t>
            </w:r>
          </w:p>
        </w:tc>
        <w:tc>
          <w:tcPr>
            <w:tcW w:w="260" w:type="dxa"/>
            <w:vAlign w:val="bottom"/>
            <w:vMerge w:val="restart"/>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7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240</w:t>
            </w:r>
          </w:p>
        </w:tc>
        <w:tc>
          <w:tcPr>
            <w:tcW w:w="280" w:type="dxa"/>
            <w:vAlign w:val="bottom"/>
            <w:shd w:val="clear" w:color="auto" w:fill="CFF0FC"/>
          </w:tcPr>
          <w:p>
            <w:pPr>
              <w:spacing w:after="0"/>
              <w:rPr>
                <w:sz w:val="17"/>
                <w:szCs w:val="17"/>
                <w:color w:val="auto"/>
              </w:rPr>
            </w:pPr>
          </w:p>
        </w:tc>
        <w:tc>
          <w:tcPr>
            <w:tcW w:w="220" w:type="dxa"/>
            <w:vAlign w:val="bottom"/>
            <w:vMerge w:val="restart"/>
            <w:shd w:val="clear" w:color="auto" w:fill="CFF0FC"/>
          </w:tcPr>
          <w:p>
            <w:pPr>
              <w:jc w:val="right"/>
              <w:ind w:right="30"/>
              <w:spacing w:after="0"/>
              <w:rPr>
                <w:sz w:val="20"/>
                <w:szCs w:val="20"/>
                <w:color w:val="auto"/>
              </w:rPr>
            </w:pPr>
            <w:r>
              <w:rPr>
                <w:rFonts w:ascii="Calibri" w:cs="Calibri" w:eastAsia="Calibri" w:hAnsi="Calibri"/>
                <w:sz w:val="18"/>
                <w:szCs w:val="18"/>
                <w:color w:val="auto"/>
                <w:w w:val="87"/>
              </w:rPr>
              <w:t>$</w:t>
            </w:r>
          </w:p>
        </w:tc>
        <w:tc>
          <w:tcPr>
            <w:tcW w:w="7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60" w:type="dxa"/>
            <w:vAlign w:val="bottom"/>
            <w:tcBorders>
              <w:bottom w:val="single" w:sz="8" w:color="CFF0FC"/>
            </w:tcBorders>
            <w:shd w:val="clear" w:color="auto" w:fill="CFF0FC"/>
          </w:tcPr>
          <w:p>
            <w:pPr>
              <w:ind w:left="600"/>
              <w:spacing w:after="0" w:line="211" w:lineRule="exact"/>
              <w:rPr>
                <w:sz w:val="20"/>
                <w:szCs w:val="20"/>
                <w:color w:val="auto"/>
              </w:rPr>
            </w:pPr>
            <w:r>
              <w:rPr>
                <w:rFonts w:ascii="Calibri" w:cs="Calibri" w:eastAsia="Calibri" w:hAnsi="Calibri"/>
                <w:sz w:val="18"/>
                <w:szCs w:val="18"/>
                <w:color w:val="auto"/>
              </w:rPr>
              <w:t>stockholders (numerator)</w:t>
            </w: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vMerge w:val="continue"/>
            <w:shd w:val="clear" w:color="auto" w:fill="CFF0FC"/>
          </w:tcPr>
          <w:p>
            <w:pPr>
              <w:spacing w:after="0"/>
              <w:rPr>
                <w:sz w:val="21"/>
                <w:szCs w:val="21"/>
                <w:color w:val="auto"/>
              </w:rPr>
            </w:pPr>
          </w:p>
        </w:tc>
        <w:tc>
          <w:tcPr>
            <w:tcW w:w="74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7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22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Weighted average common shares and</w:t>
      </w:r>
    </w:p>
    <w:p>
      <w:pPr>
        <w:ind w:left="320"/>
        <w:spacing w:after="0" w:line="235" w:lineRule="auto"/>
        <w:rPr>
          <w:sz w:val="20"/>
          <w:szCs w:val="20"/>
          <w:color w:val="auto"/>
        </w:rPr>
      </w:pPr>
      <w:r>
        <w:rPr>
          <w:rFonts w:ascii="Calibri" w:cs="Calibri" w:eastAsia="Calibri" w:hAnsi="Calibri"/>
          <w:sz w:val="18"/>
          <w:szCs w:val="18"/>
          <w:color w:val="auto"/>
        </w:rPr>
        <w:t>partcipatng securites outstanding</w:t>
      </w:r>
    </w:p>
    <w:p>
      <w:pPr>
        <w:spacing w:after="0" w:line="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Less: Partcipatng securites</w:t>
      </w:r>
      <w:r>
        <w:rPr>
          <w:rFonts w:ascii="Calibri" w:cs="Calibri" w:eastAsia="Calibri" w:hAnsi="Calibri"/>
          <w:sz w:val="24"/>
          <w:szCs w:val="24"/>
          <w:color w:val="auto"/>
          <w:vertAlign w:val="superscript"/>
        </w:rPr>
        <w:t>(1)</w:t>
      </w:r>
    </w:p>
    <w:p>
      <w:pPr>
        <w:ind w:left="480"/>
        <w:spacing w:after="0" w:line="234" w:lineRule="auto"/>
        <w:rPr>
          <w:sz w:val="20"/>
          <w:szCs w:val="20"/>
          <w:color w:val="auto"/>
        </w:rPr>
      </w:pPr>
      <w:r>
        <w:rPr>
          <w:rFonts w:ascii="Calibri" w:cs="Calibri" w:eastAsia="Calibri" w:hAnsi="Calibri"/>
          <w:sz w:val="17"/>
          <w:szCs w:val="17"/>
          <w:color w:val="auto"/>
        </w:rPr>
        <w:t>Adjusted weighted average common</w:t>
      </w:r>
    </w:p>
    <w:p>
      <w:pPr>
        <w:ind w:left="600"/>
        <w:spacing w:after="0" w:line="235" w:lineRule="auto"/>
        <w:rPr>
          <w:sz w:val="20"/>
          <w:szCs w:val="20"/>
          <w:color w:val="auto"/>
        </w:rPr>
      </w:pPr>
      <w:r>
        <w:rPr>
          <w:rFonts w:ascii="Calibri" w:cs="Calibri" w:eastAsia="Calibri" w:hAnsi="Calibri"/>
          <w:sz w:val="18"/>
          <w:szCs w:val="18"/>
          <w:color w:val="auto"/>
        </w:rPr>
        <w:t>shares (denominator)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jc w:val="right"/>
              <w:spacing w:after="0"/>
              <w:rPr>
                <w:sz w:val="20"/>
                <w:szCs w:val="20"/>
                <w:color w:val="auto"/>
              </w:rPr>
            </w:pPr>
            <w:r>
              <w:rPr>
                <w:rFonts w:ascii="Calibri" w:cs="Calibri" w:eastAsia="Calibri" w:hAnsi="Calibri"/>
                <w:sz w:val="18"/>
                <w:szCs w:val="18"/>
                <w:color w:val="auto"/>
              </w:rPr>
              <w:t>55.9</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57.3</w:t>
            </w:r>
          </w:p>
        </w:tc>
        <w:tc>
          <w:tcPr>
            <w:tcW w:w="1220" w:type="dxa"/>
            <w:vAlign w:val="bottom"/>
            <w:gridSpan w:val="2"/>
          </w:tcPr>
          <w:p>
            <w:pPr>
              <w:jc w:val="right"/>
              <w:spacing w:after="0"/>
              <w:rPr>
                <w:sz w:val="20"/>
                <w:szCs w:val="20"/>
                <w:color w:val="auto"/>
              </w:rPr>
            </w:pPr>
            <w:r>
              <w:rPr>
                <w:rFonts w:ascii="Calibri" w:cs="Calibri" w:eastAsia="Calibri" w:hAnsi="Calibri"/>
                <w:sz w:val="18"/>
                <w:szCs w:val="18"/>
                <w:color w:val="auto"/>
              </w:rPr>
              <w:t>56.2</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57.5</w:t>
            </w:r>
          </w:p>
        </w:tc>
      </w:tr>
      <w:tr>
        <w:trPr>
          <w:trHeight w:val="243"/>
        </w:trPr>
        <w:tc>
          <w:tcPr>
            <w:tcW w:w="980" w:type="dxa"/>
            <w:vAlign w:val="bottom"/>
          </w:tcPr>
          <w:p>
            <w:pPr>
              <w:jc w:val="right"/>
              <w:spacing w:after="0"/>
              <w:rPr>
                <w:sz w:val="20"/>
                <w:szCs w:val="20"/>
                <w:color w:val="auto"/>
              </w:rPr>
            </w:pPr>
            <w:r>
              <w:rPr>
                <w:rFonts w:ascii="Calibri" w:cs="Calibri" w:eastAsia="Calibri" w:hAnsi="Calibri"/>
                <w:sz w:val="18"/>
                <w:szCs w:val="18"/>
                <w:color w:val="auto"/>
              </w:rPr>
              <w:t>0.8</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1.2</w:t>
            </w:r>
          </w:p>
        </w:tc>
        <w:tc>
          <w:tcPr>
            <w:tcW w:w="1220" w:type="dxa"/>
            <w:vAlign w:val="bottom"/>
            <w:gridSpan w:val="2"/>
          </w:tcPr>
          <w:p>
            <w:pPr>
              <w:jc w:val="right"/>
              <w:spacing w:after="0"/>
              <w:rPr>
                <w:sz w:val="20"/>
                <w:szCs w:val="20"/>
                <w:color w:val="auto"/>
              </w:rPr>
            </w:pPr>
            <w:r>
              <w:rPr>
                <w:rFonts w:ascii="Calibri" w:cs="Calibri" w:eastAsia="Calibri" w:hAnsi="Calibri"/>
                <w:sz w:val="18"/>
                <w:szCs w:val="18"/>
                <w:color w:val="auto"/>
              </w:rPr>
              <w:t>0.9</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1.3</w:t>
            </w:r>
          </w:p>
        </w:tc>
      </w:tr>
      <w:tr>
        <w:trPr>
          <w:trHeight w:val="37"/>
        </w:trPr>
        <w:tc>
          <w:tcPr>
            <w:tcW w:w="9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75"/>
        </w:trPr>
        <w:tc>
          <w:tcPr>
            <w:tcW w:w="980" w:type="dxa"/>
            <w:vAlign w:val="bottom"/>
          </w:tcPr>
          <w:p>
            <w:pPr>
              <w:jc w:val="right"/>
              <w:spacing w:after="0"/>
              <w:rPr>
                <w:sz w:val="20"/>
                <w:szCs w:val="20"/>
                <w:color w:val="auto"/>
              </w:rPr>
            </w:pPr>
            <w:r>
              <w:rPr>
                <w:rFonts w:ascii="Calibri" w:cs="Calibri" w:eastAsia="Calibri" w:hAnsi="Calibri"/>
                <w:sz w:val="18"/>
                <w:szCs w:val="18"/>
                <w:color w:val="auto"/>
              </w:rPr>
              <w:t>55.1</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56.1</w:t>
            </w:r>
          </w:p>
        </w:tc>
        <w:tc>
          <w:tcPr>
            <w:tcW w:w="1220" w:type="dxa"/>
            <w:vAlign w:val="bottom"/>
            <w:gridSpan w:val="2"/>
          </w:tcPr>
          <w:p>
            <w:pPr>
              <w:jc w:val="right"/>
              <w:spacing w:after="0"/>
              <w:rPr>
                <w:sz w:val="20"/>
                <w:szCs w:val="20"/>
                <w:color w:val="auto"/>
              </w:rPr>
            </w:pPr>
            <w:r>
              <w:rPr>
                <w:rFonts w:ascii="Calibri" w:cs="Calibri" w:eastAsia="Calibri" w:hAnsi="Calibri"/>
                <w:sz w:val="18"/>
                <w:szCs w:val="18"/>
                <w:color w:val="auto"/>
              </w:rPr>
              <w:t>55.3</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56.2</w:t>
            </w:r>
          </w:p>
        </w:tc>
      </w:tr>
      <w:tr>
        <w:trPr>
          <w:trHeight w:val="37"/>
        </w:trPr>
        <w:tc>
          <w:tcPr>
            <w:tcW w:w="9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-744855</wp:posOffset>
            </wp:positionV>
            <wp:extent cx="7132320"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-290830</wp:posOffset>
            </wp:positionV>
            <wp:extent cx="7132320" cy="291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1057"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shd w:val="clear" w:color="auto" w:fill="CFF0FC"/>
          </w:tcPr>
          <w:p>
            <w:pPr>
              <w:ind w:left="200"/>
              <w:spacing w:after="0"/>
              <w:rPr>
                <w:sz w:val="20"/>
                <w:szCs w:val="20"/>
                <w:color w:val="auto"/>
              </w:rPr>
            </w:pPr>
            <w:r>
              <w:rPr>
                <w:rFonts w:ascii="Calibri" w:cs="Calibri" w:eastAsia="Calibri" w:hAnsi="Calibri"/>
                <w:sz w:val="18"/>
                <w:szCs w:val="18"/>
                <w:color w:val="auto"/>
              </w:rPr>
              <w:t>Earnings (loss) per common share - basic:</w:t>
            </w:r>
          </w:p>
        </w:tc>
        <w:tc>
          <w:tcPr>
            <w:tcW w:w="380" w:type="dxa"/>
            <w:vAlign w:val="bottom"/>
            <w:shd w:val="clear" w:color="auto" w:fill="CFF0FC"/>
          </w:tcPr>
          <w:p>
            <w:pPr>
              <w:jc w:val="right"/>
              <w:ind w:right="190"/>
              <w:spacing w:after="0"/>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1.96</w:t>
            </w:r>
          </w:p>
        </w:tc>
        <w:tc>
          <w:tcPr>
            <w:tcW w:w="64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1.44</w:t>
            </w:r>
          </w:p>
        </w:tc>
        <w:tc>
          <w:tcPr>
            <w:tcW w:w="640" w:type="dxa"/>
            <w:vAlign w:val="bottom"/>
            <w:gridSpan w:val="2"/>
            <w:shd w:val="clear" w:color="auto" w:fill="CFF0FC"/>
          </w:tcPr>
          <w:p>
            <w:pPr>
              <w:jc w:val="right"/>
              <w:ind w:right="280"/>
              <w:spacing w:after="0"/>
              <w:rPr>
                <w:sz w:val="20"/>
                <w:szCs w:val="20"/>
                <w:color w:val="auto"/>
              </w:rPr>
            </w:pPr>
            <w:r>
              <w:rPr>
                <w:rFonts w:ascii="Calibri" w:cs="Calibri" w:eastAsia="Calibri" w:hAnsi="Calibri"/>
                <w:sz w:val="18"/>
                <w:szCs w:val="18"/>
                <w:color w:val="auto"/>
              </w:rPr>
              <w:t>$</w:t>
            </w:r>
          </w:p>
        </w:tc>
        <w:tc>
          <w:tcPr>
            <w:tcW w:w="5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4.34</w:t>
            </w:r>
          </w:p>
        </w:tc>
        <w:tc>
          <w:tcPr>
            <w:tcW w:w="64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Diluted EPS:</w:t>
            </w:r>
          </w:p>
        </w:tc>
        <w:tc>
          <w:tcPr>
            <w:tcW w:w="3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60" w:type="dxa"/>
            <w:vAlign w:val="bottom"/>
          </w:tcPr>
          <w:p>
            <w:pPr>
              <w:ind w:left="200"/>
              <w:spacing w:after="0" w:line="207" w:lineRule="exact"/>
              <w:rPr>
                <w:sz w:val="20"/>
                <w:szCs w:val="20"/>
                <w:color w:val="auto"/>
              </w:rPr>
            </w:pPr>
            <w:r>
              <w:rPr>
                <w:rFonts w:ascii="Calibri" w:cs="Calibri" w:eastAsia="Calibri" w:hAnsi="Calibri"/>
                <w:sz w:val="18"/>
                <w:szCs w:val="18"/>
                <w:color w:val="auto"/>
              </w:rPr>
              <w:t>Earnings (loss) allocated to common</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tcPr>
          <w:p>
            <w:pPr>
              <w:ind w:left="320"/>
              <w:spacing w:after="0" w:line="215" w:lineRule="exact"/>
              <w:rPr>
                <w:sz w:val="20"/>
                <w:szCs w:val="20"/>
                <w:color w:val="auto"/>
              </w:rPr>
            </w:pPr>
            <w:r>
              <w:rPr>
                <w:rFonts w:ascii="Calibri" w:cs="Calibri" w:eastAsia="Calibri" w:hAnsi="Calibri"/>
                <w:sz w:val="18"/>
                <w:szCs w:val="18"/>
                <w:color w:val="auto"/>
              </w:rPr>
              <w:t>stockholders</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108</w:t>
            </w:r>
          </w:p>
        </w:tc>
        <w:tc>
          <w:tcPr>
            <w:tcW w:w="6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81</w:t>
            </w:r>
          </w:p>
        </w:tc>
        <w:tc>
          <w:tcPr>
            <w:tcW w:w="64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240</w:t>
            </w:r>
          </w:p>
        </w:tc>
        <w:tc>
          <w:tcPr>
            <w:tcW w:w="6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Plus: Earnings allocated to</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6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partcipatng securites</w:t>
            </w:r>
          </w:p>
        </w:tc>
        <w:tc>
          <w:tcPr>
            <w:tcW w:w="3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60" w:type="dxa"/>
            <w:vAlign w:val="bottom"/>
          </w:tcPr>
          <w:p>
            <w:pPr>
              <w:ind w:left="200"/>
              <w:spacing w:after="0" w:line="183" w:lineRule="exact"/>
              <w:rPr>
                <w:sz w:val="20"/>
                <w:szCs w:val="20"/>
                <w:color w:val="auto"/>
              </w:rPr>
            </w:pPr>
            <w:r>
              <w:rPr>
                <w:rFonts w:ascii="Calibri" w:cs="Calibri" w:eastAsia="Calibri" w:hAnsi="Calibri"/>
                <w:sz w:val="18"/>
                <w:szCs w:val="18"/>
                <w:color w:val="auto"/>
              </w:rPr>
              <w:t>Less: Adjusted earnings allocated to</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60" w:type="dxa"/>
            <w:vAlign w:val="bottom"/>
          </w:tcPr>
          <w:p>
            <w:pPr>
              <w:ind w:left="320"/>
              <w:spacing w:after="0" w:line="263"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(2)</w:t>
            </w: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w:t>
            </w: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460" w:type="dxa"/>
            <w:vAlign w:val="bottom"/>
            <w:shd w:val="clear" w:color="auto" w:fill="CFF0FC"/>
          </w:tcPr>
          <w:p>
            <w:pPr>
              <w:ind w:left="480"/>
              <w:spacing w:after="0" w:line="201" w:lineRule="exact"/>
              <w:rPr>
                <w:sz w:val="20"/>
                <w:szCs w:val="20"/>
                <w:color w:val="auto"/>
              </w:rPr>
            </w:pPr>
            <w:r>
              <w:rPr>
                <w:rFonts w:ascii="Calibri" w:cs="Calibri" w:eastAsia="Calibri" w:hAnsi="Calibri"/>
                <w:sz w:val="18"/>
                <w:szCs w:val="18"/>
                <w:color w:val="auto"/>
              </w:rPr>
              <w:t>Earnings (loss) allocated to common</w:t>
            </w:r>
          </w:p>
        </w:tc>
        <w:tc>
          <w:tcPr>
            <w:tcW w:w="380" w:type="dxa"/>
            <w:vAlign w:val="bottom"/>
            <w:vMerge w:val="restart"/>
            <w:shd w:val="clear" w:color="auto" w:fill="CFF0FC"/>
          </w:tcPr>
          <w:p>
            <w:pPr>
              <w:jc w:val="right"/>
              <w:ind w:right="190"/>
              <w:spacing w:after="0"/>
              <w:rPr>
                <w:sz w:val="20"/>
                <w:szCs w:val="20"/>
                <w:color w:val="auto"/>
              </w:rPr>
            </w:pPr>
            <w:r>
              <w:rPr>
                <w:rFonts w:ascii="Calibri" w:cs="Calibri" w:eastAsia="Calibri" w:hAnsi="Calibri"/>
                <w:sz w:val="18"/>
                <w:szCs w:val="18"/>
                <w:color w:val="auto"/>
                <w:w w:val="87"/>
              </w:rPr>
              <w:t>$</w:t>
            </w: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108</w:t>
            </w:r>
          </w:p>
        </w:tc>
        <w:tc>
          <w:tcPr>
            <w:tcW w:w="640" w:type="dxa"/>
            <w:vAlign w:val="bottom"/>
            <w:gridSpan w:val="2"/>
            <w:vMerge w:val="restart"/>
            <w:shd w:val="clear" w:color="auto" w:fill="CFF0FC"/>
          </w:tcPr>
          <w:p>
            <w:pPr>
              <w:jc w:val="right"/>
              <w:ind w:right="260"/>
              <w:spacing w:after="0"/>
              <w:rPr>
                <w:sz w:val="20"/>
                <w:szCs w:val="20"/>
                <w:color w:val="auto"/>
              </w:rPr>
            </w:pPr>
            <w:r>
              <w:rPr>
                <w:rFonts w:ascii="Calibri" w:cs="Calibri" w:eastAsia="Calibri" w:hAnsi="Calibri"/>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81</w:t>
            </w:r>
          </w:p>
        </w:tc>
        <w:tc>
          <w:tcPr>
            <w:tcW w:w="640" w:type="dxa"/>
            <w:vAlign w:val="bottom"/>
            <w:gridSpan w:val="2"/>
            <w:vMerge w:val="restart"/>
            <w:shd w:val="clear" w:color="auto" w:fill="CFF0FC"/>
          </w:tcPr>
          <w:p>
            <w:pPr>
              <w:jc w:val="right"/>
              <w:ind w:right="280"/>
              <w:spacing w:after="0"/>
              <w:rPr>
                <w:sz w:val="20"/>
                <w:szCs w:val="20"/>
                <w:color w:val="auto"/>
              </w:rPr>
            </w:pPr>
            <w:r>
              <w:rPr>
                <w:rFonts w:ascii="Calibri" w:cs="Calibri" w:eastAsia="Calibri" w:hAnsi="Calibri"/>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240</w:t>
            </w:r>
          </w:p>
        </w:tc>
        <w:tc>
          <w:tcPr>
            <w:tcW w:w="640" w:type="dxa"/>
            <w:vAlign w:val="bottom"/>
            <w:gridSpan w:val="2"/>
            <w:vMerge w:val="restart"/>
            <w:shd w:val="clear" w:color="auto" w:fill="CFF0FC"/>
          </w:tcPr>
          <w:p>
            <w:pPr>
              <w:jc w:val="right"/>
              <w:ind w:right="260"/>
              <w:spacing w:after="0"/>
              <w:rPr>
                <w:sz w:val="20"/>
                <w:szCs w:val="20"/>
                <w:color w:val="auto"/>
              </w:rPr>
            </w:pPr>
            <w:r>
              <w:rPr>
                <w:rFonts w:ascii="Calibri" w:cs="Calibri" w:eastAsia="Calibri" w:hAnsi="Calibri"/>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60" w:type="dxa"/>
            <w:vAlign w:val="bottom"/>
            <w:shd w:val="clear" w:color="auto" w:fill="CFF0FC"/>
          </w:tcPr>
          <w:p>
            <w:pPr>
              <w:ind w:left="600"/>
              <w:spacing w:after="0" w:line="211" w:lineRule="exact"/>
              <w:rPr>
                <w:sz w:val="20"/>
                <w:szCs w:val="20"/>
                <w:color w:val="auto"/>
              </w:rPr>
            </w:pPr>
            <w:r>
              <w:rPr>
                <w:rFonts w:ascii="Calibri" w:cs="Calibri" w:eastAsia="Calibri" w:hAnsi="Calibri"/>
                <w:sz w:val="18"/>
                <w:szCs w:val="18"/>
                <w:color w:val="auto"/>
              </w:rPr>
              <w:t>stockholders (numerator)</w:t>
            </w:r>
          </w:p>
        </w:tc>
        <w:tc>
          <w:tcPr>
            <w:tcW w:w="38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64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640" w:type="dxa"/>
            <w:vAlign w:val="bottom"/>
            <w:gridSpan w:val="2"/>
            <w:vMerge w:val="continue"/>
            <w:shd w:val="clear" w:color="auto" w:fill="CFF0FC"/>
          </w:tcPr>
          <w:p>
            <w:pPr>
              <w:spacing w:after="0"/>
              <w:rPr>
                <w:sz w:val="21"/>
                <w:szCs w:val="21"/>
                <w:color w:val="auto"/>
              </w:rPr>
            </w:pPr>
          </w:p>
        </w:tc>
        <w:tc>
          <w:tcPr>
            <w:tcW w:w="580" w:type="dxa"/>
            <w:vAlign w:val="bottom"/>
            <w:vMerge w:val="continue"/>
            <w:shd w:val="clear" w:color="auto" w:fill="CFF0FC"/>
          </w:tcPr>
          <w:p>
            <w:pPr>
              <w:spacing w:after="0"/>
              <w:rPr>
                <w:sz w:val="21"/>
                <w:szCs w:val="21"/>
                <w:color w:val="auto"/>
              </w:rPr>
            </w:pPr>
          </w:p>
        </w:tc>
        <w:tc>
          <w:tcPr>
            <w:tcW w:w="64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6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Adjusted weighted average common</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6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shares outstanding</w:t>
            </w:r>
          </w:p>
        </w:tc>
        <w:tc>
          <w:tcPr>
            <w:tcW w:w="3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56.1</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60" w:type="dxa"/>
            <w:vAlign w:val="bottom"/>
          </w:tcPr>
          <w:p>
            <w:pPr>
              <w:ind w:left="200"/>
              <w:spacing w:after="0" w:line="215" w:lineRule="exact"/>
              <w:rPr>
                <w:sz w:val="20"/>
                <w:szCs w:val="20"/>
                <w:color w:val="auto"/>
              </w:rPr>
            </w:pPr>
            <w:r>
              <w:rPr>
                <w:rFonts w:ascii="Calibri" w:cs="Calibri" w:eastAsia="Calibri" w:hAnsi="Calibri"/>
                <w:sz w:val="18"/>
                <w:szCs w:val="18"/>
                <w:color w:val="auto"/>
              </w:rPr>
              <w:t>Efect of dilutve securites: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60" w:type="dxa"/>
            <w:vAlign w:val="bottom"/>
            <w:tcBorders>
              <w:bottom w:val="single" w:sz="8" w:color="CFF0FC"/>
            </w:tcBorders>
            <w:shd w:val="clear" w:color="auto" w:fill="CFF0FC"/>
          </w:tcPr>
          <w:p>
            <w:pPr>
              <w:ind w:left="380"/>
              <w:spacing w:after="0" w:line="243" w:lineRule="exact"/>
              <w:rPr>
                <w:sz w:val="20"/>
                <w:szCs w:val="20"/>
                <w:color w:val="auto"/>
              </w:rPr>
            </w:pPr>
            <w:r>
              <w:rPr>
                <w:rFonts w:ascii="Calibri" w:cs="Calibri" w:eastAsia="Calibri" w:hAnsi="Calibri"/>
                <w:sz w:val="18"/>
                <w:szCs w:val="18"/>
                <w:color w:val="auto"/>
              </w:rPr>
              <w:t>Common shares issuable</w:t>
            </w:r>
            <w:r>
              <w:rPr>
                <w:rFonts w:ascii="Calibri" w:cs="Calibri" w:eastAsia="Calibri" w:hAnsi="Calibri"/>
                <w:sz w:val="24"/>
                <w:szCs w:val="24"/>
                <w:color w:val="auto"/>
                <w:vertAlign w:val="superscript"/>
              </w:rPr>
              <w:t>(3)</w:t>
            </w:r>
          </w:p>
        </w:tc>
        <w:tc>
          <w:tcPr>
            <w:tcW w:w="3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460" w:type="dxa"/>
            <w:vAlign w:val="bottom"/>
          </w:tcPr>
          <w:p>
            <w:pPr>
              <w:ind w:left="480"/>
              <w:spacing w:after="0" w:line="201" w:lineRule="exact"/>
              <w:rPr>
                <w:sz w:val="20"/>
                <w:szCs w:val="20"/>
                <w:color w:val="auto"/>
              </w:rPr>
            </w:pPr>
            <w:r>
              <w:rPr>
                <w:rFonts w:ascii="Calibri" w:cs="Calibri" w:eastAsia="Calibri" w:hAnsi="Calibri"/>
                <w:sz w:val="18"/>
                <w:szCs w:val="18"/>
                <w:color w:val="auto"/>
              </w:rPr>
              <w:t>Adjusted weighted average common</w:t>
            </w:r>
          </w:p>
        </w:tc>
        <w:tc>
          <w:tcPr>
            <w:tcW w:w="3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8"/>
                <w:szCs w:val="18"/>
                <w:color w:val="auto"/>
              </w:rPr>
              <w:t>55.7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8"/>
                <w:szCs w:val="18"/>
                <w:color w:val="auto"/>
              </w:rPr>
              <w:t>56.5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alibri" w:cs="Calibri" w:eastAsia="Calibri" w:hAnsi="Calibri"/>
                <w:sz w:val="18"/>
                <w:szCs w:val="18"/>
                <w:color w:val="auto"/>
              </w:rPr>
              <w:t>55.8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8"/>
                <w:szCs w:val="18"/>
                <w:color w:val="auto"/>
              </w:rPr>
              <w:t>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600"/>
              <w:spacing w:after="0" w:line="211" w:lineRule="exact"/>
              <w:rPr>
                <w:sz w:val="20"/>
                <w:szCs w:val="20"/>
                <w:color w:val="auto"/>
              </w:rPr>
            </w:pPr>
            <w:r>
              <w:rPr>
                <w:rFonts w:ascii="Calibri" w:cs="Calibri" w:eastAsia="Calibri" w:hAnsi="Calibri"/>
                <w:sz w:val="18"/>
                <w:szCs w:val="18"/>
                <w:color w:val="auto"/>
              </w:rPr>
              <w:t>shares (denominator)</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60" w:type="dxa"/>
            <w:vAlign w:val="bottom"/>
          </w:tcPr>
          <w:p>
            <w:pPr>
              <w:ind w:left="200"/>
              <w:spacing w:after="0" w:line="215" w:lineRule="exact"/>
              <w:rPr>
                <w:sz w:val="20"/>
                <w:szCs w:val="20"/>
                <w:color w:val="auto"/>
              </w:rPr>
            </w:pPr>
            <w:r>
              <w:rPr>
                <w:rFonts w:ascii="Calibri" w:cs="Calibri" w:eastAsia="Calibri" w:hAnsi="Calibri"/>
                <w:sz w:val="18"/>
                <w:szCs w:val="18"/>
                <w:color w:val="auto"/>
              </w:rPr>
              <w:t>Earnings (loss) per common share - diluted:</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1.94</w:t>
            </w:r>
          </w:p>
        </w:tc>
        <w:tc>
          <w:tcPr>
            <w:tcW w:w="6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64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4.30</w:t>
            </w:r>
          </w:p>
        </w:tc>
        <w:tc>
          <w:tcPr>
            <w:tcW w:w="6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-1370330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-1353185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-1370330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-1353185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-1370330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-1353185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-1370330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-1353185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-589915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-589915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-589915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4" w:lineRule="exact"/>
        <w:rPr>
          <w:sz w:val="20"/>
          <w:szCs w:val="20"/>
          <w:color w:val="auto"/>
        </w:rPr>
      </w:pPr>
    </w:p>
    <w:p>
      <w:pPr>
        <w:ind w:left="520" w:right="100" w:hanging="512"/>
        <w:spacing w:after="0" w:line="225" w:lineRule="auto"/>
        <w:tabs>
          <w:tab w:leader="none" w:pos="52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5" w:name="page16"/>
    <w:bookmarkEnd w:id="15"/>
    <w:p>
      <w:pPr>
        <w:ind w:left="520" w:right="20"/>
        <w:spacing w:after="0" w:line="235" w:lineRule="auto"/>
        <w:rPr>
          <w:sz w:val="20"/>
          <w:szCs w:val="20"/>
          <w:color w:val="auto"/>
        </w:rPr>
      </w:pPr>
      <w:r>
        <w:rPr>
          <w:rFonts w:ascii="Calibri" w:cs="Calibri" w:eastAsia="Calibri" w:hAnsi="Calibri"/>
          <w:sz w:val="18"/>
          <w:szCs w:val="18"/>
          <w:color w:val="auto"/>
        </w:rPr>
        <w:t>Undistributed earnings are the earnings which remain afer dividends declared during the period are assumed to be distributed to the common and partcipatng stockholders. Undistributed earnings are allocated to common and partcipatng stockholders on the same basis as dividend distributons. The calculaton of undistributed earnings is as follows:</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60" w:type="dxa"/>
            <w:vAlign w:val="bottom"/>
            <w:gridSpan w:val="5"/>
          </w:tcPr>
          <w:p>
            <w:pPr>
              <w:jc w:val="right"/>
              <w:ind w:right="174"/>
              <w:spacing w:after="0"/>
              <w:rPr>
                <w:sz w:val="20"/>
                <w:szCs w:val="20"/>
                <w:color w:val="auto"/>
              </w:rPr>
            </w:pPr>
            <w:r>
              <w:rPr>
                <w:rFonts w:ascii="Calibri" w:cs="Calibri" w:eastAsia="Calibri" w:hAnsi="Calibri"/>
                <w:sz w:val="14"/>
                <w:szCs w:val="14"/>
                <w:b w:val="1"/>
                <w:bCs w:val="1"/>
                <w:color w:val="auto"/>
              </w:rPr>
              <w:t>Three Months Ended June 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Calibri" w:cs="Calibri" w:eastAsia="Calibri" w:hAnsi="Calibri"/>
                <w:sz w:val="14"/>
                <w:szCs w:val="14"/>
                <w:b w:val="1"/>
                <w:bCs w:val="1"/>
                <w:color w:val="auto"/>
              </w:rPr>
              <w:t>Nine Months Ended June 30</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7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4"/>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54"/>
              <w:spacing w:after="0" w:line="164" w:lineRule="exact"/>
              <w:rPr>
                <w:sz w:val="20"/>
                <w:szCs w:val="20"/>
                <w:color w:val="auto"/>
              </w:rPr>
            </w:pPr>
            <w:r>
              <w:rPr>
                <w:rFonts w:ascii="Calibri" w:cs="Calibri" w:eastAsia="Calibri" w:hAnsi="Calibri"/>
                <w:sz w:val="14"/>
                <w:szCs w:val="14"/>
                <w:b w:val="1"/>
                <w:bCs w:val="1"/>
                <w:color w:val="auto"/>
              </w:rPr>
              <w:t>(In</w:t>
            </w:r>
          </w:p>
        </w:tc>
        <w:tc>
          <w:tcPr>
            <w:tcW w:w="42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Calculaton of undistributed earnings (loss):</w:t>
            </w: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700" w:type="dxa"/>
            <w:vAlign w:val="bottom"/>
          </w:tcPr>
          <w:p>
            <w:pPr>
              <w:jc w:val="right"/>
              <w:ind w:right="516"/>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109</w:t>
            </w:r>
          </w:p>
        </w:tc>
        <w:tc>
          <w:tcPr>
            <w:tcW w:w="46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c>
          <w:tcPr>
            <w:tcW w:w="4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243</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Less: Dividends declared on common stock</w:t>
            </w: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20" w:type="dxa"/>
            <w:vAlign w:val="bottom"/>
          </w:tcPr>
          <w:p>
            <w:pPr>
              <w:ind w:left="180"/>
              <w:spacing w:after="0" w:line="207" w:lineRule="exact"/>
              <w:rPr>
                <w:sz w:val="20"/>
                <w:szCs w:val="20"/>
                <w:color w:val="auto"/>
              </w:rPr>
            </w:pPr>
            <w:r>
              <w:rPr>
                <w:rFonts w:ascii="Calibri" w:cs="Calibri" w:eastAsia="Calibri" w:hAnsi="Calibri"/>
                <w:sz w:val="18"/>
                <w:szCs w:val="18"/>
                <w:color w:val="auto"/>
              </w:rPr>
              <w:t>Less: Dividends declared on partcipatng</w:t>
            </w:r>
          </w:p>
        </w:tc>
        <w:tc>
          <w:tcPr>
            <w:tcW w:w="70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7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FF0FC"/>
          </w:tcPr>
          <w:p>
            <w:pPr>
              <w:ind w:left="360"/>
              <w:spacing w:after="0"/>
              <w:rPr>
                <w:sz w:val="20"/>
                <w:szCs w:val="20"/>
                <w:color w:val="auto"/>
              </w:rPr>
            </w:pPr>
            <w:r>
              <w:rPr>
                <w:rFonts w:ascii="Calibri" w:cs="Calibri" w:eastAsia="Calibri" w:hAnsi="Calibri"/>
                <w:sz w:val="18"/>
                <w:szCs w:val="18"/>
                <w:color w:val="auto"/>
              </w:rPr>
              <w:t>Undistributed earnings (loss)</w:t>
            </w:r>
          </w:p>
        </w:tc>
        <w:tc>
          <w:tcPr>
            <w:tcW w:w="700" w:type="dxa"/>
            <w:vAlign w:val="bottom"/>
            <w:shd w:val="clear" w:color="auto" w:fill="CFF0FC"/>
          </w:tcPr>
          <w:p>
            <w:pPr>
              <w:jc w:val="right"/>
              <w:ind w:right="516"/>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460" w:type="dxa"/>
            <w:vAlign w:val="bottom"/>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420" w:type="dxa"/>
            <w:vAlign w:val="bottom"/>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174</w:t>
            </w:r>
          </w:p>
        </w:tc>
        <w:tc>
          <w:tcPr>
            <w:tcW w:w="4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20" w:type="dxa"/>
            <w:vAlign w:val="bottom"/>
            <w:tcBorders>
              <w:top w:val="single" w:sz="8" w:color="CFF0F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Allocaton of undistributed earnings (loss):</w:t>
            </w: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20" w:type="dxa"/>
            <w:vAlign w:val="bottom"/>
          </w:tcPr>
          <w:p>
            <w:pPr>
              <w:ind w:left="180"/>
              <w:spacing w:after="0" w:line="207" w:lineRule="exact"/>
              <w:rPr>
                <w:sz w:val="20"/>
                <w:szCs w:val="20"/>
                <w:color w:val="auto"/>
              </w:rPr>
            </w:pPr>
            <w:r>
              <w:rPr>
                <w:rFonts w:ascii="Calibri" w:cs="Calibri" w:eastAsia="Calibri" w:hAnsi="Calibri"/>
                <w:sz w:val="18"/>
                <w:szCs w:val="18"/>
                <w:color w:val="auto"/>
              </w:rPr>
              <w:t>Undistributed earnings (loss) allocated to</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300"/>
              <w:spacing w:after="0" w:line="215" w:lineRule="exact"/>
              <w:rPr>
                <w:sz w:val="20"/>
                <w:szCs w:val="20"/>
                <w:color w:val="auto"/>
              </w:rPr>
            </w:pPr>
            <w:r>
              <w:rPr>
                <w:rFonts w:ascii="Calibri" w:cs="Calibri" w:eastAsia="Calibri" w:hAnsi="Calibri"/>
                <w:sz w:val="18"/>
                <w:szCs w:val="18"/>
                <w:color w:val="auto"/>
              </w:rPr>
              <w:t>common stockholders</w:t>
            </w:r>
          </w:p>
        </w:tc>
        <w:tc>
          <w:tcPr>
            <w:tcW w:w="700" w:type="dxa"/>
            <w:vAlign w:val="bottom"/>
          </w:tcPr>
          <w:p>
            <w:pPr>
              <w:jc w:val="right"/>
              <w:ind w:right="516"/>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46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58</w:t>
            </w:r>
          </w:p>
        </w:tc>
        <w:tc>
          <w:tcPr>
            <w:tcW w:w="4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171</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Undistributed earnings allocated to</w:t>
            </w:r>
          </w:p>
        </w:tc>
        <w:tc>
          <w:tcPr>
            <w:tcW w:w="70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partcipatng stockholders</w:t>
            </w:r>
          </w:p>
        </w:tc>
        <w:tc>
          <w:tcPr>
            <w:tcW w:w="7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Pr>
          <w:p>
            <w:pPr>
              <w:ind w:left="360"/>
              <w:spacing w:after="0"/>
              <w:rPr>
                <w:sz w:val="20"/>
                <w:szCs w:val="20"/>
                <w:color w:val="auto"/>
              </w:rPr>
            </w:pPr>
            <w:r>
              <w:rPr>
                <w:rFonts w:ascii="Calibri" w:cs="Calibri" w:eastAsia="Calibri" w:hAnsi="Calibri"/>
                <w:sz w:val="18"/>
                <w:szCs w:val="18"/>
                <w:color w:val="auto"/>
              </w:rPr>
              <w:t>Undistributed earnings (loss)</w:t>
            </w:r>
          </w:p>
        </w:tc>
        <w:tc>
          <w:tcPr>
            <w:tcW w:w="700" w:type="dxa"/>
            <w:vAlign w:val="bottom"/>
          </w:tcPr>
          <w:p>
            <w:pPr>
              <w:jc w:val="right"/>
              <w:ind w:right="516"/>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85</w:t>
            </w:r>
          </w:p>
        </w:tc>
        <w:tc>
          <w:tcPr>
            <w:tcW w:w="220" w:type="dxa"/>
            <w:vAlign w:val="bottom"/>
          </w:tcPr>
          <w:p>
            <w:pPr>
              <w:spacing w:after="0"/>
              <w:rPr>
                <w:sz w:val="20"/>
                <w:szCs w:val="20"/>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59</w:t>
            </w:r>
          </w:p>
        </w:tc>
        <w:tc>
          <w:tcPr>
            <w:tcW w:w="200" w:type="dxa"/>
            <w:vAlign w:val="bottom"/>
          </w:tcPr>
          <w:p>
            <w:pPr>
              <w:spacing w:after="0"/>
              <w:rPr>
                <w:sz w:val="20"/>
                <w:szCs w:val="20"/>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174</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-1096645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-1079500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-1096645</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-1079500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-1096645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-1079500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-1096645</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-1079500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-187960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-187960</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93" w:lineRule="exact"/>
        <w:rPr>
          <w:sz w:val="20"/>
          <w:szCs w:val="20"/>
          <w:color w:val="auto"/>
        </w:rPr>
      </w:pPr>
    </w:p>
    <w:p>
      <w:pPr>
        <w:ind w:left="520" w:right="340" w:hanging="512"/>
        <w:spacing w:after="0" w:line="201" w:lineRule="auto"/>
        <w:tabs>
          <w:tab w:leader="none" w:pos="520" w:val="left"/>
        </w:tabs>
        <w:numPr>
          <w:ilvl w:val="0"/>
          <w:numId w:val="4"/>
        </w:numPr>
        <w:rPr>
          <w:rFonts w:ascii="Calibri" w:cs="Calibri" w:eastAsia="Calibri" w:hAnsi="Calibri"/>
          <w:sz w:val="24"/>
          <w:szCs w:val="24"/>
          <w:color w:val="auto"/>
          <w:vertAlign w:val="superscript"/>
        </w:rPr>
      </w:pPr>
      <w:r>
        <w:rPr>
          <w:rFonts w:ascii="Calibri" w:cs="Calibri" w:eastAsia="Calibri" w:hAnsi="Calibri"/>
          <w:sz w:val="18"/>
          <w:szCs w:val="18"/>
          <w:color w:val="auto"/>
        </w:rPr>
        <w:t>Undistributed earnings are adjusted for the assumed distributon of dividends to the dilutve securites, which are described in (3) below, and then reallocated to partcipatng securites.</w:t>
      </w:r>
    </w:p>
    <w:p>
      <w:pPr>
        <w:spacing w:after="0" w:line="43" w:lineRule="exact"/>
        <w:rPr>
          <w:rFonts w:ascii="Calibri" w:cs="Calibri" w:eastAsia="Calibri" w:hAnsi="Calibri"/>
          <w:sz w:val="24"/>
          <w:szCs w:val="24"/>
          <w:color w:val="auto"/>
          <w:vertAlign w:val="superscript"/>
        </w:rPr>
      </w:pPr>
    </w:p>
    <w:p>
      <w:pPr>
        <w:ind w:left="520" w:right="20" w:hanging="512"/>
        <w:spacing w:after="0" w:line="220" w:lineRule="auto"/>
        <w:tabs>
          <w:tab w:leader="none" w:pos="520" w:val="left"/>
        </w:tabs>
        <w:numPr>
          <w:ilvl w:val="0"/>
          <w:numId w:val="4"/>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incremental shares of common stock from the assumed exercise of stock optons issued under Cabot’s equity incentve plans. For the three and nine months ended June 30, 2024, nil and 209,478 incremental shares of common stock, respectvely, were excluded from the calculaton of diluted earnings per share because the inclusion of these shares would have been antdilutve. For the three and nine months ended June 30, 2023, 156,550 and 133,039 incremental shares of common stock, respectvely, were excluded from the calculaton of diluted earnings per share because the inclusion of these shares would have been antdilutve.</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 Restructuring</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2024 Reorganizatons</w:t>
      </w:r>
    </w:p>
    <w:p>
      <w:pPr>
        <w:spacing w:after="0" w:line="6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During the frst quarter of fscal 2024, the Company initated restructuring actvites in both its Reinforcement Materials segment (“RM Plan”) and its Performance Chemicals segment (“PC Plan”). Under the RM Plan, the Company closed its reinforcing carbons unit at the facility in Tianjin, China that the Company acquired from Tokai Carbon Group in February 2022, consolidatng its reinforcing carbons operatons and reducing ongoing operatonal costs. Under the PC Plan, the Company has temporarily idled its aerogel manufacturing plant in Frankfurt, Germany and reorganized certain positons within the Performance Chemicals segment to reduce operatng costs. Although the Frankfurt facility is idled, the Company contnues its eforts to commercialize aerogel for use in thermal insulaton for electric vehicles. During the three and nine months ended June 30, 2024, the Company recorded charges of $1 million and $13 million, respectvely, primarily for severance related costs and accelerated depreciaton as part of these plans. The Company expects to record additonal restructuring charges of $1 million related to these plans through fscal 2025.</w:t>
      </w:r>
    </w:p>
    <w:p>
      <w:pPr>
        <w:spacing w:after="0" w:line="88" w:lineRule="exact"/>
        <w:rPr>
          <w:sz w:val="20"/>
          <w:szCs w:val="20"/>
          <w:color w:val="auto"/>
        </w:rPr>
      </w:pPr>
    </w:p>
    <w:p>
      <w:pPr>
        <w:ind w:right="260" w:firstLine="749"/>
        <w:spacing w:after="0" w:line="235" w:lineRule="auto"/>
        <w:rPr>
          <w:sz w:val="20"/>
          <w:szCs w:val="20"/>
          <w:color w:val="auto"/>
        </w:rPr>
      </w:pPr>
      <w:r>
        <w:rPr>
          <w:rFonts w:ascii="Calibri" w:cs="Calibri" w:eastAsia="Calibri" w:hAnsi="Calibri"/>
          <w:sz w:val="18"/>
          <w:szCs w:val="18"/>
          <w:color w:val="auto"/>
        </w:rPr>
        <w:t>Cabot’s restructuring actvites were recorded in the Consolidated Statements of Operatons for the three and nine months ended June 30, 2024 and 2023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80" w:type="dxa"/>
            <w:vAlign w:val="bottom"/>
            <w:gridSpan w:val="5"/>
          </w:tcPr>
          <w:p>
            <w:pPr>
              <w:jc w:val="right"/>
              <w:ind w:right="97"/>
              <w:spacing w:after="0"/>
              <w:rPr>
                <w:sz w:val="20"/>
                <w:szCs w:val="20"/>
                <w:color w:val="auto"/>
              </w:rPr>
            </w:pPr>
            <w:r>
              <w:rPr>
                <w:rFonts w:ascii="Calibri" w:cs="Calibri" w:eastAsia="Calibri" w:hAnsi="Calibri"/>
                <w:sz w:val="14"/>
                <w:szCs w:val="14"/>
                <w:b w:val="1"/>
                <w:bCs w:val="1"/>
                <w:color w:val="auto"/>
              </w:rPr>
              <w:t>Three Months Ended 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46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4640" w:type="dxa"/>
            <w:vAlign w:val="bottom"/>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7"/>
              <w:spacing w:after="0" w:line="164" w:lineRule="exact"/>
              <w:rPr>
                <w:sz w:val="20"/>
                <w:szCs w:val="20"/>
                <w:color w:val="auto"/>
              </w:rPr>
            </w:pPr>
            <w:r>
              <w:rPr>
                <w:rFonts w:ascii="Calibri" w:cs="Calibri" w:eastAsia="Calibri" w:hAnsi="Calibri"/>
                <w:sz w:val="14"/>
                <w:szCs w:val="14"/>
                <w:b w:val="1"/>
                <w:bCs w:val="1"/>
                <w:color w:val="auto"/>
              </w:rPr>
              <w:t>2023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17"/>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5"/>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46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4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ind w:left="420"/>
              <w:spacing w:after="0" w:line="164" w:lineRule="exact"/>
              <w:rPr>
                <w:sz w:val="20"/>
                <w:szCs w:val="20"/>
                <w:color w:val="auto"/>
              </w:rPr>
            </w:pPr>
            <w:r>
              <w:rPr>
                <w:rFonts w:ascii="Calibri" w:cs="Calibri" w:eastAsia="Calibri" w:hAnsi="Calibri"/>
                <w:sz w:val="14"/>
                <w:szCs w:val="14"/>
                <w:b w:val="1"/>
                <w:bCs w:val="1"/>
                <w:color w:val="auto"/>
              </w:rPr>
              <w:t>(In</w:t>
            </w:r>
          </w:p>
        </w:tc>
        <w:tc>
          <w:tcPr>
            <w:tcW w:w="1080" w:type="dxa"/>
            <w:vAlign w:val="bottom"/>
            <w:gridSpan w:val="3"/>
          </w:tcPr>
          <w:p>
            <w:pPr>
              <w:jc w:val="right"/>
              <w:ind w:right="597"/>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4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6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Cost of sales</w:t>
            </w:r>
          </w:p>
        </w:tc>
        <w:tc>
          <w:tcPr>
            <w:tcW w:w="680" w:type="dxa"/>
            <w:vAlign w:val="bottom"/>
            <w:tcBorders>
              <w:bottom w:val="single" w:sz="8" w:color="CFF0FC"/>
            </w:tcBorders>
            <w:shd w:val="clear" w:color="auto" w:fill="CFF0FC"/>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420" w:type="dxa"/>
            <w:vAlign w:val="bottom"/>
            <w:tcBorders>
              <w:bottom w:val="single" w:sz="8" w:color="CFF0FC"/>
            </w:tcBorders>
            <w:gridSpan w:val="2"/>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ind w:left="540"/>
              <w:spacing w:after="0" w:line="215" w:lineRule="exact"/>
              <w:rPr>
                <w:sz w:val="20"/>
                <w:szCs w:val="20"/>
                <w:color w:val="auto"/>
              </w:rPr>
            </w:pPr>
            <w:r>
              <w:rPr>
                <w:rFonts w:ascii="Calibri" w:cs="Calibri" w:eastAsia="Calibri" w:hAnsi="Calibri"/>
                <w:sz w:val="18"/>
                <w:szCs w:val="18"/>
                <w:color w:val="auto"/>
                <w:w w:val="97"/>
              </w:rPr>
              <w:t>—</w:t>
            </w:r>
          </w:p>
        </w:tc>
        <w:tc>
          <w:tcPr>
            <w:tcW w:w="3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400" w:type="dxa"/>
            <w:vAlign w:val="bottom"/>
            <w:tcBorders>
              <w:bottom w:val="single" w:sz="8" w:color="CFF0FC"/>
            </w:tcBorders>
            <w:gridSpan w:val="2"/>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gridSpan w:val="2"/>
            <w:shd w:val="clear" w:color="auto" w:fill="CFF0FC"/>
          </w:tcPr>
          <w:p>
            <w:pPr>
              <w:ind w:left="5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4640" w:type="dxa"/>
            <w:vAlign w:val="bottom"/>
          </w:tcPr>
          <w:p>
            <w:pPr>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680" w:type="dxa"/>
            <w:vAlign w:val="bottom"/>
          </w:tcPr>
          <w:p>
            <w:pPr>
              <w:spacing w:after="0"/>
              <w:rPr>
                <w:sz w:val="18"/>
                <w:szCs w:val="18"/>
                <w:color w:val="auto"/>
              </w:rPr>
            </w:pP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540"/>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5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4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r>
      <w:tr>
        <w:trPr>
          <w:trHeight w:val="237"/>
        </w:trPr>
        <w:tc>
          <w:tcPr>
            <w:tcW w:w="4640" w:type="dxa"/>
            <w:vAlign w:val="bottom"/>
          </w:tcPr>
          <w:p>
            <w:pPr>
              <w:spacing w:after="0"/>
              <w:rPr>
                <w:sz w:val="20"/>
                <w:szCs w:val="20"/>
                <w:color w:val="auto"/>
              </w:rPr>
            </w:pPr>
            <w:r>
              <w:rPr>
                <w:rFonts w:ascii="Calibri" w:cs="Calibri" w:eastAsia="Calibri" w:hAnsi="Calibri"/>
                <w:sz w:val="18"/>
                <w:szCs w:val="18"/>
                <w:color w:val="auto"/>
              </w:rPr>
              <w:t>Total</w:t>
            </w:r>
          </w:p>
        </w:tc>
        <w:tc>
          <w:tcPr>
            <w:tcW w:w="680" w:type="dxa"/>
            <w:vAlign w:val="bottom"/>
            <w:tcBorders>
              <w:top w:val="single" w:sz="8" w:color="auto"/>
              <w:bottom w:val="single" w:sz="8" w:color="auto"/>
            </w:tcBorders>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ind w:left="540"/>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tcPr>
          <w:p>
            <w:pPr>
              <w:ind w:left="520"/>
              <w:spacing w:after="0" w:line="215" w:lineRule="exact"/>
              <w:rPr>
                <w:sz w:val="20"/>
                <w:szCs w:val="20"/>
                <w:color w:val="auto"/>
              </w:rPr>
            </w:pPr>
            <w:r>
              <w:rPr>
                <w:rFonts w:ascii="Calibri" w:cs="Calibri" w:eastAsia="Calibri" w:hAnsi="Calibri"/>
                <w:sz w:val="18"/>
                <w:szCs w:val="18"/>
                <w:color w:val="auto"/>
                <w:w w:val="97"/>
              </w:rPr>
              <w:t>—</w:t>
            </w:r>
          </w:p>
        </w:tc>
        <w:tc>
          <w:tcPr>
            <w:tcW w:w="8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 w:name="page17"/>
    <w:bookmarkEnd w:id="16"/>
    <w:p>
      <w:pPr>
        <w:ind w:left="760"/>
        <w:spacing w:after="0"/>
        <w:rPr>
          <w:sz w:val="20"/>
          <w:szCs w:val="20"/>
          <w:color w:val="auto"/>
        </w:rPr>
      </w:pPr>
      <w:r>
        <w:rPr>
          <w:rFonts w:ascii="Calibri" w:cs="Calibri" w:eastAsia="Calibri" w:hAnsi="Calibri"/>
          <w:sz w:val="18"/>
          <w:szCs w:val="18"/>
          <w:color w:val="auto"/>
        </w:rPr>
        <w:t>Details of all restructuring actvites and the related reserves during the three and nine months ended June 30, 2024 are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Severance</w:t>
            </w:r>
          </w:p>
        </w:tc>
        <w:tc>
          <w:tcPr>
            <w:tcW w:w="1100" w:type="dxa"/>
            <w:vAlign w:val="bottom"/>
            <w:gridSpan w:val="3"/>
          </w:tcPr>
          <w:p>
            <w:pPr>
              <w:jc w:val="center"/>
              <w:ind w:right="168"/>
              <w:spacing w:after="0"/>
              <w:rPr>
                <w:sz w:val="20"/>
                <w:szCs w:val="20"/>
                <w:color w:val="auto"/>
              </w:rPr>
            </w:pPr>
            <w:r>
              <w:rPr>
                <w:rFonts w:ascii="Calibri" w:cs="Calibri" w:eastAsia="Calibri" w:hAnsi="Calibri"/>
                <w:sz w:val="14"/>
                <w:szCs w:val="14"/>
                <w:b w:val="1"/>
                <w:bCs w:val="1"/>
                <w:color w:val="auto"/>
              </w:rPr>
              <w:t>Accelerated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4640" w:type="dxa"/>
            <w:vAlign w:val="bottom"/>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and Employee</w:t>
            </w:r>
          </w:p>
        </w:tc>
        <w:tc>
          <w:tcPr>
            <w:tcW w:w="1100" w:type="dxa"/>
            <w:vAlign w:val="bottom"/>
            <w:gridSpan w:val="3"/>
          </w:tcPr>
          <w:p>
            <w:pPr>
              <w:jc w:val="center"/>
              <w:ind w:right="168"/>
              <w:spacing w:after="0"/>
              <w:rPr>
                <w:sz w:val="20"/>
                <w:szCs w:val="20"/>
                <w:color w:val="auto"/>
              </w:rPr>
            </w:pPr>
            <w:r>
              <w:rPr>
                <w:rFonts w:ascii="Calibri" w:cs="Calibri" w:eastAsia="Calibri" w:hAnsi="Calibri"/>
                <w:sz w:val="14"/>
                <w:szCs w:val="14"/>
                <w:b w:val="1"/>
                <w:bCs w:val="1"/>
                <w:color w:val="auto"/>
              </w:rPr>
              <w:t>Depreciaton</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Benefts</w:t>
            </w:r>
          </w:p>
        </w:tc>
        <w:tc>
          <w:tcPr>
            <w:tcW w:w="12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Calibri" w:cs="Calibri" w:eastAsia="Calibri" w:hAnsi="Calibri"/>
                <w:sz w:val="14"/>
                <w:szCs w:val="14"/>
                <w:b w:val="1"/>
                <w:bCs w:val="1"/>
                <w:color w:val="auto"/>
              </w:rPr>
              <w:t>on Assets</w:t>
            </w:r>
          </w:p>
        </w:tc>
        <w:tc>
          <w:tcPr>
            <w:tcW w:w="24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Calibri" w:cs="Calibri" w:eastAsia="Calibri" w:hAnsi="Calibri"/>
                <w:sz w:val="14"/>
                <w:szCs w:val="14"/>
                <w:b w:val="1"/>
                <w:bCs w:val="1"/>
                <w:color w:val="auto"/>
              </w:rPr>
              <w:t>Other</w:t>
            </w:r>
          </w:p>
        </w:tc>
        <w:tc>
          <w:tcPr>
            <w:tcW w:w="20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3"/>
              <w:spacing w:after="0" w:line="164" w:lineRule="exact"/>
              <w:rPr>
                <w:sz w:val="20"/>
                <w:szCs w:val="20"/>
                <w:color w:val="auto"/>
              </w:rPr>
            </w:pPr>
            <w:r>
              <w:rPr>
                <w:rFonts w:ascii="Calibri" w:cs="Calibri" w:eastAsia="Calibri" w:hAnsi="Calibri"/>
                <w:sz w:val="14"/>
                <w:szCs w:val="14"/>
                <w:b w:val="1"/>
                <w:bCs w:val="1"/>
                <w:color w:val="auto"/>
              </w:rPr>
              <w:t>(In</w:t>
            </w:r>
          </w:p>
        </w:tc>
        <w:tc>
          <w:tcPr>
            <w:tcW w:w="42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6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Reserve at September 30, 2023</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4640" w:type="dxa"/>
            <w:vAlign w:val="bottom"/>
          </w:tcPr>
          <w:p>
            <w:pPr>
              <w:ind w:left="180"/>
              <w:spacing w:after="0" w:line="215" w:lineRule="exact"/>
              <w:rPr>
                <w:sz w:val="20"/>
                <w:szCs w:val="20"/>
                <w:color w:val="auto"/>
              </w:rPr>
            </w:pPr>
            <w:r>
              <w:rPr>
                <w:rFonts w:ascii="Calibri" w:cs="Calibri" w:eastAsia="Calibri" w:hAnsi="Calibri"/>
                <w:sz w:val="18"/>
                <w:szCs w:val="18"/>
                <w:color w:val="auto"/>
              </w:rPr>
              <w:t>Charges</w:t>
            </w:r>
          </w:p>
        </w:tc>
        <w:tc>
          <w:tcPr>
            <w:tcW w:w="1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8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64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Cost charged against assets</w:t>
            </w: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(6 )</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(6 )</w:t>
            </w:r>
          </w:p>
        </w:tc>
      </w:tr>
      <w:tr>
        <w:trPr>
          <w:trHeight w:val="220"/>
        </w:trPr>
        <w:tc>
          <w:tcPr>
            <w:tcW w:w="4640" w:type="dxa"/>
            <w:vAlign w:val="bottom"/>
          </w:tcPr>
          <w:p>
            <w:pPr>
              <w:ind w:left="180"/>
              <w:spacing w:after="0"/>
              <w:rPr>
                <w:sz w:val="20"/>
                <w:szCs w:val="20"/>
                <w:color w:val="auto"/>
              </w:rPr>
            </w:pPr>
            <w:r>
              <w:rPr>
                <w:rFonts w:ascii="Calibri" w:cs="Calibri" w:eastAsia="Calibri" w:hAnsi="Calibri"/>
                <w:sz w:val="18"/>
                <w:szCs w:val="18"/>
                <w:color w:val="auto"/>
              </w:rPr>
              <w:t>Cash paid</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9"/>
                <w:szCs w:val="19"/>
                <w:color w:val="auto"/>
              </w:rPr>
            </w:pPr>
          </w:p>
        </w:tc>
        <w:tc>
          <w:tcPr>
            <w:tcW w:w="98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(1 )</w:t>
            </w:r>
          </w:p>
        </w:tc>
      </w:tr>
      <w:tr>
        <w:trPr>
          <w:trHeight w:val="23"/>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46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Reserve at December 31, 2023</w:t>
            </w:r>
          </w:p>
        </w:tc>
        <w:tc>
          <w:tcPr>
            <w:tcW w:w="1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195"/>
        </w:trPr>
        <w:tc>
          <w:tcPr>
            <w:tcW w:w="4640" w:type="dxa"/>
            <w:vAlign w:val="bottom"/>
          </w:tcPr>
          <w:p>
            <w:pPr>
              <w:ind w:left="180"/>
              <w:spacing w:after="0" w:line="196" w:lineRule="exact"/>
              <w:rPr>
                <w:sz w:val="20"/>
                <w:szCs w:val="20"/>
                <w:color w:val="auto"/>
              </w:rPr>
            </w:pPr>
            <w:r>
              <w:rPr>
                <w:rFonts w:ascii="Calibri" w:cs="Calibri" w:eastAsia="Calibri" w:hAnsi="Calibri"/>
                <w:sz w:val="18"/>
                <w:szCs w:val="18"/>
                <w:color w:val="auto"/>
              </w:rPr>
              <w:t>Charges</w:t>
            </w:r>
          </w:p>
        </w:tc>
        <w:tc>
          <w:tcPr>
            <w:tcW w:w="140" w:type="dxa"/>
            <w:vAlign w:val="bottom"/>
          </w:tcPr>
          <w:p>
            <w:pPr>
              <w:spacing w:after="0"/>
              <w:rPr>
                <w:sz w:val="16"/>
                <w:szCs w:val="16"/>
                <w:color w:val="auto"/>
              </w:rPr>
            </w:pPr>
          </w:p>
        </w:tc>
        <w:tc>
          <w:tcPr>
            <w:tcW w:w="800" w:type="dxa"/>
            <w:vAlign w:val="bottom"/>
          </w:tcPr>
          <w:p>
            <w:pPr>
              <w:jc w:val="right"/>
              <w:spacing w:after="0" w:line="196"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28"/>
              <w:spacing w:after="0" w:line="19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6"/>
                <w:szCs w:val="16"/>
                <w:color w:val="auto"/>
              </w:rPr>
            </w:pPr>
          </w:p>
        </w:tc>
        <w:tc>
          <w:tcPr>
            <w:tcW w:w="660" w:type="dxa"/>
            <w:vAlign w:val="bottom"/>
          </w:tcPr>
          <w:p>
            <w:pPr>
              <w:jc w:val="right"/>
              <w:spacing w:after="0" w:line="196"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96" w:lineRule="exact"/>
              <w:rPr>
                <w:sz w:val="20"/>
                <w:szCs w:val="20"/>
                <w:color w:val="auto"/>
              </w:rPr>
            </w:pPr>
            <w:r>
              <w:rPr>
                <w:rFonts w:ascii="Calibri" w:cs="Calibri" w:eastAsia="Calibri" w:hAnsi="Calibri"/>
                <w:sz w:val="18"/>
                <w:szCs w:val="18"/>
                <w:color w:val="auto"/>
              </w:rPr>
              <w:t>3</w:t>
            </w:r>
          </w:p>
        </w:tc>
        <w:tc>
          <w:tcPr>
            <w:tcW w:w="80" w:type="dxa"/>
            <w:vAlign w:val="bottom"/>
          </w:tcPr>
          <w:p>
            <w:pPr>
              <w:spacing w:after="0"/>
              <w:rPr>
                <w:sz w:val="16"/>
                <w:szCs w:val="16"/>
                <w:color w:val="auto"/>
              </w:rPr>
            </w:pPr>
          </w:p>
        </w:tc>
      </w:tr>
      <w:tr>
        <w:trPr>
          <w:trHeight w:val="28"/>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464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Cash paid</w:t>
            </w: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(1 )</w:t>
            </w:r>
          </w:p>
        </w:tc>
      </w:tr>
      <w:tr>
        <w:trPr>
          <w:trHeight w:val="237"/>
        </w:trPr>
        <w:tc>
          <w:tcPr>
            <w:tcW w:w="464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Reserve at March 31, 2024</w:t>
            </w: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Borders>
              <w:top w:val="single" w:sz="8" w:color="CFF0FC"/>
            </w:tcBorders>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4640" w:type="dxa"/>
            <w:vAlign w:val="bottom"/>
            <w:tcBorders>
              <w:bottom w:val="single" w:sz="8" w:color="CFF0FC"/>
            </w:tcBorders>
            <w:shd w:val="clear" w:color="auto" w:fill="CFF0FC"/>
          </w:tcPr>
          <w:p>
            <w:pPr>
              <w:ind w:left="180"/>
              <w:spacing w:after="0" w:line="196" w:lineRule="exact"/>
              <w:rPr>
                <w:sz w:val="20"/>
                <w:szCs w:val="20"/>
                <w:color w:val="auto"/>
              </w:rPr>
            </w:pPr>
            <w:r>
              <w:rPr>
                <w:rFonts w:ascii="Calibri" w:cs="Calibri" w:eastAsia="Calibri" w:hAnsi="Calibri"/>
                <w:sz w:val="18"/>
                <w:szCs w:val="18"/>
                <w:color w:val="auto"/>
              </w:rPr>
              <w:t>Charges</w:t>
            </w: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240"/>
              <w:spacing w:after="0" w:line="196"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128"/>
              <w:spacing w:after="0" w:line="19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20"/>
        </w:trPr>
        <w:tc>
          <w:tcPr>
            <w:tcW w:w="4640" w:type="dxa"/>
            <w:vAlign w:val="bottom"/>
          </w:tcPr>
          <w:p>
            <w:pPr>
              <w:ind w:left="180"/>
              <w:spacing w:after="0"/>
              <w:rPr>
                <w:sz w:val="20"/>
                <w:szCs w:val="20"/>
                <w:color w:val="auto"/>
              </w:rPr>
            </w:pPr>
            <w:r>
              <w:rPr>
                <w:rFonts w:ascii="Calibri" w:cs="Calibri" w:eastAsia="Calibri" w:hAnsi="Calibri"/>
                <w:sz w:val="18"/>
                <w:szCs w:val="18"/>
                <w:color w:val="auto"/>
              </w:rPr>
              <w:t>Cash paid</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spacing w:after="0"/>
              <w:rPr>
                <w:sz w:val="19"/>
                <w:szCs w:val="19"/>
                <w:color w:val="auto"/>
              </w:rPr>
            </w:pPr>
          </w:p>
        </w:tc>
        <w:tc>
          <w:tcPr>
            <w:tcW w:w="98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(3 )</w:t>
            </w:r>
          </w:p>
        </w:tc>
      </w:tr>
      <w:tr>
        <w:trPr>
          <w:trHeight w:val="23"/>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46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Reserve at June 30, 2024</w:t>
            </w:r>
          </w:p>
        </w:tc>
        <w:tc>
          <w:tcPr>
            <w:tcW w:w="1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-1019175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-1002030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-1019175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-1002030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-1019175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-1002030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-1019175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-1002030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-685165</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-685165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-685165</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7"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Cabot’s severance and employee beneft reserves are refected in Accounts payable and accrued liabilites on the Company’s Consolidated Balance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Sheets.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 Financial Instruments and Fair Value Measurements</w:t>
      </w:r>
    </w:p>
    <w:p>
      <w:pPr>
        <w:spacing w:after="0" w:line="82"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119"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Quoted market prices in actve markets for identcal assets or liabilites</w:t>
      </w:r>
    </w:p>
    <w:p>
      <w:pPr>
        <w:spacing w:after="0" w:line="190" w:lineRule="exact"/>
        <w:rPr>
          <w:sz w:val="20"/>
          <w:szCs w:val="20"/>
          <w:color w:val="auto"/>
        </w:rPr>
      </w:pPr>
    </w:p>
    <w:p>
      <w:pPr>
        <w:ind w:left="940" w:right="280" w:hanging="1295"/>
        <w:spacing w:after="0" w:line="235" w:lineRule="auto"/>
        <w:tabs>
          <w:tab w:leader="none" w:pos="920" w:val="left"/>
        </w:tabs>
        <w:rPr>
          <w:sz w:val="20"/>
          <w:szCs w:val="20"/>
          <w:color w:val="auto"/>
        </w:rPr>
      </w:pPr>
      <w:r>
        <w:rPr>
          <w:rFonts w:ascii="Calibri" w:cs="Calibri" w:eastAsia="Calibri" w:hAnsi="Calibri"/>
          <w:sz w:val="18"/>
          <w:szCs w:val="18"/>
          <w:color w:val="auto"/>
        </w:rPr>
        <w:t>Level 2</w:t>
      </w:r>
      <w:r>
        <w:rPr>
          <w:sz w:val="20"/>
          <w:szCs w:val="20"/>
          <w:color w:val="auto"/>
        </w:rPr>
        <w:tab/>
      </w:r>
      <w:r>
        <w:rPr>
          <w:rFonts w:ascii="Calibri" w:cs="Calibri" w:eastAsia="Calibri" w:hAnsi="Calibri"/>
          <w:sz w:val="18"/>
          <w:szCs w:val="18"/>
          <w:color w:val="auto"/>
        </w:rPr>
        <w:t>— Signifcant other observable inputs (e.g., quoted prices for similar items in actve markets, quoted prices for identcal or similar items in markets that are not actve, inputs other than quoted prices that are observable such as interest rate and yield curves, and market-corroborated inputs)</w:t>
      </w:r>
    </w:p>
    <w:p>
      <w:pPr>
        <w:spacing w:after="0" w:line="187"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Signifcant unobservable inputs</w:t>
      </w:r>
    </w:p>
    <w:p>
      <w:pPr>
        <w:spacing w:after="0" w:line="204"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There were no transfers of fnancial assets or liabilites measured at fair value between Level 1 and Level 2 and there were no Level 3 investments during the frst nine months of either fscal 2024 or 2023.</w:t>
      </w:r>
    </w:p>
    <w:p>
      <w:pPr>
        <w:spacing w:after="0" w:line="83"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At June 30, 2024 and September 30, 2023, the fair values of cash and cash equivalents, accounts and notes receivable, accounts payable and accrued liabilites, and short-term borrowings and variable rate debt approximated their carrying values due to the short-term nature of these instruments. Cash and cash equivalents are classifed as Level 1 within the fair value hierarchy.</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At June 30, 2024 and September 30, 2023, Cabot had derivatves relatng to foreign currency risks, including a net investment hedge and forward foreign currency contracts, carried at fair value. At June 30, 2024 and September 30, 2023, the fair value of these derivatves was a net asset of $9 million and $12 million, respectvely, and was included in Prepaid expenses and other current assets, Accounts payable and accrued liabilites, and Other assets on the Consolidated Balance Sheets. These derivatves are classifed as Level 2 instruments within the fair value hierarchy as the fair value determinaton was based on observable inputs.</w:t>
      </w:r>
    </w:p>
    <w:p>
      <w:pPr>
        <w:spacing w:after="0" w:line="8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At June 30, 2024 and September 30, 2023, the fair value of guaranteed investment contracts included in Other assets on the Consolidated Balance Sheets was $8 million. Guaranteed investment contracts were classifed as Level 2 instruments within the fair value hierarchy as the fair value determinaton was based on other observable inputs.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carrying value and fair value of the long-term fxed rate debt were $1.07 billion and $1.04 billion, respectvely, as of June 30, 2024, and $1.08 billion and $1.04 billion, respectvely, as of September 30, 2023. The fair values of Cabot’s fxed rate long-term debt are estmated based on comparable quoted market prices at the respectve period ends. The carrying amounts of Cabot’s foatng rate long-term debt and fnance and operatng lease obligatons approximate their fair values. All such measurements are based on observable inputs and are classifed as Level 2 within the fair value hierarchy. The valuaton technique used is the discounted cash fow model.</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5" w:right="39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b w:val="1"/>
          <w:bCs w:val="1"/>
          <w:color w:val="auto"/>
        </w:rPr>
        <w:t>J. Supplier Financing Programs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maintains supply chain fnance agreements with third-party fnancial insttutons. These agreements allow the Company’s partcipatng suppliers to sell their receivables to such third-party fnancial insttutons to receive payment earlier than the negotated commercial terms between the supplier and the Company. Such sales are at the sole discreton of the supplier, and on terms and conditons that are negotated between the supplier and the respectve fnancial insttuton. The terms and conditons of the supplier invoice, including payment terms and amounts due, are not impacted by a supplier’s partcipaton in the program. Pursuant to the supply chain fnance agreements, the Company has agreed to pay fnancial insttutons on the original due date of the applicable invoice. There are no guarantees associated with these programs. The Company's outstanding payment obligatons to fnancial insttutons related to supplier fnancing programs were $17 million at both June 30, 2024 and September 30, 2023, and are included within Accounts payable and accrued liabilites on the Consolidated Balance Sheets.</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 Financial Informaton by Segment</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Company identfes a product line as an operatng segment if: i) it engages in business actvites from which it may earn revenues and incur expenses; ii) 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8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The Reinforcement Materials segment combines the reinforcing carbons and engineered elastomer composites product lines. The Performance Chemicals segment aggregates the specialty carbons, specialty compounds, fumed metal oxides, batery materials, inkjet colorants and aerogel product lines.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representatve of on-going operatng segment results. In additon, Segment EBIT includes Equity in earnings of afliated companies, net of tax, royaltes, Net income atributable to noncontrolling interests, net of tax, and discountng charges for certain Notes receivable.</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Financial informaton by reportable segment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Reinforcement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4"/>
              <w:spacing w:after="0"/>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Calibri" w:cs="Calibri" w:eastAsia="Calibri" w:hAnsi="Calibri"/>
                <w:sz w:val="14"/>
                <w:szCs w:val="14"/>
                <w:b w:val="1"/>
                <w:bCs w:val="1"/>
                <w:color w:val="auto"/>
              </w:rPr>
              <w:t>Segment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Unallocated</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Consolidated</w:t>
            </w:r>
          </w:p>
        </w:tc>
      </w:tr>
      <w:tr>
        <w:trPr>
          <w:trHeight w:val="224"/>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Calibri" w:cs="Calibri" w:eastAsia="Calibri" w:hAnsi="Calibri"/>
                <w:sz w:val="14"/>
                <w:szCs w:val="14"/>
                <w:b w:val="1"/>
                <w:bCs w:val="1"/>
                <w:color w:val="auto"/>
              </w:rPr>
              <w:t>Materials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74"/>
              <w:spacing w:after="0"/>
              <w:rPr>
                <w:sz w:val="20"/>
                <w:szCs w:val="20"/>
                <w:color w:val="auto"/>
              </w:rPr>
            </w:pPr>
            <w:r>
              <w:rPr>
                <w:rFonts w:ascii="Calibri" w:cs="Calibri" w:eastAsia="Calibri" w:hAnsi="Calibri"/>
                <w:sz w:val="14"/>
                <w:szCs w:val="14"/>
                <w:b w:val="1"/>
                <w:bCs w:val="1"/>
                <w:color w:val="auto"/>
              </w:rPr>
              <w:t>Total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60"/>
              <w:spacing w:after="0" w:line="223" w:lineRule="exact"/>
              <w:rPr>
                <w:sz w:val="20"/>
                <w:szCs w:val="20"/>
                <w:color w:val="auto"/>
              </w:rPr>
            </w:pPr>
            <w:r>
              <w:rPr>
                <w:rFonts w:ascii="Calibri" w:cs="Calibri" w:eastAsia="Calibri" w:hAnsi="Calibri"/>
                <w:sz w:val="14"/>
                <w:szCs w:val="14"/>
                <w:b w:val="1"/>
                <w:bCs w:val="1"/>
                <w:color w:val="auto"/>
                <w:w w:val="98"/>
              </w:rPr>
              <w:t>and Other</w:t>
            </w:r>
            <w:r>
              <w:rPr>
                <w:rFonts w:ascii="Calibri" w:cs="Calibri" w:eastAsia="Calibri" w:hAnsi="Calibri"/>
                <w:sz w:val="19"/>
                <w:szCs w:val="19"/>
                <w:b w:val="1"/>
                <w:bCs w:val="1"/>
                <w:color w:val="auto"/>
                <w:w w:val="98"/>
                <w:vertAlign w:val="superscript"/>
              </w:rPr>
              <w:t>(1)</w:t>
            </w: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Total</w:t>
            </w:r>
          </w:p>
        </w:tc>
      </w:tr>
      <w:tr>
        <w:trPr>
          <w:trHeight w:val="165"/>
        </w:trPr>
        <w:tc>
          <w:tcPr>
            <w:tcW w:w="5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114"/>
              <w:spacing w:after="0" w:line="165"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June 30, 2024</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51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649</w:t>
            </w:r>
          </w:p>
        </w:tc>
        <w:tc>
          <w:tcPr>
            <w:tcW w:w="3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332</w:t>
            </w:r>
          </w:p>
        </w:tc>
        <w:tc>
          <w:tcPr>
            <w:tcW w:w="42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981</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220" w:type="dxa"/>
            <w:vAlign w:val="bottom"/>
          </w:tcPr>
          <w:p>
            <w:pPr>
              <w:spacing w:after="0"/>
              <w:rPr>
                <w:sz w:val="21"/>
                <w:szCs w:val="21"/>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1,016</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136</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420" w:type="dxa"/>
            <w:vAlign w:val="bottom"/>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191</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(33 )</w:t>
            </w: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158</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June 30, 2023</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51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624</w:t>
            </w:r>
          </w:p>
        </w:tc>
        <w:tc>
          <w:tcPr>
            <w:tcW w:w="3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307</w:t>
            </w:r>
          </w:p>
        </w:tc>
        <w:tc>
          <w:tcPr>
            <w:tcW w:w="42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931</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37</w:t>
            </w:r>
          </w:p>
        </w:tc>
        <w:tc>
          <w:tcPr>
            <w:tcW w:w="220" w:type="dxa"/>
            <w:vAlign w:val="bottom"/>
          </w:tcPr>
          <w:p>
            <w:pPr>
              <w:spacing w:after="0"/>
              <w:rPr>
                <w:sz w:val="21"/>
                <w:szCs w:val="21"/>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968</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420" w:type="dxa"/>
            <w:vAlign w:val="bottom"/>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164</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(34 )</w:t>
            </w: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Nine Months Ended June 30, 2024</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51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1,966</w:t>
            </w:r>
          </w:p>
        </w:tc>
        <w:tc>
          <w:tcPr>
            <w:tcW w:w="3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928</w:t>
            </w:r>
          </w:p>
        </w:tc>
        <w:tc>
          <w:tcPr>
            <w:tcW w:w="42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2,894</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99</w:t>
            </w:r>
          </w:p>
        </w:tc>
        <w:tc>
          <w:tcPr>
            <w:tcW w:w="220" w:type="dxa"/>
            <w:vAlign w:val="bottom"/>
          </w:tcPr>
          <w:p>
            <w:pPr>
              <w:spacing w:after="0"/>
              <w:rPr>
                <w:sz w:val="21"/>
                <w:szCs w:val="21"/>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2,993</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414</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120</w:t>
            </w:r>
          </w:p>
        </w:tc>
        <w:tc>
          <w:tcPr>
            <w:tcW w:w="420" w:type="dxa"/>
            <w:vAlign w:val="bottom"/>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534</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(140 )</w:t>
            </w: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394</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Nine Months Ended June 30, 2023</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516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1,939</w:t>
            </w:r>
          </w:p>
        </w:tc>
        <w:tc>
          <w:tcPr>
            <w:tcW w:w="3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919</w:t>
            </w:r>
          </w:p>
        </w:tc>
        <w:tc>
          <w:tcPr>
            <w:tcW w:w="42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2,858</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108</w:t>
            </w:r>
          </w:p>
        </w:tc>
        <w:tc>
          <w:tcPr>
            <w:tcW w:w="220" w:type="dxa"/>
            <w:vAlign w:val="bottom"/>
          </w:tcPr>
          <w:p>
            <w:pPr>
              <w:spacing w:after="0"/>
              <w:rPr>
                <w:sz w:val="21"/>
                <w:szCs w:val="21"/>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2,966</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348</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89</w:t>
            </w:r>
          </w:p>
        </w:tc>
        <w:tc>
          <w:tcPr>
            <w:tcW w:w="420" w:type="dxa"/>
            <w:vAlign w:val="bottom"/>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437</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(113 )</w:t>
            </w: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324</w:t>
            </w:r>
          </w:p>
        </w:tc>
        <w:tc>
          <w:tcPr>
            <w:tcW w:w="100" w:type="dxa"/>
            <w:vAlign w:val="bottom"/>
            <w:shd w:val="clear" w:color="auto" w:fill="CFF0FC"/>
          </w:tcPr>
          <w:p>
            <w:pPr>
              <w:spacing w:after="0"/>
              <w:rPr>
                <w:sz w:val="21"/>
                <w:szCs w:val="21"/>
                <w:color w:val="auto"/>
              </w:rPr>
            </w:pPr>
          </w:p>
        </w:tc>
      </w:tr>
    </w:tbl>
    <w:p>
      <w:pPr>
        <w:spacing w:after="0" w:line="126" w:lineRule="exact"/>
        <w:rPr>
          <w:sz w:val="20"/>
          <w:szCs w:val="20"/>
          <w:color w:val="auto"/>
        </w:rPr>
      </w:pPr>
    </w:p>
    <w:p>
      <w:pPr>
        <w:ind w:left="520" w:right="40" w:hanging="512"/>
        <w:spacing w:after="0" w:line="201"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ind w:left="512" w:right="200" w:hanging="512"/>
        <w:spacing w:after="0" w:line="217" w:lineRule="auto"/>
        <w:tabs>
          <w:tab w:leader="none" w:pos="512" w:val="left"/>
        </w:tabs>
        <w:numPr>
          <w:ilvl w:val="0"/>
          <w:numId w:val="6"/>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Revenues from external customers reconciles to Net sales and other operatng revenues on the Consolidated Statements of Operatons. Revenues from external customers that are categorized as Unallocated and Other refects external shipping and handling fees, royaltes, the impact of unearned revenue, discountng charges for certain Notes receivable, and other by-product revenue. Details are provided in the table below:</w:t>
      </w:r>
    </w:p>
    <w:p>
      <w:pPr>
        <w:spacing w:after="0" w:line="132"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Nine Months Ended 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160" w:type="dxa"/>
            <w:vAlign w:val="bottom"/>
          </w:tcPr>
          <w:p>
            <w:pPr>
              <w:spacing w:after="0"/>
              <w:rPr>
                <w:sz w:val="14"/>
                <w:szCs w:val="14"/>
                <w:color w:val="auto"/>
              </w:rPr>
            </w:pPr>
          </w:p>
        </w:tc>
        <w:tc>
          <w:tcPr>
            <w:tcW w:w="780" w:type="dxa"/>
            <w:vAlign w:val="bottom"/>
          </w:tcPr>
          <w:p>
            <w:pPr>
              <w:jc w:val="right"/>
              <w:ind w:right="19"/>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100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2"/>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94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jc w:val="right"/>
              <w:ind w:right="55"/>
              <w:spacing w:after="0" w:line="164" w:lineRule="exact"/>
              <w:rPr>
                <w:sz w:val="20"/>
                <w:szCs w:val="20"/>
                <w:color w:val="auto"/>
              </w:rPr>
            </w:pPr>
            <w:r>
              <w:rPr>
                <w:rFonts w:ascii="Calibri" w:cs="Calibri" w:eastAsia="Calibri" w:hAnsi="Calibri"/>
                <w:sz w:val="14"/>
                <w:szCs w:val="14"/>
                <w:b w:val="1"/>
                <w:bCs w:val="1"/>
                <w:color w:val="auto"/>
                <w:w w:val="89"/>
              </w:rPr>
              <w:t>(In</w:t>
            </w:r>
          </w:p>
        </w:tc>
        <w:tc>
          <w:tcPr>
            <w:tcW w:w="960" w:type="dxa"/>
            <w:vAlign w:val="bottom"/>
            <w:gridSpan w:val="2"/>
          </w:tcPr>
          <w:p>
            <w:pPr>
              <w:jc w:val="right"/>
              <w:ind w:right="462"/>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Shipping and handling fees</w:t>
            </w:r>
          </w:p>
        </w:tc>
        <w:tc>
          <w:tcPr>
            <w:tcW w:w="780" w:type="dxa"/>
            <w:vAlign w:val="bottom"/>
            <w:tcBorders>
              <w:bottom w:val="single" w:sz="8" w:color="CFF0FC"/>
            </w:tcBorders>
            <w:shd w:val="clear" w:color="auto" w:fill="CFF0FC"/>
          </w:tcPr>
          <w:p>
            <w:pPr>
              <w:jc w:val="right"/>
              <w:ind w:right="579"/>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1000" w:type="dxa"/>
            <w:vAlign w:val="bottom"/>
            <w:tcBorders>
              <w:bottom w:val="single" w:sz="8" w:color="CFF0FC"/>
            </w:tcBorders>
            <w:gridSpan w:val="2"/>
            <w:shd w:val="clear" w:color="auto" w:fill="CFF0FC"/>
          </w:tcPr>
          <w:p>
            <w:pPr>
              <w:jc w:val="right"/>
              <w:ind w:right="57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960" w:type="dxa"/>
            <w:vAlign w:val="bottom"/>
            <w:tcBorders>
              <w:bottom w:val="single" w:sz="8" w:color="CFF0FC"/>
            </w:tcBorders>
            <w:gridSpan w:val="2"/>
            <w:shd w:val="clear" w:color="auto" w:fill="CFF0FC"/>
          </w:tcPr>
          <w:p>
            <w:pPr>
              <w:jc w:val="right"/>
              <w:ind w:right="562"/>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93</w:t>
            </w:r>
          </w:p>
        </w:tc>
        <w:tc>
          <w:tcPr>
            <w:tcW w:w="940" w:type="dxa"/>
            <w:vAlign w:val="bottom"/>
            <w:tcBorders>
              <w:bottom w:val="single" w:sz="8" w:color="CFF0FC"/>
            </w:tcBorders>
            <w:gridSpan w:val="2"/>
            <w:shd w:val="clear" w:color="auto" w:fill="CFF0FC"/>
          </w:tcPr>
          <w:p>
            <w:pPr>
              <w:jc w:val="right"/>
              <w:ind w:right="53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4"/>
              </w:rPr>
              <w:t>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Calibri" w:cs="Calibri" w:eastAsia="Calibri" w:hAnsi="Calibri"/>
                <w:sz w:val="18"/>
                <w:szCs w:val="18"/>
                <w:color w:val="auto"/>
              </w:rPr>
              <w:t>Other</w:t>
            </w:r>
          </w:p>
        </w:tc>
        <w:tc>
          <w:tcPr>
            <w:tcW w:w="780" w:type="dxa"/>
            <w:vAlign w:val="bottom"/>
          </w:tcPr>
          <w:p>
            <w:pPr>
              <w:spacing w:after="0"/>
              <w:rPr>
                <w:sz w:val="19"/>
                <w:szCs w:val="19"/>
                <w:color w:val="auto"/>
              </w:rPr>
            </w:pP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9"/>
                <w:szCs w:val="19"/>
                <w:color w:val="auto"/>
              </w:rPr>
            </w:pPr>
          </w:p>
        </w:tc>
      </w:tr>
      <w:tr>
        <w:trPr>
          <w:trHeight w:val="23"/>
        </w:trPr>
        <w:tc>
          <w:tcPr>
            <w:tcW w:w="5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516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Total</w:t>
            </w:r>
          </w:p>
        </w:tc>
        <w:tc>
          <w:tcPr>
            <w:tcW w:w="780" w:type="dxa"/>
            <w:vAlign w:val="bottom"/>
            <w:tcBorders>
              <w:bottom w:val="single" w:sz="8" w:color="auto"/>
            </w:tcBorders>
            <w:shd w:val="clear" w:color="auto" w:fill="CFF0FC"/>
          </w:tcPr>
          <w:p>
            <w:pPr>
              <w:jc w:val="right"/>
              <w:ind w:right="579"/>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w:t>
            </w:r>
          </w:p>
        </w:tc>
        <w:tc>
          <w:tcPr>
            <w:tcW w:w="2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62"/>
              <w:spacing w:after="0" w:line="215" w:lineRule="exact"/>
              <w:rPr>
                <w:sz w:val="20"/>
                <w:szCs w:val="20"/>
                <w:color w:val="auto"/>
              </w:rPr>
            </w:pPr>
            <w:r>
              <w:rPr>
                <w:rFonts w:ascii="Calibri" w:cs="Calibri" w:eastAsia="Calibri" w:hAnsi="Calibri"/>
                <w:sz w:val="18"/>
                <w:szCs w:val="18"/>
                <w:color w:val="auto"/>
                <w:w w:val="87"/>
              </w:rPr>
              <w:t>$</w:t>
            </w:r>
          </w:p>
        </w:tc>
        <w:tc>
          <w:tcPr>
            <w:tcW w:w="2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4"/>
              </w:rPr>
              <w:t>108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-24765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-24765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-7620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-24765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-7620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2" w:lineRule="exact"/>
        <w:rPr>
          <w:sz w:val="20"/>
          <w:szCs w:val="20"/>
          <w:color w:val="auto"/>
        </w:rPr>
      </w:pPr>
    </w:p>
    <w:p>
      <w:pPr>
        <w:ind w:left="512" w:right="20" w:hanging="512"/>
        <w:spacing w:after="0" w:line="211" w:lineRule="auto"/>
        <w:tabs>
          <w:tab w:leader="none" w:pos="512" w:val="left"/>
        </w:tabs>
        <w:numPr>
          <w:ilvl w:val="0"/>
          <w:numId w:val="7"/>
        </w:numPr>
        <w:rPr>
          <w:rFonts w:ascii="Calibri" w:cs="Calibri" w:eastAsia="Calibri" w:hAnsi="Calibri"/>
          <w:sz w:val="23"/>
          <w:szCs w:val="23"/>
          <w:color w:val="auto"/>
          <w:vertAlign w:val="superscript"/>
        </w:rPr>
      </w:pPr>
      <w:r>
        <w:rPr>
          <w:rFonts w:ascii="Calibri" w:cs="Calibri" w:eastAsia="Calibri" w:hAnsi="Calibri"/>
          <w:sz w:val="17"/>
          <w:szCs w:val="17"/>
          <w:color w:val="auto"/>
        </w:rPr>
        <w:t>Consolidated Total Income (loss) before income taxes reconciles to Income (loss) before income taxes and equity in earnings of afliated companies on the Consolidated Statements of Operatons. Income (loss) before income taxes that are categorized as Unallocated and Other includes:</w:t>
      </w:r>
    </w:p>
    <w:p>
      <w:pPr>
        <w:spacing w:after="0" w:line="131"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right"/>
              <w:ind w:right="40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5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16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92"/>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1"/>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5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jc w:val="right"/>
              <w:ind w:right="51"/>
              <w:spacing w:after="0" w:line="164" w:lineRule="exact"/>
              <w:rPr>
                <w:sz w:val="20"/>
                <w:szCs w:val="20"/>
                <w:color w:val="auto"/>
              </w:rPr>
            </w:pPr>
            <w:r>
              <w:rPr>
                <w:rFonts w:ascii="Calibri" w:cs="Calibri" w:eastAsia="Calibri" w:hAnsi="Calibri"/>
                <w:sz w:val="14"/>
                <w:szCs w:val="14"/>
                <w:b w:val="1"/>
                <w:bCs w:val="1"/>
                <w:color w:val="auto"/>
                <w:w w:val="89"/>
              </w:rPr>
              <w:t>(In</w:t>
            </w:r>
          </w:p>
        </w:tc>
        <w:tc>
          <w:tcPr>
            <w:tcW w:w="4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expense</w:t>
            </w:r>
          </w:p>
        </w:tc>
        <w:tc>
          <w:tcPr>
            <w:tcW w:w="740" w:type="dxa"/>
            <w:vAlign w:val="bottom"/>
            <w:tcBorders>
              <w:bottom w:val="single" w:sz="8" w:color="CFF0FC"/>
            </w:tcBorders>
            <w:shd w:val="clear" w:color="auto" w:fill="CFF0FC"/>
          </w:tcPr>
          <w:p>
            <w:pPr>
              <w:jc w:val="right"/>
              <w:ind w:right="539"/>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(19 )</w:t>
            </w:r>
          </w:p>
        </w:tc>
        <w:tc>
          <w:tcPr>
            <w:tcW w:w="760" w:type="dxa"/>
            <w:vAlign w:val="bottom"/>
            <w:tcBorders>
              <w:bottom w:val="single" w:sz="8" w:color="CFF0FC"/>
            </w:tcBorders>
            <w:shd w:val="clear" w:color="auto" w:fill="CFF0FC"/>
          </w:tcPr>
          <w:p>
            <w:pPr>
              <w:jc w:val="right"/>
              <w:ind w:right="57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CFF0FC"/>
            </w:tcBorders>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(24 )</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(62 )</w:t>
            </w: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(69 )</w:t>
            </w:r>
          </w:p>
        </w:tc>
      </w:tr>
      <w:tr>
        <w:trPr>
          <w:trHeight w:val="243"/>
        </w:trPr>
        <w:tc>
          <w:tcPr>
            <w:tcW w:w="5160" w:type="dxa"/>
            <w:vAlign w:val="bottom"/>
          </w:tcPr>
          <w:p>
            <w:pPr>
              <w:spacing w:after="0" w:line="243" w:lineRule="exact"/>
              <w:rPr>
                <w:sz w:val="20"/>
                <w:szCs w:val="20"/>
                <w:color w:val="auto"/>
              </w:rPr>
            </w:pPr>
            <w:r>
              <w:rPr>
                <w:rFonts w:ascii="Calibri" w:cs="Calibri" w:eastAsia="Calibri" w:hAnsi="Calibri"/>
                <w:sz w:val="18"/>
                <w:szCs w:val="18"/>
                <w:color w:val="auto"/>
              </w:rPr>
              <w:t>Certain items</w:t>
            </w:r>
            <w:r>
              <w:rPr>
                <w:rFonts w:ascii="Calibri" w:cs="Calibri" w:eastAsia="Calibri" w:hAnsi="Calibri"/>
                <w:sz w:val="24"/>
                <w:szCs w:val="24"/>
                <w:color w:val="auto"/>
                <w:vertAlign w:val="superscript"/>
              </w:rPr>
              <w:t>(a)</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16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Argentna controlled currency devaluaton and other losses (Note B)</w:t>
            </w:r>
          </w:p>
        </w:tc>
        <w:tc>
          <w:tcPr>
            <w:tcW w:w="7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(2 )</w:t>
            </w:r>
          </w:p>
        </w:tc>
        <w:tc>
          <w:tcPr>
            <w:tcW w:w="7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gridSpan w:val="2"/>
            <w:shd w:val="clear" w:color="auto" w:fill="CFF0FC"/>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(43 )</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160" w:type="dxa"/>
            <w:vAlign w:val="bottom"/>
          </w:tcPr>
          <w:p>
            <w:pPr>
              <w:ind w:left="100"/>
              <w:spacing w:after="0" w:line="215" w:lineRule="exact"/>
              <w:rPr>
                <w:sz w:val="20"/>
                <w:szCs w:val="20"/>
                <w:color w:val="auto"/>
              </w:rPr>
            </w:pPr>
            <w:r>
              <w:rPr>
                <w:rFonts w:ascii="Calibri" w:cs="Calibri" w:eastAsia="Calibri" w:hAnsi="Calibri"/>
                <w:sz w:val="18"/>
                <w:szCs w:val="18"/>
                <w:color w:val="auto"/>
              </w:rPr>
              <w:t>Global restructuring actvites (Note H)</w:t>
            </w:r>
          </w:p>
        </w:tc>
        <w:tc>
          <w:tcPr>
            <w:tcW w:w="740" w:type="dxa"/>
            <w:vAlign w:val="bottom"/>
          </w:tcPr>
          <w:p>
            <w:pPr>
              <w:spacing w:after="0"/>
              <w:rPr>
                <w:sz w:val="18"/>
                <w:szCs w:val="18"/>
                <w:color w:val="auto"/>
              </w:rPr>
            </w:pPr>
          </w:p>
        </w:tc>
        <w:tc>
          <w:tcPr>
            <w:tcW w:w="5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760" w:type="dxa"/>
            <w:vAlign w:val="bottom"/>
          </w:tcPr>
          <w:p>
            <w:pPr>
              <w:spacing w:after="0"/>
              <w:rPr>
                <w:sz w:val="18"/>
                <w:szCs w:val="18"/>
                <w:color w:val="auto"/>
              </w:rPr>
            </w:pPr>
          </w:p>
        </w:tc>
        <w:tc>
          <w:tcPr>
            <w:tcW w:w="520" w:type="dxa"/>
            <w:vAlign w:val="bottom"/>
            <w:gridSpan w:val="2"/>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(13 )</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7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215"/>
        </w:trPr>
        <w:tc>
          <w:tcPr>
            <w:tcW w:w="5160" w:type="dxa"/>
            <w:vAlign w:val="bottom"/>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740" w:type="dxa"/>
            <w:vAlign w:val="bottom"/>
          </w:tcPr>
          <w:p>
            <w:pPr>
              <w:spacing w:after="0"/>
              <w:rPr>
                <w:sz w:val="18"/>
                <w:szCs w:val="18"/>
                <w:color w:val="auto"/>
              </w:rPr>
            </w:pPr>
          </w:p>
        </w:tc>
        <w:tc>
          <w:tcPr>
            <w:tcW w:w="5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spacing w:after="0"/>
              <w:rPr>
                <w:sz w:val="18"/>
                <w:szCs w:val="18"/>
                <w:color w:val="auto"/>
              </w:rPr>
            </w:pPr>
          </w:p>
        </w:tc>
        <w:tc>
          <w:tcPr>
            <w:tcW w:w="520" w:type="dxa"/>
            <w:vAlign w:val="bottom"/>
            <w:gridSpan w:val="2"/>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28"/>
        </w:trPr>
        <w:tc>
          <w:tcPr>
            <w:tcW w:w="5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Gain on sale of land</w:t>
            </w:r>
          </w:p>
        </w:tc>
        <w:tc>
          <w:tcPr>
            <w:tcW w:w="7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gridSpan w:val="2"/>
            <w:shd w:val="clear" w:color="auto" w:fill="CFF0FC"/>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160" w:type="dxa"/>
            <w:vAlign w:val="bottom"/>
          </w:tcPr>
          <w:p>
            <w:pPr>
              <w:ind w:left="100"/>
              <w:spacing w:after="0" w:line="215" w:lineRule="exact"/>
              <w:rPr>
                <w:sz w:val="20"/>
                <w:szCs w:val="20"/>
                <w:color w:val="auto"/>
              </w:rPr>
            </w:pPr>
            <w:r>
              <w:rPr>
                <w:rFonts w:ascii="Calibri" w:cs="Calibri" w:eastAsia="Calibri" w:hAnsi="Calibri"/>
                <w:sz w:val="18"/>
                <w:szCs w:val="18"/>
                <w:color w:val="auto"/>
              </w:rPr>
              <w:t>Loss on sale of business</w:t>
            </w:r>
          </w:p>
        </w:tc>
        <w:tc>
          <w:tcPr>
            <w:tcW w:w="740" w:type="dxa"/>
            <w:vAlign w:val="bottom"/>
          </w:tcPr>
          <w:p>
            <w:pPr>
              <w:spacing w:after="0"/>
              <w:rPr>
                <w:sz w:val="18"/>
                <w:szCs w:val="18"/>
                <w:color w:val="auto"/>
              </w:rPr>
            </w:pPr>
          </w:p>
        </w:tc>
        <w:tc>
          <w:tcPr>
            <w:tcW w:w="5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spacing w:after="0"/>
              <w:rPr>
                <w:sz w:val="18"/>
                <w:szCs w:val="18"/>
                <w:color w:val="auto"/>
              </w:rPr>
            </w:pPr>
          </w:p>
        </w:tc>
        <w:tc>
          <w:tcPr>
            <w:tcW w:w="520" w:type="dxa"/>
            <w:vAlign w:val="bottom"/>
            <w:gridSpan w:val="2"/>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r>
      <w:tr>
        <w:trPr>
          <w:trHeight w:val="28"/>
        </w:trPr>
        <w:tc>
          <w:tcPr>
            <w:tcW w:w="5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8"/>
                <w:szCs w:val="18"/>
                <w:color w:val="auto"/>
              </w:rPr>
              <w:t>Other</w:t>
            </w:r>
          </w:p>
        </w:tc>
        <w:tc>
          <w:tcPr>
            <w:tcW w:w="7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gridSpan w:val="2"/>
            <w:shd w:val="clear" w:color="auto" w:fill="CFF0FC"/>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0"/>
        </w:trPr>
        <w:tc>
          <w:tcPr>
            <w:tcW w:w="5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5160" w:type="dxa"/>
            <w:vAlign w:val="bottom"/>
          </w:tcPr>
          <w:p>
            <w:pPr>
              <w:ind w:left="360"/>
              <w:spacing w:after="0" w:line="213" w:lineRule="exact"/>
              <w:rPr>
                <w:sz w:val="20"/>
                <w:szCs w:val="20"/>
                <w:color w:val="auto"/>
              </w:rPr>
            </w:pPr>
            <w:r>
              <w:rPr>
                <w:rFonts w:ascii="Calibri" w:cs="Calibri" w:eastAsia="Calibri" w:hAnsi="Calibri"/>
                <w:sz w:val="18"/>
                <w:szCs w:val="18"/>
                <w:color w:val="auto"/>
              </w:rPr>
              <w:t>Total certain items</w:t>
            </w:r>
          </w:p>
        </w:tc>
        <w:tc>
          <w:tcPr>
            <w:tcW w:w="740" w:type="dxa"/>
            <w:vAlign w:val="bottom"/>
          </w:tcPr>
          <w:p>
            <w:pPr>
              <w:spacing w:after="0"/>
              <w:rPr>
                <w:sz w:val="18"/>
                <w:szCs w:val="18"/>
                <w:color w:val="auto"/>
              </w:rPr>
            </w:pPr>
          </w:p>
        </w:tc>
        <w:tc>
          <w:tcPr>
            <w:tcW w:w="560" w:type="dxa"/>
            <w:vAlign w:val="bottom"/>
            <w:gridSpan w:val="2"/>
          </w:tcPr>
          <w:p>
            <w:pPr>
              <w:jc w:val="right"/>
              <w:ind w:right="180"/>
              <w:spacing w:after="0" w:line="213" w:lineRule="exact"/>
              <w:rPr>
                <w:sz w:val="20"/>
                <w:szCs w:val="20"/>
                <w:color w:val="auto"/>
              </w:rPr>
            </w:pPr>
            <w:r>
              <w:rPr>
                <w:rFonts w:ascii="Calibri" w:cs="Calibri" w:eastAsia="Calibri" w:hAnsi="Calibri"/>
                <w:sz w:val="18"/>
                <w:szCs w:val="18"/>
                <w:color w:val="auto"/>
              </w:rPr>
              <w:t>(2 )</w:t>
            </w:r>
          </w:p>
        </w:tc>
        <w:tc>
          <w:tcPr>
            <w:tcW w:w="760" w:type="dxa"/>
            <w:vAlign w:val="bottom"/>
          </w:tcPr>
          <w:p>
            <w:pPr>
              <w:spacing w:after="0"/>
              <w:rPr>
                <w:sz w:val="18"/>
                <w:szCs w:val="18"/>
                <w:color w:val="auto"/>
              </w:rPr>
            </w:pPr>
          </w:p>
        </w:tc>
        <w:tc>
          <w:tcPr>
            <w:tcW w:w="520" w:type="dxa"/>
            <w:vAlign w:val="bottom"/>
            <w:gridSpan w:val="2"/>
          </w:tcPr>
          <w:p>
            <w:pPr>
              <w:jc w:val="right"/>
              <w:ind w:right="88"/>
              <w:spacing w:after="0" w:line="213"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3" w:lineRule="exact"/>
              <w:rPr>
                <w:sz w:val="20"/>
                <w:szCs w:val="20"/>
                <w:color w:val="auto"/>
              </w:rPr>
            </w:pPr>
            <w:r>
              <w:rPr>
                <w:rFonts w:ascii="Calibri" w:cs="Calibri" w:eastAsia="Calibri" w:hAnsi="Calibri"/>
                <w:sz w:val="18"/>
                <w:szCs w:val="18"/>
                <w:color w:val="auto"/>
              </w:rPr>
              <w:t>(56 )</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line="213" w:lineRule="exact"/>
              <w:rPr>
                <w:sz w:val="20"/>
                <w:szCs w:val="20"/>
                <w:color w:val="auto"/>
              </w:rPr>
            </w:pPr>
            <w:r>
              <w:rPr>
                <w:rFonts w:ascii="Calibri" w:cs="Calibri" w:eastAsia="Calibri" w:hAnsi="Calibri"/>
                <w:sz w:val="18"/>
                <w:szCs w:val="18"/>
                <w:color w:val="auto"/>
              </w:rPr>
              <w:t>(7 )</w:t>
            </w:r>
          </w:p>
        </w:tc>
      </w:tr>
      <w:tr>
        <w:trPr>
          <w:trHeight w:val="23"/>
        </w:trPr>
        <w:tc>
          <w:tcPr>
            <w:tcW w:w="5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5160" w:type="dxa"/>
            <w:vAlign w:val="bottom"/>
            <w:shd w:val="clear" w:color="auto" w:fill="CFF0FC"/>
          </w:tcPr>
          <w:p>
            <w:pPr>
              <w:spacing w:after="0" w:line="236" w:lineRule="exact"/>
              <w:rPr>
                <w:sz w:val="20"/>
                <w:szCs w:val="20"/>
                <w:color w:val="auto"/>
              </w:rPr>
            </w:pPr>
            <w:r>
              <w:rPr>
                <w:rFonts w:ascii="Calibri" w:cs="Calibri" w:eastAsia="Calibri" w:hAnsi="Calibri"/>
                <w:sz w:val="18"/>
                <w:szCs w:val="18"/>
                <w:color w:val="auto"/>
              </w:rPr>
              <w:t>Unallocated corporate costs</w:t>
            </w:r>
            <w:r>
              <w:rPr>
                <w:rFonts w:ascii="Calibri" w:cs="Calibri" w:eastAsia="Calibri" w:hAnsi="Calibri"/>
                <w:sz w:val="24"/>
                <w:szCs w:val="24"/>
                <w:color w:val="auto"/>
                <w:vertAlign w:val="superscript"/>
              </w:rPr>
              <w:t>(b)</w:t>
            </w:r>
          </w:p>
        </w:tc>
        <w:tc>
          <w:tcPr>
            <w:tcW w:w="7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(16 )</w:t>
            </w:r>
          </w:p>
        </w:tc>
        <w:tc>
          <w:tcPr>
            <w:tcW w:w="7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(11 )</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(51 )</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(42 )</w:t>
            </w:r>
          </w:p>
        </w:tc>
      </w:tr>
      <w:tr>
        <w:trPr>
          <w:trHeight w:val="243"/>
        </w:trPr>
        <w:tc>
          <w:tcPr>
            <w:tcW w:w="5160" w:type="dxa"/>
            <w:vAlign w:val="bottom"/>
          </w:tcPr>
          <w:p>
            <w:pPr>
              <w:spacing w:after="0" w:line="243" w:lineRule="exact"/>
              <w:rPr>
                <w:sz w:val="20"/>
                <w:szCs w:val="20"/>
                <w:color w:val="auto"/>
              </w:rPr>
            </w:pPr>
            <w:r>
              <w:rPr>
                <w:rFonts w:ascii="Calibri" w:cs="Calibri" w:eastAsia="Calibri" w:hAnsi="Calibri"/>
                <w:sz w:val="18"/>
                <w:szCs w:val="18"/>
                <w:color w:val="auto"/>
              </w:rPr>
              <w:t>General unallocated income (expense)</w:t>
            </w:r>
            <w:r>
              <w:rPr>
                <w:rFonts w:ascii="Calibri" w:cs="Calibri" w:eastAsia="Calibri" w:hAnsi="Calibri"/>
                <w:sz w:val="24"/>
                <w:szCs w:val="24"/>
                <w:color w:val="auto"/>
                <w:vertAlign w:val="superscript"/>
              </w:rPr>
              <w:t>(c)</w:t>
            </w:r>
          </w:p>
        </w:tc>
        <w:tc>
          <w:tcPr>
            <w:tcW w:w="740" w:type="dxa"/>
            <w:vAlign w:val="bottom"/>
          </w:tcPr>
          <w:p>
            <w:pPr>
              <w:spacing w:after="0"/>
              <w:rPr>
                <w:sz w:val="21"/>
                <w:szCs w:val="21"/>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21"/>
                <w:szCs w:val="21"/>
                <w:color w:val="auto"/>
              </w:rPr>
            </w:pPr>
          </w:p>
        </w:tc>
      </w:tr>
      <w:tr>
        <w:trPr>
          <w:trHeight w:val="183"/>
        </w:trPr>
        <w:tc>
          <w:tcPr>
            <w:tcW w:w="5160" w:type="dxa"/>
            <w:vAlign w:val="bottom"/>
            <w:shd w:val="clear" w:color="auto" w:fill="CFF0FC"/>
          </w:tcPr>
          <w:p>
            <w:pPr>
              <w:spacing w:after="0" w:line="183" w:lineRule="exact"/>
              <w:rPr>
                <w:sz w:val="20"/>
                <w:szCs w:val="20"/>
                <w:color w:val="auto"/>
              </w:rPr>
            </w:pPr>
            <w:r>
              <w:rPr>
                <w:rFonts w:ascii="Calibri" w:cs="Calibri" w:eastAsia="Calibri" w:hAnsi="Calibri"/>
                <w:sz w:val="18"/>
                <w:szCs w:val="18"/>
                <w:color w:val="auto"/>
              </w:rPr>
              <w:t>Less: Equity in earnings of afliated companies, net</w:t>
            </w: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63"/>
        </w:trPr>
        <w:tc>
          <w:tcPr>
            <w:tcW w:w="5160" w:type="dxa"/>
            <w:vAlign w:val="bottom"/>
            <w:tcBorders>
              <w:bottom w:val="single" w:sz="8" w:color="CFF0FC"/>
            </w:tcBorders>
            <w:shd w:val="clear" w:color="auto" w:fill="CFF0FC"/>
          </w:tcPr>
          <w:p>
            <w:pPr>
              <w:ind w:left="120"/>
              <w:spacing w:after="0" w:line="263" w:lineRule="exact"/>
              <w:rPr>
                <w:sz w:val="20"/>
                <w:szCs w:val="20"/>
                <w:color w:val="auto"/>
              </w:rPr>
            </w:pPr>
            <w:r>
              <w:rPr>
                <w:rFonts w:ascii="Calibri" w:cs="Calibri" w:eastAsia="Calibri" w:hAnsi="Calibri"/>
                <w:sz w:val="18"/>
                <w:szCs w:val="18"/>
                <w:color w:val="auto"/>
              </w:rPr>
              <w:t>of tax</w:t>
            </w:r>
            <w:r>
              <w:rPr>
                <w:rFonts w:ascii="Calibri" w:cs="Calibri" w:eastAsia="Calibri" w:hAnsi="Calibri"/>
                <w:sz w:val="24"/>
                <w:szCs w:val="24"/>
                <w:color w:val="auto"/>
                <w:vertAlign w:val="superscript"/>
              </w:rPr>
              <w:t>(d)</w:t>
            </w:r>
          </w:p>
        </w:tc>
        <w:tc>
          <w:tcPr>
            <w:tcW w:w="74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5</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7"/>
        </w:trPr>
        <w:tc>
          <w:tcPr>
            <w:tcW w:w="5160" w:type="dxa"/>
            <w:vAlign w:val="bottom"/>
          </w:tcPr>
          <w:p>
            <w:pPr>
              <w:spacing w:after="0"/>
              <w:rPr>
                <w:sz w:val="20"/>
                <w:szCs w:val="20"/>
                <w:color w:val="auto"/>
              </w:rPr>
            </w:pPr>
            <w:r>
              <w:rPr>
                <w:rFonts w:ascii="Calibri" w:cs="Calibri" w:eastAsia="Calibri" w:hAnsi="Calibri"/>
                <w:sz w:val="18"/>
                <w:szCs w:val="18"/>
                <w:color w:val="auto"/>
              </w:rPr>
              <w:t>Total</w:t>
            </w:r>
          </w:p>
        </w:tc>
        <w:tc>
          <w:tcPr>
            <w:tcW w:w="740" w:type="dxa"/>
            <w:vAlign w:val="bottom"/>
          </w:tcPr>
          <w:p>
            <w:pPr>
              <w:jc w:val="right"/>
              <w:ind w:right="539"/>
              <w:spacing w:after="0" w:line="215" w:lineRule="exact"/>
              <w:rPr>
                <w:sz w:val="20"/>
                <w:szCs w:val="20"/>
                <w:color w:val="auto"/>
              </w:rPr>
            </w:pPr>
            <w:r>
              <w:rPr>
                <w:rFonts w:ascii="Calibri" w:cs="Calibri" w:eastAsia="Calibri" w:hAnsi="Calibri"/>
                <w:sz w:val="18"/>
                <w:szCs w:val="18"/>
                <w:color w:val="auto"/>
              </w:rPr>
              <w:t>$</w:t>
            </w:r>
          </w:p>
        </w:tc>
        <w:tc>
          <w:tcPr>
            <w:tcW w:w="5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(33 )</w:t>
            </w:r>
          </w:p>
        </w:tc>
        <w:tc>
          <w:tcPr>
            <w:tcW w:w="760" w:type="dxa"/>
            <w:vAlign w:val="bottom"/>
          </w:tcPr>
          <w:p>
            <w:pPr>
              <w:jc w:val="right"/>
              <w:ind w:right="57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(34 )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(140 )</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(113 )</w:t>
            </w:r>
          </w:p>
        </w:tc>
      </w:tr>
      <w:tr>
        <w:trPr>
          <w:trHeight w:val="20"/>
        </w:trPr>
        <w:tc>
          <w:tcPr>
            <w:tcW w:w="5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-950595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-950595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-950595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-950595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-187960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-187960</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-187960</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-187960</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06" w:lineRule="exact"/>
        <w:rPr>
          <w:sz w:val="20"/>
          <w:szCs w:val="20"/>
          <w:color w:val="auto"/>
        </w:rPr>
      </w:pPr>
    </w:p>
    <w:p>
      <w:pPr>
        <w:ind w:left="1012" w:right="260" w:hanging="499"/>
        <w:spacing w:after="0" w:line="201" w:lineRule="auto"/>
        <w:tabs>
          <w:tab w:leader="none" w:pos="1012"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Certain items are items of expense and income that management does not consider representatve of the Company’s fundamental on-going segment results and they are, therefore, excluded from Segment EBIT.</w:t>
      </w:r>
    </w:p>
    <w:p>
      <w:pPr>
        <w:spacing w:after="0" w:line="1" w:lineRule="exact"/>
        <w:rPr>
          <w:rFonts w:ascii="Calibri" w:cs="Calibri" w:eastAsia="Calibri" w:hAnsi="Calibri"/>
          <w:sz w:val="24"/>
          <w:szCs w:val="24"/>
          <w:color w:val="auto"/>
          <w:vertAlign w:val="superscript"/>
        </w:rPr>
      </w:pPr>
    </w:p>
    <w:p>
      <w:pPr>
        <w:ind w:left="1012" w:hanging="499"/>
        <w:spacing w:after="0" w:line="210" w:lineRule="auto"/>
        <w:tabs>
          <w:tab w:leader="none" w:pos="1012"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corporate costs are costs that are not controlled by the segments and primarily beneft corporate interests.</w:t>
      </w:r>
    </w:p>
    <w:p>
      <w:pPr>
        <w:spacing w:after="0" w:line="64" w:lineRule="exact"/>
        <w:rPr>
          <w:rFonts w:ascii="Calibri" w:cs="Calibri" w:eastAsia="Calibri" w:hAnsi="Calibri"/>
          <w:sz w:val="24"/>
          <w:szCs w:val="24"/>
          <w:color w:val="auto"/>
          <w:vertAlign w:val="superscript"/>
        </w:rPr>
      </w:pPr>
    </w:p>
    <w:p>
      <w:pPr>
        <w:ind w:left="1012" w:hanging="499"/>
        <w:spacing w:after="0" w:line="210" w:lineRule="auto"/>
        <w:tabs>
          <w:tab w:leader="none" w:pos="1012" w:val="left"/>
        </w:tabs>
        <w:numPr>
          <w:ilvl w:val="0"/>
          <w:numId w:val="8"/>
        </w:numPr>
        <w:rPr>
          <w:rFonts w:ascii="Calibri" w:cs="Calibri" w:eastAsia="Calibri" w:hAnsi="Calibri"/>
          <w:sz w:val="23"/>
          <w:szCs w:val="23"/>
          <w:color w:val="auto"/>
          <w:vertAlign w:val="superscript"/>
        </w:rPr>
      </w:pPr>
      <w:r>
        <w:rPr>
          <w:rFonts w:ascii="Calibri" w:cs="Calibri" w:eastAsia="Calibri" w:hAnsi="Calibri"/>
          <w:sz w:val="17"/>
          <w:szCs w:val="17"/>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 This does not include items of income or expense that are separately treated as Certain items.</w:t>
      </w:r>
    </w:p>
    <w:p>
      <w:pPr>
        <w:spacing w:after="0" w:line="43" w:lineRule="exact"/>
        <w:rPr>
          <w:rFonts w:ascii="Calibri" w:cs="Calibri" w:eastAsia="Calibri" w:hAnsi="Calibri"/>
          <w:sz w:val="23"/>
          <w:szCs w:val="23"/>
          <w:color w:val="auto"/>
          <w:vertAlign w:val="superscript"/>
        </w:rPr>
      </w:pPr>
    </w:p>
    <w:p>
      <w:pPr>
        <w:ind w:left="1012" w:right="480" w:hanging="499"/>
        <w:spacing w:after="0" w:line="201" w:lineRule="auto"/>
        <w:tabs>
          <w:tab w:leader="none" w:pos="1012"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Equity in earnings of afliated companies, net of tax, is included in Segment EBIT and is removed in Unallocated and other to reconcile to Income (loss) from operatons before income taxes and equity in earnings from afliated companies.</w:t>
      </w:r>
    </w:p>
    <w:p>
      <w:pPr>
        <w:spacing w:after="0" w:line="1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22" w:right="359" w:bottom="1440" w:gutter="0" w:footer="0" w:header="0"/>
        </w:sectPr>
      </w:pPr>
    </w:p>
    <w:bookmarkStart w:id="19" w:name="page20"/>
    <w:bookmarkEnd w:id="19"/>
    <w:p>
      <w:pPr>
        <w:ind w:right="200" w:firstLine="509"/>
        <w:spacing w:after="0" w:line="235" w:lineRule="auto"/>
        <w:rPr>
          <w:sz w:val="20"/>
          <w:szCs w:val="20"/>
          <w:color w:val="auto"/>
        </w:rPr>
      </w:pPr>
      <w:r>
        <w:rPr>
          <w:rFonts w:ascii="Calibri" w:cs="Calibri" w:eastAsia="Calibri" w:hAnsi="Calibri"/>
          <w:sz w:val="18"/>
          <w:szCs w:val="18"/>
          <w:color w:val="auto"/>
        </w:rPr>
        <w:t>The Company’s segments operate globally. In additon to presentng Revenue from external customers by reportable segment, the following tables further disaggregate Revenues from external customers by geographic region.</w:t>
      </w:r>
    </w:p>
    <w:p>
      <w:pPr>
        <w:sectPr>
          <w:pgSz w:w="11900" w:h="16838" w:orient="portrait"/>
          <w:cols w:equalWidth="0" w:num="1">
            <w:col w:w="11120"/>
          </w:cols>
          <w:pgMar w:left="320" w:top="106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Americas</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Asia Pacifc</w:t>
      </w:r>
    </w:p>
    <w:p>
      <w:pPr>
        <w:spacing w:after="0" w:line="37"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Europe, Middle East and Africa</w:t>
      </w:r>
    </w:p>
    <w:p>
      <w:pPr>
        <w:spacing w:after="0" w:line="28"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Segment revenues from external customers</w:t>
      </w:r>
    </w:p>
    <w:p>
      <w:pPr>
        <w:spacing w:after="0" w:line="4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Unallocated and other</w:t>
      </w:r>
    </w:p>
    <w:p>
      <w:pPr>
        <w:spacing w:after="0" w:line="6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Net sales and other operatng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Americas</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Asia Pacifc</w:t>
      </w:r>
    </w:p>
    <w:p>
      <w:pPr>
        <w:spacing w:after="0" w:line="37"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Europe, Middle East and Africa</w:t>
      </w:r>
    </w:p>
    <w:p>
      <w:pPr>
        <w:spacing w:after="0" w:line="28"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Segment revenues from external customers</w:t>
      </w:r>
    </w:p>
    <w:p>
      <w:pPr>
        <w:spacing w:after="0" w:line="4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Unallocated and other</w:t>
      </w:r>
    </w:p>
    <w:p>
      <w:pPr>
        <w:spacing w:after="0" w:line="6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Net sales and other operatng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Americas</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Asia Pacifc</w:t>
      </w:r>
    </w:p>
    <w:p>
      <w:pPr>
        <w:spacing w:after="0" w:line="37"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Europe, Middle East and Africa</w:t>
      </w:r>
    </w:p>
    <w:p>
      <w:pPr>
        <w:spacing w:after="0" w:line="28"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Segment revenues from external customers</w:t>
      </w:r>
    </w:p>
    <w:p>
      <w:pPr>
        <w:spacing w:after="0" w:line="4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Unallocated and other</w:t>
      </w:r>
    </w:p>
    <w:p>
      <w:pPr>
        <w:spacing w:after="0" w:line="6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Net sales and other operatng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Americas</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Asia Pacifc</w:t>
      </w:r>
    </w:p>
    <w:p>
      <w:pPr>
        <w:spacing w:after="0" w:line="37"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Europe, Middle East and Africa</w:t>
      </w:r>
    </w:p>
    <w:p>
      <w:pPr>
        <w:spacing w:after="0" w:line="28"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Segment revenues from external customers</w:t>
      </w:r>
    </w:p>
    <w:p>
      <w:pPr>
        <w:spacing w:after="0" w:line="4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Unallocated and other</w:t>
      </w:r>
    </w:p>
    <w:p>
      <w:pPr>
        <w:spacing w:after="0" w:line="6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Net sales and other operatng revenues</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 Subsequent Event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760"/>
        <w:spacing w:after="0"/>
        <w:rPr>
          <w:sz w:val="20"/>
          <w:szCs w:val="20"/>
          <w:color w:val="auto"/>
        </w:rPr>
      </w:pPr>
      <w:r>
        <w:rPr>
          <w:rFonts w:ascii="Calibri" w:cs="Calibri" w:eastAsia="Calibri" w:hAnsi="Calibri"/>
          <w:sz w:val="14"/>
          <w:szCs w:val="14"/>
          <w:b w:val="1"/>
          <w:b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802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Reinforcement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Calibri" w:cs="Calibri" w:eastAsia="Calibri" w:hAnsi="Calibri"/>
                <w:sz w:val="14"/>
                <w:szCs w:val="14"/>
                <w:b w:val="1"/>
                <w:bCs w:val="1"/>
                <w:color w:val="auto"/>
              </w:rPr>
              <w:t>Performance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Calibri" w:cs="Calibri" w:eastAsia="Calibri" w:hAnsi="Calibri"/>
                <w:sz w:val="14"/>
                <w:szCs w:val="14"/>
                <w:b w:val="1"/>
                <w:bCs w:val="1"/>
                <w:color w:val="auto"/>
              </w:rPr>
              <w:t>Consolidated</w:t>
            </w:r>
          </w:p>
        </w:tc>
      </w:tr>
      <w:tr>
        <w:trPr>
          <w:trHeight w:val="176"/>
        </w:trPr>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Calibri" w:cs="Calibri" w:eastAsia="Calibri" w:hAnsi="Calibri"/>
                <w:sz w:val="14"/>
                <w:szCs w:val="14"/>
                <w:b w:val="1"/>
                <w:bCs w:val="1"/>
                <w:color w:val="auto"/>
              </w:rPr>
              <w:t>Materials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58"/>
              <w:spacing w:after="0"/>
              <w:rPr>
                <w:sz w:val="20"/>
                <w:szCs w:val="20"/>
                <w:color w:val="auto"/>
              </w:rPr>
            </w:pPr>
            <w:r>
              <w:rPr>
                <w:rFonts w:ascii="Calibri" w:cs="Calibri" w:eastAsia="Calibri" w:hAnsi="Calibri"/>
                <w:sz w:val="14"/>
                <w:szCs w:val="14"/>
                <w:b w:val="1"/>
                <w:bCs w:val="1"/>
                <w:color w:val="auto"/>
              </w:rPr>
              <w:t>Chemicals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5"/>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3"/>
        </w:trPr>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9"/>
        </w:trPr>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265</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103</w:t>
            </w:r>
          </w:p>
        </w:tc>
        <w:tc>
          <w:tcPr>
            <w:tcW w:w="30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368</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245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132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377</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139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97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236</w:t>
            </w:r>
          </w:p>
        </w:tc>
      </w:tr>
      <w:tr>
        <w:trPr>
          <w:trHeight w:val="37"/>
        </w:trPr>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jc w:val="right"/>
              <w:spacing w:after="0" w:line="208" w:lineRule="exact"/>
              <w:rPr>
                <w:sz w:val="20"/>
                <w:szCs w:val="20"/>
                <w:color w:val="auto"/>
              </w:rPr>
            </w:pPr>
            <w:r>
              <w:rPr>
                <w:rFonts w:ascii="Calibri" w:cs="Calibri" w:eastAsia="Calibri" w:hAnsi="Calibri"/>
                <w:sz w:val="18"/>
                <w:szCs w:val="18"/>
                <w:color w:val="auto"/>
              </w:rPr>
              <w:t>649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332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981</w:t>
            </w:r>
          </w:p>
        </w:tc>
      </w:tr>
      <w:tr>
        <w:trPr>
          <w:trHeight w:val="234"/>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35</w:t>
            </w:r>
          </w:p>
        </w:tc>
      </w:tr>
      <w:tr>
        <w:trPr>
          <w:trHeight w:val="37"/>
        </w:trPr>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1,016</w:t>
            </w:r>
          </w:p>
        </w:tc>
      </w:tr>
      <w:tr>
        <w:trPr>
          <w:trHeight w:val="28"/>
        </w:trPr>
        <w:tc>
          <w:tcPr>
            <w:tcW w:w="180" w:type="dxa"/>
            <w:vAlign w:val="bottom"/>
          </w:tcPr>
          <w:p>
            <w:pPr>
              <w:spacing w:after="0"/>
              <w:rPr>
                <w:sz w:val="2"/>
                <w:szCs w:val="2"/>
                <w:color w:val="auto"/>
              </w:rPr>
            </w:pPr>
          </w:p>
        </w:tc>
        <w:tc>
          <w:tcPr>
            <w:tcW w:w="2380" w:type="dxa"/>
            <w:vAlign w:val="bottom"/>
            <w:gridSpan w:val="5"/>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420"/>
        </w:trPr>
        <w:tc>
          <w:tcPr>
            <w:tcW w:w="180" w:type="dxa"/>
            <w:vAlign w:val="bottom"/>
          </w:tcPr>
          <w:p>
            <w:pPr>
              <w:spacing w:after="0"/>
              <w:rPr>
                <w:sz w:val="24"/>
                <w:szCs w:val="24"/>
                <w:color w:val="auto"/>
              </w:rPr>
            </w:pPr>
          </w:p>
        </w:tc>
        <w:tc>
          <w:tcPr>
            <w:tcW w:w="3420" w:type="dxa"/>
            <w:vAlign w:val="bottom"/>
            <w:gridSpan w:val="7"/>
          </w:tcPr>
          <w:p>
            <w:pPr>
              <w:jc w:val="right"/>
              <w:ind w:right="675"/>
              <w:spacing w:after="0"/>
              <w:rPr>
                <w:sz w:val="20"/>
                <w:szCs w:val="20"/>
                <w:color w:val="auto"/>
              </w:rPr>
            </w:pPr>
            <w:r>
              <w:rPr>
                <w:rFonts w:ascii="Calibri" w:cs="Calibri" w:eastAsia="Calibri" w:hAnsi="Calibri"/>
                <w:sz w:val="14"/>
                <w:szCs w:val="14"/>
                <w:b w:val="1"/>
                <w:bCs w:val="1"/>
                <w:color w:val="auto"/>
              </w:rPr>
              <w:t>Three Months Ended June 30, 2023</w:t>
            </w:r>
          </w:p>
        </w:tc>
      </w:tr>
      <w:tr>
        <w:trPr>
          <w:trHeight w:val="33"/>
        </w:trPr>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3"/>
        </w:trPr>
        <w:tc>
          <w:tcPr>
            <w:tcW w:w="108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Performance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75"/>
              <w:spacing w:after="0" w:line="164" w:lineRule="exact"/>
              <w:rPr>
                <w:sz w:val="20"/>
                <w:szCs w:val="20"/>
                <w:color w:val="auto"/>
              </w:rPr>
            </w:pPr>
            <w:r>
              <w:rPr>
                <w:rFonts w:ascii="Calibri" w:cs="Calibri" w:eastAsia="Calibri" w:hAnsi="Calibri"/>
                <w:sz w:val="14"/>
                <w:szCs w:val="14"/>
                <w:b w:val="1"/>
                <w:bCs w:val="1"/>
                <w:color w:val="auto"/>
              </w:rPr>
              <w:t>Consolidated</w:t>
            </w:r>
          </w:p>
        </w:tc>
      </w:tr>
      <w:tr>
        <w:trPr>
          <w:trHeight w:val="175"/>
        </w:trPr>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Calibri" w:cs="Calibri" w:eastAsia="Calibri" w:hAnsi="Calibri"/>
                <w:sz w:val="14"/>
                <w:szCs w:val="14"/>
                <w:b w:val="1"/>
                <w:bCs w:val="1"/>
                <w:color w:val="auto"/>
              </w:rPr>
              <w:t>Materials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58"/>
              <w:spacing w:after="0"/>
              <w:rPr>
                <w:sz w:val="20"/>
                <w:szCs w:val="20"/>
                <w:color w:val="auto"/>
              </w:rPr>
            </w:pPr>
            <w:r>
              <w:rPr>
                <w:rFonts w:ascii="Calibri" w:cs="Calibri" w:eastAsia="Calibri" w:hAnsi="Calibri"/>
                <w:sz w:val="14"/>
                <w:szCs w:val="14"/>
                <w:b w:val="1"/>
                <w:bCs w:val="1"/>
                <w:color w:val="auto"/>
              </w:rPr>
              <w:t>Chemicals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5"/>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3"/>
        </w:trPr>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9"/>
        </w:trPr>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260</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94</w:t>
            </w:r>
          </w:p>
        </w:tc>
        <w:tc>
          <w:tcPr>
            <w:tcW w:w="30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354</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234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353</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130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94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224</w:t>
            </w:r>
          </w:p>
        </w:tc>
      </w:tr>
      <w:tr>
        <w:trPr>
          <w:trHeight w:val="37"/>
        </w:trPr>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jc w:val="right"/>
              <w:spacing w:after="0" w:line="208" w:lineRule="exact"/>
              <w:rPr>
                <w:sz w:val="20"/>
                <w:szCs w:val="20"/>
                <w:color w:val="auto"/>
              </w:rPr>
            </w:pPr>
            <w:r>
              <w:rPr>
                <w:rFonts w:ascii="Calibri" w:cs="Calibri" w:eastAsia="Calibri" w:hAnsi="Calibri"/>
                <w:sz w:val="18"/>
                <w:szCs w:val="18"/>
                <w:color w:val="auto"/>
              </w:rPr>
              <w:t>624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931</w:t>
            </w:r>
          </w:p>
        </w:tc>
      </w:tr>
      <w:tr>
        <w:trPr>
          <w:trHeight w:val="234"/>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37"/>
        </w:trPr>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968</w:t>
            </w:r>
          </w:p>
        </w:tc>
      </w:tr>
      <w:tr>
        <w:trPr>
          <w:trHeight w:val="28"/>
        </w:trPr>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-2622550</wp:posOffset>
            </wp:positionV>
            <wp:extent cx="570039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-2313940</wp:posOffset>
            </wp:positionV>
            <wp:extent cx="570039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-1996440</wp:posOffset>
            </wp:positionV>
            <wp:extent cx="5700395"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-967740</wp:posOffset>
            </wp:positionV>
            <wp:extent cx="570039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-659130</wp:posOffset>
            </wp:positionV>
            <wp:extent cx="5700395"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-342265</wp:posOffset>
            </wp:positionV>
            <wp:extent cx="5700395"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780"/>
        <w:spacing w:after="0"/>
        <w:rPr>
          <w:sz w:val="20"/>
          <w:szCs w:val="20"/>
          <w:color w:val="auto"/>
        </w:rPr>
      </w:pPr>
      <w:r>
        <w:rPr>
          <w:rFonts w:ascii="Calibri" w:cs="Calibri" w:eastAsia="Calibri" w:hAnsi="Calibri"/>
          <w:sz w:val="14"/>
          <w:szCs w:val="14"/>
          <w:b w:val="1"/>
          <w:bCs w:val="1"/>
          <w:color w:val="auto"/>
        </w:rPr>
        <w:t>Nine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802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Reinforcement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Calibri" w:cs="Calibri" w:eastAsia="Calibri" w:hAnsi="Calibri"/>
                <w:sz w:val="14"/>
                <w:szCs w:val="14"/>
                <w:b w:val="1"/>
                <w:bCs w:val="1"/>
                <w:color w:val="auto"/>
              </w:rPr>
              <w:t>Performance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Calibri" w:cs="Calibri" w:eastAsia="Calibri" w:hAnsi="Calibri"/>
                <w:sz w:val="14"/>
                <w:szCs w:val="14"/>
                <w:b w:val="1"/>
                <w:bCs w:val="1"/>
                <w:color w:val="auto"/>
              </w:rPr>
              <w:t>Consolidated</w:t>
            </w:r>
          </w:p>
        </w:tc>
      </w:tr>
      <w:tr>
        <w:trPr>
          <w:trHeight w:val="175"/>
        </w:trPr>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Calibri" w:cs="Calibri" w:eastAsia="Calibri" w:hAnsi="Calibri"/>
                <w:sz w:val="14"/>
                <w:szCs w:val="14"/>
                <w:b w:val="1"/>
                <w:bCs w:val="1"/>
                <w:color w:val="auto"/>
              </w:rPr>
              <w:t>Materials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58"/>
              <w:spacing w:after="0"/>
              <w:rPr>
                <w:sz w:val="20"/>
                <w:szCs w:val="20"/>
                <w:color w:val="auto"/>
              </w:rPr>
            </w:pPr>
            <w:r>
              <w:rPr>
                <w:rFonts w:ascii="Calibri" w:cs="Calibri" w:eastAsia="Calibri" w:hAnsi="Calibri"/>
                <w:sz w:val="14"/>
                <w:szCs w:val="14"/>
                <w:b w:val="1"/>
                <w:bCs w:val="1"/>
                <w:color w:val="auto"/>
              </w:rPr>
              <w:t>Chemicals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5"/>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3"/>
        </w:trPr>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9"/>
        </w:trPr>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793</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284</w:t>
            </w:r>
          </w:p>
        </w:tc>
        <w:tc>
          <w:tcPr>
            <w:tcW w:w="30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1,077</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760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372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1,132</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413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272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685</w:t>
            </w:r>
          </w:p>
        </w:tc>
      </w:tr>
      <w:tr>
        <w:trPr>
          <w:trHeight w:val="37"/>
        </w:trPr>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jc w:val="right"/>
              <w:spacing w:after="0" w:line="208" w:lineRule="exact"/>
              <w:rPr>
                <w:sz w:val="20"/>
                <w:szCs w:val="20"/>
                <w:color w:val="auto"/>
              </w:rPr>
            </w:pPr>
            <w:r>
              <w:rPr>
                <w:rFonts w:ascii="Calibri" w:cs="Calibri" w:eastAsia="Calibri" w:hAnsi="Calibri"/>
                <w:sz w:val="18"/>
                <w:szCs w:val="18"/>
                <w:color w:val="auto"/>
              </w:rPr>
              <w:t>1,966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928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2,894</w:t>
            </w:r>
          </w:p>
        </w:tc>
      </w:tr>
      <w:tr>
        <w:trPr>
          <w:trHeight w:val="234"/>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99</w:t>
            </w:r>
          </w:p>
        </w:tc>
      </w:tr>
      <w:tr>
        <w:trPr>
          <w:trHeight w:val="37"/>
        </w:trPr>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2,993</w:t>
            </w:r>
          </w:p>
        </w:tc>
      </w:tr>
      <w:tr>
        <w:trPr>
          <w:trHeight w:val="28"/>
        </w:trPr>
        <w:tc>
          <w:tcPr>
            <w:tcW w:w="180" w:type="dxa"/>
            <w:vAlign w:val="bottom"/>
          </w:tcPr>
          <w:p>
            <w:pPr>
              <w:spacing w:after="0"/>
              <w:rPr>
                <w:sz w:val="2"/>
                <w:szCs w:val="2"/>
                <w:color w:val="auto"/>
              </w:rPr>
            </w:pPr>
          </w:p>
        </w:tc>
        <w:tc>
          <w:tcPr>
            <w:tcW w:w="2380" w:type="dxa"/>
            <w:vAlign w:val="bottom"/>
            <w:gridSpan w:val="5"/>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636"/>
        </w:trPr>
        <w:tc>
          <w:tcPr>
            <w:tcW w:w="180" w:type="dxa"/>
            <w:vAlign w:val="bottom"/>
          </w:tcPr>
          <w:p>
            <w:pPr>
              <w:spacing w:after="0"/>
              <w:rPr>
                <w:sz w:val="24"/>
                <w:szCs w:val="24"/>
                <w:color w:val="auto"/>
              </w:rPr>
            </w:pPr>
          </w:p>
        </w:tc>
        <w:tc>
          <w:tcPr>
            <w:tcW w:w="3420" w:type="dxa"/>
            <w:vAlign w:val="bottom"/>
            <w:gridSpan w:val="7"/>
          </w:tcPr>
          <w:p>
            <w:pPr>
              <w:jc w:val="right"/>
              <w:ind w:right="695"/>
              <w:spacing w:after="0"/>
              <w:rPr>
                <w:sz w:val="20"/>
                <w:szCs w:val="20"/>
                <w:color w:val="auto"/>
              </w:rPr>
            </w:pPr>
            <w:r>
              <w:rPr>
                <w:rFonts w:ascii="Calibri" w:cs="Calibri" w:eastAsia="Calibri" w:hAnsi="Calibri"/>
                <w:sz w:val="14"/>
                <w:szCs w:val="14"/>
                <w:b w:val="1"/>
                <w:bCs w:val="1"/>
                <w:color w:val="auto"/>
              </w:rPr>
              <w:t>Nine Months Ended June 30, 2023</w:t>
            </w:r>
          </w:p>
        </w:tc>
      </w:tr>
      <w:tr>
        <w:trPr>
          <w:trHeight w:val="33"/>
        </w:trPr>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3"/>
        </w:trPr>
        <w:tc>
          <w:tcPr>
            <w:tcW w:w="108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Performance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75"/>
              <w:spacing w:after="0" w:line="164" w:lineRule="exact"/>
              <w:rPr>
                <w:sz w:val="20"/>
                <w:szCs w:val="20"/>
                <w:color w:val="auto"/>
              </w:rPr>
            </w:pPr>
            <w:r>
              <w:rPr>
                <w:rFonts w:ascii="Calibri" w:cs="Calibri" w:eastAsia="Calibri" w:hAnsi="Calibri"/>
                <w:sz w:val="14"/>
                <w:szCs w:val="14"/>
                <w:b w:val="1"/>
                <w:bCs w:val="1"/>
                <w:color w:val="auto"/>
              </w:rPr>
              <w:t>Consolidated</w:t>
            </w:r>
          </w:p>
        </w:tc>
      </w:tr>
      <w:tr>
        <w:trPr>
          <w:trHeight w:val="175"/>
        </w:trPr>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Calibri" w:cs="Calibri" w:eastAsia="Calibri" w:hAnsi="Calibri"/>
                <w:sz w:val="14"/>
                <w:szCs w:val="14"/>
                <w:b w:val="1"/>
                <w:bCs w:val="1"/>
                <w:color w:val="auto"/>
              </w:rPr>
              <w:t>Materials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58"/>
              <w:spacing w:after="0"/>
              <w:rPr>
                <w:sz w:val="20"/>
                <w:szCs w:val="20"/>
                <w:color w:val="auto"/>
              </w:rPr>
            </w:pPr>
            <w:r>
              <w:rPr>
                <w:rFonts w:ascii="Calibri" w:cs="Calibri" w:eastAsia="Calibri" w:hAnsi="Calibri"/>
                <w:sz w:val="14"/>
                <w:szCs w:val="14"/>
                <w:b w:val="1"/>
                <w:bCs w:val="1"/>
                <w:color w:val="auto"/>
              </w:rPr>
              <w:t>Chemicals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5"/>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3"/>
        </w:trPr>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9"/>
        </w:trPr>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781</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283</w:t>
            </w:r>
          </w:p>
        </w:tc>
        <w:tc>
          <w:tcPr>
            <w:tcW w:w="30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1,064</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752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368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1,120</w:t>
            </w:r>
          </w:p>
        </w:tc>
      </w:tr>
      <w:tr>
        <w:trPr>
          <w:trHeight w:val="243"/>
        </w:trPr>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406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268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674</w:t>
            </w:r>
          </w:p>
        </w:tc>
      </w:tr>
      <w:tr>
        <w:trPr>
          <w:trHeight w:val="37"/>
        </w:trPr>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jc w:val="right"/>
              <w:spacing w:after="0" w:line="208" w:lineRule="exact"/>
              <w:rPr>
                <w:sz w:val="20"/>
                <w:szCs w:val="20"/>
                <w:color w:val="auto"/>
              </w:rPr>
            </w:pPr>
            <w:r>
              <w:rPr>
                <w:rFonts w:ascii="Calibri" w:cs="Calibri" w:eastAsia="Calibri" w:hAnsi="Calibri"/>
                <w:sz w:val="18"/>
                <w:szCs w:val="18"/>
                <w:color w:val="auto"/>
              </w:rPr>
              <w:t>1,939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919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2,858</w:t>
            </w:r>
          </w:p>
        </w:tc>
      </w:tr>
      <w:tr>
        <w:trPr>
          <w:trHeight w:val="234"/>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108</w:t>
            </w:r>
          </w:p>
        </w:tc>
      </w:tr>
      <w:tr>
        <w:trPr>
          <w:trHeight w:val="37"/>
        </w:trPr>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08"/>
        </w:trPr>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2,966</w:t>
            </w:r>
          </w:p>
        </w:tc>
      </w:tr>
      <w:tr>
        <w:trPr>
          <w:trHeight w:val="28"/>
        </w:trPr>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-2759710</wp:posOffset>
            </wp:positionV>
            <wp:extent cx="5700395"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-2451100</wp:posOffset>
            </wp:positionV>
            <wp:extent cx="5700395"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-2133600</wp:posOffset>
            </wp:positionV>
            <wp:extent cx="5700395"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-967740</wp:posOffset>
            </wp:positionV>
            <wp:extent cx="5700395"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-659130</wp:posOffset>
            </wp:positionV>
            <wp:extent cx="570039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-342265</wp:posOffset>
            </wp:positionV>
            <wp:extent cx="5700395"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5720" w:space="720"/>
            <w:col w:w="4680"/>
          </w:cols>
          <w:pgMar w:left="320" w:top="1062" w:right="459" w:bottom="1440" w:gutter="0" w:footer="0" w:header="0"/>
          <w:type w:val="continuous"/>
        </w:sectPr>
      </w:pPr>
    </w:p>
    <w:p>
      <w:pPr>
        <w:jc w:val="both"/>
        <w:ind w:firstLine="509"/>
        <w:spacing w:after="0" w:line="235" w:lineRule="auto"/>
        <w:rPr>
          <w:sz w:val="20"/>
          <w:szCs w:val="20"/>
          <w:color w:val="auto"/>
        </w:rPr>
      </w:pPr>
      <w:r>
        <w:rPr>
          <w:rFonts w:ascii="Calibri" w:cs="Calibri" w:eastAsia="Calibri" w:hAnsi="Calibri"/>
          <w:sz w:val="18"/>
          <w:szCs w:val="18"/>
          <w:color w:val="auto"/>
        </w:rPr>
        <w:t>On July 19, 2024, Cabot entered into agreements to purchase certain assets and to license the related technology, which the Company expects to use in its manufacturing of certain products for its Batery Materials product line. Under these agreements, the Company will pay $27 million at closing, which is expected to occur in the frst quarter of fscal 2025.</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62" w:right="45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8"/>
          <w:szCs w:val="18"/>
          <w:b w:val="1"/>
          <w:bCs w:val="1"/>
          <w:i w:val="1"/>
          <w:iCs w:val="1"/>
          <w:color w:val="auto"/>
        </w:rPr>
        <w:t>Item 2.  Management’s Discussion and Analysis of Financial Conditon and Results of Operatons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Refer to the discussion under the heading “Recent Accountng Pronouncements”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Cabot is also organized for operatonal purposes into three geographic regions: the Americas; Europe, Middle East and Africa (“EMEA”); and Asia Pacifc. The discussion of our results of operatons for the periods presented refects these structures.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analysis of our fnancial conditon and operatng results should be read with our consolidated fnancial statements and accompanying notes.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of Terms and Non-GAAP Financial Measures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When discussing our results of operatons, we use several terms as described below.</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full fscal year. Our operatng tax rate is a non-GAAP fnancial measure and should not be considered as an alternatve to our efectve tax rate, the most comparable GAAP fnancial measure. The operatng tax rate is calculated based upon management's forecast of the annual operatng tax rate for the fscal year applied to adjusted pre-tax earnings. The operatng tax rate excludes income tax (expense) beneft on certain items, discrete tax items, and, on a quarterly basis, the tming of losses in certain jurisdictons.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discussion under the heading “Third Quarter of Fiscal 2024 versus Third Quarter of Fiscal 2023—By Business Segment” includes a discussion of Total segment EBIT, which is a non-GAAP fnancial measure defned as Income (loss) from operatons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Total segment EBIT should not be considered an alternatve for Income (loss) from operatons before income taxes and equity in earnings of afliated companies, which is the most directly comparable U.S. GAAP fnancial measure. A reconciliaton of Total segment EBIT to Income (loss) from operatons before income taxes and equity in earnings of afliated companies is provided under the heading “Third quarter of Fiscal 2024 versus Third quarter of Fiscal 2023—By Business Segment”. Investors should consider the limitatons associated with this non-GAAP measure, including the potental lack of comparability of this measure from one company to another.</w:t>
      </w:r>
    </w:p>
    <w:p>
      <w:pPr>
        <w:spacing w:after="0" w:line="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calculatng Total segment EBIT, we exclude from our Income (loss) from operatons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 that would not otherwise be apparent on a GAAP basis and also facilitates an evaluaton of our operatng performance without the impact of these costs or benefts. The items of income and expense that we have excluded from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 w:name="page22"/>
    <w:bookmarkEnd w:id="21"/>
    <w:p>
      <w:pPr>
        <w:ind w:right="280"/>
        <w:spacing w:after="0" w:line="235" w:lineRule="auto"/>
        <w:rPr>
          <w:sz w:val="20"/>
          <w:szCs w:val="20"/>
          <w:color w:val="auto"/>
        </w:rPr>
      </w:pPr>
      <w:r>
        <w:rPr>
          <w:rFonts w:ascii="Calibri" w:cs="Calibri" w:eastAsia="Calibri" w:hAnsi="Calibri"/>
          <w:sz w:val="18"/>
          <w:szCs w:val="18"/>
          <w:color w:val="auto"/>
        </w:rPr>
        <w:t>Total segment EBIT, as applicable, but that are included in our GAAP Income (loss) from operatons before income taxes and equity in earnings of afliated companies, as applicable, are described below.</w:t>
      </w:r>
    </w:p>
    <w:p>
      <w:pPr>
        <w:spacing w:after="0" w:line="96" w:lineRule="exact"/>
        <w:rPr>
          <w:sz w:val="20"/>
          <w:szCs w:val="20"/>
          <w:color w:val="auto"/>
        </w:rPr>
      </w:pPr>
    </w:p>
    <w:p>
      <w:pPr>
        <w:ind w:left="1020" w:right="14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Argentna controlled currency devaluaton loss related to the foreign exchange loss from government-controlled currency devaluatons on our net monetary assets denominated in the Argentne peso and investment losses related to the utlizaton of government bond programs established for the setlement of certain foreign payables.</w:t>
      </w:r>
    </w:p>
    <w:p>
      <w:pPr>
        <w:spacing w:after="0" w:line="97"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97"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Legal and environmental reserves and maters, which consist of costs or benefts for maters typically related to former businesses or that are otherwise incurred outside of the ordinary course of business.</w:t>
      </w:r>
    </w:p>
    <w:p>
      <w:pPr>
        <w:spacing w:after="0" w:line="96" w:lineRule="exact"/>
        <w:rPr>
          <w:rFonts w:ascii="Times New Roman" w:cs="Times New Roman" w:eastAsia="Times New Roman" w:hAnsi="Times New Roman"/>
          <w:sz w:val="18"/>
          <w:szCs w:val="18"/>
          <w:color w:val="auto"/>
        </w:rPr>
      </w:pPr>
    </w:p>
    <w:p>
      <w:pPr>
        <w:ind w:left="1020" w:right="3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96"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 impairment charges, which primarily include charges associated with an impairment of goodwill, other long-lived assets or assets held for sale.</w:t>
      </w:r>
    </w:p>
    <w:p>
      <w:pPr>
        <w:spacing w:after="0" w:line="96"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Charges related to the divestture of our Purifcaton Solutons business, which include accelerated costs associated with the change in control and employee incentve compensaton.</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Beneft from the setlement of a royalty arrangement entered into in connecton with the divestture of our former Specialty Fluids business.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Gains (losses) on sale of a business.</w:t>
      </w:r>
    </w:p>
    <w:p>
      <w:pPr>
        <w:spacing w:after="0" w:line="95"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beneft plan setlements, which consist of either charges or benefts associated with the terminaton of a pension plan or the transfer of a pension plan to a mult-employer plan.</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associated with the bargain purchase of a business.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280" w:firstLine="494"/>
        <w:spacing w:after="0" w:line="235" w:lineRule="auto"/>
        <w:rPr>
          <w:sz w:val="20"/>
          <w:szCs w:val="20"/>
          <w:color w:val="auto"/>
        </w:rPr>
      </w:pPr>
      <w:r>
        <w:rPr>
          <w:rFonts w:ascii="Calibri" w:cs="Calibri" w:eastAsia="Calibri" w:hAnsi="Calibri"/>
          <w:sz w:val="18"/>
          <w:szCs w:val="18"/>
          <w:color w:val="auto"/>
        </w:rPr>
        <w:t>During the third quarter of fscal 2024, Income (loss) before income taxes and equity in earnings of afliated companies increased compared to the third quarter of fscal 2023. The increase was driven by higher earnings in our Reinforcement Materials and Performance Chemicals segments.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Third quarter of Fiscal 2024 versus Third quarter of Fiscal 2023—Consolidated</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Sales and Other Operatng Revenues and Gross Proft</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9"/>
              <w:spacing w:after="0" w:line="164" w:lineRule="exact"/>
              <w:rPr>
                <w:sz w:val="20"/>
                <w:szCs w:val="20"/>
                <w:color w:val="auto"/>
              </w:rPr>
            </w:pPr>
            <w:r>
              <w:rPr>
                <w:rFonts w:ascii="Calibri" w:cs="Calibri" w:eastAsia="Calibri" w:hAnsi="Calibri"/>
                <w:sz w:val="14"/>
                <w:szCs w:val="14"/>
                <w:b w:val="1"/>
                <w:bCs w:val="1"/>
                <w:color w:val="auto"/>
              </w:rPr>
              <w:t>2024</w:t>
            </w:r>
          </w:p>
        </w:tc>
        <w:tc>
          <w:tcPr>
            <w:tcW w:w="100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6"/>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8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1,016</w:t>
            </w:r>
          </w:p>
        </w:tc>
        <w:tc>
          <w:tcPr>
            <w:tcW w:w="1000" w:type="dxa"/>
            <w:vAlign w:val="bottom"/>
            <w:tcBorders>
              <w:bottom w:val="single" w:sz="8" w:color="CFF0FC"/>
            </w:tcBorders>
            <w:gridSpan w:val="2"/>
            <w:shd w:val="clear" w:color="auto" w:fill="CFF0FC"/>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ind w:left="40"/>
              <w:spacing w:after="0" w:line="215" w:lineRule="exact"/>
              <w:rPr>
                <w:sz w:val="20"/>
                <w:szCs w:val="20"/>
                <w:color w:val="auto"/>
              </w:rPr>
            </w:pPr>
            <w:r>
              <w:rPr>
                <w:rFonts w:ascii="Calibri" w:cs="Calibri" w:eastAsia="Calibri" w:hAnsi="Calibri"/>
                <w:sz w:val="18"/>
                <w:szCs w:val="18"/>
                <w:color w:val="auto"/>
              </w:rPr>
              <w:t>968</w:t>
            </w: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2,993</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880" w:type="dxa"/>
            <w:vAlign w:val="bottom"/>
          </w:tcPr>
          <w:p>
            <w:pPr>
              <w:spacing w:after="0" w:line="215" w:lineRule="exact"/>
              <w:rPr>
                <w:sz w:val="20"/>
                <w:szCs w:val="20"/>
                <w:color w:val="auto"/>
              </w:rPr>
            </w:pPr>
            <w:r>
              <w:rPr>
                <w:rFonts w:ascii="Calibri" w:cs="Calibri" w:eastAsia="Calibri" w:hAnsi="Calibri"/>
                <w:sz w:val="18"/>
                <w:szCs w:val="18"/>
                <w:color w:val="auto"/>
              </w:rPr>
              <w:t>Gross proft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256</w:t>
            </w:r>
          </w:p>
        </w:tc>
        <w:tc>
          <w:tcPr>
            <w:tcW w:w="1000" w:type="dxa"/>
            <w:vAlign w:val="bottom"/>
            <w:gridSpan w:val="2"/>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ind w:left="40"/>
              <w:spacing w:after="0" w:line="215" w:lineRule="exact"/>
              <w:rPr>
                <w:sz w:val="20"/>
                <w:szCs w:val="20"/>
                <w:color w:val="auto"/>
              </w:rPr>
            </w:pPr>
            <w:r>
              <w:rPr>
                <w:rFonts w:ascii="Calibri" w:cs="Calibri" w:eastAsia="Calibri" w:hAnsi="Calibri"/>
                <w:sz w:val="18"/>
                <w:szCs w:val="18"/>
                <w:color w:val="auto"/>
              </w:rPr>
              <w:t>223</w:t>
            </w: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720</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614</w:t>
            </w:r>
          </w:p>
        </w:tc>
        <w:tc>
          <w:tcPr>
            <w:tcW w:w="80" w:type="dxa"/>
            <w:vAlign w:val="bottom"/>
          </w:tcPr>
          <w:p>
            <w:pPr>
              <w:spacing w:after="0"/>
              <w:rPr>
                <w:sz w:val="18"/>
                <w:szCs w:val="18"/>
                <w:color w:val="auto"/>
              </w:rPr>
            </w:pPr>
          </w:p>
        </w:tc>
      </w:tr>
    </w:tbl>
    <w:p>
      <w:pPr>
        <w:spacing w:after="0" w:line="19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$48 million increase in Net sales and other operatng revenues in the third quarter of fscal 2024 compared to the third quarter of fscal 2023 was driven by higher volumes in both our Reinforcement Materials and Performance Chemicals segments (combined $56 million) and favorable price and product mix in our Reinforcement Materials segment ($14 million), partally ofset by the unfavorable impact from foreign currency translaton in both our Reinforcement Materials and Performance Chemicals segments ($17 million).</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$27 million increase in Net sales and other operatng revenues in the frst nine months of fscal 2024 compared to the frst nine months of fscal 2023 was driven by higher volumes in both our Reinforcement Materials and Performance Chemicals segments (combined $142 million), partally ofset by unfavorable price and product mix in both our Reinforcement Materials and Performance Chemicals segments in the fscal 2024 period (combined $96 million), partally ofset by the unfavorable impact from foreign currency translaton in both our Reinforcement material and Performance Chemicals segments (combined $9 million). The unfavorable price and product mix was driven by lower pricing primarily due to lower raw material costs that are generally passed through to our customers.</w:t>
      </w:r>
    </w:p>
    <w:p>
      <w:pPr>
        <w:spacing w:after="0" w:line="86"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For the three and nine months ended June 30, 2024, gross proft increased by $33 million and $106 million, respectvely, compared to the same periods of fscal 2023. The increase in Gross proft in the third quarter of fscal 2024 compared to the third quarter of fscal 2023 was driven primarily by higher volumes in both the Reinforcement Materials and Performance Chemicals segments (combined $27 million). The increase in Gross proft in the frst nine months of fscal 2024 compared to the frst nine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22" w:name="page23"/>
    <w:bookmarkEnd w:id="22"/>
    <w:p>
      <w:pPr>
        <w:ind w:right="340" w:firstLine="40"/>
        <w:spacing w:after="0" w:line="258" w:lineRule="auto"/>
        <w:rPr>
          <w:sz w:val="20"/>
          <w:szCs w:val="20"/>
          <w:color w:val="auto"/>
        </w:rPr>
      </w:pPr>
      <w:r>
        <w:rPr>
          <w:rFonts w:ascii="Calibri" w:cs="Calibri" w:eastAsia="Calibri" w:hAnsi="Calibri"/>
          <w:sz w:val="17"/>
          <w:szCs w:val="17"/>
          <w:color w:val="auto"/>
        </w:rPr>
        <w:t>months of fscal 2023 was driven primarily by higher volumes in both the Reinforcement Materials and Performance Chemicals segments (combined $58 million) and higher unit margins, net of costs within both the Reinforcement Materials and Performance Chemicals segments (combined $44 million).</w:t>
      </w:r>
    </w:p>
    <w:p>
      <w:pPr>
        <w:spacing w:after="0" w:line="62"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Selling and Administratve Expenses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120" w:type="dxa"/>
            <w:vAlign w:val="bottom"/>
            <w:gridSpan w:val="4"/>
          </w:tcPr>
          <w:p>
            <w:pPr>
              <w:jc w:val="right"/>
              <w:ind w:right="20"/>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jc w:val="right"/>
              <w:ind w:right="42"/>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100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2"/>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jc w:val="right"/>
              <w:ind w:right="59"/>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8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820" w:type="dxa"/>
            <w:vAlign w:val="bottom"/>
            <w:shd w:val="clear" w:color="auto" w:fill="CFF0FC"/>
          </w:tcPr>
          <w:p>
            <w:pPr>
              <w:jc w:val="right"/>
              <w:ind w:right="642"/>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w:t>
            </w:r>
          </w:p>
        </w:tc>
        <w:tc>
          <w:tcPr>
            <w:tcW w:w="1000" w:type="dxa"/>
            <w:vAlign w:val="bottom"/>
            <w:gridSpan w:val="2"/>
            <w:shd w:val="clear" w:color="auto" w:fill="CFF0FC"/>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w:t>
            </w:r>
          </w:p>
        </w:tc>
        <w:tc>
          <w:tcPr>
            <w:tcW w:w="4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210</w:t>
            </w:r>
          </w:p>
        </w:tc>
        <w:tc>
          <w:tcPr>
            <w:tcW w:w="4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184</w:t>
            </w:r>
          </w:p>
        </w:tc>
        <w:tc>
          <w:tcPr>
            <w:tcW w:w="80" w:type="dxa"/>
            <w:vAlign w:val="bottom"/>
            <w:shd w:val="clear" w:color="auto" w:fill="CFF0FC"/>
          </w:tcPr>
          <w:p>
            <w:pPr>
              <w:spacing w:after="0"/>
              <w:rPr>
                <w:sz w:val="18"/>
                <w:szCs w:val="18"/>
                <w:color w:val="auto"/>
              </w:rPr>
            </w:pPr>
          </w:p>
        </w:tc>
      </w:tr>
      <w:tr>
        <w:trPr>
          <w:trHeight w:val="28"/>
        </w:trPr>
        <w:tc>
          <w:tcPr>
            <w:tcW w:w="388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Selling and administratve expenses increased by $10 million and $26 million in the third quarter of fscal 2024 and for the nine months ended June 30, 2024, respectvely, compared to the same periods of fscal 2023, primarily due to an increase in incentve compensaton expense.</w:t>
      </w:r>
    </w:p>
    <w:p>
      <w:pPr>
        <w:spacing w:after="0" w:line="78"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Research and Technical Expenses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120" w:type="dxa"/>
            <w:vAlign w:val="bottom"/>
            <w:gridSpan w:val="4"/>
          </w:tcPr>
          <w:p>
            <w:pPr>
              <w:jc w:val="right"/>
              <w:ind w:right="20"/>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jc w:val="right"/>
              <w:ind w:right="42"/>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100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2"/>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jc w:val="right"/>
              <w:ind w:right="59"/>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8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Research and technical expenses</w:t>
            </w:r>
          </w:p>
        </w:tc>
        <w:tc>
          <w:tcPr>
            <w:tcW w:w="820" w:type="dxa"/>
            <w:vAlign w:val="bottom"/>
            <w:shd w:val="clear" w:color="auto" w:fill="CFF0FC"/>
          </w:tcPr>
          <w:p>
            <w:pPr>
              <w:jc w:val="right"/>
              <w:ind w:right="642"/>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w:t>
            </w:r>
          </w:p>
        </w:tc>
        <w:tc>
          <w:tcPr>
            <w:tcW w:w="1000" w:type="dxa"/>
            <w:vAlign w:val="bottom"/>
            <w:gridSpan w:val="2"/>
            <w:shd w:val="clear" w:color="auto" w:fill="CFF0FC"/>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4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4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w:t>
            </w:r>
          </w:p>
        </w:tc>
        <w:tc>
          <w:tcPr>
            <w:tcW w:w="80" w:type="dxa"/>
            <w:vAlign w:val="bottom"/>
            <w:shd w:val="clear" w:color="auto" w:fill="CFF0FC"/>
          </w:tcPr>
          <w:p>
            <w:pPr>
              <w:spacing w:after="0"/>
              <w:rPr>
                <w:sz w:val="18"/>
                <w:szCs w:val="18"/>
                <w:color w:val="auto"/>
              </w:rPr>
            </w:pPr>
          </w:p>
        </w:tc>
      </w:tr>
      <w:tr>
        <w:trPr>
          <w:trHeight w:val="28"/>
        </w:trPr>
        <w:tc>
          <w:tcPr>
            <w:tcW w:w="388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26" w:lineRule="exact"/>
        <w:rPr>
          <w:sz w:val="20"/>
          <w:szCs w:val="20"/>
          <w:color w:val="auto"/>
        </w:rPr>
      </w:pPr>
    </w:p>
    <w:p>
      <w:pPr>
        <w:ind w:right="60" w:firstLine="464"/>
        <w:spacing w:after="0" w:line="235" w:lineRule="auto"/>
        <w:rPr>
          <w:sz w:val="20"/>
          <w:szCs w:val="20"/>
          <w:color w:val="auto"/>
        </w:rPr>
      </w:pPr>
      <w:r>
        <w:rPr>
          <w:rFonts w:ascii="Calibri" w:cs="Calibri" w:eastAsia="Calibri" w:hAnsi="Calibri"/>
          <w:sz w:val="18"/>
          <w:szCs w:val="18"/>
          <w:color w:val="auto"/>
        </w:rPr>
        <w:t>Research and technical expenses increased by $1 million in the third quarter of fscal 2024 and increased by $3 million for the nine months ended June 30, 2024, compared to the same period of fscal 2023, primarily due to an increase in incentve compensaton expense.</w:t>
      </w:r>
    </w:p>
    <w:p>
      <w:pPr>
        <w:spacing w:after="0" w:line="78"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Loss on Sale of Business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120" w:type="dxa"/>
            <w:vAlign w:val="bottom"/>
            <w:gridSpan w:val="4"/>
          </w:tcPr>
          <w:p>
            <w:pPr>
              <w:jc w:val="right"/>
              <w:ind w:right="20"/>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jc w:val="right"/>
              <w:ind w:right="42"/>
              <w:spacing w:after="0" w:line="164" w:lineRule="exact"/>
              <w:rPr>
                <w:sz w:val="20"/>
                <w:szCs w:val="20"/>
                <w:color w:val="auto"/>
              </w:rPr>
            </w:pPr>
            <w:r>
              <w:rPr>
                <w:rFonts w:ascii="Calibri" w:cs="Calibri" w:eastAsia="Calibri" w:hAnsi="Calibri"/>
                <w:sz w:val="14"/>
                <w:szCs w:val="14"/>
                <w:b w:val="1"/>
                <w:bCs w:val="1"/>
                <w:color w:val="auto"/>
              </w:rPr>
              <w:t>2024</w:t>
            </w:r>
          </w:p>
        </w:tc>
        <w:tc>
          <w:tcPr>
            <w:tcW w:w="1300" w:type="dxa"/>
            <w:vAlign w:val="bottom"/>
            <w:gridSpan w:val="3"/>
          </w:tcPr>
          <w:p>
            <w:pPr>
              <w:jc w:val="right"/>
              <w:ind w:right="80"/>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2"/>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8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Loss on sale of business</w:t>
            </w:r>
          </w:p>
        </w:tc>
        <w:tc>
          <w:tcPr>
            <w:tcW w:w="820" w:type="dxa"/>
            <w:vAlign w:val="bottom"/>
            <w:shd w:val="clear" w:color="auto" w:fill="CFF0FC"/>
          </w:tcPr>
          <w:p>
            <w:pPr>
              <w:jc w:val="right"/>
              <w:ind w:right="642"/>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gridSpan w:val="3"/>
            <w:shd w:val="clear" w:color="auto" w:fill="CFF0FC"/>
          </w:tcPr>
          <w:p>
            <w:pPr>
              <w:jc w:val="right"/>
              <w:ind w:right="680"/>
              <w:spacing w:after="0" w:line="215" w:lineRule="exact"/>
              <w:rPr>
                <w:sz w:val="20"/>
                <w:szCs w:val="20"/>
                <w:color w:val="auto"/>
              </w:rPr>
            </w:pPr>
            <w:r>
              <w:rPr>
                <w:rFonts w:ascii="Calibri" w:cs="Calibri" w:eastAsia="Calibri" w:hAnsi="Calibri"/>
                <w:sz w:val="18"/>
                <w:szCs w:val="18"/>
                <w:color w:val="auto"/>
              </w:rPr>
              <w:t>—   $</w:t>
            </w:r>
          </w:p>
        </w:tc>
        <w:tc>
          <w:tcPr>
            <w:tcW w:w="800" w:type="dxa"/>
            <w:vAlign w:val="bottom"/>
            <w:gridSpan w:val="3"/>
            <w:shd w:val="clear" w:color="auto" w:fill="CFF0FC"/>
          </w:tcPr>
          <w:p>
            <w:pPr>
              <w:ind w:left="160"/>
              <w:spacing w:after="0" w:line="215" w:lineRule="exact"/>
              <w:rPr>
                <w:sz w:val="20"/>
                <w:szCs w:val="20"/>
                <w:color w:val="auto"/>
              </w:rPr>
            </w:pPr>
            <w:r>
              <w:rPr>
                <w:rFonts w:ascii="Calibri" w:cs="Calibri" w:eastAsia="Calibri" w:hAnsi="Calibri"/>
                <w:sz w:val="18"/>
                <w:szCs w:val="18"/>
                <w:color w:val="auto"/>
              </w:rPr>
              <w:t>—   $</w:t>
            </w:r>
          </w:p>
        </w:tc>
        <w:tc>
          <w:tcPr>
            <w:tcW w:w="1260" w:type="dxa"/>
            <w:vAlign w:val="bottom"/>
            <w:gridSpan w:val="3"/>
            <w:shd w:val="clear" w:color="auto" w:fill="CFF0FC"/>
          </w:tcPr>
          <w:p>
            <w:pPr>
              <w:ind w:left="640"/>
              <w:spacing w:after="0" w:line="215" w:lineRule="exact"/>
              <w:rPr>
                <w:sz w:val="20"/>
                <w:szCs w:val="20"/>
                <w:color w:val="auto"/>
              </w:rPr>
            </w:pPr>
            <w:r>
              <w:rPr>
                <w:rFonts w:ascii="Calibri" w:cs="Calibri" w:eastAsia="Calibri" w:hAnsi="Calibri"/>
                <w:sz w:val="18"/>
                <w:szCs w:val="18"/>
                <w:color w:val="auto"/>
              </w:rPr>
              <w:t>—   $</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80" w:type="dxa"/>
            <w:vAlign w:val="bottom"/>
            <w:shd w:val="clear" w:color="auto" w:fill="CFF0FC"/>
          </w:tcPr>
          <w:p>
            <w:pPr>
              <w:spacing w:after="0"/>
              <w:rPr>
                <w:sz w:val="18"/>
                <w:szCs w:val="18"/>
                <w:color w:val="auto"/>
              </w:rPr>
            </w:pPr>
          </w:p>
        </w:tc>
      </w:tr>
      <w:tr>
        <w:trPr>
          <w:trHeight w:val="28"/>
        </w:trPr>
        <w:tc>
          <w:tcPr>
            <w:tcW w:w="388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40" w:lineRule="exact"/>
        <w:rPr>
          <w:sz w:val="20"/>
          <w:szCs w:val="20"/>
          <w:color w:val="auto"/>
        </w:rPr>
      </w:pPr>
    </w:p>
    <w:p>
      <w:pPr>
        <w:ind w:right="380" w:firstLine="464"/>
        <w:spacing w:after="0" w:line="235" w:lineRule="auto"/>
        <w:rPr>
          <w:sz w:val="20"/>
          <w:szCs w:val="20"/>
          <w:color w:val="auto"/>
        </w:rPr>
      </w:pPr>
      <w:r>
        <w:rPr>
          <w:rFonts w:ascii="Calibri" w:cs="Calibri" w:eastAsia="Calibri" w:hAnsi="Calibri"/>
          <w:sz w:val="18"/>
          <w:szCs w:val="18"/>
          <w:color w:val="auto"/>
        </w:rPr>
        <w:t>There was no Loss on sale of business in the third quarter of fscal 2024 or fscal 2023. Previously reported Loss on sale of business in fscal 2023 is associated with the fscal 2022 divesture of the Purifcaton Solutons business.</w:t>
      </w:r>
    </w:p>
    <w:p>
      <w:pPr>
        <w:spacing w:after="0" w:line="78"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Interest and Dividend Income, Interest Expense and Other Income (Expense)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jc w:val="right"/>
              <w:ind w:right="44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7"/>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jc w:val="right"/>
              <w:ind w:right="55"/>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8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and dividend income</w:t>
            </w:r>
          </w:p>
        </w:tc>
        <w:tc>
          <w:tcPr>
            <w:tcW w:w="780" w:type="dxa"/>
            <w:vAlign w:val="bottom"/>
            <w:tcBorders>
              <w:bottom w:val="single" w:sz="8" w:color="CFF0FC"/>
            </w:tcBorders>
            <w:shd w:val="clear" w:color="auto" w:fill="CFF0FC"/>
          </w:tcPr>
          <w:p>
            <w:pPr>
              <w:jc w:val="right"/>
              <w:ind w:right="597"/>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ind w:right="595"/>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880" w:type="dxa"/>
            <w:vAlign w:val="bottom"/>
          </w:tcPr>
          <w:p>
            <w:pPr>
              <w:spacing w:after="0" w:line="215" w:lineRule="exact"/>
              <w:rPr>
                <w:sz w:val="20"/>
                <w:szCs w:val="20"/>
                <w:color w:val="auto"/>
              </w:rPr>
            </w:pPr>
            <w:r>
              <w:rPr>
                <w:rFonts w:ascii="Calibri" w:cs="Calibri" w:eastAsia="Calibri" w:hAnsi="Calibri"/>
                <w:sz w:val="18"/>
                <w:szCs w:val="18"/>
                <w:color w:val="auto"/>
              </w:rPr>
              <w:t>Interest expense</w:t>
            </w:r>
          </w:p>
        </w:tc>
        <w:tc>
          <w:tcPr>
            <w:tcW w:w="780" w:type="dxa"/>
            <w:vAlign w:val="bottom"/>
          </w:tcPr>
          <w:p>
            <w:pPr>
              <w:jc w:val="right"/>
              <w:ind w:right="597"/>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(19 )</w:t>
            </w:r>
          </w:p>
        </w:tc>
        <w:tc>
          <w:tcPr>
            <w:tcW w:w="780" w:type="dxa"/>
            <w:vAlign w:val="bottom"/>
          </w:tcPr>
          <w:p>
            <w:pPr>
              <w:jc w:val="right"/>
              <w:ind w:right="595"/>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gridSpan w:val="2"/>
          </w:tcPr>
          <w:p>
            <w:pPr>
              <w:jc w:val="right"/>
              <w:ind w:right="68"/>
              <w:spacing w:after="0" w:line="215" w:lineRule="exact"/>
              <w:rPr>
                <w:sz w:val="20"/>
                <w:szCs w:val="20"/>
                <w:color w:val="auto"/>
              </w:rPr>
            </w:pPr>
            <w:r>
              <w:rPr>
                <w:rFonts w:ascii="Calibri" w:cs="Calibri" w:eastAsia="Calibri" w:hAnsi="Calibri"/>
                <w:sz w:val="18"/>
                <w:szCs w:val="18"/>
                <w:color w:val="auto"/>
              </w:rPr>
              <w:t>(24 )</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(62 )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(69 )</w:t>
            </w:r>
          </w:p>
        </w:tc>
      </w:tr>
      <w:tr>
        <w:trPr>
          <w:trHeight w:val="28"/>
        </w:trPr>
        <w:tc>
          <w:tcPr>
            <w:tcW w:w="3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8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Other income (expense)</w:t>
            </w:r>
          </w:p>
        </w:tc>
        <w:tc>
          <w:tcPr>
            <w:tcW w:w="780" w:type="dxa"/>
            <w:vAlign w:val="bottom"/>
            <w:shd w:val="clear" w:color="auto" w:fill="CFF0FC"/>
          </w:tcPr>
          <w:p>
            <w:pPr>
              <w:jc w:val="right"/>
              <w:ind w:right="597"/>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(3 )</w:t>
            </w:r>
          </w:p>
        </w:tc>
        <w:tc>
          <w:tcPr>
            <w:tcW w:w="780" w:type="dxa"/>
            <w:vAlign w:val="bottom"/>
            <w:shd w:val="clear" w:color="auto" w:fill="CFF0FC"/>
          </w:tcPr>
          <w:p>
            <w:pPr>
              <w:jc w:val="right"/>
              <w:ind w:right="595"/>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(3 )</w:t>
            </w: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(33 )</w:t>
            </w: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(13 )</w:t>
            </w:r>
          </w:p>
        </w:tc>
      </w:tr>
      <w:tr>
        <w:trPr>
          <w:trHeight w:val="28"/>
        </w:trPr>
        <w:tc>
          <w:tcPr>
            <w:tcW w:w="388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Interest and dividend income increased by $1 million in the third quarter of fscal 2024 compared to the same period of fscal 2023, primarily due to higher rates partally ofset by lower average balances. Interest and dividend income increased by $3 million for the nine months ended June 30, 2024 compared to the same period of fscal 2023, primarily due to higher interest rates.</w:t>
      </w:r>
    </w:p>
    <w:p>
      <w:pPr>
        <w:spacing w:after="0" w:line="84"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Interest expense decreased by $5 million in the third quarter of fscal 2024 and $7 million in the nine months ended June 30, 2024 compared to the same periods of fscal 2023, due to lower average short-term borrowings, partally ofset by higher rates.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Other expense remained fat in the third quarter of fscal 2024 compared to the same period of fscal 2023. Other expense increased by $20 million for the nine months ended June 30, 2024, as compared to the same period of fscal 2023, primarily due to higher foreign currency losses in Argentna including from the impact of the government devaluaton of the currency that occurred during the frst quarter of fscal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23" w:name="page24"/>
    <w:bookmarkEnd w:id="23"/>
    <w:p>
      <w:pPr>
        <w:spacing w:after="0" w:line="200" w:lineRule="exact"/>
        <w:rPr>
          <w:sz w:val="20"/>
          <w:szCs w:val="20"/>
          <w:color w:val="auto"/>
        </w:rPr>
      </w:pPr>
    </w:p>
    <w:p>
      <w:pPr>
        <w:spacing w:after="0" w:line="314" w:lineRule="exact"/>
        <w:rPr>
          <w:sz w:val="20"/>
          <w:szCs w:val="20"/>
          <w:color w:val="auto"/>
        </w:rPr>
      </w:pPr>
    </w:p>
    <w:p>
      <w:pPr>
        <w:ind w:left="520"/>
        <w:spacing w:after="0"/>
        <w:rPr>
          <w:sz w:val="20"/>
          <w:szCs w:val="20"/>
          <w:color w:val="auto"/>
        </w:rPr>
      </w:pPr>
      <w:r>
        <w:rPr>
          <w:rFonts w:ascii="Calibri" w:cs="Calibri" w:eastAsia="Calibri" w:hAnsi="Calibri"/>
          <w:sz w:val="17"/>
          <w:szCs w:val="17"/>
          <w:i w:val="1"/>
          <w:iCs w:val="1"/>
          <w:color w:val="auto"/>
        </w:rPr>
        <w:t>(Provision) Beneft for Income Taxes and Reconciliaton of Efectve Tax Rate to Operatng Tax Rate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spacing w:after="0"/>
        <w:rPr>
          <w:sz w:val="20"/>
          <w:szCs w:val="20"/>
          <w:color w:val="auto"/>
        </w:rPr>
      </w:pPr>
      <w:r>
        <w:rPr>
          <w:rFonts w:ascii="Calibri" w:cs="Calibri" w:eastAsia="Calibri" w:hAnsi="Calibri"/>
          <w:sz w:val="14"/>
          <w:szCs w:val="14"/>
          <w:b w:val="1"/>
          <w:bCs w:val="1"/>
          <w:color w:val="auto"/>
        </w:rPr>
        <w:t>Dollars in millions</w:t>
      </w:r>
    </w:p>
    <w:p>
      <w:pPr>
        <w:spacing w:after="0" w:line="20"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Efectve tax rate</w:t>
      </w:r>
    </w:p>
    <w:p>
      <w:pPr>
        <w:spacing w:after="0" w:line="16" w:lineRule="exact"/>
        <w:rPr>
          <w:sz w:val="20"/>
          <w:szCs w:val="20"/>
          <w:color w:val="auto"/>
        </w:rPr>
      </w:pPr>
    </w:p>
    <w:p>
      <w:pPr>
        <w:ind w:left="1040"/>
        <w:spacing w:after="0"/>
        <w:rPr>
          <w:sz w:val="20"/>
          <w:szCs w:val="20"/>
          <w:color w:val="auto"/>
        </w:rPr>
      </w:pPr>
      <w:r>
        <w:rPr>
          <w:rFonts w:ascii="Calibri" w:cs="Calibri" w:eastAsia="Calibri" w:hAnsi="Calibri"/>
          <w:sz w:val="17"/>
          <w:szCs w:val="17"/>
          <w:color w:val="auto"/>
        </w:rPr>
        <w:t>Less: Non-GAAP tax adjustments</w:t>
      </w:r>
      <w:r>
        <w:rPr>
          <w:rFonts w:ascii="Calibri" w:cs="Calibri" w:eastAsia="Calibri" w:hAnsi="Calibri"/>
          <w:sz w:val="23"/>
          <w:szCs w:val="23"/>
          <w:color w:val="auto"/>
          <w:vertAlign w:val="superscript"/>
        </w:rPr>
        <w:t>(1)</w:t>
      </w:r>
    </w:p>
    <w:p>
      <w:pPr>
        <w:spacing w:after="0" w:line="23"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Operatng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40"/>
        <w:spacing w:after="0"/>
        <w:rPr>
          <w:sz w:val="20"/>
          <w:szCs w:val="20"/>
          <w:color w:val="auto"/>
        </w:rPr>
      </w:pPr>
      <w:r>
        <w:rPr>
          <w:rFonts w:ascii="Calibri" w:cs="Calibri" w:eastAsia="Calibri" w:hAnsi="Calibri"/>
          <w:sz w:val="14"/>
          <w:szCs w:val="14"/>
          <w:b w:val="1"/>
          <w:bCs w:val="1"/>
          <w:color w:val="auto"/>
        </w:rPr>
        <w:t>Dollars in millions</w:t>
      </w:r>
    </w:p>
    <w:p>
      <w:pPr>
        <w:spacing w:after="0" w:line="20"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Efectve tax rate</w:t>
      </w:r>
    </w:p>
    <w:p>
      <w:pPr>
        <w:spacing w:after="0" w:line="16" w:lineRule="exact"/>
        <w:rPr>
          <w:sz w:val="20"/>
          <w:szCs w:val="20"/>
          <w:color w:val="auto"/>
        </w:rPr>
      </w:pPr>
    </w:p>
    <w:p>
      <w:pPr>
        <w:ind w:left="1040"/>
        <w:spacing w:after="0"/>
        <w:rPr>
          <w:sz w:val="20"/>
          <w:szCs w:val="20"/>
          <w:color w:val="auto"/>
        </w:rPr>
      </w:pPr>
      <w:r>
        <w:rPr>
          <w:rFonts w:ascii="Calibri" w:cs="Calibri" w:eastAsia="Calibri" w:hAnsi="Calibri"/>
          <w:sz w:val="17"/>
          <w:szCs w:val="17"/>
          <w:color w:val="auto"/>
        </w:rPr>
        <w:t>Less: Non-GAAP tax adjustments</w:t>
      </w:r>
      <w:r>
        <w:rPr>
          <w:rFonts w:ascii="Calibri" w:cs="Calibri" w:eastAsia="Calibri" w:hAnsi="Calibri"/>
          <w:sz w:val="23"/>
          <w:szCs w:val="23"/>
          <w:color w:val="auto"/>
          <w:vertAlign w:val="superscript"/>
        </w:rPr>
        <w:t>(1)</w:t>
      </w:r>
    </w:p>
    <w:p>
      <w:pPr>
        <w:spacing w:after="0" w:line="23"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Operatng tax rate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440"/>
        <w:spacing w:after="0"/>
        <w:rPr>
          <w:sz w:val="20"/>
          <w:szCs w:val="20"/>
          <w:color w:val="auto"/>
        </w:rPr>
      </w:pPr>
      <w:r>
        <w:rPr>
          <w:rFonts w:ascii="Calibri" w:cs="Calibri" w:eastAsia="Calibri" w:hAnsi="Calibri"/>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29057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1280" w:type="dxa"/>
            <w:vAlign w:val="bottom"/>
            <w:gridSpan w:val="3"/>
          </w:tcPr>
          <w:p>
            <w:pPr>
              <w:jc w:val="right"/>
              <w:ind w:right="888"/>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3"/>
          </w:tcPr>
          <w:p>
            <w:pPr>
              <w:jc w:val="right"/>
              <w:ind w:right="828"/>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3"/>
        </w:trPr>
        <w:tc>
          <w:tcPr>
            <w:tcW w:w="94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(Provision)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(Provision)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Beneft for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Beneft for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Income Taxes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08"/>
              <w:spacing w:after="0"/>
              <w:rPr>
                <w:sz w:val="20"/>
                <w:szCs w:val="20"/>
                <w:color w:val="auto"/>
              </w:rPr>
            </w:pPr>
            <w:r>
              <w:rPr>
                <w:rFonts w:ascii="Calibri" w:cs="Calibri" w:eastAsia="Calibri" w:hAnsi="Calibri"/>
                <w:sz w:val="14"/>
                <w:szCs w:val="14"/>
                <w:b w:val="1"/>
                <w:bCs w:val="1"/>
                <w:color w:val="auto"/>
              </w:rPr>
              <w:t>Rate</w:t>
            </w: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Income Taxes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88"/>
              <w:spacing w:after="0"/>
              <w:rPr>
                <w:sz w:val="20"/>
                <w:szCs w:val="20"/>
                <w:color w:val="auto"/>
              </w:rPr>
            </w:pPr>
            <w:r>
              <w:rPr>
                <w:rFonts w:ascii="Calibri" w:cs="Calibri" w:eastAsia="Calibri" w:hAnsi="Calibri"/>
                <w:sz w:val="14"/>
                <w:szCs w:val="14"/>
                <w:b w:val="1"/>
                <w:bCs w:val="1"/>
                <w:color w:val="auto"/>
              </w:rPr>
              <w:t>Rate</w:t>
            </w:r>
          </w:p>
        </w:tc>
      </w:tr>
      <w:tr>
        <w:trPr>
          <w:trHeight w:val="33"/>
        </w:trPr>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gridSpan w:val="2"/>
          </w:tcPr>
          <w:p>
            <w:pPr>
              <w:jc w:val="right"/>
              <w:ind w:right="50"/>
              <w:spacing w:after="0"/>
              <w:rPr>
                <w:sz w:val="20"/>
                <w:szCs w:val="20"/>
                <w:color w:val="auto"/>
              </w:rPr>
            </w:pPr>
            <w:r>
              <w:rPr>
                <w:rFonts w:ascii="Calibri" w:cs="Calibri" w:eastAsia="Calibri" w:hAnsi="Calibri"/>
                <w:sz w:val="18"/>
                <w:szCs w:val="18"/>
                <w:color w:val="auto"/>
              </w:rPr>
              <w:t>(40 )</w:t>
            </w:r>
          </w:p>
        </w:tc>
        <w:tc>
          <w:tcPr>
            <w:tcW w:w="16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Calibri" w:cs="Calibri" w:eastAsia="Calibri" w:hAnsi="Calibri"/>
                <w:sz w:val="18"/>
                <w:szCs w:val="18"/>
                <w:color w:val="auto"/>
              </w:rPr>
              <w:t>25 %</w:t>
            </w: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0"/>
              <w:spacing w:after="0"/>
              <w:rPr>
                <w:sz w:val="20"/>
                <w:szCs w:val="20"/>
                <w:color w:val="auto"/>
              </w:rPr>
            </w:pPr>
            <w:r>
              <w:rPr>
                <w:rFonts w:ascii="Calibri" w:cs="Calibri" w:eastAsia="Calibri" w:hAnsi="Calibri"/>
                <w:sz w:val="18"/>
                <w:szCs w:val="18"/>
                <w:color w:val="auto"/>
              </w:rPr>
              <w:t>(41 )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alibri" w:cs="Calibri" w:eastAsia="Calibri" w:hAnsi="Calibri"/>
                <w:sz w:val="18"/>
                <w:szCs w:val="18"/>
                <w:color w:val="auto"/>
              </w:rPr>
              <w:t>32 %</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1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vMerge w:val="restart"/>
          </w:tcPr>
          <w:p>
            <w:pPr>
              <w:jc w:val="right"/>
              <w:ind w:right="10"/>
              <w:spacing w:after="0"/>
              <w:rPr>
                <w:sz w:val="20"/>
                <w:szCs w:val="20"/>
                <w:color w:val="auto"/>
              </w:rPr>
            </w:pPr>
            <w:r>
              <w:rPr>
                <w:rFonts w:ascii="Calibri" w:cs="Calibri" w:eastAsia="Calibri" w:hAnsi="Calibri"/>
                <w:sz w:val="18"/>
                <w:szCs w:val="18"/>
                <w:color w:val="auto"/>
                <w:w w:val="92"/>
              </w:rPr>
              <w:t>%</w:t>
            </w: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vMerge w:val="restart"/>
          </w:tcPr>
          <w:p>
            <w:pPr>
              <w:jc w:val="right"/>
              <w:ind w:right="10"/>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08"/>
        </w:trPr>
        <w:tc>
          <w:tcPr>
            <w:tcW w:w="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(43</w:t>
            </w:r>
          </w:p>
        </w:tc>
        <w:tc>
          <w:tcPr>
            <w:tcW w:w="200" w:type="dxa"/>
            <w:vAlign w:val="bottom"/>
          </w:tcPr>
          <w:p>
            <w:pPr>
              <w:jc w:val="right"/>
              <w:ind w:right="50"/>
              <w:spacing w:after="0" w:line="199" w:lineRule="exact"/>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27</w:t>
            </w:r>
          </w:p>
        </w:tc>
        <w:tc>
          <w:tcPr>
            <w:tcW w:w="2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(43</w:t>
            </w:r>
          </w:p>
        </w:tc>
        <w:tc>
          <w:tcPr>
            <w:tcW w:w="18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33</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80"/>
              <w:spacing w:after="0"/>
              <w:rPr>
                <w:sz w:val="20"/>
                <w:szCs w:val="20"/>
                <w:color w:val="auto"/>
              </w:rPr>
            </w:pPr>
            <w:r>
              <w:rPr>
                <w:rFonts w:ascii="Calibri" w:cs="Calibri" w:eastAsia="Calibri" w:hAnsi="Calibri"/>
                <w:sz w:val="14"/>
                <w:szCs w:val="14"/>
                <w:b w:val="1"/>
                <w:bCs w:val="1"/>
                <w:color w:val="auto"/>
              </w:rPr>
              <w:t>Nine Months Ended June 30</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1240" w:type="dxa"/>
            <w:vAlign w:val="bottom"/>
            <w:gridSpan w:val="3"/>
          </w:tcPr>
          <w:p>
            <w:pPr>
              <w:jc w:val="right"/>
              <w:ind w:right="100"/>
              <w:spacing w:after="0" w:line="164" w:lineRule="exact"/>
              <w:rPr>
                <w:sz w:val="20"/>
                <w:szCs w:val="20"/>
                <w:color w:val="auto"/>
              </w:rPr>
            </w:pPr>
            <w:r>
              <w:rPr>
                <w:rFonts w:ascii="Calibri" w:cs="Calibri" w:eastAsia="Calibri" w:hAnsi="Calibri"/>
                <w:sz w:val="14"/>
                <w:szCs w:val="14"/>
                <w:b w:val="1"/>
                <w:bCs w:val="1"/>
                <w:color w:val="auto"/>
              </w:rPr>
              <w:t>2024</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140"/>
              <w:spacing w:after="0" w:line="164" w:lineRule="exact"/>
              <w:rPr>
                <w:sz w:val="20"/>
                <w:szCs w:val="20"/>
                <w:color w:val="auto"/>
              </w:rPr>
            </w:pPr>
            <w:r>
              <w:rPr>
                <w:rFonts w:ascii="Calibri" w:cs="Calibri" w:eastAsia="Calibri" w:hAnsi="Calibri"/>
                <w:sz w:val="14"/>
                <w:szCs w:val="14"/>
                <w:b w:val="1"/>
                <w:bCs w:val="1"/>
                <w:color w:val="auto"/>
              </w:rPr>
              <w:t>2023</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1240" w:type="dxa"/>
            <w:vAlign w:val="bottom"/>
            <w:gridSpan w:val="3"/>
          </w:tcPr>
          <w:p>
            <w:pPr>
              <w:jc w:val="center"/>
              <w:ind w:right="500"/>
              <w:spacing w:after="0" w:line="164" w:lineRule="exact"/>
              <w:rPr>
                <w:sz w:val="20"/>
                <w:szCs w:val="20"/>
                <w:color w:val="auto"/>
              </w:rPr>
            </w:pPr>
            <w:r>
              <w:rPr>
                <w:rFonts w:ascii="Calibri" w:cs="Calibri" w:eastAsia="Calibri" w:hAnsi="Calibri"/>
                <w:sz w:val="14"/>
                <w:szCs w:val="14"/>
                <w:b w:val="1"/>
                <w:bCs w:val="1"/>
                <w:color w:val="auto"/>
              </w:rPr>
              <w:t>(Provision) /</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right="420"/>
              <w:spacing w:after="0" w:line="164" w:lineRule="exact"/>
              <w:rPr>
                <w:sz w:val="20"/>
                <w:szCs w:val="20"/>
                <w:color w:val="auto"/>
              </w:rPr>
            </w:pPr>
            <w:r>
              <w:rPr>
                <w:rFonts w:ascii="Calibri" w:cs="Calibri" w:eastAsia="Calibri" w:hAnsi="Calibri"/>
                <w:sz w:val="14"/>
                <w:szCs w:val="14"/>
                <w:b w:val="1"/>
                <w:bCs w:val="1"/>
                <w:color w:val="auto"/>
              </w:rPr>
              <w:t>(Provision) /</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240" w:type="dxa"/>
            <w:vAlign w:val="bottom"/>
            <w:gridSpan w:val="3"/>
          </w:tcPr>
          <w:p>
            <w:pPr>
              <w:jc w:val="center"/>
              <w:ind w:right="520"/>
              <w:spacing w:after="0"/>
              <w:rPr>
                <w:sz w:val="20"/>
                <w:szCs w:val="20"/>
                <w:color w:val="auto"/>
              </w:rPr>
            </w:pPr>
            <w:r>
              <w:rPr>
                <w:rFonts w:ascii="Calibri" w:cs="Calibri" w:eastAsia="Calibri" w:hAnsi="Calibri"/>
                <w:sz w:val="14"/>
                <w:szCs w:val="14"/>
                <w:b w:val="1"/>
                <w:bCs w:val="1"/>
                <w:color w:val="auto"/>
              </w:rPr>
              <w:t>Beneft for</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560"/>
              <w:spacing w:after="0"/>
              <w:rPr>
                <w:sz w:val="20"/>
                <w:szCs w:val="20"/>
                <w:color w:val="auto"/>
              </w:rPr>
            </w:pPr>
            <w:r>
              <w:rPr>
                <w:rFonts w:ascii="Calibri" w:cs="Calibri" w:eastAsia="Calibri" w:hAnsi="Calibri"/>
                <w:sz w:val="14"/>
                <w:szCs w:val="14"/>
                <w:b w:val="1"/>
                <w:bCs w:val="1"/>
                <w:color w:val="auto"/>
              </w:rPr>
              <w:t>Beneft for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gridSpan w:val="4"/>
          </w:tcPr>
          <w:p>
            <w:pPr>
              <w:jc w:val="center"/>
              <w:ind w:right="360"/>
              <w:spacing w:after="0"/>
              <w:rPr>
                <w:sz w:val="20"/>
                <w:szCs w:val="20"/>
                <w:color w:val="auto"/>
              </w:rPr>
            </w:pPr>
            <w:r>
              <w:rPr>
                <w:rFonts w:ascii="Calibri" w:cs="Calibri" w:eastAsia="Calibri" w:hAnsi="Calibri"/>
                <w:sz w:val="14"/>
                <w:szCs w:val="14"/>
                <w:b w:val="1"/>
                <w:bCs w:val="1"/>
                <w:color w:val="auto"/>
              </w:rPr>
              <w:t>Income Taxes</w:t>
            </w:r>
          </w:p>
        </w:tc>
        <w:tc>
          <w:tcPr>
            <w:tcW w:w="1100" w:type="dxa"/>
            <w:vAlign w:val="bottom"/>
            <w:gridSpan w:val="2"/>
          </w:tcPr>
          <w:p>
            <w:pPr>
              <w:jc w:val="right"/>
              <w:ind w:right="530"/>
              <w:spacing w:after="0"/>
              <w:rPr>
                <w:sz w:val="20"/>
                <w:szCs w:val="20"/>
                <w:color w:val="auto"/>
              </w:rPr>
            </w:pPr>
            <w:r>
              <w:rPr>
                <w:rFonts w:ascii="Calibri" w:cs="Calibri" w:eastAsia="Calibri" w:hAnsi="Calibri"/>
                <w:sz w:val="14"/>
                <w:szCs w:val="14"/>
                <w:b w:val="1"/>
                <w:bCs w:val="1"/>
                <w:color w:val="auto"/>
              </w:rPr>
              <w:t>Rate</w:t>
            </w:r>
          </w:p>
        </w:tc>
        <w:tc>
          <w:tcPr>
            <w:tcW w:w="1360" w:type="dxa"/>
            <w:vAlign w:val="bottom"/>
            <w:gridSpan w:val="4"/>
          </w:tcPr>
          <w:p>
            <w:pPr>
              <w:jc w:val="center"/>
              <w:ind w:right="400"/>
              <w:spacing w:after="0"/>
              <w:rPr>
                <w:sz w:val="20"/>
                <w:szCs w:val="20"/>
                <w:color w:val="auto"/>
              </w:rPr>
            </w:pPr>
            <w:r>
              <w:rPr>
                <w:rFonts w:ascii="Calibri" w:cs="Calibri" w:eastAsia="Calibri" w:hAnsi="Calibri"/>
                <w:sz w:val="14"/>
                <w:szCs w:val="14"/>
                <w:b w:val="1"/>
                <w:bCs w:val="1"/>
                <w:color w:val="auto"/>
              </w:rPr>
              <w:t>Income Taxes</w:t>
            </w:r>
          </w:p>
        </w:tc>
        <w:tc>
          <w:tcPr>
            <w:tcW w:w="900" w:type="dxa"/>
            <w:vAlign w:val="bottom"/>
            <w:gridSpan w:val="2"/>
          </w:tcPr>
          <w:p>
            <w:pPr>
              <w:jc w:val="right"/>
              <w:ind w:right="410"/>
              <w:spacing w:after="0"/>
              <w:rPr>
                <w:sz w:val="20"/>
                <w:szCs w:val="20"/>
                <w:color w:val="auto"/>
              </w:rPr>
            </w:pPr>
            <w:r>
              <w:rPr>
                <w:rFonts w:ascii="Calibri" w:cs="Calibri" w:eastAsia="Calibri" w:hAnsi="Calibri"/>
                <w:sz w:val="14"/>
                <w:szCs w:val="14"/>
                <w:b w:val="1"/>
                <w:bCs w:val="1"/>
                <w:color w:val="auto"/>
              </w:rPr>
              <w:t>Rate</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1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gridSpan w:val="2"/>
          </w:tcPr>
          <w:p>
            <w:pPr>
              <w:jc w:val="right"/>
              <w:ind w:right="50"/>
              <w:spacing w:after="0"/>
              <w:rPr>
                <w:sz w:val="20"/>
                <w:szCs w:val="20"/>
                <w:color w:val="auto"/>
              </w:rPr>
            </w:pPr>
            <w:r>
              <w:rPr>
                <w:rFonts w:ascii="Calibri" w:cs="Calibri" w:eastAsia="Calibri" w:hAnsi="Calibri"/>
                <w:sz w:val="18"/>
                <w:szCs w:val="18"/>
                <w:color w:val="auto"/>
              </w:rPr>
              <w:t>(121 )</w:t>
            </w:r>
          </w:p>
        </w:tc>
        <w:tc>
          <w:tcPr>
            <w:tcW w:w="160" w:type="dxa"/>
            <w:vAlign w:val="bottom"/>
          </w:tcPr>
          <w:p>
            <w:pPr>
              <w:spacing w:after="0"/>
              <w:rPr>
                <w:sz w:val="24"/>
                <w:szCs w:val="24"/>
                <w:color w:val="auto"/>
              </w:rPr>
            </w:pPr>
          </w:p>
        </w:tc>
        <w:tc>
          <w:tcPr>
            <w:tcW w:w="1100" w:type="dxa"/>
            <w:vAlign w:val="bottom"/>
            <w:gridSpan w:val="2"/>
          </w:tcPr>
          <w:p>
            <w:pPr>
              <w:jc w:val="right"/>
              <w:ind w:right="10"/>
              <w:spacing w:after="0"/>
              <w:rPr>
                <w:sz w:val="20"/>
                <w:szCs w:val="20"/>
                <w:color w:val="auto"/>
              </w:rPr>
            </w:pPr>
            <w:r>
              <w:rPr>
                <w:rFonts w:ascii="Calibri" w:cs="Calibri" w:eastAsia="Calibri" w:hAnsi="Calibri"/>
                <w:sz w:val="18"/>
                <w:szCs w:val="18"/>
                <w:color w:val="auto"/>
              </w:rPr>
              <w:t>31 %</w:t>
            </w: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0"/>
              <w:spacing w:after="0"/>
              <w:rPr>
                <w:sz w:val="20"/>
                <w:szCs w:val="20"/>
                <w:color w:val="auto"/>
              </w:rPr>
            </w:pPr>
            <w:r>
              <w:rPr>
                <w:rFonts w:ascii="Calibri" w:cs="Calibri" w:eastAsia="Calibri" w:hAnsi="Calibri"/>
                <w:sz w:val="18"/>
                <w:szCs w:val="18"/>
                <w:color w:val="auto"/>
              </w:rPr>
              <w:t>(90 )</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alibri" w:cs="Calibri" w:eastAsia="Calibri" w:hAnsi="Calibri"/>
                <w:sz w:val="18"/>
                <w:szCs w:val="18"/>
                <w:color w:val="auto"/>
              </w:rPr>
              <w:t>28 %</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1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(124</w:t>
            </w:r>
          </w:p>
        </w:tc>
        <w:tc>
          <w:tcPr>
            <w:tcW w:w="200" w:type="dxa"/>
            <w:vAlign w:val="bottom"/>
          </w:tcPr>
          <w:p>
            <w:pPr>
              <w:jc w:val="right"/>
              <w:ind w:right="50"/>
              <w:spacing w:after="0" w:line="199" w:lineRule="exact"/>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w:t>
            </w:r>
          </w:p>
        </w:tc>
        <w:tc>
          <w:tcPr>
            <w:tcW w:w="240" w:type="dxa"/>
            <w:vAlign w:val="bottom"/>
          </w:tcPr>
          <w:p>
            <w:pPr>
              <w:jc w:val="right"/>
              <w:ind w:right="10"/>
              <w:spacing w:after="0" w:line="199" w:lineRule="exact"/>
              <w:rPr>
                <w:sz w:val="20"/>
                <w:szCs w:val="20"/>
                <w:color w:val="auto"/>
              </w:rPr>
            </w:pPr>
            <w:r>
              <w:rPr>
                <w:rFonts w:ascii="Calibri" w:cs="Calibri" w:eastAsia="Calibri" w:hAnsi="Calibri"/>
                <w:sz w:val="18"/>
                <w:szCs w:val="18"/>
                <w:color w:val="auto"/>
                <w:w w:val="92"/>
              </w:rPr>
              <w:t>%</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(93</w:t>
            </w:r>
          </w:p>
        </w:tc>
        <w:tc>
          <w:tcPr>
            <w:tcW w:w="180" w:type="dxa"/>
            <w:vAlign w:val="bottom"/>
          </w:tcPr>
          <w:p>
            <w:pPr>
              <w:jc w:val="right"/>
              <w:ind w:right="10"/>
              <w:spacing w:after="0" w:line="199" w:lineRule="exact"/>
              <w:rPr>
                <w:sz w:val="20"/>
                <w:szCs w:val="20"/>
                <w:color w:val="auto"/>
              </w:rPr>
            </w:pPr>
            <w:r>
              <w:rPr>
                <w:rFonts w:ascii="Calibri" w:cs="Calibri" w:eastAsia="Calibri" w:hAnsi="Calibri"/>
                <w:sz w:val="18"/>
                <w:szCs w:val="18"/>
                <w:color w:val="auto"/>
              </w:rPr>
              <w:t>)</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w:t>
            </w:r>
          </w:p>
        </w:tc>
        <w:tc>
          <w:tcPr>
            <w:tcW w:w="14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8"/>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-2065020</wp:posOffset>
            </wp:positionV>
            <wp:extent cx="5846445"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-496570</wp:posOffset>
            </wp:positionV>
            <wp:extent cx="584644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-1748155</wp:posOffset>
            </wp:positionV>
            <wp:extent cx="5846445"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46445" cy="1797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-179070</wp:posOffset>
            </wp:positionV>
            <wp:extent cx="5846445"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46445" cy="1797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840" w:space="720"/>
            <w:col w:w="5660"/>
          </w:cols>
          <w:pgMar w:left="320" w:top="1440" w:right="359" w:bottom="1440" w:gutter="0" w:footer="0" w:header="0"/>
          <w:type w:val="continuous"/>
        </w:sectPr>
      </w:pPr>
    </w:p>
    <w:p>
      <w:pPr>
        <w:ind w:left="1540" w:right="180" w:hanging="520"/>
        <w:spacing w:after="0" w:line="211" w:lineRule="auto"/>
        <w:tabs>
          <w:tab w:leader="none" w:pos="1540" w:val="left"/>
        </w:tabs>
        <w:numPr>
          <w:ilvl w:val="0"/>
          <w:numId w:val="10"/>
        </w:numPr>
        <w:rPr>
          <w:rFonts w:ascii="Calibri" w:cs="Calibri" w:eastAsia="Calibri" w:hAnsi="Calibri"/>
          <w:sz w:val="24"/>
          <w:szCs w:val="24"/>
          <w:color w:val="auto"/>
          <w:vertAlign w:val="superscript"/>
        </w:rPr>
      </w:pPr>
      <w:r>
        <w:rPr>
          <w:rFonts w:ascii="Calibri" w:cs="Calibri" w:eastAsia="Calibri" w:hAnsi="Calibri"/>
          <w:sz w:val="18"/>
          <w:szCs w:val="18"/>
          <w:color w:val="auto"/>
        </w:rPr>
        <w:t>Non-GAAP tax adjustments made to arrive at the operatng tax provision include the income tax (expense) beneft on certain items, discrete tax items, and, on a quarterly basis, the tming of losses in certain jurisdictons, as further described above under the heading “Defniton of Terms and Non-GAAP Financial Measures”.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three months ended June 30, 2024, the (Provision) beneft for income taxes was a provision of $40 million compared to a $41 million provision for the same period in fscal 2023. For the nine months ended June 30, 2024, the (Provision) beneft for income taxes was a provision of $121 million compared to a $90 million provision for the same period in fscal 2023, primarily due to higher earnings in the current period and additonal accruals and corresponding interest of uncertain tax positons. Our income taxes are afected by the mix of earnings in the tax jurisdictons in which we operate, and by the presence of valuaton allowances in certain tax jurisdictons.</w:t>
      </w:r>
    </w:p>
    <w:p>
      <w:pPr>
        <w:spacing w:after="0" w:line="85" w:lineRule="exact"/>
        <w:rPr>
          <w:sz w:val="20"/>
          <w:szCs w:val="20"/>
          <w:color w:val="auto"/>
        </w:rPr>
      </w:pPr>
    </w:p>
    <w:p>
      <w:pPr>
        <w:ind w:right="20" w:firstLine="509"/>
        <w:spacing w:after="0" w:line="252" w:lineRule="auto"/>
        <w:rPr>
          <w:sz w:val="20"/>
          <w:szCs w:val="20"/>
          <w:color w:val="auto"/>
        </w:rPr>
      </w:pPr>
      <w:r>
        <w:rPr>
          <w:rFonts w:ascii="Calibri" w:cs="Calibri" w:eastAsia="Calibri" w:hAnsi="Calibri"/>
          <w:sz w:val="17"/>
          <w:szCs w:val="17"/>
          <w:color w:val="auto"/>
        </w:rPr>
        <w:t>For fscal 2024, the Company expects the Operatng tax rate to be in the range of 27% to 28%. We are not providing a forward-looking reconciliaton of the operatng tax rate range with an efectve tax rate range because, without unreasonable efort, we are unable to predict with reasonable certainty the maters we would allocate to “certain items,” including unusual gains and losses, costs associated with future restructurings, acquisiton-related expenses and litgaton outcomes. These items are uncertain, depend on various factors, and could have a material impact on the efectve tax rate in future periods.</w:t>
      </w:r>
    </w:p>
    <w:p>
      <w:pPr>
        <w:spacing w:after="0" w:line="69"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Income (Loss) Atributable to Noncontrolling Interests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120" w:type="dxa"/>
            <w:vAlign w:val="bottom"/>
            <w:gridSpan w:val="4"/>
          </w:tcPr>
          <w:p>
            <w:pPr>
              <w:jc w:val="right"/>
              <w:ind w:right="20"/>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100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6"/>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7"/>
        </w:trPr>
        <w:tc>
          <w:tcPr>
            <w:tcW w:w="388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Equity in earnings of afliated companies,</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2"/>
        </w:trPr>
        <w:tc>
          <w:tcPr>
            <w:tcW w:w="38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of tax</w:t>
            </w:r>
          </w:p>
        </w:tc>
        <w:tc>
          <w:tcPr>
            <w:tcW w:w="820" w:type="dxa"/>
            <w:vAlign w:val="bottom"/>
            <w:tcBorders>
              <w:bottom w:val="single" w:sz="8" w:color="CFF0FC"/>
            </w:tcBorders>
            <w:shd w:val="clear" w:color="auto" w:fill="CFF0FC"/>
          </w:tcPr>
          <w:p>
            <w:pPr>
              <w:jc w:val="right"/>
              <w:ind w:right="639"/>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0" w:type="dxa"/>
            <w:vAlign w:val="bottom"/>
            <w:tcBorders>
              <w:bottom w:val="single" w:sz="8" w:color="CFF0FC"/>
            </w:tcBorders>
            <w:gridSpan w:val="2"/>
            <w:shd w:val="clear" w:color="auto" w:fill="CFF0FC"/>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7"/>
        </w:trPr>
        <w:tc>
          <w:tcPr>
            <w:tcW w:w="3880" w:type="dxa"/>
            <w:vAlign w:val="bottom"/>
          </w:tcPr>
          <w:p>
            <w:pPr>
              <w:spacing w:after="0" w:line="207" w:lineRule="exact"/>
              <w:rPr>
                <w:sz w:val="20"/>
                <w:szCs w:val="20"/>
                <w:color w:val="auto"/>
              </w:rPr>
            </w:pPr>
            <w:r>
              <w:rPr>
                <w:rFonts w:ascii="Calibri" w:cs="Calibri" w:eastAsia="Calibri" w:hAnsi="Calibri"/>
                <w:sz w:val="18"/>
                <w:szCs w:val="18"/>
                <w:color w:val="auto"/>
              </w:rPr>
              <w:t>Net income (loss) atributable to</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388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820" w:type="dxa"/>
            <w:vAlign w:val="bottom"/>
          </w:tcPr>
          <w:p>
            <w:pPr>
              <w:jc w:val="right"/>
              <w:ind w:right="639"/>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0" w:type="dxa"/>
            <w:vAlign w:val="bottom"/>
            <w:gridSpan w:val="2"/>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80" w:type="dxa"/>
            <w:vAlign w:val="bottom"/>
          </w:tcPr>
          <w:p>
            <w:pPr>
              <w:spacing w:after="0"/>
              <w:rPr>
                <w:sz w:val="18"/>
                <w:szCs w:val="18"/>
                <w:color w:val="auto"/>
              </w:rPr>
            </w:pPr>
          </w:p>
        </w:tc>
      </w:tr>
    </w:tbl>
    <w:p>
      <w:pPr>
        <w:spacing w:after="0" w:line="204"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Equity in earnings of afliated companies, net of tax, increased by $1 million in both the third quarter and the frst nine months of fscal 2024, compared to the same periods of fscal 2023, primarily due to higher proftability at our equity afliate in Venezuela.</w:t>
      </w:r>
    </w:p>
    <w:p>
      <w:pPr>
        <w:spacing w:after="0" w:line="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Net income (loss) atributable to noncontrolling interests, net of tax, increased by $3 million and $8 million in the third quarter and the frst nine months of fscal 2024, respectvely, compared to the same periods of fscal 2023. Net income (loss) atributable to noncontrolling interests, net of tax increased in the third quarter of fscal 2024 compared to the third quarter of fscal 2024 primarily due to higher proftability of our joint venture in the Czech Republic. Net income (loss) atributable to noncontrolling interests, net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4" w:name="page25"/>
    <w:bookmarkEnd w:id="24"/>
    <w:p>
      <w:pPr>
        <w:ind w:right="600"/>
        <w:spacing w:after="0" w:line="235" w:lineRule="auto"/>
        <w:rPr>
          <w:sz w:val="20"/>
          <w:szCs w:val="20"/>
          <w:color w:val="auto"/>
        </w:rPr>
      </w:pPr>
      <w:r>
        <w:rPr>
          <w:rFonts w:ascii="Calibri" w:cs="Calibri" w:eastAsia="Calibri" w:hAnsi="Calibri"/>
          <w:sz w:val="18"/>
          <w:szCs w:val="18"/>
          <w:color w:val="auto"/>
        </w:rPr>
        <w:t>of tax increased in the frst nine months of fscal 2024 compared to the frst nine months of fscal 2023 primarily due to higher proftability of our joint ventures in China.</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Income Atributable to Cabot Corporaton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third quarter and the frst nine months of fscal 2024, we reported Net income (loss) atributable to Cabot Corporaton of $109 million and $243 million, or $1.94 and $4.30 per diluted common share, respectvely. This compares to Net income (loss) atributable to Cabot Corporaton of $82 million and $211 million, or $1.43 and $3.65 per diluted common share, respectvely, in the third quarter and the frst nine months of fscal 2023. The higher net income in the third quarter of fscal 2024 compared with the same period in fscal 2023 is primarily due to higher Total segment EBIT ($27 million). The higher net income in the frst nine months of fscal 2024 compared with the same period in fscal 2023 is primarily due to higher Total segment EBIT ($97 million), partally ofset by higher foreign currency losses and a loss on the sale of BOPREAL bonds (combined $29 million) in Argentna and a higher provision for income taxes ($31 million).</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Third quarter of Fiscal 2024 versus Third quarter of Fiscal 2023—By Business Segment</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Income (loss) before income taxes and equity in earnings of afliated companies, certain items, other unallocated items and Total segment EBIT for the three and nine months ended June 30, 2024 and 2023 are set forth in the table below. The details of certain items and other unallocated items are shown below and in Note K of our Notes to the Consolidated Financial Statements.</w:t>
      </w:r>
    </w:p>
    <w:p>
      <w:pPr>
        <w:spacing w:after="0" w:line="131"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June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5"/>
          </w:tcPr>
          <w:p>
            <w:pPr>
              <w:jc w:val="right"/>
              <w:ind w:right="4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402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56"/>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4"/>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4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7"/>
        </w:trPr>
        <w:tc>
          <w:tcPr>
            <w:tcW w:w="402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Income (loss) before income taxes and</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2"/>
        </w:trPr>
        <w:tc>
          <w:tcPr>
            <w:tcW w:w="40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800" w:type="dxa"/>
            <w:vAlign w:val="bottom"/>
            <w:tcBorders>
              <w:bottom w:val="single" w:sz="8" w:color="CFF0FC"/>
            </w:tcBorders>
            <w:shd w:val="clear" w:color="auto" w:fill="CFF0FC"/>
          </w:tcPr>
          <w:p>
            <w:pPr>
              <w:jc w:val="right"/>
              <w:ind w:right="599"/>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158</w:t>
            </w: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ind w:right="616"/>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15"/>
        </w:trPr>
        <w:tc>
          <w:tcPr>
            <w:tcW w:w="4020" w:type="dxa"/>
            <w:vAlign w:val="bottom"/>
          </w:tcPr>
          <w:p>
            <w:pPr>
              <w:ind w:left="20"/>
              <w:spacing w:after="0" w:line="215" w:lineRule="exact"/>
              <w:rPr>
                <w:sz w:val="20"/>
                <w:szCs w:val="20"/>
                <w:color w:val="auto"/>
              </w:rPr>
            </w:pPr>
            <w:r>
              <w:rPr>
                <w:rFonts w:ascii="Calibri" w:cs="Calibri" w:eastAsia="Calibri" w:hAnsi="Calibri"/>
                <w:sz w:val="18"/>
                <w:szCs w:val="18"/>
                <w:color w:val="auto"/>
              </w:rPr>
              <w:t>Less: Certain items</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800" w:type="dxa"/>
            <w:vAlign w:val="bottom"/>
          </w:tcPr>
          <w:p>
            <w:pPr>
              <w:spacing w:after="0"/>
              <w:rPr>
                <w:sz w:val="18"/>
                <w:szCs w:val="18"/>
                <w:color w:val="auto"/>
              </w:rPr>
            </w:pPr>
          </w:p>
        </w:tc>
        <w:tc>
          <w:tcPr>
            <w:tcW w:w="56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(1 )</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(56 )</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(7 )</w:t>
            </w:r>
          </w:p>
        </w:tc>
      </w:tr>
      <w:tr>
        <w:trPr>
          <w:trHeight w:val="28"/>
        </w:trPr>
        <w:tc>
          <w:tcPr>
            <w:tcW w:w="4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40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Less: Other unallocated items</w:t>
            </w:r>
          </w:p>
        </w:tc>
        <w:tc>
          <w:tcPr>
            <w:tcW w:w="8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(31 )</w:t>
            </w:r>
          </w:p>
        </w:tc>
        <w:tc>
          <w:tcPr>
            <w:tcW w:w="8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(33 )</w:t>
            </w: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(84 )</w:t>
            </w: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(106 )</w:t>
            </w:r>
          </w:p>
        </w:tc>
      </w:tr>
      <w:tr>
        <w:trPr>
          <w:trHeight w:val="237"/>
        </w:trPr>
        <w:tc>
          <w:tcPr>
            <w:tcW w:w="40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Total segment EBIT</w:t>
            </w:r>
          </w:p>
        </w:tc>
        <w:tc>
          <w:tcPr>
            <w:tcW w:w="800" w:type="dxa"/>
            <w:vAlign w:val="bottom"/>
            <w:tcBorders>
              <w:top w:val="single" w:sz="8" w:color="auto"/>
              <w:bottom w:val="single" w:sz="8" w:color="auto"/>
            </w:tcBorders>
          </w:tcPr>
          <w:p>
            <w:pPr>
              <w:jc w:val="right"/>
              <w:ind w:right="599"/>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191</w:t>
            </w:r>
          </w:p>
        </w:tc>
        <w:tc>
          <w:tcPr>
            <w:tcW w:w="24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6"/>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164</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534</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437</w:t>
            </w:r>
          </w:p>
        </w:tc>
        <w:tc>
          <w:tcPr>
            <w:tcW w:w="80" w:type="dxa"/>
            <w:vAlign w:val="bottom"/>
            <w:tcBorders>
              <w:top w:val="single" w:sz="8" w:color="CFF0FC"/>
            </w:tcBorders>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-187960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-187960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-187960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7"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In the third quarter of fscal 2024, Income (loss) before income taxes and equity in earnings of afliated companies increased by $28 million and Total segment EBIT increased by $27 million. The increase in Income (loss) before income taxes and equity in earnings of afliated companies was driven by higher Total segment EBIT. Total segment EBIT was driven by higher volumes in both the Reinforcement Materials and Performance Chemicals segments (combined $27 million).</w:t>
      </w:r>
    </w:p>
    <w:p>
      <w:pPr>
        <w:spacing w:after="0" w:line="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the frst nine months of fscal 2024, Income (loss) before income taxes and equity in earnings of afliated companies increased by $70 million and Total segment EBIT increased by $97 million. The increase in Income (loss) before income taxes and equity in earnings of afliated companies was driven by higher Total segment EBIT partally ofset by higher foreign currency losses primarily in Argentna. Total segment EBIT was driven by higher volumes in both the Reinforcement Materials and Performance Chemicals segment (combined $58 million) and higher unit margins, net of costs, in both in Reinforcement Materials and Performance Chemicals segments (combined $44 million).</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Certain Items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Details of the certain items for the three and nine months ended June 30, 2024 and 2023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500" w:type="dxa"/>
            <w:vAlign w:val="bottom"/>
            <w:gridSpan w:val="4"/>
          </w:tcPr>
          <w:p>
            <w:pPr>
              <w:jc w:val="right"/>
              <w:ind w:right="116"/>
              <w:spacing w:after="0"/>
              <w:rPr>
                <w:sz w:val="20"/>
                <w:szCs w:val="20"/>
                <w:color w:val="auto"/>
              </w:rPr>
            </w:pPr>
            <w:r>
              <w:rPr>
                <w:rFonts w:ascii="Calibri" w:cs="Calibri" w:eastAsia="Calibri" w:hAnsi="Calibri"/>
                <w:sz w:val="14"/>
                <w:szCs w:val="14"/>
                <w:b w:val="1"/>
                <w:bCs w:val="1"/>
                <w:color w:val="auto"/>
              </w:rPr>
              <w:t>Three Months Ended 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Nine Months Ended June 30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Pr>
          <w:p>
            <w:pPr>
              <w:jc w:val="right"/>
              <w:ind w:right="97"/>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2023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414"/>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92"/>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620" w:type="dxa"/>
            <w:vAlign w:val="bottom"/>
            <w:gridSpan w:val="2"/>
          </w:tcPr>
          <w:p>
            <w:pPr>
              <w:jc w:val="right"/>
              <w:ind w:right="7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00" w:type="dxa"/>
            <w:vAlign w:val="bottom"/>
          </w:tcPr>
          <w:p>
            <w:pPr>
              <w:spacing w:after="0"/>
              <w:rPr>
                <w:sz w:val="18"/>
                <w:szCs w:val="18"/>
                <w:color w:val="auto"/>
              </w:rPr>
            </w:pPr>
          </w:p>
        </w:tc>
        <w:tc>
          <w:tcPr>
            <w:tcW w:w="4600" w:type="dxa"/>
            <w:vAlign w:val="bottom"/>
            <w:shd w:val="clear" w:color="auto" w:fill="CFF0FC"/>
          </w:tcPr>
          <w:p>
            <w:pPr>
              <w:ind w:left="100"/>
              <w:spacing w:after="0" w:line="207" w:lineRule="exact"/>
              <w:rPr>
                <w:sz w:val="20"/>
                <w:szCs w:val="20"/>
                <w:color w:val="auto"/>
              </w:rPr>
            </w:pPr>
            <w:r>
              <w:rPr>
                <w:rFonts w:ascii="Calibri" w:cs="Calibri" w:eastAsia="Calibri" w:hAnsi="Calibri"/>
                <w:sz w:val="18"/>
                <w:szCs w:val="18"/>
                <w:color w:val="auto"/>
              </w:rPr>
              <w:t>Argentna controlled currency devaluaton and other losses</w:t>
            </w:r>
          </w:p>
        </w:tc>
        <w:tc>
          <w:tcPr>
            <w:tcW w:w="980" w:type="dxa"/>
            <w:vAlign w:val="bottom"/>
            <w:vMerge w:val="restart"/>
            <w:shd w:val="clear" w:color="auto" w:fill="CFF0FC"/>
          </w:tcPr>
          <w:p>
            <w:pPr>
              <w:jc w:val="right"/>
              <w:ind w:right="777"/>
              <w:spacing w:after="0"/>
              <w:rPr>
                <w:sz w:val="20"/>
                <w:szCs w:val="20"/>
                <w:color w:val="auto"/>
              </w:rPr>
            </w:pPr>
            <w:r>
              <w:rPr>
                <w:rFonts w:ascii="Calibri" w:cs="Calibri" w:eastAsia="Calibri" w:hAnsi="Calibri"/>
                <w:sz w:val="18"/>
                <w:szCs w:val="18"/>
                <w:color w:val="auto"/>
              </w:rPr>
              <w:t>$</w:t>
            </w:r>
          </w:p>
        </w:tc>
        <w:tc>
          <w:tcPr>
            <w:tcW w:w="60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(2 )</w:t>
            </w:r>
          </w:p>
        </w:tc>
        <w:tc>
          <w:tcPr>
            <w:tcW w:w="920" w:type="dxa"/>
            <w:vAlign w:val="bottom"/>
            <w:vMerge w:val="restart"/>
            <w:shd w:val="clear" w:color="auto" w:fill="CFF0FC"/>
          </w:tcPr>
          <w:p>
            <w:pPr>
              <w:jc w:val="right"/>
              <w:ind w:right="736"/>
              <w:spacing w:after="0"/>
              <w:rPr>
                <w:sz w:val="20"/>
                <w:szCs w:val="20"/>
                <w:color w:val="auto"/>
              </w:rPr>
            </w:pPr>
            <w:r>
              <w:rPr>
                <w:rFonts w:ascii="Calibri" w:cs="Calibri" w:eastAsia="Calibri" w:hAnsi="Calibri"/>
                <w:sz w:val="18"/>
                <w:szCs w:val="18"/>
                <w:color w:val="auto"/>
                <w:w w:val="87"/>
              </w:rPr>
              <w:t>$</w:t>
            </w:r>
          </w:p>
        </w:tc>
        <w:tc>
          <w:tcPr>
            <w:tcW w:w="640" w:type="dxa"/>
            <w:vAlign w:val="bottom"/>
            <w:gridSpan w:val="2"/>
            <w:vMerge w:val="restart"/>
            <w:shd w:val="clear" w:color="auto" w:fill="CFF0FC"/>
          </w:tcPr>
          <w:p>
            <w:pPr>
              <w:jc w:val="right"/>
              <w:ind w:right="208"/>
              <w:spacing w:after="0"/>
              <w:rPr>
                <w:sz w:val="20"/>
                <w:szCs w:val="20"/>
                <w:color w:val="auto"/>
              </w:rPr>
            </w:pPr>
            <w:r>
              <w:rPr>
                <w:rFonts w:ascii="Calibri" w:cs="Calibri" w:eastAsia="Calibri" w:hAnsi="Calibri"/>
                <w:sz w:val="18"/>
                <w:szCs w:val="18"/>
                <w:color w:val="auto"/>
              </w:rPr>
              <w:t>—</w:t>
            </w:r>
          </w:p>
        </w:tc>
        <w:tc>
          <w:tcPr>
            <w:tcW w:w="360" w:type="dxa"/>
            <w:vAlign w:val="bottom"/>
            <w:vMerge w:val="restart"/>
            <w:shd w:val="clear" w:color="auto" w:fill="CFF0FC"/>
          </w:tcPr>
          <w:p>
            <w:pPr>
              <w:jc w:val="right"/>
              <w:ind w:right="170"/>
              <w:spacing w:after="0"/>
              <w:rPr>
                <w:sz w:val="20"/>
                <w:szCs w:val="20"/>
                <w:color w:val="auto"/>
              </w:rPr>
            </w:pPr>
            <w:r>
              <w:rPr>
                <w:rFonts w:ascii="Calibri" w:cs="Calibri" w:eastAsia="Calibri" w:hAnsi="Calibri"/>
                <w:sz w:val="18"/>
                <w:szCs w:val="18"/>
                <w:color w:val="auto"/>
                <w:w w:val="87"/>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(43 )</w:t>
            </w:r>
          </w:p>
        </w:tc>
        <w:tc>
          <w:tcPr>
            <w:tcW w:w="280" w:type="dxa"/>
            <w:vAlign w:val="bottom"/>
            <w:vMerge w:val="restart"/>
            <w:shd w:val="clear" w:color="auto" w:fill="CFF0FC"/>
          </w:tcPr>
          <w:p>
            <w:pPr>
              <w:jc w:val="right"/>
              <w:ind w:right="90"/>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vMerge w:val="restart"/>
            <w:shd w:val="clear" w:color="auto" w:fill="CFF0FC"/>
          </w:tcPr>
          <w:p>
            <w:pPr>
              <w:jc w:val="right"/>
              <w:ind w:right="10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4600" w:type="dxa"/>
            <w:vAlign w:val="bottom"/>
            <w:vMerge w:val="restart"/>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(Note B)</w:t>
            </w:r>
          </w:p>
        </w:tc>
        <w:tc>
          <w:tcPr>
            <w:tcW w:w="980" w:type="dxa"/>
            <w:vAlign w:val="bottom"/>
            <w:vMerge w:val="continue"/>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920" w:type="dxa"/>
            <w:vAlign w:val="bottom"/>
            <w:vMerge w:val="continue"/>
            <w:shd w:val="clear" w:color="auto" w:fill="CFF0FC"/>
          </w:tcPr>
          <w:p>
            <w:pPr>
              <w:spacing w:after="0"/>
              <w:rPr>
                <w:sz w:val="9"/>
                <w:szCs w:val="9"/>
                <w:color w:val="auto"/>
              </w:rPr>
            </w:pPr>
          </w:p>
        </w:tc>
        <w:tc>
          <w:tcPr>
            <w:tcW w:w="640" w:type="dxa"/>
            <w:vAlign w:val="bottom"/>
            <w:gridSpan w:val="2"/>
            <w:vMerge w:val="continue"/>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1080" w:type="dxa"/>
            <w:vAlign w:val="bottom"/>
            <w:gridSpan w:val="2"/>
            <w:vMerge w:val="continue"/>
            <w:shd w:val="clear" w:color="auto" w:fill="CFF0FC"/>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4600" w:type="dxa"/>
            <w:vAlign w:val="bottom"/>
            <w:tcBorders>
              <w:bottom w:val="single" w:sz="8" w:color="CFF0FC"/>
            </w:tcBorders>
            <w:vMerge w:val="continue"/>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4600" w:type="dxa"/>
            <w:vAlign w:val="bottom"/>
          </w:tcPr>
          <w:p>
            <w:pPr>
              <w:ind w:left="100"/>
              <w:spacing w:after="0" w:line="215" w:lineRule="exact"/>
              <w:rPr>
                <w:sz w:val="20"/>
                <w:szCs w:val="20"/>
                <w:color w:val="auto"/>
              </w:rPr>
            </w:pPr>
            <w:r>
              <w:rPr>
                <w:rFonts w:ascii="Calibri" w:cs="Calibri" w:eastAsia="Calibri" w:hAnsi="Calibri"/>
                <w:sz w:val="18"/>
                <w:szCs w:val="18"/>
                <w:color w:val="auto"/>
              </w:rPr>
              <w:t>Global restructuring actvites (Note H)</w:t>
            </w:r>
          </w:p>
        </w:tc>
        <w:tc>
          <w:tcPr>
            <w:tcW w:w="980" w:type="dxa"/>
            <w:vAlign w:val="bottom"/>
          </w:tcPr>
          <w:p>
            <w:pPr>
              <w:spacing w:after="0"/>
              <w:rPr>
                <w:sz w:val="18"/>
                <w:szCs w:val="18"/>
                <w:color w:val="auto"/>
              </w:rPr>
            </w:pPr>
          </w:p>
        </w:tc>
        <w:tc>
          <w:tcPr>
            <w:tcW w:w="6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(1 )</w:t>
            </w:r>
          </w:p>
        </w:tc>
        <w:tc>
          <w:tcPr>
            <w:tcW w:w="920" w:type="dxa"/>
            <w:vAlign w:val="bottom"/>
          </w:tcPr>
          <w:p>
            <w:pPr>
              <w:spacing w:after="0"/>
              <w:rPr>
                <w:sz w:val="18"/>
                <w:szCs w:val="18"/>
                <w:color w:val="auto"/>
              </w:rPr>
            </w:pPr>
          </w:p>
        </w:tc>
        <w:tc>
          <w:tcPr>
            <w:tcW w:w="640" w:type="dxa"/>
            <w:vAlign w:val="bottom"/>
            <w:gridSpan w:val="2"/>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8"/>
                <w:szCs w:val="18"/>
                <w:color w:val="auto"/>
              </w:rPr>
            </w:pPr>
          </w:p>
        </w:tc>
        <w:tc>
          <w:tcPr>
            <w:tcW w:w="12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(13 )</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9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(1 )</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4600" w:type="dxa"/>
            <w:vAlign w:val="bottom"/>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980" w:type="dxa"/>
            <w:vAlign w:val="bottom"/>
          </w:tcPr>
          <w:p>
            <w:pPr>
              <w:spacing w:after="0"/>
              <w:rPr>
                <w:sz w:val="18"/>
                <w:szCs w:val="18"/>
                <w:color w:val="auto"/>
              </w:rPr>
            </w:pPr>
          </w:p>
        </w:tc>
        <w:tc>
          <w:tcPr>
            <w:tcW w:w="6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640" w:type="dxa"/>
            <w:vAlign w:val="bottom"/>
            <w:gridSpan w:val="2"/>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8"/>
                <w:szCs w:val="18"/>
                <w:color w:val="auto"/>
              </w:rPr>
            </w:pPr>
          </w:p>
        </w:tc>
        <w:tc>
          <w:tcPr>
            <w:tcW w:w="12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(1 )</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Gain on sale of land</w:t>
            </w:r>
          </w:p>
        </w:tc>
        <w:tc>
          <w:tcPr>
            <w:tcW w:w="9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4600" w:type="dxa"/>
            <w:vAlign w:val="bottom"/>
          </w:tcPr>
          <w:p>
            <w:pPr>
              <w:ind w:left="100"/>
              <w:spacing w:after="0" w:line="215" w:lineRule="exact"/>
              <w:rPr>
                <w:sz w:val="20"/>
                <w:szCs w:val="20"/>
                <w:color w:val="auto"/>
              </w:rPr>
            </w:pPr>
            <w:r>
              <w:rPr>
                <w:rFonts w:ascii="Calibri" w:cs="Calibri" w:eastAsia="Calibri" w:hAnsi="Calibri"/>
                <w:sz w:val="18"/>
                <w:szCs w:val="18"/>
                <w:color w:val="auto"/>
              </w:rPr>
              <w:t>Loss on sale of business</w:t>
            </w:r>
          </w:p>
        </w:tc>
        <w:tc>
          <w:tcPr>
            <w:tcW w:w="980" w:type="dxa"/>
            <w:vAlign w:val="bottom"/>
          </w:tcPr>
          <w:p>
            <w:pPr>
              <w:spacing w:after="0"/>
              <w:rPr>
                <w:sz w:val="18"/>
                <w:szCs w:val="18"/>
                <w:color w:val="auto"/>
              </w:rPr>
            </w:pPr>
          </w:p>
        </w:tc>
        <w:tc>
          <w:tcPr>
            <w:tcW w:w="6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640" w:type="dxa"/>
            <w:vAlign w:val="bottom"/>
            <w:gridSpan w:val="2"/>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8"/>
                <w:szCs w:val="18"/>
                <w:color w:val="auto"/>
              </w:rPr>
            </w:pPr>
          </w:p>
        </w:tc>
        <w:tc>
          <w:tcPr>
            <w:tcW w:w="12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8"/>
                <w:szCs w:val="18"/>
                <w:color w:val="auto"/>
              </w:rPr>
              <w:t>Other</w:t>
            </w:r>
          </w:p>
        </w:tc>
        <w:tc>
          <w:tcPr>
            <w:tcW w:w="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4600" w:type="dxa"/>
            <w:vAlign w:val="bottom"/>
          </w:tcPr>
          <w:p>
            <w:pPr>
              <w:ind w:left="180"/>
              <w:spacing w:after="0"/>
              <w:rPr>
                <w:sz w:val="20"/>
                <w:szCs w:val="20"/>
                <w:color w:val="auto"/>
              </w:rPr>
            </w:pPr>
            <w:r>
              <w:rPr>
                <w:rFonts w:ascii="Calibri" w:cs="Calibri" w:eastAsia="Calibri" w:hAnsi="Calibri"/>
                <w:sz w:val="18"/>
                <w:szCs w:val="18"/>
                <w:color w:val="auto"/>
              </w:rPr>
              <w:t>Total certain items</w:t>
            </w:r>
          </w:p>
        </w:tc>
        <w:tc>
          <w:tcPr>
            <w:tcW w:w="980" w:type="dxa"/>
            <w:vAlign w:val="bottom"/>
          </w:tcPr>
          <w:p>
            <w:pPr>
              <w:jc w:val="right"/>
              <w:ind w:right="777"/>
              <w:spacing w:after="0" w:line="215" w:lineRule="exact"/>
              <w:rPr>
                <w:sz w:val="20"/>
                <w:szCs w:val="20"/>
                <w:color w:val="auto"/>
              </w:rPr>
            </w:pPr>
            <w:r>
              <w:rPr>
                <w:rFonts w:ascii="Calibri" w:cs="Calibri" w:eastAsia="Calibri" w:hAnsi="Calibri"/>
                <w:sz w:val="18"/>
                <w:szCs w:val="18"/>
                <w:color w:val="auto"/>
              </w:rPr>
              <w:t>$</w:t>
            </w:r>
          </w:p>
        </w:tc>
        <w:tc>
          <w:tcPr>
            <w:tcW w:w="6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(2 )</w:t>
            </w:r>
          </w:p>
        </w:tc>
        <w:tc>
          <w:tcPr>
            <w:tcW w:w="920" w:type="dxa"/>
            <w:vAlign w:val="bottom"/>
          </w:tcPr>
          <w:p>
            <w:pPr>
              <w:jc w:val="right"/>
              <w:ind w:right="736"/>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(1 )</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(56 )</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(7 )</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-1070610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-1070610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-1070610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-1070610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5" w:name="page26"/>
    <w:bookmarkEnd w:id="25"/>
    <w:p>
      <w:pPr>
        <w:ind w:left="480"/>
        <w:spacing w:after="0"/>
        <w:rPr>
          <w:sz w:val="20"/>
          <w:szCs w:val="20"/>
          <w:color w:val="auto"/>
        </w:rPr>
      </w:pPr>
      <w:r>
        <w:rPr>
          <w:rFonts w:ascii="Calibri" w:cs="Calibri" w:eastAsia="Calibri" w:hAnsi="Calibri"/>
          <w:sz w:val="18"/>
          <w:szCs w:val="18"/>
          <w:i w:val="1"/>
          <w:iCs w:val="1"/>
          <w:color w:val="auto"/>
        </w:rPr>
        <w:t>Other Unallocated Items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Interest expense</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Unallocated corporate costs</w:t>
      </w:r>
    </w:p>
    <w:p>
      <w:pPr>
        <w:spacing w:after="0" w:line="28"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General unallocated income (expense)</w:t>
      </w:r>
    </w:p>
    <w:p>
      <w:pPr>
        <w:spacing w:after="0" w:line="35" w:lineRule="exact"/>
        <w:rPr>
          <w:sz w:val="20"/>
          <w:szCs w:val="20"/>
          <w:color w:val="auto"/>
        </w:rPr>
      </w:pPr>
    </w:p>
    <w:p>
      <w:pPr>
        <w:ind w:left="1260" w:right="560" w:hanging="118"/>
        <w:spacing w:after="0" w:line="235" w:lineRule="auto"/>
        <w:rPr>
          <w:sz w:val="20"/>
          <w:szCs w:val="20"/>
          <w:color w:val="auto"/>
        </w:rPr>
      </w:pPr>
      <w:r>
        <w:rPr>
          <w:rFonts w:ascii="Calibri" w:cs="Calibri" w:eastAsia="Calibri" w:hAnsi="Calibri"/>
          <w:sz w:val="18"/>
          <w:szCs w:val="18"/>
          <w:color w:val="auto"/>
        </w:rPr>
        <w:t>Less: Equity in earnings of afliated companies, net of tax</w:t>
      </w:r>
    </w:p>
    <w:p>
      <w:pPr>
        <w:spacing w:after="0" w:line="6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Total other unallocated items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380" w:type="dxa"/>
            <w:vAlign w:val="bottom"/>
            <w:gridSpan w:val="5"/>
          </w:tcPr>
          <w:p>
            <w:pPr>
              <w:jc w:val="right"/>
              <w:ind w:right="479"/>
              <w:spacing w:after="0"/>
              <w:rPr>
                <w:sz w:val="20"/>
                <w:szCs w:val="20"/>
                <w:color w:val="auto"/>
              </w:rPr>
            </w:pPr>
            <w:r>
              <w:rPr>
                <w:rFonts w:ascii="Calibri" w:cs="Calibri" w:eastAsia="Calibri" w:hAnsi="Calibri"/>
                <w:sz w:val="14"/>
                <w:szCs w:val="14"/>
                <w:b w:val="1"/>
                <w:bCs w:val="1"/>
                <w:color w:val="auto"/>
              </w:rPr>
              <w:t>Three Months Ended June 30</w:t>
            </w:r>
          </w:p>
        </w:tc>
        <w:tc>
          <w:tcPr>
            <w:tcW w:w="360" w:type="dxa"/>
            <w:vAlign w:val="bottom"/>
          </w:tcPr>
          <w:p>
            <w:pPr>
              <w:spacing w:after="0"/>
              <w:rPr>
                <w:sz w:val="14"/>
                <w:szCs w:val="14"/>
                <w:color w:val="auto"/>
              </w:rPr>
            </w:pPr>
          </w:p>
        </w:tc>
        <w:tc>
          <w:tcPr>
            <w:tcW w:w="2200" w:type="dxa"/>
            <w:vAlign w:val="bottom"/>
            <w:gridSpan w:val="5"/>
          </w:tcPr>
          <w:p>
            <w:pPr>
              <w:jc w:val="right"/>
              <w:ind w:right="39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220" w:type="dxa"/>
            <w:vAlign w:val="bottom"/>
          </w:tcPr>
          <w:p>
            <w:pPr>
              <w:spacing w:after="0"/>
              <w:rPr>
                <w:sz w:val="14"/>
                <w:szCs w:val="14"/>
                <w:color w:val="auto"/>
              </w:rPr>
            </w:pPr>
          </w:p>
        </w:tc>
        <w:tc>
          <w:tcPr>
            <w:tcW w:w="86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35"/>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3"/>
              <w:spacing w:after="0" w:line="164" w:lineRule="exact"/>
              <w:rPr>
                <w:sz w:val="20"/>
                <w:szCs w:val="20"/>
                <w:color w:val="auto"/>
              </w:rPr>
            </w:pPr>
            <w:r>
              <w:rPr>
                <w:rFonts w:ascii="Calibri" w:cs="Calibri" w:eastAsia="Calibri" w:hAnsi="Calibri"/>
                <w:sz w:val="14"/>
                <w:szCs w:val="14"/>
                <w:b w:val="1"/>
                <w:bCs w:val="1"/>
                <w:color w:val="auto"/>
              </w:rPr>
              <w:t>2023</w:t>
            </w:r>
          </w:p>
        </w:tc>
        <w:tc>
          <w:tcPr>
            <w:tcW w:w="60" w:type="dxa"/>
            <w:vAlign w:val="bottom"/>
          </w:tcPr>
          <w:p>
            <w:pPr>
              <w:spacing w:after="0"/>
              <w:rPr>
                <w:sz w:val="14"/>
                <w:szCs w:val="14"/>
                <w:color w:val="auto"/>
              </w:rPr>
            </w:pP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58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millions)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9"/>
        </w:trPr>
        <w:tc>
          <w:tcPr>
            <w:tcW w:w="220" w:type="dxa"/>
            <w:vAlign w:val="bottom"/>
          </w:tcPr>
          <w:p>
            <w:pPr>
              <w:jc w:val="right"/>
              <w:ind w:right="30"/>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70"/>
              <w:spacing w:after="0"/>
              <w:rPr>
                <w:sz w:val="20"/>
                <w:szCs w:val="20"/>
                <w:color w:val="auto"/>
              </w:rPr>
            </w:pPr>
            <w:r>
              <w:rPr>
                <w:rFonts w:ascii="Calibri" w:cs="Calibri" w:eastAsia="Calibri" w:hAnsi="Calibri"/>
                <w:sz w:val="18"/>
                <w:szCs w:val="18"/>
                <w:color w:val="auto"/>
              </w:rPr>
              <w:t>(19 )</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79"/>
              <w:spacing w:after="0"/>
              <w:rPr>
                <w:sz w:val="20"/>
                <w:szCs w:val="20"/>
                <w:color w:val="auto"/>
              </w:rPr>
            </w:pPr>
            <w:r>
              <w:rPr>
                <w:rFonts w:ascii="Calibri" w:cs="Calibri" w:eastAsia="Calibri" w:hAnsi="Calibri"/>
                <w:sz w:val="18"/>
                <w:szCs w:val="18"/>
                <w:color w:val="auto"/>
              </w:rPr>
              <w:t>(24 )</w:t>
            </w:r>
          </w:p>
        </w:tc>
        <w:tc>
          <w:tcPr>
            <w:tcW w:w="360" w:type="dxa"/>
            <w:vAlign w:val="bottom"/>
          </w:tcPr>
          <w:p>
            <w:pPr>
              <w:jc w:val="center"/>
              <w:ind w:right="17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70"/>
              <w:spacing w:after="0"/>
              <w:rPr>
                <w:sz w:val="20"/>
                <w:szCs w:val="20"/>
                <w:color w:val="auto"/>
              </w:rPr>
            </w:pPr>
            <w:r>
              <w:rPr>
                <w:rFonts w:ascii="Calibri" w:cs="Calibri" w:eastAsia="Calibri" w:hAnsi="Calibri"/>
                <w:sz w:val="18"/>
                <w:szCs w:val="18"/>
                <w:color w:val="auto"/>
              </w:rPr>
              <w:t>(62 )</w:t>
            </w:r>
          </w:p>
        </w:tc>
        <w:tc>
          <w:tcPr>
            <w:tcW w:w="260" w:type="dxa"/>
            <w:vAlign w:val="bottom"/>
          </w:tcPr>
          <w:p>
            <w:pPr>
              <w:jc w:val="right"/>
              <w:ind w:right="101"/>
              <w:spacing w:after="0"/>
              <w:rPr>
                <w:sz w:val="20"/>
                <w:szCs w:val="20"/>
                <w:color w:val="auto"/>
              </w:rPr>
            </w:pPr>
            <w:r>
              <w:rPr>
                <w:rFonts w:ascii="Calibri" w:cs="Calibri" w:eastAsia="Calibri" w:hAnsi="Calibri"/>
                <w:sz w:val="16"/>
                <w:szCs w:val="16"/>
                <w:color w:val="auto"/>
                <w:w w:val="73"/>
              </w:rPr>
              <w:t>$</w:t>
            </w:r>
          </w:p>
        </w:tc>
        <w:tc>
          <w:tcPr>
            <w:tcW w:w="940" w:type="dxa"/>
            <w:vAlign w:val="bottom"/>
            <w:gridSpan w:val="2"/>
          </w:tcPr>
          <w:p>
            <w:pPr>
              <w:jc w:val="right"/>
              <w:spacing w:after="0"/>
              <w:rPr>
                <w:sz w:val="20"/>
                <w:szCs w:val="20"/>
                <w:color w:val="auto"/>
              </w:rPr>
            </w:pPr>
            <w:r>
              <w:rPr>
                <w:rFonts w:ascii="Calibri" w:cs="Calibri" w:eastAsia="Calibri" w:hAnsi="Calibri"/>
                <w:sz w:val="18"/>
                <w:szCs w:val="18"/>
                <w:color w:val="auto"/>
              </w:rPr>
              <w:t>(69 )</w:t>
            </w:r>
          </w:p>
        </w:tc>
      </w:tr>
      <w:tr>
        <w:trPr>
          <w:trHeight w:val="243"/>
        </w:trPr>
        <w:tc>
          <w:tcPr>
            <w:tcW w:w="220" w:type="dxa"/>
            <w:vAlign w:val="bottom"/>
          </w:tcPr>
          <w:p>
            <w:pPr>
              <w:spacing w:after="0"/>
              <w:rPr>
                <w:sz w:val="21"/>
                <w:szCs w:val="21"/>
                <w:color w:val="auto"/>
              </w:rPr>
            </w:pPr>
          </w:p>
        </w:tc>
        <w:tc>
          <w:tcPr>
            <w:tcW w:w="1080" w:type="dxa"/>
            <w:vAlign w:val="bottom"/>
            <w:gridSpan w:val="2"/>
          </w:tcPr>
          <w:p>
            <w:pPr>
              <w:jc w:val="right"/>
              <w:ind w:right="70"/>
              <w:spacing w:after="0"/>
              <w:rPr>
                <w:sz w:val="20"/>
                <w:szCs w:val="20"/>
                <w:color w:val="auto"/>
              </w:rPr>
            </w:pPr>
            <w:r>
              <w:rPr>
                <w:rFonts w:ascii="Calibri" w:cs="Calibri" w:eastAsia="Calibri" w:hAnsi="Calibri"/>
                <w:sz w:val="18"/>
                <w:szCs w:val="18"/>
                <w:color w:val="auto"/>
              </w:rPr>
              <w:t>(16 )</w:t>
            </w:r>
          </w:p>
        </w:tc>
        <w:tc>
          <w:tcPr>
            <w:tcW w:w="240" w:type="dxa"/>
            <w:vAlign w:val="bottom"/>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Calibri" w:cs="Calibri" w:eastAsia="Calibri" w:hAnsi="Calibri"/>
                <w:sz w:val="18"/>
                <w:szCs w:val="18"/>
                <w:color w:val="auto"/>
              </w:rPr>
              <w:t>(11 )</w:t>
            </w:r>
          </w:p>
        </w:tc>
        <w:tc>
          <w:tcPr>
            <w:tcW w:w="360" w:type="dxa"/>
            <w:vAlign w:val="bottom"/>
          </w:tcPr>
          <w:p>
            <w:pPr>
              <w:spacing w:after="0"/>
              <w:rPr>
                <w:sz w:val="21"/>
                <w:szCs w:val="21"/>
                <w:color w:val="auto"/>
              </w:rPr>
            </w:pPr>
          </w:p>
        </w:tc>
        <w:tc>
          <w:tcPr>
            <w:tcW w:w="1000" w:type="dxa"/>
            <w:vAlign w:val="bottom"/>
            <w:gridSpan w:val="2"/>
          </w:tcPr>
          <w:p>
            <w:pPr>
              <w:jc w:val="right"/>
              <w:ind w:right="70"/>
              <w:spacing w:after="0"/>
              <w:rPr>
                <w:sz w:val="20"/>
                <w:szCs w:val="20"/>
                <w:color w:val="auto"/>
              </w:rPr>
            </w:pPr>
            <w:r>
              <w:rPr>
                <w:rFonts w:ascii="Calibri" w:cs="Calibri" w:eastAsia="Calibri" w:hAnsi="Calibri"/>
                <w:sz w:val="18"/>
                <w:szCs w:val="18"/>
                <w:color w:val="auto"/>
              </w:rPr>
              <w:t>(51 )</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8"/>
                <w:szCs w:val="18"/>
                <w:color w:val="auto"/>
              </w:rPr>
              <w:t>(42 )</w:t>
            </w:r>
          </w:p>
        </w:tc>
      </w:tr>
      <w:tr>
        <w:trPr>
          <w:trHeight w:val="243"/>
        </w:trPr>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9</w:t>
            </w:r>
          </w:p>
        </w:tc>
        <w:tc>
          <w:tcPr>
            <w:tcW w:w="60" w:type="dxa"/>
            <w:vAlign w:val="bottom"/>
          </w:tcPr>
          <w:p>
            <w:pPr>
              <w:spacing w:after="0"/>
              <w:rPr>
                <w:sz w:val="21"/>
                <w:szCs w:val="21"/>
                <w:color w:val="auto"/>
              </w:rPr>
            </w:pPr>
          </w:p>
        </w:tc>
      </w:tr>
      <w:tr>
        <w:trPr>
          <w:trHeight w:val="446"/>
        </w:trPr>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60" w:type="dxa"/>
            <w:vAlign w:val="bottom"/>
          </w:tcPr>
          <w:p>
            <w:pPr>
              <w:spacing w:after="0"/>
              <w:rPr>
                <w:sz w:val="24"/>
                <w:szCs w:val="24"/>
                <w:color w:val="auto"/>
              </w:rPr>
            </w:pPr>
          </w:p>
        </w:tc>
      </w:tr>
      <w:tr>
        <w:trPr>
          <w:trHeight w:val="37"/>
        </w:trPr>
        <w:tc>
          <w:tcPr>
            <w:tcW w:w="2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r>
      <w:tr>
        <w:trPr>
          <w:trHeight w:val="208"/>
        </w:trPr>
        <w:tc>
          <w:tcPr>
            <w:tcW w:w="2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(31</w:t>
            </w:r>
          </w:p>
        </w:tc>
        <w:tc>
          <w:tcPr>
            <w:tcW w:w="220" w:type="dxa"/>
            <w:vAlign w:val="bottom"/>
          </w:tcPr>
          <w:p>
            <w:pPr>
              <w:jc w:val="right"/>
              <w:ind w:right="70"/>
              <w:spacing w:after="0" w:line="199" w:lineRule="exact"/>
              <w:rPr>
                <w:sz w:val="20"/>
                <w:szCs w:val="20"/>
                <w:color w:val="auto"/>
              </w:rPr>
            </w:pPr>
            <w:r>
              <w:rPr>
                <w:rFonts w:ascii="Calibri" w:cs="Calibri" w:eastAsia="Calibri" w:hAnsi="Calibri"/>
                <w:sz w:val="18"/>
                <w:szCs w:val="18"/>
                <w:color w:val="auto"/>
                <w:w w:val="72"/>
              </w:rPr>
              <w:t>)</w:t>
            </w: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(33</w:t>
            </w:r>
          </w:p>
        </w:tc>
        <w:tc>
          <w:tcPr>
            <w:tcW w:w="220" w:type="dxa"/>
            <w:vAlign w:val="bottom"/>
          </w:tcPr>
          <w:p>
            <w:pPr>
              <w:jc w:val="right"/>
              <w:ind w:right="79"/>
              <w:spacing w:after="0" w:line="199" w:lineRule="exact"/>
              <w:rPr>
                <w:sz w:val="20"/>
                <w:szCs w:val="20"/>
                <w:color w:val="auto"/>
              </w:rPr>
            </w:pPr>
            <w:r>
              <w:rPr>
                <w:rFonts w:ascii="Calibri" w:cs="Calibri" w:eastAsia="Calibri" w:hAnsi="Calibri"/>
                <w:sz w:val="18"/>
                <w:szCs w:val="18"/>
                <w:color w:val="auto"/>
                <w:w w:val="72"/>
              </w:rPr>
              <w:t>)</w:t>
            </w:r>
          </w:p>
        </w:tc>
        <w:tc>
          <w:tcPr>
            <w:tcW w:w="360" w:type="dxa"/>
            <w:vAlign w:val="bottom"/>
            <w:tcBorders>
              <w:top w:val="single" w:sz="8" w:color="auto"/>
            </w:tcBorders>
          </w:tcPr>
          <w:p>
            <w:pPr>
              <w:jc w:val="center"/>
              <w:ind w:right="170"/>
              <w:spacing w:after="0" w:line="208"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(84</w:t>
            </w:r>
          </w:p>
        </w:tc>
        <w:tc>
          <w:tcPr>
            <w:tcW w:w="220" w:type="dxa"/>
            <w:vAlign w:val="bottom"/>
          </w:tcPr>
          <w:p>
            <w:pPr>
              <w:jc w:val="right"/>
              <w:ind w:right="70"/>
              <w:spacing w:after="0" w:line="199" w:lineRule="exact"/>
              <w:rPr>
                <w:sz w:val="20"/>
                <w:szCs w:val="20"/>
                <w:color w:val="auto"/>
              </w:rPr>
            </w:pPr>
            <w:r>
              <w:rPr>
                <w:rFonts w:ascii="Calibri" w:cs="Calibri" w:eastAsia="Calibri" w:hAnsi="Calibri"/>
                <w:sz w:val="18"/>
                <w:szCs w:val="18"/>
                <w:color w:val="auto"/>
                <w:w w:val="72"/>
              </w:rPr>
              <w:t>)</w:t>
            </w:r>
          </w:p>
        </w:tc>
        <w:tc>
          <w:tcPr>
            <w:tcW w:w="260" w:type="dxa"/>
            <w:vAlign w:val="bottom"/>
            <w:tcBorders>
              <w:top w:val="single" w:sz="8" w:color="auto"/>
            </w:tcBorders>
          </w:tcPr>
          <w:p>
            <w:pPr>
              <w:jc w:val="right"/>
              <w:ind w:right="101"/>
              <w:spacing w:after="0"/>
              <w:rPr>
                <w:sz w:val="20"/>
                <w:szCs w:val="20"/>
                <w:color w:val="auto"/>
              </w:rPr>
            </w:pPr>
            <w:r>
              <w:rPr>
                <w:rFonts w:ascii="Calibri" w:cs="Calibri" w:eastAsia="Calibri" w:hAnsi="Calibri"/>
                <w:sz w:val="16"/>
                <w:szCs w:val="16"/>
                <w:color w:val="auto"/>
                <w:w w:val="73"/>
              </w:rPr>
              <w:t>$</w:t>
            </w:r>
          </w:p>
        </w:tc>
        <w:tc>
          <w:tcPr>
            <w:tcW w:w="8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(106</w:t>
            </w:r>
          </w:p>
        </w:tc>
        <w:tc>
          <w:tcPr>
            <w:tcW w:w="60" w:type="dxa"/>
            <w:vAlign w:val="bottom"/>
          </w:tcPr>
          <w:p>
            <w:pPr>
              <w:jc w:val="right"/>
              <w:spacing w:after="0" w:line="199" w:lineRule="exact"/>
              <w:rPr>
                <w:sz w:val="20"/>
                <w:szCs w:val="20"/>
                <w:color w:val="auto"/>
              </w:rPr>
            </w:pPr>
            <w:r>
              <w:rPr>
                <w:rFonts w:ascii="Calibri" w:cs="Calibri" w:eastAsia="Calibri" w:hAnsi="Calibri"/>
                <w:sz w:val="18"/>
                <w:szCs w:val="18"/>
                <w:color w:val="auto"/>
                <w:w w:val="72"/>
              </w:rPr>
              <w:t>)</w:t>
            </w:r>
          </w:p>
        </w:tc>
      </w:tr>
      <w:tr>
        <w:trPr>
          <w:trHeight w:val="28"/>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-933450</wp:posOffset>
            </wp:positionV>
            <wp:extent cx="570039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-624840</wp:posOffset>
            </wp:positionV>
            <wp:extent cx="570039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-179070</wp:posOffset>
            </wp:positionV>
            <wp:extent cx="5700395"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4220" w:space="720"/>
            <w:col w:w="6300"/>
          </w:cols>
          <w:pgMar w:left="320" w:top="976" w:right="339" w:bottom="1440" w:gutter="0" w:footer="0" w:header="0"/>
        </w:sectPr>
      </w:pPr>
    </w:p>
    <w:p>
      <w:pPr>
        <w:ind w:right="20" w:firstLine="509"/>
        <w:spacing w:after="0" w:line="235" w:lineRule="auto"/>
        <w:rPr>
          <w:sz w:val="20"/>
          <w:szCs w:val="20"/>
          <w:color w:val="auto"/>
        </w:rPr>
      </w:pPr>
      <w:r>
        <w:rPr>
          <w:rFonts w:ascii="Calibri" w:cs="Calibri" w:eastAsia="Calibri" w:hAnsi="Calibri"/>
          <w:sz w:val="18"/>
          <w:szCs w:val="18"/>
          <w:color w:val="auto"/>
        </w:rPr>
        <w:t>Total other unallocated items decreased by $2 million and $22 million for the three and nine months ended June 30, 2024, respectvely, when compared to the same periods in fscal 2023, due to lower Interest expense and higher General unallocated income (expense) partally ofset by higher Unallocated corporate costs. General unallocated income increased due to higher interest income, higher investment income on our cash and cash equivalent balances in Argentna, and lower foreign exchange losses, primarily in Argentna.</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interest and dividend income, the proft or loss related to the corporate adjustment for unearned revenue and unrealized holding gains (losses) for investments. General unallocated income (expense) does not include items of income or expense that are separately treated as Certain items.</w:t>
      </w:r>
    </w:p>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Reinforcement Materials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Reinforcement Materials for the third quarter and frst nine months of fscal 2024 and 2023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120" w:type="dxa"/>
            <w:vAlign w:val="bottom"/>
            <w:gridSpan w:val="4"/>
          </w:tcPr>
          <w:p>
            <w:pPr>
              <w:jc w:val="right"/>
              <w:ind w:right="20"/>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60" w:type="dxa"/>
            <w:vAlign w:val="bottom"/>
          </w:tcPr>
          <w:p>
            <w:pPr>
              <w:spacing w:after="0"/>
              <w:rPr>
                <w:sz w:val="14"/>
                <w:szCs w:val="14"/>
                <w:color w:val="auto"/>
              </w:rPr>
            </w:pPr>
          </w:p>
        </w:tc>
        <w:tc>
          <w:tcPr>
            <w:tcW w:w="100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6"/>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8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Reinforcement Materials Sales</w:t>
            </w:r>
          </w:p>
        </w:tc>
        <w:tc>
          <w:tcPr>
            <w:tcW w:w="760" w:type="dxa"/>
            <w:vAlign w:val="bottom"/>
            <w:tcBorders>
              <w:bottom w:val="single" w:sz="8" w:color="CFF0FC"/>
            </w:tcBorders>
            <w:shd w:val="clear" w:color="auto" w:fill="CFF0FC"/>
          </w:tcPr>
          <w:p>
            <w:pPr>
              <w:jc w:val="right"/>
              <w:ind w:right="579"/>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649</w:t>
            </w:r>
          </w:p>
        </w:tc>
        <w:tc>
          <w:tcPr>
            <w:tcW w:w="1000" w:type="dxa"/>
            <w:vAlign w:val="bottom"/>
            <w:tcBorders>
              <w:bottom w:val="single" w:sz="8" w:color="CFF0FC"/>
            </w:tcBorders>
            <w:gridSpan w:val="2"/>
            <w:shd w:val="clear" w:color="auto" w:fill="CFF0FC"/>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ind w:left="40"/>
              <w:spacing w:after="0" w:line="215" w:lineRule="exact"/>
              <w:rPr>
                <w:sz w:val="20"/>
                <w:szCs w:val="20"/>
                <w:color w:val="auto"/>
              </w:rPr>
            </w:pPr>
            <w:r>
              <w:rPr>
                <w:rFonts w:ascii="Calibri" w:cs="Calibri" w:eastAsia="Calibri" w:hAnsi="Calibri"/>
                <w:sz w:val="18"/>
                <w:szCs w:val="18"/>
                <w:color w:val="auto"/>
              </w:rPr>
              <w:t>624</w:t>
            </w: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1,966</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880" w:type="dxa"/>
            <w:vAlign w:val="bottom"/>
          </w:tcPr>
          <w:p>
            <w:pPr>
              <w:spacing w:after="0" w:line="215" w:lineRule="exact"/>
              <w:rPr>
                <w:sz w:val="20"/>
                <w:szCs w:val="20"/>
                <w:color w:val="auto"/>
              </w:rPr>
            </w:pPr>
            <w:r>
              <w:rPr>
                <w:rFonts w:ascii="Calibri" w:cs="Calibri" w:eastAsia="Calibri" w:hAnsi="Calibri"/>
                <w:sz w:val="18"/>
                <w:szCs w:val="18"/>
                <w:color w:val="auto"/>
              </w:rPr>
              <w:t>Reinforcement Materials EBIT</w:t>
            </w:r>
          </w:p>
        </w:tc>
        <w:tc>
          <w:tcPr>
            <w:tcW w:w="760" w:type="dxa"/>
            <w:vAlign w:val="bottom"/>
          </w:tcPr>
          <w:p>
            <w:pPr>
              <w:jc w:val="right"/>
              <w:ind w:right="579"/>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136</w:t>
            </w:r>
          </w:p>
        </w:tc>
        <w:tc>
          <w:tcPr>
            <w:tcW w:w="1000" w:type="dxa"/>
            <w:vAlign w:val="bottom"/>
            <w:gridSpan w:val="2"/>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ind w:left="40"/>
              <w:spacing w:after="0" w:line="215" w:lineRule="exact"/>
              <w:rPr>
                <w:sz w:val="20"/>
                <w:szCs w:val="20"/>
                <w:color w:val="auto"/>
              </w:rPr>
            </w:pPr>
            <w:r>
              <w:rPr>
                <w:rFonts w:ascii="Calibri" w:cs="Calibri" w:eastAsia="Calibri" w:hAnsi="Calibri"/>
                <w:sz w:val="18"/>
                <w:szCs w:val="18"/>
                <w:color w:val="auto"/>
              </w:rPr>
              <w:t>132</w:t>
            </w: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414</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348</w:t>
            </w:r>
          </w:p>
        </w:tc>
        <w:tc>
          <w:tcPr>
            <w:tcW w:w="80" w:type="dxa"/>
            <w:vAlign w:val="bottom"/>
          </w:tcPr>
          <w:p>
            <w:pPr>
              <w:spacing w:after="0"/>
              <w:rPr>
                <w:sz w:val="18"/>
                <w:szCs w:val="18"/>
                <w:color w:val="auto"/>
              </w:rPr>
            </w:pPr>
          </w:p>
        </w:tc>
      </w:tr>
    </w:tbl>
    <w:p>
      <w:pPr>
        <w:spacing w:after="0" w:line="15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Sales in Reinforcement Materials increased by $25 million in the third quarter of fscal 2024 compared to the same period of fscal 2023, primarily due to higher volumes ($25 million) and favorable price and product mix ($14 million), partally ofset by the unfavorable impact from foreign currency translaton ($12 million). The higher volumes in the third quarter of fscal 2024 were driven by higher volumes in Asia Pacifc and Europe. The favorable pricing was driven primarily from higher raw material costs that are generally passed through to our customers and higher pricing and product mix from our calendar year 2024 customer agreements.</w:t>
      </w:r>
    </w:p>
    <w:p>
      <w:pPr>
        <w:spacing w:after="0" w:line="16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frst nine months of fscal 2024, sales in Reinforcement Materials increased by $27 million compared to the same period of fscal 2023 primarily due to higher volumes ($83 million), partally ofset by less favorable price and product mix ($50 million) and the unfavorable impact from foreign currency translaton ($5 million). The higher volumes in the frst nine months of fscal 2024 were driven by higher volumes in Asia Pacifc and Europe. The less favorable pricing was primarily due to lower raw material costs in the frst two fscal quarters of fscal 2024 as compared to the same quarters of fscal 2023 that are generally passed through to our customers.</w:t>
      </w:r>
    </w:p>
    <w:p>
      <w:pPr>
        <w:spacing w:after="0" w:line="85"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EBIT in Reinforcement Materials in the third quarter of fscal 2024 increased by $4 million compared to the same period of fscal 2023. The increase was driven by higher volumes ($10 million), higher unit margins ($2 million) partally ofset by higher costs ($9 million). The higher volumes were driven by stronger demand in Asia Pacifc and Europe, partally ofset by lower volumes in the Americas due to weather-related events. The higher unit margins were driven by improved pricing and product mix in our calendar year 2024 customer agreements partally ofset by a less favorable geographic mix and lower energy center revenue. The higher costs were primarily driven by higher selling and administratve costs.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frst nine months of fscal 2024, EBIT in Reinforcement Materials increased by $66 million compared to the same period of fscal 2023. The increase was driven by higher unit margins, net of costs ($35 million), and higher volumes ($30 million). The higher unit margins, net of costs, in the frst nine months of fscal 2024 were primarily driven by favorable price and product mix in the 2023 and 2024 calendar year customer agreements. The higher volumes were driven by higher volumes in Asia Pacifc and Europe.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26" w:name="page27"/>
    <w:bookmarkEnd w:id="26"/>
    <w:p>
      <w:pPr>
        <w:jc w:val="both"/>
        <w:ind w:right="220" w:firstLine="509"/>
        <w:spacing w:after="0" w:line="258" w:lineRule="auto"/>
        <w:rPr>
          <w:sz w:val="20"/>
          <w:szCs w:val="20"/>
          <w:color w:val="auto"/>
        </w:rPr>
      </w:pPr>
      <w:r>
        <w:rPr>
          <w:rFonts w:ascii="Calibri" w:cs="Calibri" w:eastAsia="Calibri" w:hAnsi="Calibri"/>
          <w:sz w:val="17"/>
          <w:szCs w:val="17"/>
          <w:color w:val="auto"/>
        </w:rPr>
        <w:t>As we look to the fourth quarter of the fscal year, we expect the Reinforcement Materials EBIT to modestly improve from the third quarter of fscal 2024 due to antcipated sequental volume improvement in the Americas and Asia Pacifc regions, partally ofset by seasonally weaker volumes in Europe.</w:t>
      </w:r>
    </w:p>
    <w:p>
      <w:pPr>
        <w:spacing w:after="0" w:line="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 Chemicals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Performance Chemicals for the third quarter and frst nine months of fscal 2024 and 2023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120" w:type="dxa"/>
            <w:vAlign w:val="bottom"/>
            <w:gridSpan w:val="4"/>
          </w:tcPr>
          <w:p>
            <w:pPr>
              <w:jc w:val="right"/>
              <w:ind w:right="20"/>
              <w:spacing w:after="0"/>
              <w:rPr>
                <w:sz w:val="20"/>
                <w:szCs w:val="20"/>
                <w:color w:val="auto"/>
              </w:rPr>
            </w:pPr>
            <w:r>
              <w:rPr>
                <w:rFonts w:ascii="Calibri" w:cs="Calibri" w:eastAsia="Calibri" w:hAnsi="Calibri"/>
                <w:sz w:val="14"/>
                <w:szCs w:val="14"/>
                <w:b w:val="1"/>
                <w:bCs w:val="1"/>
                <w:color w:val="auto"/>
              </w:rPr>
              <w:t>Three Months Ended June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Nine Months Ended June 30</w:t>
            </w:r>
          </w:p>
        </w:tc>
      </w:tr>
      <w:tr>
        <w:trPr>
          <w:trHeight w:val="33"/>
        </w:trPr>
        <w:tc>
          <w:tcPr>
            <w:tcW w:w="38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60" w:type="dxa"/>
            <w:vAlign w:val="bottom"/>
          </w:tcPr>
          <w:p>
            <w:pPr>
              <w:spacing w:after="0"/>
              <w:rPr>
                <w:sz w:val="14"/>
                <w:szCs w:val="14"/>
                <w:color w:val="auto"/>
              </w:rPr>
            </w:pPr>
          </w:p>
        </w:tc>
        <w:tc>
          <w:tcPr>
            <w:tcW w:w="1000" w:type="dxa"/>
            <w:vAlign w:val="bottom"/>
            <w:gridSpan w:val="2"/>
          </w:tcPr>
          <w:p>
            <w:pPr>
              <w:jc w:val="right"/>
              <w:ind w:right="80"/>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6"/>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8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Performance Chemicals Sales</w:t>
            </w:r>
          </w:p>
        </w:tc>
        <w:tc>
          <w:tcPr>
            <w:tcW w:w="760" w:type="dxa"/>
            <w:vAlign w:val="bottom"/>
            <w:tcBorders>
              <w:bottom w:val="single" w:sz="8" w:color="CFF0FC"/>
            </w:tcBorders>
            <w:shd w:val="clear" w:color="auto" w:fill="CFF0FC"/>
          </w:tcPr>
          <w:p>
            <w:pPr>
              <w:jc w:val="right"/>
              <w:ind w:right="579"/>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332</w:t>
            </w:r>
          </w:p>
        </w:tc>
        <w:tc>
          <w:tcPr>
            <w:tcW w:w="1000" w:type="dxa"/>
            <w:vAlign w:val="bottom"/>
            <w:tcBorders>
              <w:bottom w:val="single" w:sz="8" w:color="CFF0FC"/>
            </w:tcBorders>
            <w:gridSpan w:val="2"/>
            <w:shd w:val="clear" w:color="auto" w:fill="CFF0FC"/>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307</w:t>
            </w: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928</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880" w:type="dxa"/>
            <w:vAlign w:val="bottom"/>
          </w:tcPr>
          <w:p>
            <w:pPr>
              <w:spacing w:after="0" w:line="215" w:lineRule="exact"/>
              <w:rPr>
                <w:sz w:val="20"/>
                <w:szCs w:val="20"/>
                <w:color w:val="auto"/>
              </w:rPr>
            </w:pPr>
            <w:r>
              <w:rPr>
                <w:rFonts w:ascii="Calibri" w:cs="Calibri" w:eastAsia="Calibri" w:hAnsi="Calibri"/>
                <w:sz w:val="18"/>
                <w:szCs w:val="18"/>
                <w:color w:val="auto"/>
              </w:rPr>
              <w:t>Performance Chemicals EBIT</w:t>
            </w:r>
          </w:p>
        </w:tc>
        <w:tc>
          <w:tcPr>
            <w:tcW w:w="760" w:type="dxa"/>
            <w:vAlign w:val="bottom"/>
          </w:tcPr>
          <w:p>
            <w:pPr>
              <w:jc w:val="right"/>
              <w:ind w:right="579"/>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55</w:t>
            </w:r>
          </w:p>
        </w:tc>
        <w:tc>
          <w:tcPr>
            <w:tcW w:w="1000" w:type="dxa"/>
            <w:vAlign w:val="bottom"/>
            <w:gridSpan w:val="2"/>
          </w:tcPr>
          <w:p>
            <w:pPr>
              <w:jc w:val="right"/>
              <w:ind w:right="6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120</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89</w:t>
            </w:r>
          </w:p>
        </w:tc>
        <w:tc>
          <w:tcPr>
            <w:tcW w:w="80" w:type="dxa"/>
            <w:vAlign w:val="bottom"/>
          </w:tcPr>
          <w:p>
            <w:pPr>
              <w:spacing w:after="0"/>
              <w:rPr>
                <w:sz w:val="18"/>
                <w:szCs w:val="18"/>
                <w:color w:val="auto"/>
              </w:rPr>
            </w:pPr>
          </w:p>
        </w:tc>
      </w:tr>
    </w:tbl>
    <w:p>
      <w:pPr>
        <w:spacing w:after="0" w:line="19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Sales in Performance Chemicals increased by $25 million in the third quarter of fscal 2024 compared to the same period of fscal 2023, primarily due to higher volumes ($31 million), partally ofset by the unfavorable impact from foreign currency translaton ($5 million). The higher volumes in the third quarter of fscal 2024 were primarily in our specialty carbons and fumed metal oxides product lines.</w:t>
      </w:r>
    </w:p>
    <w:p>
      <w:pPr>
        <w:spacing w:after="0" w:line="84"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In the frst nine months of fscal 2024, sales in Performance Chemicals increased by $9 million compared to the same period of fscal 2023, primarily due to higher volumes ($60 million), partally ofset by less favorable price and product mix ($46 million) and the unfavorable impact from foreign currency translaton ($3 million). The higher volumes in fscal 2024 were primarily in our specialty carbons and fumed metal oxides product lines. The less favorable price and product mix was primarily due to lower raw material costs that are generally passed through to our customers.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EBIT in Performance Chemicals increased by $23 million in the third quarter of fscal 2024 compared to the same period of fscal 2023 primarily due to higher volumes ($17 million) and higher unit margins, net of costs ($7 million). The higher volumes in the third quarter of fscal 2024 were primarily in our specialty carbons and fumed metal oxides product lines. The higher unit margins, net of costs, improved from a more favorable product mix as demand improved in the automotve, infrastructure and semiconductor applicatons.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frst nine months of fscal 2024, EBIT in Performance Chemicals increased by $31 million compared to the same period of fscal 2023. The increase was driven by higher volumes ($28 million) and higher unit margins, net of costs ($10 million), partally ofset by the unfavorable impact of foreign currency translaton ($6 million). The higher volumes in the frst nine months of fscal 2024 were primarily in our specialty carbons and fumed metal oxides product lines. The higher unit margins, net of costs, improved from a more favorable product mix as demand improved in the automotve, infrastructure and semiconductor applicatons.</w:t>
      </w:r>
    </w:p>
    <w:p>
      <w:pPr>
        <w:spacing w:after="0" w:line="85"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As we look ahead to the fourth quarter of the fscal year, we expect the Performance Chemicals EBIT to improve year-over- year due to antcipated higher volumes and a more favorable product mix, but decline sequentally due to lower volumes from normal seasonality impacts.</w:t>
      </w:r>
    </w:p>
    <w:p>
      <w:pPr>
        <w:spacing w:after="0" w:line="236" w:lineRule="auto"/>
        <w:rPr>
          <w:sz w:val="20"/>
          <w:szCs w:val="20"/>
          <w:color w:val="auto"/>
        </w:rPr>
      </w:pPr>
      <w:r>
        <w:rPr>
          <w:rFonts w:ascii="Calibri" w:cs="Calibri" w:eastAsia="Calibri" w:hAnsi="Calibri"/>
          <w:sz w:val="18"/>
          <w:szCs w:val="18"/>
          <w:b w:val="1"/>
          <w:bCs w:val="1"/>
          <w:color w:val="auto"/>
        </w:rPr>
        <w:t>Liquidity and Capital Resources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liquidity positon, as measured by cash and cash equivalents plus borrowing availability, increased by $97 million during the frst nine months of fscal 2024, which was largely due to a lower outstanding commercial paper balance at the end of the period. As of June 30, 2024, we had cash and cash equivalents of $197 million and borrowing availability under our revolving credit agreements of $1.2 billion. We have access to borrowings under the following two credit agreements:</w:t>
      </w:r>
    </w:p>
    <w:p>
      <w:pPr>
        <w:spacing w:after="0" w:line="98" w:lineRule="exact"/>
        <w:rPr>
          <w:sz w:val="20"/>
          <w:szCs w:val="20"/>
          <w:color w:val="auto"/>
        </w:rPr>
      </w:pPr>
    </w:p>
    <w:p>
      <w:pPr>
        <w:ind w:left="1260" w:right="200" w:hanging="368"/>
        <w:spacing w:after="0" w:line="235" w:lineRule="auto"/>
        <w:tabs>
          <w:tab w:leader="none" w:pos="126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$1 billion unsecured revolving credit agreement (the “U.S. Credit Agreement”) with JPMorgan Chase Bank, N.A., as Administratve Agent, Citbank, N.A., as Syndicaton Agent, and the other lenders party thereto, which matures in August 2027. The U.S. Credit Agreement supports our issuance of commercial paper, and borrowings under it may be used for working capital, leters of credit and other general corporate purposes.</w:t>
      </w:r>
    </w:p>
    <w:p>
      <w:pPr>
        <w:spacing w:after="0" w:line="84" w:lineRule="exact"/>
        <w:rPr>
          <w:rFonts w:ascii="Times New Roman" w:cs="Times New Roman" w:eastAsia="Times New Roman" w:hAnsi="Times New Roman"/>
          <w:sz w:val="18"/>
          <w:szCs w:val="18"/>
          <w:color w:val="auto"/>
        </w:rPr>
      </w:pPr>
    </w:p>
    <w:p>
      <w:pPr>
        <w:ind w:left="1260" w:right="20" w:hanging="368"/>
        <w:spacing w:after="0" w:line="235" w:lineRule="auto"/>
        <w:tabs>
          <w:tab w:leader="none" w:pos="126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€300 million unsecured revolving credit agreement (the “Euro Credit Agreement”, and together with the U.S. Credit Agreement, the “Credit Agreements”), with PNC Bank, Natonal Associaton, as Administratve Agent, and the other lenders party thereto, which matures in August 2027.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of June 30, 2024,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27" w:name="page28"/>
    <w:bookmarkEnd w:id="27"/>
    <w:p>
      <w:pPr>
        <w:ind w:right="80" w:firstLine="509"/>
        <w:spacing w:after="0" w:line="250" w:lineRule="auto"/>
        <w:rPr>
          <w:sz w:val="20"/>
          <w:szCs w:val="20"/>
          <w:color w:val="auto"/>
        </w:rPr>
      </w:pPr>
      <w:r>
        <w:rPr>
          <w:rFonts w:ascii="Calibri" w:cs="Calibri" w:eastAsia="Calibri" w:hAnsi="Calibri"/>
          <w:sz w:val="17"/>
          <w:szCs w:val="17"/>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including the utlizaton of customer supply chain fnancing programs, setlement of intercompany balances and short-term intercompany loans. If additonal funds are needed in the U.S., we expect to be able to repatriate cash, including cash from China, while paying any withholding or other taxes. Changes in regulatons and tax laws in the U.S. or foreign countries could restrict our ability to transfer funds or impose material costs on such transfers.</w:t>
      </w:r>
    </w:p>
    <w:p>
      <w:pPr>
        <w:spacing w:after="0" w:line="79"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additon to the currency controls that prevent the distributon of cash in Argentna, there are also government regulatons that require all cash in Argentna to be held in Argentne pesos and regulatons that restrict how and when suppliers of imported goods and services into Argentna can be paid. In accordance with government regulatons, we purchased and sold at a discount BOPREAL bonds during the second quarter of fscal 2024 to partally repay imported goods received on or prior to December 12, 2023. The balance of these outstanding payables was paid in April 2024. Current and future imported goods and services will be paid in accordance with new regulatons enacted in the later part of calendar year 2023. Future regulatons could impact our ability to pay suppliers for our imported goods and services.</w:t>
      </w:r>
    </w:p>
    <w:p>
      <w:pPr>
        <w:spacing w:after="0" w:line="8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of June 30, 2024, we had $1.2 billion of availability under our Credit Agreements. As of June 30, 2024, we had $109 million of borrowings under the Euro Credit Agreement and no outstanding borrowings under the U.S. Credit Agreement. There was $49 million of commercial paper outstanding as of June 30, 2024.</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both the next twelve months and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84" w:lineRule="exact"/>
        <w:rPr>
          <w:sz w:val="20"/>
          <w:szCs w:val="20"/>
          <w:color w:val="auto"/>
        </w:rPr>
      </w:pPr>
    </w:p>
    <w:p>
      <w:pPr>
        <w:ind w:right="1060" w:firstLine="509"/>
        <w:spacing w:after="0" w:line="319" w:lineRule="auto"/>
        <w:rPr>
          <w:sz w:val="20"/>
          <w:szCs w:val="20"/>
          <w:color w:val="auto"/>
        </w:rPr>
      </w:pPr>
      <w:r>
        <w:rPr>
          <w:rFonts w:ascii="Calibri" w:cs="Calibri" w:eastAsia="Calibri" w:hAnsi="Calibri"/>
          <w:sz w:val="18"/>
          <w:szCs w:val="18"/>
          <w:color w:val="auto"/>
        </w:rPr>
        <w:t xml:space="preserve">The following discussion of the changes in our cash balance refers to the various sectons of our Consolidated Statements of Cash Flows. </w:t>
      </w:r>
      <w:r>
        <w:rPr>
          <w:rFonts w:ascii="Calibri" w:cs="Calibri" w:eastAsia="Calibri" w:hAnsi="Calibri"/>
          <w:sz w:val="18"/>
          <w:szCs w:val="18"/>
          <w:b w:val="1"/>
          <w:bCs w:val="1"/>
          <w:i w:val="1"/>
          <w:iCs w:val="1"/>
          <w:color w:val="auto"/>
        </w:rPr>
        <w:t>Cash Flows from Operatng Actvites</w:t>
      </w:r>
    </w:p>
    <w:p>
      <w:pPr>
        <w:spacing w:after="0" w:line="10"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Cash provided by operatng actvites, which consists of net income adjusted for the various non-cash items included in income, changes in working capital and changes in certain other balance sheet accounts, totaled $488 million in the frst nine months of fscal 2024 compared to $457 million of cash provided by operatng actvites during the same period of fscal 2023.</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Cash provided by operatng actvites in the frst nine months of fscal 2024 was driven by business earnings excluding the non-cash impacts of depreciaton and amortzaton of $114 million and foreign exchange losses of $38 million, primarily related to devaluaton of the Argentne peso, which was partally ofset by a decrease in net working capital of $18 million. The decrease in net working capital was largely driven by an increase in Accounts Payable and accrued liabilites, and a decrease in inventories, partally ofset by an increase in Accounts and notes receivable.</w:t>
      </w:r>
    </w:p>
    <w:p>
      <w:pPr>
        <w:spacing w:after="0" w:line="84"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Cash provided by operatng actvites in the frst nine months of fscal 2023 was driven by business earnings excluding the non-cash impacts of depreciaton and amortzaton of $107 million and a decrease in net working capital of $96 million. The decrease in</w:t>
      </w:r>
    </w:p>
    <w:p>
      <w:pPr>
        <w:spacing w:after="0" w:line="2" w:lineRule="exact"/>
        <w:rPr>
          <w:sz w:val="20"/>
          <w:szCs w:val="20"/>
          <w:color w:val="auto"/>
        </w:rPr>
      </w:pPr>
    </w:p>
    <w:p>
      <w:pPr>
        <w:ind w:right="2020"/>
        <w:spacing w:after="0" w:line="235" w:lineRule="auto"/>
        <w:rPr>
          <w:sz w:val="20"/>
          <w:szCs w:val="20"/>
          <w:color w:val="auto"/>
        </w:rPr>
      </w:pPr>
      <w:r>
        <w:rPr>
          <w:rFonts w:ascii="Calibri" w:cs="Calibri" w:eastAsia="Calibri" w:hAnsi="Calibri"/>
          <w:sz w:val="18"/>
          <w:szCs w:val="18"/>
          <w:color w:val="auto"/>
        </w:rPr>
        <w:t>net working capital was largely driven by a decrease in accounts receivable due to lower customer prices from lower cost of raw materials and decreased sales volumes and a decrease in inventories and accounts payable and accrued expenses driven by lower cost of raw materials.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Investng Actvites</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Investng actvites consumed $146 million of cash in the frst nine months of fscal 2024 compared to $139 million of cash consumed in the frst nine months of fscal 2023.</w:t>
      </w:r>
    </w:p>
    <w:p>
      <w:pPr>
        <w:spacing w:after="0" w:line="8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the frst nine months of fscal 2024, investng actvites included $149 million of capital expenditures for sustaining and compliance capital projects at our operatng facilites as well as growth-related capital, including capacity expansion capital projects.</w:t>
      </w:r>
    </w:p>
    <w:p>
      <w:pPr>
        <w:spacing w:after="0" w:line="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the frst nine months of fscal 2023, investng actvites included $166 million of capital expenditures for sustaining and compliance capital projects at our operatng facilites as well as growth-related capital, including capacity expansion projects in Performance Chemicals, partally ofset by proceeds from the sale of land of $7 million, proceeds from the sale of our Purifcaton Solutons business of $6 million, and proceeds from insurance setlements of $12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8" w:name="page29"/>
    <w:bookmarkEnd w:id="28"/>
    <w:p>
      <w:pPr>
        <w:ind w:right="40" w:firstLine="509"/>
        <w:spacing w:after="0" w:line="235" w:lineRule="auto"/>
        <w:rPr>
          <w:sz w:val="20"/>
          <w:szCs w:val="20"/>
          <w:color w:val="auto"/>
        </w:rPr>
      </w:pPr>
      <w:r>
        <w:rPr>
          <w:rFonts w:ascii="Calibri" w:cs="Calibri" w:eastAsia="Calibri" w:hAnsi="Calibri"/>
          <w:sz w:val="18"/>
          <w:szCs w:val="18"/>
          <w:color w:val="auto"/>
        </w:rPr>
        <w:t>Capital expenditures for fscal 2024 are expected to be between $220 million and $240 million. Our planned capital spending program for fscal 2024 is for sustaining, compliance and improvement capital projects at our operatng facilites as well as capacity expansion capital expenditures.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U.S. EPA Consent Decree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described in Part 1, Item 1 of the 2023 Form 10-K (the “2023 10-K") under the heading “Safety, Health, Environment, and Sustainability”, pursuant to the Consent Decree we entered into in November 2013 with the U.S. Environmental Protecton Agency (“EPA”) and the Louisiana Department of Environmental Quality (“LDEQ”) regarding our three carbon black manufacturing facilites in the U.S., Cabot has installed technology controls for sulfur dioxide and/or nitrogen oxide at its carbon black plants in Pampa, Texas and Franklin, Louisiana, and is in the process of installing sulfur dioxide and nitrogen oxide technology controls at its plant in Ville Plate, Louisiana. We are currently in discussions with the EPA and LDEQ to extend our compliance date at the Ville Plate facility to mid-calendar year 2025 based upon force majeure events primarily related to the COVID-19 pandemic. As of June 30, 2024, we had incurred approximately $195 million to install these technology controls in the U.S. Operatng these controls increases our plant operatng costs. We expect that the total capital costs to install these controls will be approximately $250 million and will be incurred through 2025. The Consent Decree includes discretonary stpulated damages provisions for failure to comply outside of a force majeure event. All carbon black manufacturers in the U.S. have setled with the EPA and have installed similar controls.</w:t>
      </w:r>
    </w:p>
    <w:p>
      <w:pPr>
        <w:spacing w:after="0" w:line="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Financing Actvites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Financing actvites consumed $326 million of cash in the frst nine months of fscal 2024 compared to $371 million of cash consumed during the same period of fscal 2023.</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the frst nine months of fscal 2024, fnancing actvites primarily consisted of net repayment of commercial paper of $123 million, share repurchases of $106 million, dividend payments to stockholders of $69 million, cash dividends paid to noncontrolling interests of $27 million, and net repayment of $12 million under our Euro Credit Agreement, which includes repayments of $26 million partally ofset by proceeds of $14 million. These payments were partally ofset by proceeds from sales of common stock of $15 million from stock opton exercises.</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the frst nine months of fscal 2023, fnancing actvites primarily consisted of the repayment of commercial paper of $188 million, dividend payments to stockholders of $65 million, share repurchases of $48 million, cash dividends paid to noncontrolling interests of $41 million, net repayments of short-term borrowings of $24 million and repayments of long-term debt of $88 million. These payments were partally ofset by proceeds from long-term borrowings of $79 million.</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Informaton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This report on Form 10-Q contains “forward-looking statements” under the Federal securites laws. These forward-looking statements address expectatons or projectons about the future, including our expectatons regarding our future business performance and overall prospects, including for earnings and volumes in our Reinforcement Materials segment, and for earnings, volumes and product mix in our Performance Chemicals segment; the impact and cost of restructuring actvites; demand for our products; antcipated transacton closing tmelines; the sufciency of our cash on hand, cash provided from operatons and cash available under our credit and commercial paper facilites to fund our cash requirements in both the next twelve months and the foreseeable future; antcipated capital spending; regulatory developments, including regulatory compliance costs and potental impact on our operatons, including the expected total cost to install air polluton controls at our carbon black plants in the United States and when we expect to incur these capital costs and complete this project at our plant in Ville Plate, Louisiana; cash requirements and uses of available cash, including future cash outlays associated with respirator liabilites and the tming of such outlays; amortzaton expenses; our operatng tax rate; and the possible outcome of legal and environmental proceedings. From tme to tme, we also provide forward-looking statements in other materials we release to the public and in oral statements made by authorized ofcers.</w:t>
      </w:r>
    </w:p>
    <w:p>
      <w:pPr>
        <w:spacing w:after="0" w:line="9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those expressed in the forward-looking statements.</w:t>
      </w:r>
    </w:p>
    <w:p>
      <w:pPr>
        <w:spacing w:after="0" w:line="84"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In additon to factors described elsewhere in this report, the following are some of the factors that could cause our actual results to difer materially from those expressed in our forward-looking statements: industry capacity utlizaton and competton from other specialty chemical companies; safety, health and environmental requirements and related constraints imposed on our business; regulatory and fnancial risks related to climate change developments; volatlity in the price and availability of energy and raw materials, including with respect to the Russian invasion of Ukraine and the U.S.-China trade relatonship; a signifcant adverse change in a customer or joint venture relatonship or the failure of a customer or joint venture partner to perform its obligatons under agreements with us; failure to achieve growth expectatons from new products, applicatons and technology developments; failure to realize benefts from acquisitons, alliances, or joint ventures or achieve our portolio management objectves; negatve or uncertain worldwide or regional economic conditons and market opportunites, including from trade relatons, global health maters or geo-politcal conficts; litgaton or legal proceedings; interest rates, tax rates, currency exchange controls,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9" w:name="page30"/>
    <w:bookmarkEnd w:id="29"/>
    <w:p>
      <w:pPr>
        <w:ind w:right="80"/>
        <w:spacing w:after="0" w:line="235" w:lineRule="auto"/>
        <w:rPr>
          <w:sz w:val="20"/>
          <w:szCs w:val="20"/>
          <w:color w:val="auto"/>
        </w:rPr>
      </w:pPr>
      <w:r>
        <w:rPr>
          <w:rFonts w:ascii="Calibri" w:cs="Calibri" w:eastAsia="Calibri" w:hAnsi="Calibri"/>
          <w:sz w:val="18"/>
          <w:szCs w:val="18"/>
          <w:color w:val="auto"/>
        </w:rPr>
        <w:t>fuctuatons in foreign currency, such as the recent currency movements in Argentna; our inability to complete capacity expansions or other development projects; and the accuracy of the assumptons we used in establishing reserves for our share of liability for respirator claims. These other factors and risks are discussed more fully in our 2023 10-K and in our subsequent SEC flings.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3.  Quanttatve and Qualitatve Disclosures About Market Risk</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Informaton about market risks for the period ended June 30, 2024 does not difer materially from that discussed under Item 7A of our 2023 10-K.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4.  Controls and Procedures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June 30, 2024, we carried out an evaluaton, under the supervision and with the partcipaton of our management, including our principal executve ofcer and our principal fnancial ofcer, of the efectveness of our disclosure controls and procedures pursuant to Rule 13a-15 under the Securites Exchange Act of 1934, as amended. Based upon that evaluaton, our principal executve ofcer and our principal fnancial ofcer concluded that our disclosure controls and procedures were efectve as of that date.</w:t>
      </w:r>
    </w:p>
    <w:p>
      <w:pPr>
        <w:spacing w:after="0" w:line="84" w:lineRule="exact"/>
        <w:rPr>
          <w:sz w:val="20"/>
          <w:szCs w:val="20"/>
          <w:color w:val="auto"/>
        </w:rPr>
      </w:pPr>
    </w:p>
    <w:p>
      <w:pPr>
        <w:ind w:right="720" w:firstLine="509"/>
        <w:spacing w:after="0" w:line="235" w:lineRule="auto"/>
        <w:rPr>
          <w:sz w:val="20"/>
          <w:szCs w:val="20"/>
          <w:color w:val="auto"/>
        </w:rPr>
      </w:pPr>
      <w:r>
        <w:rPr>
          <w:rFonts w:ascii="Calibri" w:cs="Calibri" w:eastAsia="Calibri" w:hAnsi="Calibri"/>
          <w:sz w:val="18"/>
          <w:szCs w:val="18"/>
          <w:color w:val="auto"/>
        </w:rPr>
        <w:t>There were no changes in our internal controls over fnancial reportng that occurred during our fscal quarter ended June 30, 2024 that have materially afected, or are reasonably likely to materially afect, our internal control over fnancial reportng.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i w:val="1"/>
          <w:iCs w:val="1"/>
          <w:color w:val="auto"/>
        </w:rPr>
        <w:t>Part II. Other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2.  Unregistered Sales of Equity Securites and Use of Proceeds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sets forth informaton regarding Cabot’s purchases of its equity securites during the quarter ended June 30,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Maximum Number (or</w:t>
            </w: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Approximate Dollar</w:t>
            </w: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Shares Purchased</w:t>
            </w:r>
          </w:p>
        </w:tc>
        <w:tc>
          <w:tcPr>
            <w:tcW w:w="22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Value) of Shares that</w:t>
            </w: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as Part of Publicly</w:t>
            </w:r>
          </w:p>
        </w:tc>
        <w:tc>
          <w:tcPr>
            <w:tcW w:w="2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May Yet Be Purchased</w:t>
            </w: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Shares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7"/>
              <w:spacing w:after="0" w:line="159" w:lineRule="exact"/>
              <w:rPr>
                <w:sz w:val="20"/>
                <w:szCs w:val="20"/>
                <w:color w:val="auto"/>
              </w:rPr>
            </w:pPr>
            <w:r>
              <w:rPr>
                <w:rFonts w:ascii="Calibri" w:cs="Calibri" w:eastAsia="Calibri" w:hAnsi="Calibri"/>
                <w:sz w:val="14"/>
                <w:szCs w:val="14"/>
                <w:b w:val="1"/>
                <w:bCs w:val="1"/>
                <w:color w:val="auto"/>
              </w:rPr>
              <w:t>Average Price</w:t>
            </w:r>
          </w:p>
        </w:tc>
        <w:tc>
          <w:tcPr>
            <w:tcW w:w="2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Announced Plans or</w:t>
            </w:r>
          </w:p>
        </w:tc>
        <w:tc>
          <w:tcPr>
            <w:tcW w:w="220" w:type="dxa"/>
            <w:vAlign w:val="bottom"/>
          </w:tcPr>
          <w:p>
            <w:pPr>
              <w:spacing w:after="0"/>
              <w:rPr>
                <w:sz w:val="13"/>
                <w:szCs w:val="13"/>
                <w:color w:val="auto"/>
              </w:rPr>
            </w:pPr>
          </w:p>
        </w:tc>
        <w:tc>
          <w:tcPr>
            <w:tcW w:w="1680" w:type="dxa"/>
            <w:vAlign w:val="bottom"/>
            <w:gridSpan w:val="2"/>
          </w:tcPr>
          <w:p>
            <w:pPr>
              <w:jc w:val="center"/>
              <w:ind w:right="100"/>
              <w:spacing w:after="0" w:line="159" w:lineRule="exact"/>
              <w:rPr>
                <w:sz w:val="20"/>
                <w:szCs w:val="20"/>
                <w:color w:val="auto"/>
              </w:rPr>
            </w:pPr>
            <w:r>
              <w:rPr>
                <w:rFonts w:ascii="Calibri" w:cs="Calibri" w:eastAsia="Calibri" w:hAnsi="Calibri"/>
                <w:sz w:val="14"/>
                <w:szCs w:val="14"/>
                <w:b w:val="1"/>
                <w:bCs w:val="1"/>
                <w:color w:val="auto"/>
              </w:rPr>
              <w:t>Under the Plans or</w:t>
            </w:r>
          </w:p>
        </w:tc>
      </w:tr>
      <w:tr>
        <w:trPr>
          <w:trHeight w:val="185"/>
        </w:trPr>
        <w:tc>
          <w:tcPr>
            <w:tcW w:w="41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Period</w:t>
            </w:r>
          </w:p>
        </w:tc>
        <w:tc>
          <w:tcPr>
            <w:tcW w:w="16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4"/>
              </w:rPr>
              <w:t>Purchased</w:t>
            </w:r>
            <w:r>
              <w:rPr>
                <w:rFonts w:ascii="Calibri" w:cs="Calibri" w:eastAsia="Calibri" w:hAnsi="Calibri"/>
                <w:sz w:val="19"/>
                <w:szCs w:val="19"/>
                <w:b w:val="1"/>
                <w:bCs w:val="1"/>
                <w:color w:val="auto"/>
                <w:w w:val="94"/>
                <w:vertAlign w:val="superscript"/>
              </w:rPr>
              <w:t>(1)(2)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57"/>
              <w:spacing w:after="0"/>
              <w:rPr>
                <w:sz w:val="20"/>
                <w:szCs w:val="20"/>
                <w:color w:val="auto"/>
              </w:rPr>
            </w:pPr>
            <w:r>
              <w:rPr>
                <w:rFonts w:ascii="Calibri" w:cs="Calibri" w:eastAsia="Calibri" w:hAnsi="Calibri"/>
                <w:sz w:val="14"/>
                <w:szCs w:val="14"/>
                <w:b w:val="1"/>
                <w:bCs w:val="1"/>
                <w:color w:val="auto"/>
              </w:rPr>
              <w:t>Paid per Share</w:t>
            </w:r>
          </w:p>
        </w:tc>
        <w:tc>
          <w:tcPr>
            <w:tcW w:w="220" w:type="dxa"/>
            <w:vAlign w:val="bottom"/>
          </w:tcPr>
          <w:p>
            <w:pPr>
              <w:spacing w:after="0"/>
              <w:rPr>
                <w:sz w:val="16"/>
                <w:szCs w:val="16"/>
                <w:color w:val="auto"/>
              </w:rPr>
            </w:pPr>
          </w:p>
        </w:tc>
        <w:tc>
          <w:tcPr>
            <w:tcW w:w="154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220" w:type="dxa"/>
            <w:vAlign w:val="bottom"/>
          </w:tcPr>
          <w:p>
            <w:pPr>
              <w:spacing w:after="0"/>
              <w:rPr>
                <w:sz w:val="16"/>
                <w:szCs w:val="16"/>
                <w:color w:val="auto"/>
              </w:rPr>
            </w:pPr>
          </w:p>
        </w:tc>
        <w:tc>
          <w:tcPr>
            <w:tcW w:w="1680" w:type="dxa"/>
            <w:vAlign w:val="bottom"/>
            <w:gridSpan w:val="2"/>
          </w:tcPr>
          <w:p>
            <w:pPr>
              <w:jc w:val="center"/>
              <w:ind w:right="100"/>
              <w:spacing w:after="0" w:line="185" w:lineRule="exact"/>
              <w:rPr>
                <w:sz w:val="20"/>
                <w:szCs w:val="20"/>
                <w:color w:val="auto"/>
              </w:rPr>
            </w:pPr>
            <w:r>
              <w:rPr>
                <w:rFonts w:ascii="Calibri" w:cs="Calibri" w:eastAsia="Calibri" w:hAnsi="Calibri"/>
                <w:sz w:val="14"/>
                <w:szCs w:val="14"/>
                <w:b w:val="1"/>
                <w:bCs w:val="1"/>
                <w:color w:val="auto"/>
                <w:w w:val="94"/>
              </w:rPr>
              <w:t>Programs</w:t>
            </w:r>
            <w:r>
              <w:rPr>
                <w:rFonts w:ascii="Calibri" w:cs="Calibri" w:eastAsia="Calibri" w:hAnsi="Calibri"/>
                <w:sz w:val="19"/>
                <w:szCs w:val="19"/>
                <w:b w:val="1"/>
                <w:bCs w:val="1"/>
                <w:color w:val="auto"/>
                <w:w w:val="94"/>
                <w:vertAlign w:val="superscript"/>
              </w:rPr>
              <w:t>(1)</w:t>
            </w: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8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April 1, 2024 - April 30, 2024</w:t>
            </w:r>
          </w:p>
        </w:tc>
        <w:tc>
          <w:tcPr>
            <w:tcW w:w="1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FF0FC"/>
            </w:tcBorders>
            <w:gridSpan w:val="2"/>
            <w:shd w:val="clear" w:color="auto" w:fill="CFF0FC"/>
          </w:tcPr>
          <w:p>
            <w:pPr>
              <w:jc w:val="right"/>
              <w:ind w:right="12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80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2,436,176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18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May 1, 2024 - May 31, 2024</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250,000</w:t>
            </w:r>
          </w:p>
        </w:tc>
        <w:tc>
          <w:tcPr>
            <w:tcW w:w="4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101.66</w:t>
            </w:r>
          </w:p>
        </w:tc>
        <w:tc>
          <w:tcPr>
            <w:tcW w:w="1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250,000</w:t>
            </w:r>
          </w:p>
        </w:tc>
        <w:tc>
          <w:tcPr>
            <w:tcW w:w="18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2,186,176</w:t>
            </w:r>
          </w:p>
        </w:tc>
        <w:tc>
          <w:tcPr>
            <w:tcW w:w="10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180" w:type="dxa"/>
            <w:vAlign w:val="bottom"/>
            <w:tcBorders>
              <w:bottom w:val="single" w:sz="8" w:color="CFF0FC"/>
            </w:tcBorders>
            <w:gridSpan w:val="3"/>
            <w:shd w:val="clear" w:color="auto" w:fill="CFF0FC"/>
          </w:tcPr>
          <w:p>
            <w:pPr>
              <w:ind w:left="20"/>
              <w:spacing w:after="0"/>
              <w:rPr>
                <w:sz w:val="20"/>
                <w:szCs w:val="20"/>
                <w:color w:val="auto"/>
              </w:rPr>
            </w:pPr>
            <w:r>
              <w:rPr>
                <w:rFonts w:ascii="Calibri" w:cs="Calibri" w:eastAsia="Calibri" w:hAnsi="Calibri"/>
                <w:sz w:val="18"/>
                <w:szCs w:val="18"/>
                <w:color w:val="auto"/>
              </w:rPr>
              <w:t>June 1, 2024 - June 30, 2024</w:t>
            </w:r>
          </w:p>
        </w:tc>
        <w:tc>
          <w:tcPr>
            <w:tcW w:w="1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247,999</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99.15</w:t>
            </w:r>
          </w:p>
        </w:tc>
        <w:tc>
          <w:tcPr>
            <w:tcW w:w="17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247,999</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8"/>
                <w:szCs w:val="18"/>
                <w:color w:val="auto"/>
              </w:rPr>
              <w:t>1,938,177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80" w:type="dxa"/>
            <w:vAlign w:val="bottom"/>
            <w:tcBorders>
              <w:top w:val="single" w:sz="8" w:color="CFF0FC"/>
            </w:tcBorders>
            <w:gridSpan w:val="3"/>
          </w:tcPr>
          <w:p>
            <w:pPr>
              <w:ind w:left="20"/>
              <w:spacing w:after="0"/>
              <w:rPr>
                <w:sz w:val="20"/>
                <w:szCs w:val="20"/>
                <w:color w:val="auto"/>
              </w:rPr>
            </w:pPr>
            <w:r>
              <w:rPr>
                <w:rFonts w:ascii="Calibri" w:cs="Calibri" w:eastAsia="Calibri" w:hAnsi="Calibri"/>
                <w:sz w:val="18"/>
                <w:szCs w:val="18"/>
                <w:color w:val="auto"/>
              </w:rPr>
              <w:t>Total</w:t>
            </w:r>
          </w:p>
        </w:tc>
        <w:tc>
          <w:tcPr>
            <w:tcW w:w="16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497,999</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497,999</w:t>
            </w:r>
          </w:p>
        </w:tc>
        <w:tc>
          <w:tcPr>
            <w:tcW w:w="220" w:type="dxa"/>
            <w:vAlign w:val="bottom"/>
            <w:tcBorders>
              <w:top w:val="single" w:sz="8" w:color="CFF0FC"/>
            </w:tcBorders>
          </w:tcPr>
          <w:p>
            <w:pPr>
              <w:spacing w:after="0"/>
              <w:rPr>
                <w:sz w:val="20"/>
                <w:szCs w:val="20"/>
                <w:color w:val="auto"/>
              </w:rPr>
            </w:pPr>
          </w:p>
        </w:tc>
        <w:tc>
          <w:tcPr>
            <w:tcW w:w="15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-187960</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both"/>
        <w:ind w:left="520" w:right="120" w:hanging="512"/>
        <w:spacing w:after="0" w:line="211" w:lineRule="auto"/>
        <w:tabs>
          <w:tab w:leader="none" w:pos="520" w:val="left"/>
        </w:tabs>
        <w:numPr>
          <w:ilvl w:val="0"/>
          <w:numId w:val="12"/>
        </w:numPr>
        <w:rPr>
          <w:rFonts w:ascii="Calibri" w:cs="Calibri" w:eastAsia="Calibri" w:hAnsi="Calibri"/>
          <w:sz w:val="24"/>
          <w:szCs w:val="24"/>
          <w:color w:val="auto"/>
          <w:vertAlign w:val="superscript"/>
        </w:rPr>
      </w:pPr>
      <w:r>
        <w:rPr>
          <w:rFonts w:ascii="Calibri" w:cs="Calibri" w:eastAsia="Calibri" w:hAnsi="Calibri"/>
          <w:sz w:val="18"/>
          <w:szCs w:val="18"/>
          <w:color w:val="auto"/>
        </w:rPr>
        <w:t>On July 13, 2018, Cabot publicly announced that the Board of Directors authorized the Company to repurchase up to an additonal ten million shares of its common stock on the open market or in privately negotated transactons, increasing the balance of shares available for repurchase at that tme to approximately eleven million shares. The current authorizaton does not have a set expiraton date.</w:t>
      </w:r>
    </w:p>
    <w:p>
      <w:pPr>
        <w:spacing w:after="0" w:line="31" w:lineRule="exact"/>
        <w:rPr>
          <w:rFonts w:ascii="Calibri" w:cs="Calibri" w:eastAsia="Calibri" w:hAnsi="Calibri"/>
          <w:sz w:val="24"/>
          <w:szCs w:val="24"/>
          <w:color w:val="auto"/>
          <w:vertAlign w:val="superscript"/>
        </w:rPr>
      </w:pPr>
    </w:p>
    <w:p>
      <w:pPr>
        <w:ind w:left="520" w:right="320" w:hanging="512"/>
        <w:spacing w:after="0" w:line="201" w:lineRule="auto"/>
        <w:tabs>
          <w:tab w:leader="none" w:pos="520" w:val="left"/>
        </w:tabs>
        <w:numPr>
          <w:ilvl w:val="0"/>
          <w:numId w:val="12"/>
        </w:numPr>
        <w:rPr>
          <w:rFonts w:ascii="Calibri" w:cs="Calibri" w:eastAsia="Calibri" w:hAnsi="Calibri"/>
          <w:sz w:val="24"/>
          <w:szCs w:val="24"/>
          <w:color w:val="auto"/>
          <w:vertAlign w:val="superscript"/>
        </w:rPr>
      </w:pPr>
      <w:r>
        <w:rPr>
          <w:rFonts w:ascii="Calibri" w:cs="Calibri" w:eastAsia="Calibri" w:hAnsi="Calibri"/>
          <w:sz w:val="18"/>
          <w:szCs w:val="18"/>
          <w:color w:val="auto"/>
        </w:rPr>
        <w:t>Total number of shares purchased does not include 1,909 shares withheld to pay taxes on the vestng of equity awards made under the Company's equity incentve plans or to pay the exercise price of optons exercised during the period.</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5.  Other Informaton</w:t>
      </w:r>
    </w:p>
    <w:p>
      <w:pPr>
        <w:spacing w:after="0" w:line="42"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During our fscal quarter ended June 30, 2024, none of our directors or ofcers (as defned in Rule 16a-1(f) under the Securites Exchange Act of 1934, as amended, entered into, modifed (as to amount, price or tming of trades) or terminated (i) contracts, instructons or writen plans for the purchase or sale of our securites that are intended to satsfy the conditons specifed in Rule 10b5-1(c) under the Exchange Act for an afrmatve defense against liability for trading in securites on the basis of material nonpublic informaton or (ii) non-Rule 10b5-1 trading arrangements (as defned in Item 408(c) of Regulaton S-K).</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6.  Exhibits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ind w:left="520"/>
              <w:spacing w:after="0"/>
              <w:rPr>
                <w:sz w:val="20"/>
                <w:szCs w:val="20"/>
                <w:color w:val="auto"/>
              </w:rPr>
            </w:pPr>
            <w:r>
              <w:rPr>
                <w:rFonts w:ascii="Calibri" w:cs="Calibri" w:eastAsia="Calibri" w:hAnsi="Calibri"/>
                <w:sz w:val="14"/>
                <w:szCs w:val="14"/>
                <w:b w:val="1"/>
                <w:bCs w:val="1"/>
                <w:color w:val="auto"/>
              </w:rPr>
              <w:t>Exhibit No.</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580" w:type="dxa"/>
            <w:vAlign w:val="bottom"/>
            <w:gridSpan w:val="9"/>
          </w:tcPr>
          <w:p>
            <w:pPr>
              <w:ind w:left="2520"/>
              <w:spacing w:after="0"/>
              <w:rPr>
                <w:sz w:val="20"/>
                <w:szCs w:val="20"/>
                <w:color w:val="auto"/>
              </w:rPr>
            </w:pPr>
            <w:r>
              <w:rPr>
                <w:rFonts w:ascii="Calibri" w:cs="Calibri" w:eastAsia="Calibri" w:hAnsi="Calibri"/>
                <w:sz w:val="14"/>
                <w:szCs w:val="14"/>
                <w:b w:val="1"/>
                <w:bCs w:val="1"/>
                <w:color w:val="auto"/>
              </w:rPr>
              <w:t>Descripton</w:t>
            </w:r>
          </w:p>
        </w:tc>
      </w:tr>
      <w:tr>
        <w:trPr>
          <w:trHeight w:val="33"/>
        </w:trPr>
        <w:tc>
          <w:tcPr>
            <w:tcW w:w="1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w:t>
            </w:r>
          </w:p>
        </w:tc>
        <w:tc>
          <w:tcPr>
            <w:tcW w:w="140" w:type="dxa"/>
            <w:vAlign w:val="bottom"/>
          </w:tcPr>
          <w:p>
            <w:pPr>
              <w:spacing w:after="0"/>
              <w:rPr>
                <w:sz w:val="24"/>
                <w:szCs w:val="24"/>
                <w:color w:val="auto"/>
              </w:rPr>
            </w:pPr>
          </w:p>
        </w:tc>
        <w:tc>
          <w:tcPr>
            <w:tcW w:w="9380" w:type="dxa"/>
            <w:vAlign w:val="bottom"/>
            <w:tcBorders>
              <w:bottom w:val="single" w:sz="8" w:color="0000EE"/>
            </w:tcBorders>
            <w:gridSpan w:val="10"/>
          </w:tcPr>
          <w:p>
            <w:pPr>
              <w:spacing w:after="0"/>
              <w:rPr>
                <w:rFonts w:ascii="Calibri" w:cs="Calibri" w:eastAsia="Calibri" w:hAnsi="Calibri"/>
                <w:sz w:val="18"/>
                <w:szCs w:val="18"/>
                <w:color w:val="0000FF"/>
                <w:w w:val="99"/>
              </w:rPr>
            </w:pPr>
            <w:hyperlink r:id="rId279">
              <w:r>
                <w:rPr>
                  <w:rFonts w:ascii="Calibri" w:cs="Calibri" w:eastAsia="Calibri" w:hAnsi="Calibri"/>
                  <w:sz w:val="18"/>
                  <w:szCs w:val="18"/>
                  <w:color w:val="0000FF"/>
                  <w:w w:val="99"/>
                </w:rPr>
                <w:t>Restated Certfcate of Incorporaton of Cabot Corporaton efectve January 9, 2009 (incorporated herein by reference to Exhibit 3.1</w:t>
              </w:r>
            </w:hyperlink>
          </w:p>
        </w:tc>
        <w:tc>
          <w:tcPr>
            <w:tcW w:w="2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EE"/>
            </w:tcBorders>
            <w:gridSpan w:val="9"/>
          </w:tcPr>
          <w:p>
            <w:pPr>
              <w:spacing w:after="0" w:line="196" w:lineRule="exact"/>
              <w:rPr>
                <w:rFonts w:ascii="Calibri" w:cs="Calibri" w:eastAsia="Calibri" w:hAnsi="Calibri"/>
                <w:sz w:val="18"/>
                <w:szCs w:val="18"/>
                <w:color w:val="0000FF"/>
                <w:w w:val="98"/>
              </w:rPr>
            </w:pPr>
            <w:hyperlink r:id="rId279">
              <w:r>
                <w:rPr>
                  <w:rFonts w:ascii="Calibri" w:cs="Calibri" w:eastAsia="Calibri" w:hAnsi="Calibri"/>
                  <w:sz w:val="18"/>
                  <w:szCs w:val="18"/>
                  <w:color w:val="0000FF"/>
                  <w:w w:val="98"/>
                </w:rPr>
                <w:t>of Cabot’s Quarterly Report on Form 10-Q for the quarterly period ended December 31, 2008, fle reference 1-5667, fled with the</w:t>
              </w:r>
            </w:hyperlink>
          </w:p>
        </w:tc>
        <w:tc>
          <w:tcPr>
            <w:tcW w:w="140" w:type="dxa"/>
            <w:vAlign w:val="bottom"/>
            <w:gridSpan w:val="2"/>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Calibri" w:cs="Calibri" w:eastAsia="Calibri" w:hAnsi="Calibri"/>
                <w:sz w:val="18"/>
                <w:szCs w:val="18"/>
                <w:color w:val="0000FF"/>
                <w:w w:val="96"/>
              </w:rPr>
            </w:pPr>
            <w:hyperlink r:id="rId279">
              <w:r>
                <w:rPr>
                  <w:rFonts w:ascii="Calibri" w:cs="Calibri" w:eastAsia="Calibri" w:hAnsi="Calibri"/>
                  <w:sz w:val="18"/>
                  <w:szCs w:val="18"/>
                  <w:color w:val="0000FF"/>
                  <w:w w:val="96"/>
                </w:rPr>
                <w:t>SEC on February 9, 2009).</w:t>
              </w:r>
            </w:hyperlink>
          </w:p>
        </w:tc>
        <w:tc>
          <w:tcPr>
            <w:tcW w:w="7580" w:type="dxa"/>
            <w:vAlign w:val="bottom"/>
            <w:gridSpan w:val="9"/>
          </w:tcPr>
          <w:p>
            <w:pPr>
              <w:spacing w:after="0"/>
              <w:rPr>
                <w:sz w:val="17"/>
                <w:szCs w:val="17"/>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9380" w:type="dxa"/>
            <w:vAlign w:val="bottom"/>
            <w:tcBorders>
              <w:bottom w:val="single" w:sz="8" w:color="0000FF"/>
            </w:tcBorders>
            <w:gridSpan w:val="10"/>
          </w:tcPr>
          <w:p>
            <w:pPr>
              <w:spacing w:after="0"/>
              <w:rPr>
                <w:rFonts w:ascii="Calibri" w:cs="Calibri" w:eastAsia="Calibri" w:hAnsi="Calibri"/>
                <w:sz w:val="18"/>
                <w:szCs w:val="18"/>
                <w:color w:val="0000FF"/>
                <w:w w:val="97"/>
              </w:rPr>
            </w:pPr>
            <w:hyperlink r:id="rId280">
              <w:r>
                <w:rPr>
                  <w:rFonts w:ascii="Calibri" w:cs="Calibri" w:eastAsia="Calibri" w:hAnsi="Calibri"/>
                  <w:sz w:val="18"/>
                  <w:szCs w:val="18"/>
                  <w:color w:val="0000FF"/>
                  <w:w w:val="97"/>
                </w:rPr>
                <w:t>The By-laws of Cabot Corporaton as amended May 11, 2023 (incorporated herein by reference to Exhibit 3.1 of Cabot Corporaton’s</w:t>
              </w:r>
            </w:hyperlink>
          </w:p>
        </w:tc>
        <w:tc>
          <w:tcPr>
            <w:tcW w:w="2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11"/>
          </w:tcPr>
          <w:p>
            <w:pPr>
              <w:spacing w:after="0" w:line="196" w:lineRule="exact"/>
              <w:rPr>
                <w:rFonts w:ascii="Calibri" w:cs="Calibri" w:eastAsia="Calibri" w:hAnsi="Calibri"/>
                <w:sz w:val="18"/>
                <w:szCs w:val="18"/>
                <w:color w:val="0000FF"/>
              </w:rPr>
            </w:pPr>
            <w:hyperlink r:id="rId280">
              <w:r>
                <w:rPr>
                  <w:rFonts w:ascii="Calibri" w:cs="Calibri" w:eastAsia="Calibri" w:hAnsi="Calibri"/>
                  <w:sz w:val="18"/>
                  <w:szCs w:val="18"/>
                  <w:color w:val="0000FF"/>
                </w:rPr>
                <w:t>Current Report on Form 8-K, fle reference 1-5667, fled with the SEC on May 15, 2023).</w:t>
              </w:r>
            </w:hyperlink>
          </w:p>
        </w:tc>
      </w:tr>
      <w:tr>
        <w:trPr>
          <w:trHeight w:val="20"/>
        </w:trPr>
        <w:tc>
          <w:tcPr>
            <w:tcW w:w="17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180" w:type="dxa"/>
            <w:vAlign w:val="bottom"/>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31.1*</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0000FF"/>
              </w:rPr>
              <w:t>Certfcaton of Principal Executve Ofcer required by Rule 13a-14(a) or Rule 15d-14(a) of the Exchange Act.</w:t>
            </w: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31.2*</w:t>
            </w:r>
          </w:p>
        </w:tc>
        <w:tc>
          <w:tcPr>
            <w:tcW w:w="140" w:type="dxa"/>
            <w:vAlign w:val="bottom"/>
          </w:tcPr>
          <w:p>
            <w:pPr>
              <w:spacing w:after="0"/>
              <w:rPr>
                <w:sz w:val="24"/>
                <w:szCs w:val="24"/>
                <w:color w:val="auto"/>
              </w:rPr>
            </w:pPr>
          </w:p>
        </w:tc>
        <w:tc>
          <w:tcPr>
            <w:tcW w:w="7600" w:type="dxa"/>
            <w:vAlign w:val="bottom"/>
            <w:tcBorders>
              <w:top w:val="single" w:sz="8" w:color="0000FF"/>
              <w:bottom w:val="single" w:sz="8" w:color="0000FF"/>
            </w:tcBorders>
            <w:gridSpan w:val="4"/>
          </w:tcPr>
          <w:p>
            <w:pPr>
              <w:spacing w:after="0"/>
              <w:rPr>
                <w:sz w:val="20"/>
                <w:szCs w:val="20"/>
                <w:color w:val="auto"/>
              </w:rPr>
            </w:pPr>
            <w:r>
              <w:rPr>
                <w:rFonts w:ascii="Calibri" w:cs="Calibri" w:eastAsia="Calibri" w:hAnsi="Calibri"/>
                <w:sz w:val="18"/>
                <w:szCs w:val="18"/>
                <w:color w:val="0000FF"/>
                <w:w w:val="99"/>
              </w:rPr>
              <w:t>Certfcaton of Principal Financial Ofcer required by Rule 13a-14(a) or Rule 15d-14(a) of the Exchange Act.</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760" w:type="dxa"/>
            <w:vAlign w:val="bottom"/>
            <w:gridSpan w:val="5"/>
          </w:tcPr>
          <w:p>
            <w:pPr>
              <w:spacing w:after="0"/>
              <w:rPr>
                <w:sz w:val="24"/>
                <w:szCs w:val="24"/>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260" w:type="dxa"/>
            <w:vAlign w:val="bottom"/>
            <w:tcBorders>
              <w:bottom w:val="single" w:sz="8" w:color="0000FF"/>
            </w:tcBorders>
            <w:gridSpan w:val="7"/>
          </w:tcPr>
          <w:p>
            <w:pPr>
              <w:spacing w:after="0"/>
              <w:rPr>
                <w:sz w:val="20"/>
                <w:szCs w:val="20"/>
                <w:color w:val="auto"/>
              </w:rPr>
            </w:pPr>
            <w:r>
              <w:rPr>
                <w:rFonts w:ascii="Calibri" w:cs="Calibri" w:eastAsia="Calibri" w:hAnsi="Calibri"/>
                <w:sz w:val="18"/>
                <w:szCs w:val="18"/>
                <w:color w:val="0000FF"/>
              </w:rPr>
              <w:t>Certfcatons of the Principal Executve Ofcer and the Principal Financial Ofcer pursuant to 18 U.S.C. Secton 1350.</w:t>
            </w:r>
          </w:p>
        </w:tc>
        <w:tc>
          <w:tcPr>
            <w:tcW w:w="20" w:type="dxa"/>
            <w:vAlign w:val="bottom"/>
            <w:tcBorders>
              <w:bottom w:val="single" w:sz="8" w:color="0000EE"/>
            </w:tcBorders>
          </w:tcPr>
          <w:p>
            <w:pPr>
              <w:spacing w:after="0"/>
              <w:rPr>
                <w:sz w:val="24"/>
                <w:szCs w:val="24"/>
                <w:color w:val="auto"/>
              </w:rPr>
            </w:pPr>
          </w:p>
        </w:tc>
        <w:tc>
          <w:tcPr>
            <w:tcW w:w="1120" w:type="dxa"/>
            <w:vAlign w:val="bottom"/>
            <w:gridSpan w:val="3"/>
          </w:tcPr>
          <w:p>
            <w:pPr>
              <w:spacing w:after="0"/>
              <w:rPr>
                <w:sz w:val="24"/>
                <w:szCs w:val="24"/>
                <w:color w:val="auto"/>
              </w:rPr>
            </w:pPr>
          </w:p>
        </w:tc>
      </w:tr>
      <w:tr>
        <w:trPr>
          <w:trHeight w:val="41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101.INS*</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its XBRL tags are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1"/>
          </w:tcPr>
          <w:p>
            <w:pPr>
              <w:spacing w:after="0" w:line="216" w:lineRule="exact"/>
              <w:rPr>
                <w:sz w:val="20"/>
                <w:szCs w:val="20"/>
                <w:color w:val="auto"/>
              </w:rPr>
            </w:pPr>
            <w:r>
              <w:rPr>
                <w:rFonts w:ascii="Calibri" w:cs="Calibri" w:eastAsia="Calibri" w:hAnsi="Calibri"/>
                <w:sz w:val="18"/>
                <w:szCs w:val="18"/>
                <w:color w:val="auto"/>
              </w:rPr>
              <w:t>embedded within the Inline XBRL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101.SCH*</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auto"/>
              </w:rPr>
              <w:t>Inline XBRL Taxonomy Extension Schema With Embedded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104*</w:t>
            </w:r>
          </w:p>
        </w:tc>
        <w:tc>
          <w:tcPr>
            <w:tcW w:w="14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Calibri" w:cs="Calibri" w:eastAsia="Calibri" w:hAnsi="Calibri"/>
                <w:sz w:val="18"/>
                <w:szCs w:val="18"/>
                <w:color w:val="auto"/>
                <w:w w:val="99"/>
              </w:rPr>
              <w:t>The cover page from the Company’s Quarterly Report on Form 10-Q for the quarter ended June 30, 2024, formated in Inline XBRL</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1"/>
          </w:tcPr>
          <w:p>
            <w:pPr>
              <w:spacing w:after="0" w:line="216" w:lineRule="exact"/>
              <w:rPr>
                <w:sz w:val="20"/>
                <w:szCs w:val="20"/>
                <w:color w:val="auto"/>
              </w:rPr>
            </w:pPr>
            <w:r>
              <w:rPr>
                <w:rFonts w:ascii="Calibri" w:cs="Calibri" w:eastAsia="Calibri" w:hAnsi="Calibri"/>
                <w:sz w:val="18"/>
                <w:szCs w:val="18"/>
                <w:color w:val="auto"/>
              </w:rPr>
              <w:t>(included in Exhibit 101).</w:t>
            </w:r>
          </w:p>
        </w:tc>
      </w:tr>
      <w:tr>
        <w:trPr>
          <w:trHeight w:val="172"/>
        </w:trPr>
        <w:tc>
          <w:tcPr>
            <w:tcW w:w="1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1700" w:type="dxa"/>
            <w:vAlign w:val="bottom"/>
          </w:tcPr>
          <w:p>
            <w:pPr>
              <w:spacing w:after="0" w:line="213" w:lineRule="exact"/>
              <w:rPr>
                <w:sz w:val="20"/>
                <w:szCs w:val="20"/>
                <w:color w:val="auto"/>
              </w:rPr>
            </w:pPr>
            <w:r>
              <w:rPr>
                <w:rFonts w:ascii="Calibri" w:cs="Calibri" w:eastAsia="Calibri" w:hAnsi="Calibri"/>
                <w:sz w:val="18"/>
                <w:szCs w:val="18"/>
                <w:color w:val="auto"/>
              </w:rPr>
              <w:t>* Filed herewith.</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1700" w:type="dxa"/>
            <w:vAlign w:val="bottom"/>
          </w:tcPr>
          <w:p>
            <w:pPr>
              <w:spacing w:after="0"/>
              <w:rPr>
                <w:sz w:val="20"/>
                <w:szCs w:val="20"/>
                <w:color w:val="auto"/>
              </w:rPr>
            </w:pPr>
            <w:r>
              <w:rPr>
                <w:rFonts w:ascii="Calibri" w:cs="Calibri" w:eastAsia="Calibri" w:hAnsi="Calibri"/>
                <w:sz w:val="18"/>
                <w:szCs w:val="18"/>
                <w:color w:val="auto"/>
                <w:w w:val="99"/>
              </w:rPr>
              <w:t>** Furnished herewith.</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5"/>
        </w:trPr>
        <w:tc>
          <w:tcPr>
            <w:tcW w:w="1700" w:type="dxa"/>
            <w:vAlign w:val="bottom"/>
          </w:tcPr>
          <w:p>
            <w:pPr>
              <w:spacing w:after="0"/>
              <w:rPr>
                <w:sz w:val="24"/>
                <w:szCs w:val="24"/>
                <w:color w:val="auto"/>
              </w:rPr>
            </w:pPr>
          </w:p>
        </w:tc>
        <w:tc>
          <w:tcPr>
            <w:tcW w:w="6320" w:type="dxa"/>
            <w:vAlign w:val="bottom"/>
            <w:gridSpan w:val="4"/>
          </w:tcPr>
          <w:p>
            <w:pPr>
              <w:jc w:val="right"/>
              <w:ind w:right="2228"/>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1" w:name="page32"/>
    <w:bookmarkEnd w:id="31"/>
    <w:p>
      <w:pPr>
        <w:jc w:val="center"/>
        <w:ind w:right="-25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18"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CABOT CORPORATION</w:t>
      </w:r>
    </w:p>
    <w:p>
      <w:pPr>
        <w:spacing w:after="0" w:line="320" w:lineRule="exact"/>
        <w:rPr>
          <w:sz w:val="20"/>
          <w:szCs w:val="20"/>
          <w:color w:val="auto"/>
        </w:rPr>
      </w:pPr>
    </w:p>
    <w:p>
      <w:pPr>
        <w:ind w:left="20"/>
        <w:spacing w:after="0"/>
        <w:tabs>
          <w:tab w:leader="none" w:pos="6420" w:val="left"/>
          <w:tab w:leader="none" w:pos="820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Executve Vice President and Chief Financial Ofcer</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(Duly Authorized Ofcer)</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420" w:val="left"/>
          <w:tab w:leader="none" w:pos="828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Lisa m.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ind w:left="8440"/>
        <w:spacing w:after="0"/>
        <w:rPr>
          <w:sz w:val="20"/>
          <w:szCs w:val="20"/>
          <w:color w:val="auto"/>
        </w:rPr>
      </w:pPr>
      <w:r>
        <w:rPr>
          <w:rFonts w:ascii="Calibri" w:cs="Calibri" w:eastAsia="Calibri" w:hAnsi="Calibri"/>
          <w:sz w:val="18"/>
          <w:szCs w:val="18"/>
          <w:b w:val="1"/>
          <w:bCs w:val="1"/>
          <w:color w:val="auto"/>
        </w:rPr>
        <w:t>Lisa M. Dumont</w:t>
      </w:r>
    </w:p>
    <w:p>
      <w:pPr>
        <w:spacing w:after="0" w:line="23" w:lineRule="exact"/>
        <w:rPr>
          <w:sz w:val="20"/>
          <w:szCs w:val="20"/>
          <w:color w:val="auto"/>
        </w:rPr>
      </w:pPr>
    </w:p>
    <w:p>
      <w:pPr>
        <w:jc w:val="right"/>
        <w:spacing w:after="0"/>
        <w:rPr>
          <w:sz w:val="20"/>
          <w:szCs w:val="20"/>
          <w:color w:val="auto"/>
        </w:rPr>
      </w:pPr>
      <w:r>
        <w:rPr>
          <w:rFonts w:ascii="Calibri" w:cs="Calibri" w:eastAsia="Calibri" w:hAnsi="Calibri"/>
          <w:sz w:val="18"/>
          <w:szCs w:val="18"/>
          <w:b w:val="1"/>
          <w:bCs w:val="1"/>
          <w:color w:val="auto"/>
        </w:rPr>
        <w:t>Vice President, Controller and Chief Accountng Ofcer</w:t>
      </w:r>
    </w:p>
    <w:p>
      <w:pPr>
        <w:ind w:left="8080"/>
        <w:spacing w:after="0" w:line="235" w:lineRule="auto"/>
        <w:rPr>
          <w:sz w:val="20"/>
          <w:szCs w:val="20"/>
          <w:color w:val="auto"/>
        </w:rPr>
      </w:pPr>
      <w:r>
        <w:rPr>
          <w:rFonts w:ascii="Calibri" w:cs="Calibri" w:eastAsia="Calibri" w:hAnsi="Calibri"/>
          <w:sz w:val="18"/>
          <w:szCs w:val="18"/>
          <w:b w:val="1"/>
          <w:bCs w:val="1"/>
          <w:color w:val="auto"/>
        </w:rPr>
        <w:t>(Chief Accountng Ofcer)</w:t>
      </w: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76" w:right="57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Executve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Sean D. Keohane, certfy that:</w:t>
      </w:r>
    </w:p>
    <w:p>
      <w:pPr>
        <w:spacing w:after="0" w:line="104" w:lineRule="exact"/>
        <w:rPr>
          <w:sz w:val="20"/>
          <w:szCs w:val="20"/>
          <w:color w:val="auto"/>
        </w:rPr>
      </w:pPr>
    </w:p>
    <w:p>
      <w:pPr>
        <w:ind w:left="520" w:hanging="512"/>
        <w:spacing w:after="0"/>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3"/>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26" w:lineRule="exact"/>
        <w:rPr>
          <w:sz w:val="20"/>
          <w:szCs w:val="20"/>
          <w:color w:val="auto"/>
        </w:rPr>
      </w:pPr>
    </w:p>
    <w:p>
      <w:pPr>
        <w:ind w:left="20"/>
        <w:spacing w:after="0"/>
        <w:tabs>
          <w:tab w:leader="none" w:pos="834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7"/>
          <w:szCs w:val="17"/>
          <w:color w:val="auto"/>
        </w:rPr>
        <w:t>/s/ SEAN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7"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ind w:left="8540"/>
        <w:spacing w:after="0"/>
        <w:rPr>
          <w:sz w:val="20"/>
          <w:szCs w:val="20"/>
          <w:color w:val="auto"/>
        </w:rPr>
      </w:pPr>
      <w:r>
        <w:rPr>
          <w:rFonts w:ascii="Calibri" w:cs="Calibri" w:eastAsia="Calibri" w:hAnsi="Calibri"/>
          <w:sz w:val="18"/>
          <w:szCs w:val="18"/>
          <w:b w:val="1"/>
          <w:bCs w:val="1"/>
          <w:color w:val="auto"/>
        </w:rPr>
        <w:t>President and</w:t>
      </w:r>
    </w:p>
    <w:p>
      <w:pPr>
        <w:ind w:left="822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Financial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Erica McLaughlin, certfy that:</w:t>
      </w:r>
    </w:p>
    <w:p>
      <w:pPr>
        <w:spacing w:after="0" w:line="104" w:lineRule="exact"/>
        <w:rPr>
          <w:sz w:val="20"/>
          <w:szCs w:val="20"/>
          <w:color w:val="auto"/>
        </w:rPr>
      </w:pPr>
    </w:p>
    <w:p>
      <w:pPr>
        <w:ind w:left="520" w:hanging="512"/>
        <w:spacing w:after="0"/>
        <w:tabs>
          <w:tab w:leader="none" w:pos="5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4"/>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4"/>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26" w:lineRule="exact"/>
        <w:rPr>
          <w:sz w:val="20"/>
          <w:szCs w:val="20"/>
          <w:color w:val="auto"/>
        </w:rPr>
      </w:pPr>
    </w:p>
    <w:p>
      <w:pPr>
        <w:ind w:left="20"/>
        <w:spacing w:after="0"/>
        <w:tabs>
          <w:tab w:leader="none" w:pos="824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7"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8000"/>
        <w:spacing w:after="0"/>
        <w:rPr>
          <w:sz w:val="20"/>
          <w:szCs w:val="20"/>
          <w:color w:val="auto"/>
        </w:rPr>
      </w:pPr>
      <w:r>
        <w:rPr>
          <w:rFonts w:ascii="Calibri" w:cs="Calibri" w:eastAsia="Calibri" w:hAnsi="Calibri"/>
          <w:sz w:val="18"/>
          <w:szCs w:val="18"/>
          <w:b w:val="1"/>
          <w:bCs w:val="1"/>
          <w:color w:val="auto"/>
        </w:rPr>
        <w:t>Executve Vice President and</w:t>
      </w:r>
    </w:p>
    <w:p>
      <w:pPr>
        <w:ind w:left="824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4" w:name="page35"/>
    <w:bookmarkEnd w:id="34"/>
    <w:p>
      <w:pPr>
        <w:jc w:val="right"/>
        <w:spacing w:after="0"/>
        <w:rPr>
          <w:sz w:val="20"/>
          <w:szCs w:val="20"/>
          <w:color w:val="auto"/>
        </w:rPr>
      </w:pPr>
      <w:r>
        <w:rPr>
          <w:rFonts w:ascii="Calibri" w:cs="Calibri" w:eastAsia="Calibri" w:hAnsi="Calibri"/>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Certfcatons Pursuant to 18 U.S.C. Secton 1350,</w:t>
      </w:r>
    </w:p>
    <w:p>
      <w:pPr>
        <w:jc w:val="center"/>
        <w:spacing w:after="0" w:line="235" w:lineRule="auto"/>
        <w:rPr>
          <w:sz w:val="20"/>
          <w:szCs w:val="20"/>
          <w:color w:val="auto"/>
        </w:rPr>
      </w:pPr>
      <w:r>
        <w:rPr>
          <w:rFonts w:ascii="Calibri" w:cs="Calibri" w:eastAsia="Calibri" w:hAnsi="Calibri"/>
          <w:sz w:val="18"/>
          <w:szCs w:val="18"/>
          <w:b w:val="1"/>
          <w:bCs w:val="1"/>
          <w:color w:val="auto"/>
        </w:rPr>
        <w:t>as Adopted Pursuant to Secton 906 of the</w:t>
      </w:r>
    </w:p>
    <w:p>
      <w:pPr>
        <w:jc w:val="center"/>
        <w:spacing w:after="0" w:line="236" w:lineRule="auto"/>
        <w:rPr>
          <w:sz w:val="20"/>
          <w:szCs w:val="20"/>
          <w:color w:val="auto"/>
        </w:rPr>
      </w:pPr>
      <w:r>
        <w:rPr>
          <w:rFonts w:ascii="Calibri" w:cs="Calibri" w:eastAsia="Calibri" w:hAnsi="Calibri"/>
          <w:sz w:val="18"/>
          <w:szCs w:val="18"/>
          <w:b w:val="1"/>
          <w:bCs w:val="1"/>
          <w:color w:val="auto"/>
        </w:rPr>
        <w:t>Sarbanes-Oxley Act of 2002</w:t>
      </w:r>
    </w:p>
    <w:p>
      <w:pPr>
        <w:spacing w:after="0" w:line="218"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connecton with the fling of the Quarterly Report on Form 10-Q for the quarter ended June 30, 2024 (the “Report”) by Cabot Corporaton (the “Company”), each of the undersigned hereby certfes pursuant to 18 U.S.C. Secton 1350, as adopted pursuant to Secton 906 of the Sarbanes-Oxley Act of 2002, that, to his knowledge:</w:t>
      </w:r>
    </w:p>
    <w:p>
      <w:pPr>
        <w:spacing w:after="0" w:line="106" w:lineRule="exact"/>
        <w:rPr>
          <w:sz w:val="20"/>
          <w:szCs w:val="20"/>
          <w:color w:val="auto"/>
        </w:rPr>
      </w:pPr>
    </w:p>
    <w:p>
      <w:pPr>
        <w:ind w:left="1020" w:hanging="503"/>
        <w:spacing w:after="0"/>
        <w:tabs>
          <w:tab w:leader="none" w:pos="10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 (a) or 15 (d) of the Securites Exchange Act of 1934, as amended; and</w:t>
      </w:r>
    </w:p>
    <w:p>
      <w:pPr>
        <w:spacing w:after="0" w:line="109" w:lineRule="exact"/>
        <w:rPr>
          <w:rFonts w:ascii="Calibri" w:cs="Calibri" w:eastAsia="Calibri" w:hAnsi="Calibri"/>
          <w:sz w:val="18"/>
          <w:szCs w:val="18"/>
          <w:color w:val="auto"/>
        </w:rPr>
      </w:pPr>
    </w:p>
    <w:p>
      <w:pPr>
        <w:ind w:left="1020" w:right="660" w:hanging="503"/>
        <w:spacing w:after="0" w:line="235" w:lineRule="auto"/>
        <w:tabs>
          <w:tab w:leader="none" w:pos="10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26" w:lineRule="exact"/>
        <w:rPr>
          <w:sz w:val="20"/>
          <w:szCs w:val="20"/>
          <w:color w:val="auto"/>
        </w:rPr>
      </w:pPr>
    </w:p>
    <w:p>
      <w:pPr>
        <w:ind w:left="20"/>
        <w:spacing w:after="0"/>
        <w:tabs>
          <w:tab w:leader="none" w:pos="826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7"/>
          <w:szCs w:val="17"/>
          <w:color w:val="auto"/>
        </w:rPr>
        <w:t>/s/ 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President and Chief Executve Ofcer</w:t>
      </w:r>
    </w:p>
    <w:p>
      <w:pPr>
        <w:spacing w:after="0" w:line="320" w:lineRule="exact"/>
        <w:rPr>
          <w:sz w:val="20"/>
          <w:szCs w:val="20"/>
          <w:color w:val="auto"/>
        </w:rPr>
      </w:pPr>
    </w:p>
    <w:p>
      <w:pPr>
        <w:ind w:left="20"/>
        <w:spacing w:after="0"/>
        <w:tabs>
          <w:tab w:leader="none" w:pos="8200" w:val="left"/>
        </w:tabs>
        <w:rPr>
          <w:sz w:val="20"/>
          <w:szCs w:val="20"/>
          <w:color w:val="auto"/>
        </w:rPr>
      </w:pPr>
      <w:r>
        <w:rPr>
          <w:rFonts w:ascii="Calibri" w:cs="Calibri" w:eastAsia="Calibri" w:hAnsi="Calibri"/>
          <w:sz w:val="18"/>
          <w:szCs w:val="18"/>
          <w:color w:val="auto"/>
        </w:rPr>
        <w:t>Date: August 6, 2024</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ind w:left="838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7960"/>
        <w:spacing w:after="0"/>
        <w:rPr>
          <w:sz w:val="20"/>
          <w:szCs w:val="20"/>
          <w:color w:val="auto"/>
        </w:rPr>
      </w:pPr>
      <w:r>
        <w:rPr>
          <w:rFonts w:ascii="Calibri" w:cs="Calibri" w:eastAsia="Calibri" w:hAnsi="Calibri"/>
          <w:sz w:val="18"/>
          <w:szCs w:val="18"/>
          <w:b w:val="1"/>
          <w:bCs w:val="1"/>
          <w:color w:val="auto"/>
        </w:rPr>
        <w:t>Executve Vice President and</w:t>
      </w:r>
    </w:p>
    <w:p>
      <w:pPr>
        <w:ind w:left="820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79" Type="http://schemas.openxmlformats.org/officeDocument/2006/relationships/hyperlink" Target="https://www.sec.gov/Archives/edgar/data/16040/000119312509022614/dex31.htm" TargetMode="External"/><Relationship Id="rId280" Type="http://schemas.openxmlformats.org/officeDocument/2006/relationships/hyperlink" Target="https://www.sec.gov/Archives/edgar/data/16040/000119312523145078/d51149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2024-08-06T15:04:31Z</dcterms:created>
  <dcterms:modified xsi:type="dcterms:W3CDTF">2024-08-06T15:04:31Z</dcterms:modified>
</cp:coreProperties>
</file>