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75029dfwp.htm"/>
      <w:bookmarkStart w:id="1" w:name="ksd175029dfwp"/>
      <w:bookmarkEnd w:id="0"/>
      <w:bookmarkEnd w:id="1"/>
      <w:r>
        <w:rPr>
          <w:rFonts w:ascii="Times New Roman" w:hAnsi="Times New Roman"/>
          <w:b/>
          <w:sz w:val="20"/>
        </w:rPr>
        <w:t xml:space="preserve">Issuer Free Writing Prospectus, dated August 12, 2026 </w:t>
      </w:r>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433 under the Securities Act of 1933 </w:t>
      </w:r>
    </w:p>
    <w:p>
      <w:pPr>
        <w:pStyle w:val="TextBody"/>
        <w:bidi w:val="0"/>
        <w:spacing w:before="0" w:after="0"/>
        <w:jc w:val="right"/>
        <w:rPr>
          <w:rFonts w:ascii="Times New Roman" w:hAnsi="Times New Roman"/>
          <w:b/>
          <w:sz w:val="20"/>
        </w:rPr>
      </w:pPr>
      <w:r>
        <w:rPr>
          <w:rFonts w:ascii="Times New Roman" w:hAnsi="Times New Roman"/>
          <w:b/>
          <w:sz w:val="20"/>
        </w:rPr>
        <w:t xml:space="preserve">Supplementing the Preliminary Prospectus Supplement, dated August 12,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Statement No. 333-276078 </w:t>
      </w:r>
    </w:p>
    <w:p>
      <w:pPr>
        <w:pStyle w:val="TextBody"/>
        <w:bidi w:val="0"/>
        <w:spacing w:before="240" w:after="0"/>
        <w:jc w:val="center"/>
        <w:rPr>
          <w:rFonts w:ascii="Times New Roman" w:hAnsi="Times New Roman"/>
          <w:b/>
          <w:sz w:val="20"/>
        </w:rPr>
      </w:pPr>
      <w:r>
        <w:rPr>
          <w:rFonts w:ascii="Times New Roman" w:hAnsi="Times New Roman"/>
          <w:b/>
          <w:sz w:val="20"/>
        </w:rPr>
        <w:t xml:space="preserve">Cabot Corporation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Pricing Term Sheet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$350,000,000 4.950% Senior Notes due 2029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55"/>
        <w:gridCol w:w="120"/>
        <w:gridCol w:w="6230"/>
      </w:tblGrid>
      <w:tr>
        <w:trPr/>
        <w:tc>
          <w:tcPr>
            <w:tcW w:w="38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230" w:type="dxa"/>
            <w:tcBorders/>
            <w:vAlign w:val="center"/>
          </w:tcPr>
          <w:p>
            <w:pPr>
              <w:pStyle w:val="TableContents"/>
              <w:bidi w:val="0"/>
              <w:spacing w:before="0" w:after="283"/>
              <w:jc w:val="left"/>
              <w:rPr>
                <w:sz w:val="4"/>
                <w:szCs w:val="4"/>
              </w:rPr>
            </w:pPr>
            <w:r>
              <w:rPr>
                <w:sz w:val="4"/>
                <w:szCs w:val="4"/>
              </w:rPr>
            </w:r>
          </w:p>
        </w:tc>
      </w:tr>
      <w:tr>
        <w:trPr/>
        <w:tc>
          <w:tcPr>
            <w:tcW w:w="3855" w:type="dxa"/>
            <w:tcBorders/>
          </w:tcPr>
          <w:p>
            <w:pPr>
              <w:pStyle w:val="TableContents"/>
              <w:bidi w:val="0"/>
              <w:spacing w:before="0" w:after="283"/>
              <w:jc w:val="left"/>
              <w:rPr/>
            </w:pPr>
            <w:r>
              <w:rPr/>
              <w:t>Issuer:</w:t>
            </w:r>
          </w:p>
        </w:tc>
        <w:tc>
          <w:tcPr>
            <w:tcW w:w="120" w:type="dxa"/>
            <w:tcBorders/>
            <w:vAlign w:val="bottom"/>
          </w:tcPr>
          <w:p>
            <w:pPr>
              <w:pStyle w:val="TableContents"/>
              <w:bidi w:val="0"/>
              <w:spacing w:before="0" w:after="283"/>
              <w:jc w:val="left"/>
              <w:rPr/>
            </w:pPr>
            <w:r>
              <w:rPr/>
              <w:t>  </w:t>
            </w:r>
          </w:p>
        </w:tc>
        <w:tc>
          <w:tcPr>
            <w:tcW w:w="6230" w:type="dxa"/>
            <w:tcBorders/>
          </w:tcPr>
          <w:p>
            <w:pPr>
              <w:pStyle w:val="TableContents"/>
              <w:bidi w:val="0"/>
              <w:spacing w:before="0" w:after="283"/>
              <w:jc w:val="left"/>
              <w:rPr/>
            </w:pPr>
            <w:r>
              <w:rPr/>
              <w:t>Cabot Corporation</w:t>
            </w:r>
          </w:p>
        </w:tc>
      </w:tr>
      <w:tr>
        <w:trPr>
          <w:trHeight w:val="120" w:hRule="atLeast"/>
        </w:trPr>
        <w:tc>
          <w:tcPr>
            <w:tcW w:w="3855" w:type="dxa"/>
            <w:tcBorders/>
            <w:vAlign w:val="center"/>
          </w:tcPr>
          <w:p>
            <w:pPr>
              <w:pStyle w:val="TableContents"/>
              <w:bidi w:val="0"/>
              <w:spacing w:before="0" w:after="283"/>
              <w:jc w:val="left"/>
              <w:rPr>
                <w:sz w:val="4"/>
                <w:szCs w:val="4"/>
              </w:rPr>
            </w:pPr>
            <w:r>
              <w:rPr>
                <w:sz w:val="4"/>
                <w:szCs w:val="4"/>
              </w:rPr>
            </w:r>
          </w:p>
        </w:tc>
        <w:tc>
          <w:tcPr>
            <w:tcW w:w="6350" w:type="dxa"/>
            <w:gridSpan w:val="2"/>
            <w:tcBorders/>
            <w:vAlign w:val="center"/>
          </w:tcPr>
          <w:p>
            <w:pPr>
              <w:pStyle w:val="TableContents"/>
              <w:bidi w:val="0"/>
              <w:spacing w:before="0" w:after="283"/>
              <w:jc w:val="left"/>
              <w:rPr>
                <w:sz w:val="4"/>
                <w:szCs w:val="4"/>
              </w:rPr>
            </w:pPr>
            <w:r>
              <w:rPr>
                <w:sz w:val="4"/>
                <w:szCs w:val="4"/>
              </w:rPr>
            </w:r>
          </w:p>
        </w:tc>
      </w:tr>
      <w:tr>
        <w:trPr/>
        <w:tc>
          <w:tcPr>
            <w:tcW w:w="3855" w:type="dxa"/>
            <w:tcBorders/>
          </w:tcPr>
          <w:p>
            <w:pPr>
              <w:pStyle w:val="TableContents"/>
              <w:bidi w:val="0"/>
              <w:spacing w:before="0" w:after="283"/>
              <w:jc w:val="left"/>
              <w:rPr/>
            </w:pPr>
            <w:r>
              <w:rPr/>
              <w:t>Security Type:</w:t>
            </w:r>
          </w:p>
        </w:tc>
        <w:tc>
          <w:tcPr>
            <w:tcW w:w="120" w:type="dxa"/>
            <w:tcBorders/>
            <w:vAlign w:val="bottom"/>
          </w:tcPr>
          <w:p>
            <w:pPr>
              <w:pStyle w:val="TableContents"/>
              <w:bidi w:val="0"/>
              <w:spacing w:before="0" w:after="283"/>
              <w:jc w:val="left"/>
              <w:rPr/>
            </w:pPr>
            <w:r>
              <w:rPr/>
              <w:t>  </w:t>
            </w:r>
          </w:p>
        </w:tc>
        <w:tc>
          <w:tcPr>
            <w:tcW w:w="6230" w:type="dxa"/>
            <w:tcBorders/>
          </w:tcPr>
          <w:p>
            <w:pPr>
              <w:pStyle w:val="TableContents"/>
              <w:bidi w:val="0"/>
              <w:spacing w:before="0" w:after="283"/>
              <w:jc w:val="left"/>
              <w:rPr/>
            </w:pPr>
            <w:r>
              <w:rPr/>
              <w:t>Senior Unsecured Notes</w:t>
            </w:r>
          </w:p>
        </w:tc>
      </w:tr>
      <w:tr>
        <w:trPr>
          <w:trHeight w:val="120" w:hRule="atLeast"/>
        </w:trPr>
        <w:tc>
          <w:tcPr>
            <w:tcW w:w="3855" w:type="dxa"/>
            <w:tcBorders/>
            <w:vAlign w:val="center"/>
          </w:tcPr>
          <w:p>
            <w:pPr>
              <w:pStyle w:val="TableContents"/>
              <w:bidi w:val="0"/>
              <w:spacing w:before="0" w:after="283"/>
              <w:jc w:val="left"/>
              <w:rPr>
                <w:sz w:val="4"/>
                <w:szCs w:val="4"/>
              </w:rPr>
            </w:pPr>
            <w:r>
              <w:rPr>
                <w:sz w:val="4"/>
                <w:szCs w:val="4"/>
              </w:rPr>
            </w:r>
          </w:p>
        </w:tc>
        <w:tc>
          <w:tcPr>
            <w:tcW w:w="6350" w:type="dxa"/>
            <w:gridSpan w:val="2"/>
            <w:tcBorders/>
            <w:vAlign w:val="center"/>
          </w:tcPr>
          <w:p>
            <w:pPr>
              <w:pStyle w:val="TableContents"/>
              <w:bidi w:val="0"/>
              <w:spacing w:before="0" w:after="283"/>
              <w:jc w:val="left"/>
              <w:rPr>
                <w:sz w:val="4"/>
                <w:szCs w:val="4"/>
              </w:rPr>
            </w:pPr>
            <w:r>
              <w:rPr>
                <w:sz w:val="4"/>
                <w:szCs w:val="4"/>
              </w:rPr>
            </w:r>
          </w:p>
        </w:tc>
      </w:tr>
      <w:tr>
        <w:trPr/>
        <w:tc>
          <w:tcPr>
            <w:tcW w:w="3855" w:type="dxa"/>
            <w:tcBorders/>
          </w:tcPr>
          <w:p>
            <w:pPr>
              <w:pStyle w:val="TableContents"/>
              <w:bidi w:val="0"/>
              <w:spacing w:before="0" w:after="283"/>
              <w:jc w:val="left"/>
              <w:rPr/>
            </w:pPr>
            <w:r>
              <w:rPr/>
              <w:t>Principal Amount:</w:t>
            </w:r>
          </w:p>
        </w:tc>
        <w:tc>
          <w:tcPr>
            <w:tcW w:w="120" w:type="dxa"/>
            <w:tcBorders/>
            <w:vAlign w:val="bottom"/>
          </w:tcPr>
          <w:p>
            <w:pPr>
              <w:pStyle w:val="TableContents"/>
              <w:bidi w:val="0"/>
              <w:spacing w:before="0" w:after="283"/>
              <w:jc w:val="left"/>
              <w:rPr/>
            </w:pPr>
            <w:r>
              <w:rPr/>
              <w:t>  </w:t>
            </w:r>
          </w:p>
        </w:tc>
        <w:tc>
          <w:tcPr>
            <w:tcW w:w="6230" w:type="dxa"/>
            <w:tcBorders/>
          </w:tcPr>
          <w:p>
            <w:pPr>
              <w:pStyle w:val="TableContents"/>
              <w:bidi w:val="0"/>
              <w:spacing w:before="0" w:after="283"/>
              <w:jc w:val="left"/>
              <w:rPr/>
            </w:pPr>
            <w:r>
              <w:rPr/>
              <w:t>$350,000,000</w:t>
            </w:r>
          </w:p>
        </w:tc>
      </w:tr>
      <w:tr>
        <w:trPr>
          <w:trHeight w:val="120" w:hRule="atLeast"/>
        </w:trPr>
        <w:tc>
          <w:tcPr>
            <w:tcW w:w="3855" w:type="dxa"/>
            <w:tcBorders/>
            <w:vAlign w:val="center"/>
          </w:tcPr>
          <w:p>
            <w:pPr>
              <w:pStyle w:val="TableContents"/>
              <w:bidi w:val="0"/>
              <w:spacing w:before="0" w:after="283"/>
              <w:jc w:val="left"/>
              <w:rPr>
                <w:sz w:val="4"/>
                <w:szCs w:val="4"/>
              </w:rPr>
            </w:pPr>
            <w:r>
              <w:rPr>
                <w:sz w:val="4"/>
                <w:szCs w:val="4"/>
              </w:rPr>
            </w:r>
          </w:p>
        </w:tc>
        <w:tc>
          <w:tcPr>
            <w:tcW w:w="6350" w:type="dxa"/>
            <w:gridSpan w:val="2"/>
            <w:tcBorders/>
            <w:vAlign w:val="center"/>
          </w:tcPr>
          <w:p>
            <w:pPr>
              <w:pStyle w:val="TableContents"/>
              <w:bidi w:val="0"/>
              <w:spacing w:before="0" w:after="283"/>
              <w:jc w:val="left"/>
              <w:rPr>
                <w:sz w:val="4"/>
                <w:szCs w:val="4"/>
              </w:rPr>
            </w:pPr>
            <w:r>
              <w:rPr>
                <w:sz w:val="4"/>
                <w:szCs w:val="4"/>
              </w:rPr>
            </w:r>
          </w:p>
        </w:tc>
      </w:tr>
      <w:tr>
        <w:trPr/>
        <w:tc>
          <w:tcPr>
            <w:tcW w:w="3855" w:type="dxa"/>
            <w:tcBorders/>
          </w:tcPr>
          <w:p>
            <w:pPr>
              <w:pStyle w:val="TableContents"/>
              <w:bidi w:val="0"/>
              <w:spacing w:before="0" w:after="283"/>
              <w:jc w:val="left"/>
              <w:rPr/>
            </w:pPr>
            <w:r>
              <w:rPr/>
              <w:t>Maturity Date:</w:t>
            </w:r>
          </w:p>
        </w:tc>
        <w:tc>
          <w:tcPr>
            <w:tcW w:w="120" w:type="dxa"/>
            <w:tcBorders/>
            <w:vAlign w:val="bottom"/>
          </w:tcPr>
          <w:p>
            <w:pPr>
              <w:pStyle w:val="TableContents"/>
              <w:bidi w:val="0"/>
              <w:spacing w:before="0" w:after="283"/>
              <w:jc w:val="left"/>
              <w:rPr/>
            </w:pPr>
            <w:r>
              <w:rPr/>
              <w:t>  </w:t>
            </w:r>
          </w:p>
        </w:tc>
        <w:tc>
          <w:tcPr>
            <w:tcW w:w="6230" w:type="dxa"/>
            <w:tcBorders/>
          </w:tcPr>
          <w:p>
            <w:pPr>
              <w:pStyle w:val="TableContents"/>
              <w:bidi w:val="0"/>
              <w:spacing w:before="0" w:after="283"/>
              <w:jc w:val="left"/>
              <w:rPr/>
            </w:pPr>
            <w:r>
              <w:rPr/>
              <w:t>August 15, 2029</w:t>
            </w:r>
          </w:p>
        </w:tc>
      </w:tr>
      <w:tr>
        <w:trPr>
          <w:trHeight w:val="120" w:hRule="atLeast"/>
        </w:trPr>
        <w:tc>
          <w:tcPr>
            <w:tcW w:w="3855" w:type="dxa"/>
            <w:tcBorders/>
            <w:vAlign w:val="center"/>
          </w:tcPr>
          <w:p>
            <w:pPr>
              <w:pStyle w:val="TableContents"/>
              <w:bidi w:val="0"/>
              <w:spacing w:before="0" w:after="283"/>
              <w:jc w:val="left"/>
              <w:rPr>
                <w:sz w:val="4"/>
                <w:szCs w:val="4"/>
              </w:rPr>
            </w:pPr>
            <w:r>
              <w:rPr>
                <w:sz w:val="4"/>
                <w:szCs w:val="4"/>
              </w:rPr>
            </w:r>
          </w:p>
        </w:tc>
        <w:tc>
          <w:tcPr>
            <w:tcW w:w="6350" w:type="dxa"/>
            <w:gridSpan w:val="2"/>
            <w:tcBorders/>
            <w:vAlign w:val="center"/>
          </w:tcPr>
          <w:p>
            <w:pPr>
              <w:pStyle w:val="TableContents"/>
              <w:bidi w:val="0"/>
              <w:spacing w:before="0" w:after="283"/>
              <w:jc w:val="left"/>
              <w:rPr>
                <w:sz w:val="4"/>
                <w:szCs w:val="4"/>
              </w:rPr>
            </w:pPr>
            <w:r>
              <w:rPr>
                <w:sz w:val="4"/>
                <w:szCs w:val="4"/>
              </w:rPr>
            </w:r>
          </w:p>
        </w:tc>
      </w:tr>
      <w:tr>
        <w:trPr/>
        <w:tc>
          <w:tcPr>
            <w:tcW w:w="3855" w:type="dxa"/>
            <w:tcBorders/>
          </w:tcPr>
          <w:p>
            <w:pPr>
              <w:pStyle w:val="TableContents"/>
              <w:bidi w:val="0"/>
              <w:spacing w:before="0" w:after="283"/>
              <w:jc w:val="left"/>
              <w:rPr/>
            </w:pPr>
            <w:r>
              <w:rPr/>
              <w:t>Coupon:</w:t>
            </w:r>
          </w:p>
        </w:tc>
        <w:tc>
          <w:tcPr>
            <w:tcW w:w="120" w:type="dxa"/>
            <w:tcBorders/>
            <w:vAlign w:val="bottom"/>
          </w:tcPr>
          <w:p>
            <w:pPr>
              <w:pStyle w:val="TableContents"/>
              <w:bidi w:val="0"/>
              <w:spacing w:before="0" w:after="283"/>
              <w:jc w:val="left"/>
              <w:rPr/>
            </w:pPr>
            <w:r>
              <w:rPr/>
              <w:t>  </w:t>
            </w:r>
          </w:p>
        </w:tc>
        <w:tc>
          <w:tcPr>
            <w:tcW w:w="6230" w:type="dxa"/>
            <w:tcBorders/>
          </w:tcPr>
          <w:p>
            <w:pPr>
              <w:pStyle w:val="TableContents"/>
              <w:bidi w:val="0"/>
              <w:spacing w:before="0" w:after="283"/>
              <w:jc w:val="left"/>
              <w:rPr/>
            </w:pPr>
            <w:r>
              <w:rPr/>
              <w:t>4.950%</w:t>
            </w:r>
          </w:p>
        </w:tc>
      </w:tr>
      <w:tr>
        <w:trPr>
          <w:trHeight w:val="120" w:hRule="atLeast"/>
        </w:trPr>
        <w:tc>
          <w:tcPr>
            <w:tcW w:w="3855" w:type="dxa"/>
            <w:tcBorders/>
            <w:vAlign w:val="center"/>
          </w:tcPr>
          <w:p>
            <w:pPr>
              <w:pStyle w:val="TableContents"/>
              <w:bidi w:val="0"/>
              <w:spacing w:before="0" w:after="283"/>
              <w:jc w:val="left"/>
              <w:rPr>
                <w:sz w:val="4"/>
                <w:szCs w:val="4"/>
              </w:rPr>
            </w:pPr>
            <w:r>
              <w:rPr>
                <w:sz w:val="4"/>
                <w:szCs w:val="4"/>
              </w:rPr>
            </w:r>
          </w:p>
        </w:tc>
        <w:tc>
          <w:tcPr>
            <w:tcW w:w="6350" w:type="dxa"/>
            <w:gridSpan w:val="2"/>
            <w:tcBorders/>
            <w:vAlign w:val="center"/>
          </w:tcPr>
          <w:p>
            <w:pPr>
              <w:pStyle w:val="TableContents"/>
              <w:bidi w:val="0"/>
              <w:spacing w:before="0" w:after="283"/>
              <w:jc w:val="left"/>
              <w:rPr>
                <w:sz w:val="4"/>
                <w:szCs w:val="4"/>
              </w:rPr>
            </w:pPr>
            <w:r>
              <w:rPr>
                <w:sz w:val="4"/>
                <w:szCs w:val="4"/>
              </w:rPr>
            </w:r>
          </w:p>
        </w:tc>
      </w:tr>
      <w:tr>
        <w:trPr/>
        <w:tc>
          <w:tcPr>
            <w:tcW w:w="3855" w:type="dxa"/>
            <w:tcBorders/>
          </w:tcPr>
          <w:p>
            <w:pPr>
              <w:pStyle w:val="TableContents"/>
              <w:bidi w:val="0"/>
              <w:spacing w:before="0" w:after="283"/>
              <w:jc w:val="left"/>
              <w:rPr/>
            </w:pPr>
            <w:r>
              <w:rPr/>
              <w:t>Price to Public:</w:t>
            </w:r>
          </w:p>
        </w:tc>
        <w:tc>
          <w:tcPr>
            <w:tcW w:w="120" w:type="dxa"/>
            <w:tcBorders/>
            <w:vAlign w:val="bottom"/>
          </w:tcPr>
          <w:p>
            <w:pPr>
              <w:pStyle w:val="TableContents"/>
              <w:bidi w:val="0"/>
              <w:spacing w:before="0" w:after="283"/>
              <w:jc w:val="left"/>
              <w:rPr/>
            </w:pPr>
            <w:r>
              <w:rPr/>
              <w:t>  </w:t>
            </w:r>
          </w:p>
        </w:tc>
        <w:tc>
          <w:tcPr>
            <w:tcW w:w="6230" w:type="dxa"/>
            <w:tcBorders/>
          </w:tcPr>
          <w:p>
            <w:pPr>
              <w:pStyle w:val="TableContents"/>
              <w:bidi w:val="0"/>
              <w:spacing w:before="0" w:after="283"/>
              <w:jc w:val="left"/>
              <w:rPr/>
            </w:pPr>
            <w:r>
              <w:rPr/>
              <w:t>99.993%</w:t>
            </w:r>
          </w:p>
        </w:tc>
      </w:tr>
      <w:tr>
        <w:trPr>
          <w:trHeight w:val="120" w:hRule="atLeast"/>
        </w:trPr>
        <w:tc>
          <w:tcPr>
            <w:tcW w:w="3855" w:type="dxa"/>
            <w:tcBorders/>
            <w:vAlign w:val="center"/>
          </w:tcPr>
          <w:p>
            <w:pPr>
              <w:pStyle w:val="TableContents"/>
              <w:bidi w:val="0"/>
              <w:spacing w:before="0" w:after="283"/>
              <w:jc w:val="left"/>
              <w:rPr>
                <w:sz w:val="4"/>
                <w:szCs w:val="4"/>
              </w:rPr>
            </w:pPr>
            <w:r>
              <w:rPr>
                <w:sz w:val="4"/>
                <w:szCs w:val="4"/>
              </w:rPr>
            </w:r>
          </w:p>
        </w:tc>
        <w:tc>
          <w:tcPr>
            <w:tcW w:w="6350" w:type="dxa"/>
            <w:gridSpan w:val="2"/>
            <w:tcBorders/>
            <w:vAlign w:val="center"/>
          </w:tcPr>
          <w:p>
            <w:pPr>
              <w:pStyle w:val="TableContents"/>
              <w:bidi w:val="0"/>
              <w:spacing w:before="0" w:after="283"/>
              <w:jc w:val="left"/>
              <w:rPr>
                <w:sz w:val="4"/>
                <w:szCs w:val="4"/>
              </w:rPr>
            </w:pPr>
            <w:r>
              <w:rPr>
                <w:sz w:val="4"/>
                <w:szCs w:val="4"/>
              </w:rPr>
            </w:r>
          </w:p>
        </w:tc>
      </w:tr>
      <w:tr>
        <w:trPr/>
        <w:tc>
          <w:tcPr>
            <w:tcW w:w="3855" w:type="dxa"/>
            <w:tcBorders/>
          </w:tcPr>
          <w:p>
            <w:pPr>
              <w:pStyle w:val="TableContents"/>
              <w:bidi w:val="0"/>
              <w:spacing w:before="0" w:after="283"/>
              <w:jc w:val="left"/>
              <w:rPr/>
            </w:pPr>
            <w:r>
              <w:rPr/>
              <w:t>Yield to Maturity:</w:t>
            </w:r>
          </w:p>
        </w:tc>
        <w:tc>
          <w:tcPr>
            <w:tcW w:w="120" w:type="dxa"/>
            <w:tcBorders/>
            <w:vAlign w:val="bottom"/>
          </w:tcPr>
          <w:p>
            <w:pPr>
              <w:pStyle w:val="TableContents"/>
              <w:bidi w:val="0"/>
              <w:spacing w:before="0" w:after="283"/>
              <w:jc w:val="left"/>
              <w:rPr/>
            </w:pPr>
            <w:r>
              <w:rPr/>
              <w:t>  </w:t>
            </w:r>
          </w:p>
        </w:tc>
        <w:tc>
          <w:tcPr>
            <w:tcW w:w="6230" w:type="dxa"/>
            <w:tcBorders/>
          </w:tcPr>
          <w:p>
            <w:pPr>
              <w:pStyle w:val="TableContents"/>
              <w:bidi w:val="0"/>
              <w:spacing w:before="0" w:after="283"/>
              <w:jc w:val="left"/>
              <w:rPr/>
            </w:pPr>
            <w:r>
              <w:rPr/>
              <w:t>4.953%</w:t>
            </w:r>
          </w:p>
        </w:tc>
      </w:tr>
      <w:tr>
        <w:trPr>
          <w:trHeight w:val="120" w:hRule="atLeast"/>
        </w:trPr>
        <w:tc>
          <w:tcPr>
            <w:tcW w:w="3855" w:type="dxa"/>
            <w:tcBorders/>
            <w:vAlign w:val="center"/>
          </w:tcPr>
          <w:p>
            <w:pPr>
              <w:pStyle w:val="TableContents"/>
              <w:bidi w:val="0"/>
              <w:spacing w:before="0" w:after="283"/>
              <w:jc w:val="left"/>
              <w:rPr>
                <w:sz w:val="4"/>
                <w:szCs w:val="4"/>
              </w:rPr>
            </w:pPr>
            <w:r>
              <w:rPr>
                <w:sz w:val="4"/>
                <w:szCs w:val="4"/>
              </w:rPr>
            </w:r>
          </w:p>
        </w:tc>
        <w:tc>
          <w:tcPr>
            <w:tcW w:w="6350" w:type="dxa"/>
            <w:gridSpan w:val="2"/>
            <w:tcBorders/>
            <w:vAlign w:val="center"/>
          </w:tcPr>
          <w:p>
            <w:pPr>
              <w:pStyle w:val="TableContents"/>
              <w:bidi w:val="0"/>
              <w:spacing w:before="0" w:after="283"/>
              <w:jc w:val="left"/>
              <w:rPr>
                <w:sz w:val="4"/>
                <w:szCs w:val="4"/>
              </w:rPr>
            </w:pPr>
            <w:r>
              <w:rPr>
                <w:sz w:val="4"/>
                <w:szCs w:val="4"/>
              </w:rPr>
            </w:r>
          </w:p>
        </w:tc>
      </w:tr>
      <w:tr>
        <w:trPr/>
        <w:tc>
          <w:tcPr>
            <w:tcW w:w="3855" w:type="dxa"/>
            <w:tcBorders/>
          </w:tcPr>
          <w:p>
            <w:pPr>
              <w:pStyle w:val="TableContents"/>
              <w:bidi w:val="0"/>
              <w:spacing w:before="0" w:after="283"/>
              <w:jc w:val="left"/>
              <w:rPr/>
            </w:pPr>
            <w:r>
              <w:rPr/>
              <w:t>Benchmark Treasury:</w:t>
            </w:r>
          </w:p>
        </w:tc>
        <w:tc>
          <w:tcPr>
            <w:tcW w:w="120" w:type="dxa"/>
            <w:tcBorders/>
            <w:vAlign w:val="bottom"/>
          </w:tcPr>
          <w:p>
            <w:pPr>
              <w:pStyle w:val="TableContents"/>
              <w:bidi w:val="0"/>
              <w:spacing w:before="0" w:after="283"/>
              <w:jc w:val="left"/>
              <w:rPr/>
            </w:pPr>
            <w:r>
              <w:rPr/>
              <w:t>  </w:t>
            </w:r>
          </w:p>
        </w:tc>
        <w:tc>
          <w:tcPr>
            <w:tcW w:w="6230" w:type="dxa"/>
            <w:tcBorders/>
          </w:tcPr>
          <w:p>
            <w:pPr>
              <w:pStyle w:val="TableContents"/>
              <w:bidi w:val="0"/>
              <w:spacing w:before="0" w:after="283"/>
              <w:jc w:val="left"/>
              <w:rPr/>
            </w:pPr>
            <w:r>
              <w:rPr/>
              <w:t>4.125% due July 15, 2029</w:t>
            </w:r>
          </w:p>
        </w:tc>
      </w:tr>
      <w:tr>
        <w:trPr>
          <w:trHeight w:val="120" w:hRule="atLeast"/>
        </w:trPr>
        <w:tc>
          <w:tcPr>
            <w:tcW w:w="3855" w:type="dxa"/>
            <w:tcBorders/>
            <w:vAlign w:val="center"/>
          </w:tcPr>
          <w:p>
            <w:pPr>
              <w:pStyle w:val="TableContents"/>
              <w:bidi w:val="0"/>
              <w:spacing w:before="0" w:after="283"/>
              <w:jc w:val="left"/>
              <w:rPr>
                <w:sz w:val="4"/>
                <w:szCs w:val="4"/>
              </w:rPr>
            </w:pPr>
            <w:r>
              <w:rPr>
                <w:sz w:val="4"/>
                <w:szCs w:val="4"/>
              </w:rPr>
            </w:r>
          </w:p>
        </w:tc>
        <w:tc>
          <w:tcPr>
            <w:tcW w:w="6350" w:type="dxa"/>
            <w:gridSpan w:val="2"/>
            <w:tcBorders/>
            <w:vAlign w:val="center"/>
          </w:tcPr>
          <w:p>
            <w:pPr>
              <w:pStyle w:val="TableContents"/>
              <w:bidi w:val="0"/>
              <w:spacing w:before="0" w:after="283"/>
              <w:jc w:val="left"/>
              <w:rPr>
                <w:sz w:val="4"/>
                <w:szCs w:val="4"/>
              </w:rPr>
            </w:pPr>
            <w:r>
              <w:rPr>
                <w:sz w:val="4"/>
                <w:szCs w:val="4"/>
              </w:rPr>
            </w:r>
          </w:p>
        </w:tc>
      </w:tr>
      <w:tr>
        <w:trPr/>
        <w:tc>
          <w:tcPr>
            <w:tcW w:w="3855" w:type="dxa"/>
            <w:tcBorders/>
          </w:tcPr>
          <w:p>
            <w:pPr>
              <w:pStyle w:val="TableContents"/>
              <w:bidi w:val="0"/>
              <w:spacing w:before="0" w:after="283"/>
              <w:jc w:val="left"/>
              <w:rPr/>
            </w:pPr>
            <w:r>
              <w:rPr/>
              <w:t>Benchmark Treasury Price and Yield:</w:t>
            </w:r>
          </w:p>
        </w:tc>
        <w:tc>
          <w:tcPr>
            <w:tcW w:w="120" w:type="dxa"/>
            <w:tcBorders/>
            <w:vAlign w:val="bottom"/>
          </w:tcPr>
          <w:p>
            <w:pPr>
              <w:pStyle w:val="TableContents"/>
              <w:bidi w:val="0"/>
              <w:spacing w:before="0" w:after="283"/>
              <w:jc w:val="left"/>
              <w:rPr/>
            </w:pPr>
            <w:r>
              <w:rPr/>
              <w:t>  </w:t>
            </w:r>
          </w:p>
        </w:tc>
        <w:tc>
          <w:tcPr>
            <w:tcW w:w="6230" w:type="dxa"/>
            <w:tcBorders/>
          </w:tcPr>
          <w:p>
            <w:pPr>
              <w:pStyle w:val="TableContents"/>
              <w:bidi w:val="0"/>
              <w:spacing w:before="0" w:after="283"/>
              <w:jc w:val="left"/>
              <w:rPr/>
            </w:pPr>
            <w:r>
              <w:rPr/>
              <w:t>99-20 3⁄4; 4.253%</w:t>
            </w:r>
          </w:p>
        </w:tc>
      </w:tr>
      <w:tr>
        <w:trPr>
          <w:trHeight w:val="120" w:hRule="atLeast"/>
        </w:trPr>
        <w:tc>
          <w:tcPr>
            <w:tcW w:w="3855" w:type="dxa"/>
            <w:tcBorders/>
            <w:vAlign w:val="center"/>
          </w:tcPr>
          <w:p>
            <w:pPr>
              <w:pStyle w:val="TableContents"/>
              <w:bidi w:val="0"/>
              <w:spacing w:before="0" w:after="283"/>
              <w:jc w:val="left"/>
              <w:rPr>
                <w:sz w:val="4"/>
                <w:szCs w:val="4"/>
              </w:rPr>
            </w:pPr>
            <w:r>
              <w:rPr>
                <w:sz w:val="4"/>
                <w:szCs w:val="4"/>
              </w:rPr>
            </w:r>
          </w:p>
        </w:tc>
        <w:tc>
          <w:tcPr>
            <w:tcW w:w="6350" w:type="dxa"/>
            <w:gridSpan w:val="2"/>
            <w:tcBorders/>
            <w:vAlign w:val="center"/>
          </w:tcPr>
          <w:p>
            <w:pPr>
              <w:pStyle w:val="TableContents"/>
              <w:bidi w:val="0"/>
              <w:spacing w:before="0" w:after="283"/>
              <w:jc w:val="left"/>
              <w:rPr>
                <w:sz w:val="4"/>
                <w:szCs w:val="4"/>
              </w:rPr>
            </w:pPr>
            <w:r>
              <w:rPr>
                <w:sz w:val="4"/>
                <w:szCs w:val="4"/>
              </w:rPr>
            </w:r>
          </w:p>
        </w:tc>
      </w:tr>
      <w:tr>
        <w:trPr/>
        <w:tc>
          <w:tcPr>
            <w:tcW w:w="3855" w:type="dxa"/>
            <w:tcBorders/>
          </w:tcPr>
          <w:p>
            <w:pPr>
              <w:pStyle w:val="TableContents"/>
              <w:bidi w:val="0"/>
              <w:spacing w:before="0" w:after="283"/>
              <w:jc w:val="left"/>
              <w:rPr/>
            </w:pPr>
            <w:r>
              <w:rPr/>
              <w:t>Re-Offer Spread to Benchmark Treasury:</w:t>
            </w:r>
          </w:p>
        </w:tc>
        <w:tc>
          <w:tcPr>
            <w:tcW w:w="120" w:type="dxa"/>
            <w:tcBorders/>
            <w:vAlign w:val="bottom"/>
          </w:tcPr>
          <w:p>
            <w:pPr>
              <w:pStyle w:val="TableContents"/>
              <w:bidi w:val="0"/>
              <w:spacing w:before="0" w:after="283"/>
              <w:jc w:val="left"/>
              <w:rPr/>
            </w:pPr>
            <w:r>
              <w:rPr/>
              <w:t>  </w:t>
            </w:r>
          </w:p>
        </w:tc>
        <w:tc>
          <w:tcPr>
            <w:tcW w:w="6230" w:type="dxa"/>
            <w:tcBorders/>
          </w:tcPr>
          <w:p>
            <w:pPr>
              <w:pStyle w:val="TableContents"/>
              <w:bidi w:val="0"/>
              <w:spacing w:before="0" w:after="283"/>
              <w:jc w:val="left"/>
              <w:rPr/>
            </w:pPr>
            <w:r>
              <w:rPr/>
              <w:t>+70 bps</w:t>
            </w:r>
          </w:p>
        </w:tc>
      </w:tr>
      <w:tr>
        <w:trPr>
          <w:trHeight w:val="120" w:hRule="atLeast"/>
        </w:trPr>
        <w:tc>
          <w:tcPr>
            <w:tcW w:w="3855" w:type="dxa"/>
            <w:tcBorders/>
            <w:vAlign w:val="center"/>
          </w:tcPr>
          <w:p>
            <w:pPr>
              <w:pStyle w:val="TableContents"/>
              <w:bidi w:val="0"/>
              <w:spacing w:before="0" w:after="283"/>
              <w:jc w:val="left"/>
              <w:rPr>
                <w:sz w:val="4"/>
                <w:szCs w:val="4"/>
              </w:rPr>
            </w:pPr>
            <w:r>
              <w:rPr>
                <w:sz w:val="4"/>
                <w:szCs w:val="4"/>
              </w:rPr>
            </w:r>
          </w:p>
        </w:tc>
        <w:tc>
          <w:tcPr>
            <w:tcW w:w="6350" w:type="dxa"/>
            <w:gridSpan w:val="2"/>
            <w:tcBorders/>
            <w:vAlign w:val="center"/>
          </w:tcPr>
          <w:p>
            <w:pPr>
              <w:pStyle w:val="TableContents"/>
              <w:bidi w:val="0"/>
              <w:spacing w:before="0" w:after="283"/>
              <w:jc w:val="left"/>
              <w:rPr>
                <w:sz w:val="4"/>
                <w:szCs w:val="4"/>
              </w:rPr>
            </w:pPr>
            <w:r>
              <w:rPr>
                <w:sz w:val="4"/>
                <w:szCs w:val="4"/>
              </w:rPr>
            </w:r>
          </w:p>
        </w:tc>
      </w:tr>
      <w:tr>
        <w:trPr/>
        <w:tc>
          <w:tcPr>
            <w:tcW w:w="3855" w:type="dxa"/>
            <w:tcBorders/>
          </w:tcPr>
          <w:p>
            <w:pPr>
              <w:pStyle w:val="TableContents"/>
              <w:bidi w:val="0"/>
              <w:spacing w:before="0" w:after="283"/>
              <w:jc w:val="left"/>
              <w:rPr/>
            </w:pPr>
            <w:r>
              <w:rPr/>
              <w:t>Interest Payment Dates:</w:t>
            </w:r>
          </w:p>
        </w:tc>
        <w:tc>
          <w:tcPr>
            <w:tcW w:w="120" w:type="dxa"/>
            <w:tcBorders/>
            <w:vAlign w:val="bottom"/>
          </w:tcPr>
          <w:p>
            <w:pPr>
              <w:pStyle w:val="TableContents"/>
              <w:bidi w:val="0"/>
              <w:spacing w:before="0" w:after="283"/>
              <w:jc w:val="left"/>
              <w:rPr/>
            </w:pPr>
            <w:r>
              <w:rPr/>
              <w:t>  </w:t>
            </w:r>
          </w:p>
        </w:tc>
        <w:tc>
          <w:tcPr>
            <w:tcW w:w="6230" w:type="dxa"/>
            <w:tcBorders/>
          </w:tcPr>
          <w:p>
            <w:pPr>
              <w:pStyle w:val="TableContents"/>
              <w:bidi w:val="0"/>
              <w:spacing w:before="0" w:after="283"/>
              <w:jc w:val="left"/>
              <w:rPr/>
            </w:pPr>
            <w:r>
              <w:rPr/>
              <w:t>February 15 and August 15, commencing February 15, 2027</w:t>
            </w:r>
          </w:p>
        </w:tc>
      </w:tr>
      <w:tr>
        <w:trPr>
          <w:trHeight w:val="120" w:hRule="atLeast"/>
        </w:trPr>
        <w:tc>
          <w:tcPr>
            <w:tcW w:w="3855" w:type="dxa"/>
            <w:tcBorders/>
            <w:vAlign w:val="center"/>
          </w:tcPr>
          <w:p>
            <w:pPr>
              <w:pStyle w:val="TableContents"/>
              <w:bidi w:val="0"/>
              <w:spacing w:before="0" w:after="283"/>
              <w:jc w:val="left"/>
              <w:rPr>
                <w:sz w:val="4"/>
                <w:szCs w:val="4"/>
              </w:rPr>
            </w:pPr>
            <w:r>
              <w:rPr>
                <w:sz w:val="4"/>
                <w:szCs w:val="4"/>
              </w:rPr>
            </w:r>
          </w:p>
        </w:tc>
        <w:tc>
          <w:tcPr>
            <w:tcW w:w="6350" w:type="dxa"/>
            <w:gridSpan w:val="2"/>
            <w:tcBorders/>
            <w:vAlign w:val="center"/>
          </w:tcPr>
          <w:p>
            <w:pPr>
              <w:pStyle w:val="TableContents"/>
              <w:bidi w:val="0"/>
              <w:spacing w:before="0" w:after="283"/>
              <w:jc w:val="left"/>
              <w:rPr>
                <w:sz w:val="4"/>
                <w:szCs w:val="4"/>
              </w:rPr>
            </w:pPr>
            <w:r>
              <w:rPr>
                <w:sz w:val="4"/>
                <w:szCs w:val="4"/>
              </w:rPr>
            </w:r>
          </w:p>
        </w:tc>
      </w:tr>
      <w:tr>
        <w:trPr/>
        <w:tc>
          <w:tcPr>
            <w:tcW w:w="3855" w:type="dxa"/>
            <w:tcBorders/>
          </w:tcPr>
          <w:p>
            <w:pPr>
              <w:pStyle w:val="TableContents"/>
              <w:bidi w:val="0"/>
              <w:spacing w:before="0" w:after="283"/>
              <w:jc w:val="left"/>
              <w:rPr/>
            </w:pPr>
            <w:r>
              <w:rPr/>
              <w:t>Denominations:</w:t>
            </w:r>
          </w:p>
        </w:tc>
        <w:tc>
          <w:tcPr>
            <w:tcW w:w="120" w:type="dxa"/>
            <w:tcBorders/>
            <w:vAlign w:val="bottom"/>
          </w:tcPr>
          <w:p>
            <w:pPr>
              <w:pStyle w:val="TableContents"/>
              <w:bidi w:val="0"/>
              <w:spacing w:before="0" w:after="283"/>
              <w:jc w:val="left"/>
              <w:rPr/>
            </w:pPr>
            <w:r>
              <w:rPr/>
              <w:t>  </w:t>
            </w:r>
          </w:p>
        </w:tc>
        <w:tc>
          <w:tcPr>
            <w:tcW w:w="6230" w:type="dxa"/>
            <w:tcBorders/>
          </w:tcPr>
          <w:p>
            <w:pPr>
              <w:pStyle w:val="TableContents"/>
              <w:bidi w:val="0"/>
              <w:spacing w:before="0" w:after="283"/>
              <w:jc w:val="left"/>
              <w:rPr/>
            </w:pPr>
            <w:r>
              <w:rPr/>
              <w:t>$2,000 and integral multiples of $1,000 in excess thereof</w:t>
            </w:r>
          </w:p>
        </w:tc>
      </w:tr>
      <w:tr>
        <w:trPr>
          <w:trHeight w:val="120" w:hRule="atLeast"/>
        </w:trPr>
        <w:tc>
          <w:tcPr>
            <w:tcW w:w="3855" w:type="dxa"/>
            <w:tcBorders/>
            <w:vAlign w:val="center"/>
          </w:tcPr>
          <w:p>
            <w:pPr>
              <w:pStyle w:val="TableContents"/>
              <w:bidi w:val="0"/>
              <w:spacing w:before="0" w:after="283"/>
              <w:jc w:val="left"/>
              <w:rPr>
                <w:sz w:val="4"/>
                <w:szCs w:val="4"/>
              </w:rPr>
            </w:pPr>
            <w:r>
              <w:rPr>
                <w:sz w:val="4"/>
                <w:szCs w:val="4"/>
              </w:rPr>
            </w:r>
          </w:p>
        </w:tc>
        <w:tc>
          <w:tcPr>
            <w:tcW w:w="6350" w:type="dxa"/>
            <w:gridSpan w:val="2"/>
            <w:tcBorders/>
            <w:vAlign w:val="center"/>
          </w:tcPr>
          <w:p>
            <w:pPr>
              <w:pStyle w:val="TableContents"/>
              <w:bidi w:val="0"/>
              <w:spacing w:before="0" w:after="283"/>
              <w:jc w:val="left"/>
              <w:rPr>
                <w:sz w:val="4"/>
                <w:szCs w:val="4"/>
              </w:rPr>
            </w:pPr>
            <w:r>
              <w:rPr>
                <w:sz w:val="4"/>
                <w:szCs w:val="4"/>
              </w:rPr>
            </w:r>
          </w:p>
        </w:tc>
      </w:tr>
      <w:tr>
        <w:trPr/>
        <w:tc>
          <w:tcPr>
            <w:tcW w:w="3855" w:type="dxa"/>
            <w:tcBorders/>
          </w:tcPr>
          <w:p>
            <w:pPr>
              <w:pStyle w:val="TableContents"/>
              <w:bidi w:val="0"/>
              <w:spacing w:before="0" w:after="283"/>
              <w:jc w:val="left"/>
              <w:rPr/>
            </w:pPr>
            <w:r>
              <w:rPr/>
              <w:t>Optional Redemption:</w:t>
            </w:r>
          </w:p>
        </w:tc>
        <w:tc>
          <w:tcPr>
            <w:tcW w:w="120" w:type="dxa"/>
            <w:tcBorders/>
            <w:vAlign w:val="bottom"/>
          </w:tcPr>
          <w:p>
            <w:pPr>
              <w:pStyle w:val="TableContents"/>
              <w:bidi w:val="0"/>
              <w:spacing w:before="0" w:after="283"/>
              <w:jc w:val="left"/>
              <w:rPr/>
            </w:pPr>
            <w:r>
              <w:rPr/>
              <w:t>  </w:t>
            </w:r>
          </w:p>
        </w:tc>
        <w:tc>
          <w:tcPr>
            <w:tcW w:w="6230" w:type="dxa"/>
            <w:tcBorders/>
          </w:tcPr>
          <w:p>
            <w:pPr>
              <w:pStyle w:val="TableContents"/>
              <w:bidi w:val="0"/>
              <w:spacing w:before="0" w:after="283"/>
              <w:jc w:val="left"/>
              <w:rPr/>
            </w:pPr>
            <w:r>
              <w:rPr/>
              <w:t>Prior to July 15, 2029 (one month prior to the maturity date of the notes) (the “Par Call Date”): redeemable at Issuer’s option, in whole or in part, at a redemption price equal to the greater of (i)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15 basis points, less interest accrued to the date of redemption, and (ii) 100% of the principal amount, plus, in either case, accrued and unpaid interest, if any, to, but excluding, the redemption date.</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825"/>
        <w:gridCol w:w="122"/>
        <w:gridCol w:w="6258"/>
      </w:tblGrid>
      <w:tr>
        <w:trPr/>
        <w:tc>
          <w:tcPr>
            <w:tcW w:w="382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258" w:type="dxa"/>
            <w:tcBorders/>
            <w:vAlign w:val="center"/>
          </w:tcPr>
          <w:p>
            <w:pPr>
              <w:pStyle w:val="TableContents"/>
              <w:bidi w:val="0"/>
              <w:spacing w:before="0" w:after="283"/>
              <w:jc w:val="left"/>
              <w:rPr>
                <w:sz w:val="4"/>
                <w:szCs w:val="4"/>
              </w:rPr>
            </w:pPr>
            <w:r>
              <w:rPr>
                <w:sz w:val="4"/>
                <w:szCs w:val="4"/>
              </w:rPr>
            </w:r>
          </w:p>
        </w:tc>
      </w:tr>
      <w:tr>
        <w:trPr/>
        <w:tc>
          <w:tcPr>
            <w:tcW w:w="38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258" w:type="dxa"/>
            <w:tcBorders/>
          </w:tcPr>
          <w:p>
            <w:pPr>
              <w:pStyle w:val="TableContents"/>
              <w:bidi w:val="0"/>
              <w:spacing w:before="0" w:after="283"/>
              <w:jc w:val="left"/>
              <w:rPr/>
            </w:pPr>
            <w:r>
              <w:rPr/>
              <w:t>On or after the Par Call Date, redeemable at Issuer’s option, in whole or in part, at a redemption price equal to 100% principal amount, plus accrued and unpaid interest, if any, to, but excluding, the redemption date.</w:t>
            </w:r>
          </w:p>
        </w:tc>
      </w:tr>
      <w:tr>
        <w:trPr>
          <w:trHeight w:val="120" w:hRule="atLeast"/>
        </w:trPr>
        <w:tc>
          <w:tcPr>
            <w:tcW w:w="3825" w:type="dxa"/>
            <w:tcBorders/>
            <w:vAlign w:val="center"/>
          </w:tcPr>
          <w:p>
            <w:pPr>
              <w:pStyle w:val="TableContents"/>
              <w:bidi w:val="0"/>
              <w:spacing w:before="0" w:after="283"/>
              <w:jc w:val="left"/>
              <w:rPr>
                <w:sz w:val="4"/>
                <w:szCs w:val="4"/>
              </w:rPr>
            </w:pPr>
            <w:r>
              <w:rPr>
                <w:sz w:val="4"/>
                <w:szCs w:val="4"/>
              </w:rPr>
            </w:r>
          </w:p>
        </w:tc>
        <w:tc>
          <w:tcPr>
            <w:tcW w:w="6380" w:type="dxa"/>
            <w:gridSpan w:val="2"/>
            <w:tcBorders/>
            <w:vAlign w:val="center"/>
          </w:tcPr>
          <w:p>
            <w:pPr>
              <w:pStyle w:val="TableContents"/>
              <w:bidi w:val="0"/>
              <w:spacing w:before="0" w:after="283"/>
              <w:jc w:val="left"/>
              <w:rPr>
                <w:sz w:val="4"/>
                <w:szCs w:val="4"/>
              </w:rPr>
            </w:pPr>
            <w:r>
              <w:rPr>
                <w:sz w:val="4"/>
                <w:szCs w:val="4"/>
              </w:rPr>
            </w:r>
          </w:p>
        </w:tc>
      </w:tr>
      <w:tr>
        <w:trPr/>
        <w:tc>
          <w:tcPr>
            <w:tcW w:w="3825" w:type="dxa"/>
            <w:tcBorders/>
          </w:tcPr>
          <w:p>
            <w:pPr>
              <w:pStyle w:val="TableContents"/>
              <w:bidi w:val="0"/>
              <w:spacing w:before="0" w:after="283"/>
              <w:jc w:val="left"/>
              <w:rPr/>
            </w:pPr>
            <w:r>
              <w:rPr/>
              <w:t>Settlement Date:</w:t>
            </w:r>
          </w:p>
        </w:tc>
        <w:tc>
          <w:tcPr>
            <w:tcW w:w="122" w:type="dxa"/>
            <w:tcBorders/>
            <w:vAlign w:val="bottom"/>
          </w:tcPr>
          <w:p>
            <w:pPr>
              <w:pStyle w:val="TableContents"/>
              <w:bidi w:val="0"/>
              <w:spacing w:before="0" w:after="283"/>
              <w:jc w:val="left"/>
              <w:rPr/>
            </w:pPr>
            <w:r>
              <w:rPr/>
              <w:t>  </w:t>
            </w:r>
          </w:p>
        </w:tc>
        <w:tc>
          <w:tcPr>
            <w:tcW w:w="6258" w:type="dxa"/>
            <w:tcBorders/>
          </w:tcPr>
          <w:p>
            <w:pPr>
              <w:pStyle w:val="TableContents"/>
              <w:bidi w:val="0"/>
              <w:spacing w:before="0" w:after="283"/>
              <w:jc w:val="left"/>
              <w:rPr/>
            </w:pPr>
            <w:r>
              <w:rPr/>
              <w:t>August 21, 2026 (T+7)</w:t>
            </w:r>
          </w:p>
        </w:tc>
      </w:tr>
      <w:tr>
        <w:trPr>
          <w:trHeight w:val="120" w:hRule="atLeast"/>
        </w:trPr>
        <w:tc>
          <w:tcPr>
            <w:tcW w:w="3825" w:type="dxa"/>
            <w:tcBorders/>
            <w:vAlign w:val="center"/>
          </w:tcPr>
          <w:p>
            <w:pPr>
              <w:pStyle w:val="TableContents"/>
              <w:bidi w:val="0"/>
              <w:spacing w:before="0" w:after="283"/>
              <w:jc w:val="left"/>
              <w:rPr>
                <w:sz w:val="4"/>
                <w:szCs w:val="4"/>
              </w:rPr>
            </w:pPr>
            <w:r>
              <w:rPr>
                <w:sz w:val="4"/>
                <w:szCs w:val="4"/>
              </w:rPr>
            </w:r>
          </w:p>
        </w:tc>
        <w:tc>
          <w:tcPr>
            <w:tcW w:w="6380" w:type="dxa"/>
            <w:gridSpan w:val="2"/>
            <w:tcBorders/>
            <w:vAlign w:val="center"/>
          </w:tcPr>
          <w:p>
            <w:pPr>
              <w:pStyle w:val="TableContents"/>
              <w:bidi w:val="0"/>
              <w:spacing w:before="0" w:after="283"/>
              <w:jc w:val="left"/>
              <w:rPr>
                <w:sz w:val="4"/>
                <w:szCs w:val="4"/>
              </w:rPr>
            </w:pPr>
            <w:r>
              <w:rPr>
                <w:sz w:val="4"/>
                <w:szCs w:val="4"/>
              </w:rPr>
            </w:r>
          </w:p>
        </w:tc>
      </w:tr>
      <w:tr>
        <w:trPr/>
        <w:tc>
          <w:tcPr>
            <w:tcW w:w="38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258" w:type="dxa"/>
            <w:tcBorders/>
          </w:tcPr>
          <w:p>
            <w:pPr>
              <w:pStyle w:val="TableContents"/>
              <w:bidi w:val="0"/>
              <w:spacing w:before="0" w:after="283"/>
              <w:jc w:val="left"/>
              <w:rPr/>
            </w:pPr>
            <w:r>
              <w:rPr/>
              <w:t>Delivery of the notes is expected to be made against payment for the notes on August 21, 2026, which will be the seventh business day following the date hereof (this settlement cycle being referred to as “T+7”). Under Rule 15c6-1 of the Securities Exchange Act of 1934, as amended, trades in the secondary market generally are required to settle in one business day, unless the parties to any such trade expressly agree otherwise. Accordingly, purchasers who wish to trade the notes on any date prior to the business day before delivery will be required, by virtue of the fact that the notes initially will settle in T+7, to specify alternate settlement arrangements at the time of any such trade to prevent a failed settlement. Purchasers of the notes who wish to trade the notes on any date prior to the business day before delivery should consult their own advisers.</w:t>
            </w:r>
          </w:p>
        </w:tc>
      </w:tr>
      <w:tr>
        <w:trPr>
          <w:trHeight w:val="120" w:hRule="atLeast"/>
        </w:trPr>
        <w:tc>
          <w:tcPr>
            <w:tcW w:w="3825" w:type="dxa"/>
            <w:tcBorders/>
            <w:vAlign w:val="center"/>
          </w:tcPr>
          <w:p>
            <w:pPr>
              <w:pStyle w:val="TableContents"/>
              <w:bidi w:val="0"/>
              <w:spacing w:before="0" w:after="283"/>
              <w:jc w:val="left"/>
              <w:rPr>
                <w:sz w:val="4"/>
                <w:szCs w:val="4"/>
              </w:rPr>
            </w:pPr>
            <w:r>
              <w:rPr>
                <w:sz w:val="4"/>
                <w:szCs w:val="4"/>
              </w:rPr>
            </w:r>
          </w:p>
        </w:tc>
        <w:tc>
          <w:tcPr>
            <w:tcW w:w="6380" w:type="dxa"/>
            <w:gridSpan w:val="2"/>
            <w:tcBorders/>
            <w:vAlign w:val="center"/>
          </w:tcPr>
          <w:p>
            <w:pPr>
              <w:pStyle w:val="TableContents"/>
              <w:bidi w:val="0"/>
              <w:spacing w:before="0" w:after="283"/>
              <w:jc w:val="left"/>
              <w:rPr>
                <w:sz w:val="4"/>
                <w:szCs w:val="4"/>
              </w:rPr>
            </w:pPr>
            <w:r>
              <w:rPr>
                <w:sz w:val="4"/>
                <w:szCs w:val="4"/>
              </w:rPr>
            </w:r>
          </w:p>
        </w:tc>
      </w:tr>
      <w:tr>
        <w:trPr/>
        <w:tc>
          <w:tcPr>
            <w:tcW w:w="3825" w:type="dxa"/>
            <w:tcBorders/>
          </w:tcPr>
          <w:p>
            <w:pPr>
              <w:pStyle w:val="TableContents"/>
              <w:bidi w:val="0"/>
              <w:spacing w:before="0" w:after="283"/>
              <w:jc w:val="left"/>
              <w:rPr/>
            </w:pPr>
            <w:r>
              <w:rPr/>
              <w:t>Legal Format:</w:t>
            </w:r>
          </w:p>
        </w:tc>
        <w:tc>
          <w:tcPr>
            <w:tcW w:w="122" w:type="dxa"/>
            <w:tcBorders/>
            <w:vAlign w:val="bottom"/>
          </w:tcPr>
          <w:p>
            <w:pPr>
              <w:pStyle w:val="TableContents"/>
              <w:bidi w:val="0"/>
              <w:spacing w:before="0" w:after="283"/>
              <w:jc w:val="left"/>
              <w:rPr/>
            </w:pPr>
            <w:r>
              <w:rPr/>
              <w:t>  </w:t>
            </w:r>
          </w:p>
        </w:tc>
        <w:tc>
          <w:tcPr>
            <w:tcW w:w="6258" w:type="dxa"/>
            <w:tcBorders/>
          </w:tcPr>
          <w:p>
            <w:pPr>
              <w:pStyle w:val="TableContents"/>
              <w:bidi w:val="0"/>
              <w:spacing w:before="0" w:after="283"/>
              <w:jc w:val="left"/>
              <w:rPr/>
            </w:pPr>
            <w:r>
              <w:rPr/>
              <w:t>SEC registered</w:t>
            </w:r>
          </w:p>
        </w:tc>
      </w:tr>
      <w:tr>
        <w:trPr>
          <w:trHeight w:val="120" w:hRule="atLeast"/>
        </w:trPr>
        <w:tc>
          <w:tcPr>
            <w:tcW w:w="3825" w:type="dxa"/>
            <w:tcBorders/>
            <w:vAlign w:val="center"/>
          </w:tcPr>
          <w:p>
            <w:pPr>
              <w:pStyle w:val="TableContents"/>
              <w:bidi w:val="0"/>
              <w:spacing w:before="0" w:after="283"/>
              <w:jc w:val="left"/>
              <w:rPr>
                <w:sz w:val="4"/>
                <w:szCs w:val="4"/>
              </w:rPr>
            </w:pPr>
            <w:r>
              <w:rPr>
                <w:sz w:val="4"/>
                <w:szCs w:val="4"/>
              </w:rPr>
            </w:r>
          </w:p>
        </w:tc>
        <w:tc>
          <w:tcPr>
            <w:tcW w:w="6380" w:type="dxa"/>
            <w:gridSpan w:val="2"/>
            <w:tcBorders/>
            <w:vAlign w:val="center"/>
          </w:tcPr>
          <w:p>
            <w:pPr>
              <w:pStyle w:val="TableContents"/>
              <w:bidi w:val="0"/>
              <w:spacing w:before="0" w:after="283"/>
              <w:jc w:val="left"/>
              <w:rPr>
                <w:sz w:val="4"/>
                <w:szCs w:val="4"/>
              </w:rPr>
            </w:pPr>
            <w:r>
              <w:rPr>
                <w:sz w:val="4"/>
                <w:szCs w:val="4"/>
              </w:rPr>
            </w:r>
          </w:p>
        </w:tc>
      </w:tr>
      <w:tr>
        <w:trPr/>
        <w:tc>
          <w:tcPr>
            <w:tcW w:w="3825" w:type="dxa"/>
            <w:tcBorders/>
          </w:tcPr>
          <w:p>
            <w:pPr>
              <w:pStyle w:val="TableContents"/>
              <w:bidi w:val="0"/>
              <w:spacing w:before="0" w:after="283"/>
              <w:jc w:val="left"/>
              <w:rPr/>
            </w:pPr>
            <w:r>
              <w:rPr/>
              <w:t>Change of Control Triggering Event:</w:t>
            </w:r>
          </w:p>
        </w:tc>
        <w:tc>
          <w:tcPr>
            <w:tcW w:w="122" w:type="dxa"/>
            <w:tcBorders/>
            <w:vAlign w:val="bottom"/>
          </w:tcPr>
          <w:p>
            <w:pPr>
              <w:pStyle w:val="TableContents"/>
              <w:bidi w:val="0"/>
              <w:spacing w:before="0" w:after="283"/>
              <w:jc w:val="left"/>
              <w:rPr/>
            </w:pPr>
            <w:r>
              <w:rPr/>
              <w:t>  </w:t>
            </w:r>
          </w:p>
        </w:tc>
        <w:tc>
          <w:tcPr>
            <w:tcW w:w="6258" w:type="dxa"/>
            <w:tcBorders/>
          </w:tcPr>
          <w:p>
            <w:pPr>
              <w:pStyle w:val="TableContents"/>
              <w:bidi w:val="0"/>
              <w:spacing w:before="0" w:after="283"/>
              <w:jc w:val="left"/>
              <w:rPr/>
            </w:pPr>
            <w:r>
              <w:rPr/>
              <w:t>Upon a Change of Control Triggering Event, holders may cause Issuer to repurchase the notes at 101% of their face amount, plus accrued and unpaid interest, if any, to, but excluding, the repurchase date.</w:t>
            </w:r>
          </w:p>
        </w:tc>
      </w:tr>
      <w:tr>
        <w:trPr>
          <w:trHeight w:val="120" w:hRule="atLeast"/>
        </w:trPr>
        <w:tc>
          <w:tcPr>
            <w:tcW w:w="3825" w:type="dxa"/>
            <w:tcBorders/>
            <w:vAlign w:val="center"/>
          </w:tcPr>
          <w:p>
            <w:pPr>
              <w:pStyle w:val="TableContents"/>
              <w:bidi w:val="0"/>
              <w:spacing w:before="0" w:after="283"/>
              <w:jc w:val="left"/>
              <w:rPr>
                <w:sz w:val="4"/>
                <w:szCs w:val="4"/>
              </w:rPr>
            </w:pPr>
            <w:r>
              <w:rPr>
                <w:sz w:val="4"/>
                <w:szCs w:val="4"/>
              </w:rPr>
            </w:r>
          </w:p>
        </w:tc>
        <w:tc>
          <w:tcPr>
            <w:tcW w:w="6380" w:type="dxa"/>
            <w:gridSpan w:val="2"/>
            <w:tcBorders/>
            <w:vAlign w:val="center"/>
          </w:tcPr>
          <w:p>
            <w:pPr>
              <w:pStyle w:val="TableContents"/>
              <w:bidi w:val="0"/>
              <w:spacing w:before="0" w:after="283"/>
              <w:jc w:val="left"/>
              <w:rPr>
                <w:sz w:val="4"/>
                <w:szCs w:val="4"/>
              </w:rPr>
            </w:pPr>
            <w:r>
              <w:rPr>
                <w:sz w:val="4"/>
                <w:szCs w:val="4"/>
              </w:rPr>
            </w:r>
          </w:p>
        </w:tc>
      </w:tr>
      <w:tr>
        <w:trPr/>
        <w:tc>
          <w:tcPr>
            <w:tcW w:w="3825" w:type="dxa"/>
            <w:tcBorders/>
          </w:tcPr>
          <w:p>
            <w:pPr>
              <w:pStyle w:val="TableContents"/>
              <w:bidi w:val="0"/>
              <w:spacing w:before="0" w:after="283"/>
              <w:jc w:val="left"/>
              <w:rPr/>
            </w:pPr>
            <w:r>
              <w:rPr/>
              <w:t>CUSIP/ISIN:</w:t>
            </w:r>
          </w:p>
        </w:tc>
        <w:tc>
          <w:tcPr>
            <w:tcW w:w="122" w:type="dxa"/>
            <w:tcBorders/>
            <w:vAlign w:val="bottom"/>
          </w:tcPr>
          <w:p>
            <w:pPr>
              <w:pStyle w:val="TableContents"/>
              <w:bidi w:val="0"/>
              <w:spacing w:before="0" w:after="283"/>
              <w:jc w:val="left"/>
              <w:rPr/>
            </w:pPr>
            <w:r>
              <w:rPr/>
              <w:t>  </w:t>
            </w:r>
          </w:p>
        </w:tc>
        <w:tc>
          <w:tcPr>
            <w:tcW w:w="6258" w:type="dxa"/>
            <w:tcBorders/>
          </w:tcPr>
          <w:p>
            <w:pPr>
              <w:pStyle w:val="TableContents"/>
              <w:bidi w:val="0"/>
              <w:spacing w:before="0" w:after="283"/>
              <w:jc w:val="left"/>
              <w:rPr/>
            </w:pPr>
            <w:r>
              <w:rPr/>
              <w:t>127055 AN1 / US127055AN16</w:t>
            </w:r>
          </w:p>
        </w:tc>
      </w:tr>
      <w:tr>
        <w:trPr>
          <w:trHeight w:val="120" w:hRule="atLeast"/>
        </w:trPr>
        <w:tc>
          <w:tcPr>
            <w:tcW w:w="3825" w:type="dxa"/>
            <w:tcBorders/>
            <w:vAlign w:val="center"/>
          </w:tcPr>
          <w:p>
            <w:pPr>
              <w:pStyle w:val="TableContents"/>
              <w:bidi w:val="0"/>
              <w:spacing w:before="0" w:after="283"/>
              <w:jc w:val="left"/>
              <w:rPr>
                <w:sz w:val="4"/>
                <w:szCs w:val="4"/>
              </w:rPr>
            </w:pPr>
            <w:r>
              <w:rPr>
                <w:sz w:val="4"/>
                <w:szCs w:val="4"/>
              </w:rPr>
            </w:r>
          </w:p>
        </w:tc>
        <w:tc>
          <w:tcPr>
            <w:tcW w:w="6380" w:type="dxa"/>
            <w:gridSpan w:val="2"/>
            <w:tcBorders/>
            <w:vAlign w:val="center"/>
          </w:tcPr>
          <w:p>
            <w:pPr>
              <w:pStyle w:val="TableContents"/>
              <w:bidi w:val="0"/>
              <w:spacing w:before="0" w:after="283"/>
              <w:jc w:val="left"/>
              <w:rPr>
                <w:sz w:val="4"/>
                <w:szCs w:val="4"/>
              </w:rPr>
            </w:pPr>
            <w:r>
              <w:rPr>
                <w:sz w:val="4"/>
                <w:szCs w:val="4"/>
              </w:rPr>
            </w:r>
          </w:p>
        </w:tc>
      </w:tr>
      <w:tr>
        <w:trPr/>
        <w:tc>
          <w:tcPr>
            <w:tcW w:w="3825" w:type="dxa"/>
            <w:tcBorders/>
          </w:tcPr>
          <w:p>
            <w:pPr>
              <w:pStyle w:val="TableContents"/>
              <w:bidi w:val="0"/>
              <w:spacing w:before="0" w:after="283"/>
              <w:jc w:val="left"/>
              <w:rPr/>
            </w:pPr>
            <w:r>
              <w:rPr/>
              <w:t>Expected Ratings (Moody’s / S&amp;P)*:</w:t>
            </w:r>
          </w:p>
        </w:tc>
        <w:tc>
          <w:tcPr>
            <w:tcW w:w="122" w:type="dxa"/>
            <w:tcBorders/>
            <w:vAlign w:val="bottom"/>
          </w:tcPr>
          <w:p>
            <w:pPr>
              <w:pStyle w:val="TableContents"/>
              <w:bidi w:val="0"/>
              <w:spacing w:before="0" w:after="283"/>
              <w:jc w:val="left"/>
              <w:rPr/>
            </w:pPr>
            <w:r>
              <w:rPr/>
              <w:t>  </w:t>
            </w:r>
          </w:p>
        </w:tc>
        <w:tc>
          <w:tcPr>
            <w:tcW w:w="6258" w:type="dxa"/>
            <w:tcBorders/>
          </w:tcPr>
          <w:p>
            <w:pPr>
              <w:pStyle w:val="TableContents"/>
              <w:bidi w:val="0"/>
              <w:spacing w:before="0" w:after="283"/>
              <w:jc w:val="left"/>
              <w:rPr/>
            </w:pPr>
            <w:r>
              <w:rPr/>
              <w:t>Baa2 / BBB</w:t>
            </w:r>
          </w:p>
        </w:tc>
      </w:tr>
      <w:tr>
        <w:trPr>
          <w:trHeight w:val="120" w:hRule="atLeast"/>
        </w:trPr>
        <w:tc>
          <w:tcPr>
            <w:tcW w:w="3825" w:type="dxa"/>
            <w:tcBorders/>
            <w:vAlign w:val="center"/>
          </w:tcPr>
          <w:p>
            <w:pPr>
              <w:pStyle w:val="TableContents"/>
              <w:bidi w:val="0"/>
              <w:spacing w:before="0" w:after="283"/>
              <w:jc w:val="left"/>
              <w:rPr>
                <w:sz w:val="4"/>
                <w:szCs w:val="4"/>
              </w:rPr>
            </w:pPr>
            <w:r>
              <w:rPr>
                <w:sz w:val="4"/>
                <w:szCs w:val="4"/>
              </w:rPr>
            </w:r>
          </w:p>
        </w:tc>
        <w:tc>
          <w:tcPr>
            <w:tcW w:w="6380" w:type="dxa"/>
            <w:gridSpan w:val="2"/>
            <w:tcBorders/>
            <w:vAlign w:val="center"/>
          </w:tcPr>
          <w:p>
            <w:pPr>
              <w:pStyle w:val="TableContents"/>
              <w:bidi w:val="0"/>
              <w:spacing w:before="0" w:after="283"/>
              <w:jc w:val="left"/>
              <w:rPr>
                <w:sz w:val="4"/>
                <w:szCs w:val="4"/>
              </w:rPr>
            </w:pPr>
            <w:r>
              <w:rPr>
                <w:sz w:val="4"/>
                <w:szCs w:val="4"/>
              </w:rPr>
            </w:r>
          </w:p>
        </w:tc>
      </w:tr>
      <w:tr>
        <w:trPr/>
        <w:tc>
          <w:tcPr>
            <w:tcW w:w="3825" w:type="dxa"/>
            <w:tcBorders/>
          </w:tcPr>
          <w:p>
            <w:pPr>
              <w:pStyle w:val="TableContents"/>
              <w:bidi w:val="0"/>
              <w:spacing w:before="0" w:after="283"/>
              <w:jc w:val="left"/>
              <w:rPr/>
            </w:pPr>
            <w:r>
              <w:rPr/>
              <w:t>Joint Book-Running Managers:</w:t>
            </w:r>
          </w:p>
        </w:tc>
        <w:tc>
          <w:tcPr>
            <w:tcW w:w="122" w:type="dxa"/>
            <w:tcBorders/>
            <w:vAlign w:val="bottom"/>
          </w:tcPr>
          <w:p>
            <w:pPr>
              <w:pStyle w:val="TableContents"/>
              <w:bidi w:val="0"/>
              <w:spacing w:before="0" w:after="283"/>
              <w:jc w:val="left"/>
              <w:rPr/>
            </w:pPr>
            <w:r>
              <w:rPr/>
              <w:t>  </w:t>
            </w:r>
          </w:p>
        </w:tc>
        <w:tc>
          <w:tcPr>
            <w:tcW w:w="6258" w:type="dxa"/>
            <w:tcBorders/>
          </w:tcPr>
          <w:p>
            <w:pPr>
              <w:pStyle w:val="TableContents"/>
              <w:bidi w:val="0"/>
              <w:spacing w:before="0" w:after="283"/>
              <w:jc w:val="left"/>
              <w:rPr/>
            </w:pPr>
            <w:r>
              <w:rPr/>
              <w:t>Citigroup Global Markets Inc.</w:t>
            </w:r>
          </w:p>
        </w:tc>
      </w:tr>
      <w:tr>
        <w:trPr/>
        <w:tc>
          <w:tcPr>
            <w:tcW w:w="38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258" w:type="dxa"/>
            <w:tcBorders/>
          </w:tcPr>
          <w:p>
            <w:pPr>
              <w:pStyle w:val="TableContents"/>
              <w:bidi w:val="0"/>
              <w:spacing w:before="0" w:after="283"/>
              <w:jc w:val="left"/>
              <w:rPr/>
            </w:pPr>
            <w:r>
              <w:rPr/>
              <w:t>J.P. Morgan Securities LLC</w:t>
            </w:r>
          </w:p>
        </w:tc>
      </w:tr>
      <w:tr>
        <w:trPr/>
        <w:tc>
          <w:tcPr>
            <w:tcW w:w="38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258" w:type="dxa"/>
            <w:tcBorders/>
          </w:tcPr>
          <w:p>
            <w:pPr>
              <w:pStyle w:val="TableContents"/>
              <w:bidi w:val="0"/>
              <w:spacing w:before="0" w:after="283"/>
              <w:jc w:val="left"/>
              <w:rPr/>
            </w:pPr>
            <w:r>
              <w:rPr/>
              <w:t>PNC Capital Markets LLC</w:t>
            </w:r>
          </w:p>
        </w:tc>
      </w:tr>
      <w:tr>
        <w:trPr/>
        <w:tc>
          <w:tcPr>
            <w:tcW w:w="38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258" w:type="dxa"/>
            <w:tcBorders/>
          </w:tcPr>
          <w:p>
            <w:pPr>
              <w:pStyle w:val="TableContents"/>
              <w:bidi w:val="0"/>
              <w:spacing w:before="0" w:after="283"/>
              <w:jc w:val="left"/>
              <w:rPr/>
            </w:pPr>
            <w:r>
              <w:rPr/>
              <w:t>U.S. Bancorp Investments, Inc.</w:t>
            </w:r>
          </w:p>
        </w:tc>
      </w:tr>
      <w:tr>
        <w:trPr/>
        <w:tc>
          <w:tcPr>
            <w:tcW w:w="38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258" w:type="dxa"/>
            <w:tcBorders/>
          </w:tcPr>
          <w:p>
            <w:pPr>
              <w:pStyle w:val="TableContents"/>
              <w:bidi w:val="0"/>
              <w:spacing w:before="0" w:after="283"/>
              <w:jc w:val="left"/>
              <w:rPr/>
            </w:pPr>
            <w:r>
              <w:rPr/>
              <w:t>BofA Securities, Inc.</w:t>
            </w:r>
          </w:p>
        </w:tc>
      </w:tr>
      <w:tr>
        <w:trPr/>
        <w:tc>
          <w:tcPr>
            <w:tcW w:w="38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258" w:type="dxa"/>
            <w:tcBorders/>
          </w:tcPr>
          <w:p>
            <w:pPr>
              <w:pStyle w:val="TableContents"/>
              <w:bidi w:val="0"/>
              <w:spacing w:before="0" w:after="283"/>
              <w:jc w:val="left"/>
              <w:rPr/>
            </w:pPr>
            <w:r>
              <w:rPr/>
              <w:t>BBVA Securities Inc.</w:t>
            </w:r>
          </w:p>
        </w:tc>
      </w:tr>
      <w:tr>
        <w:trPr/>
        <w:tc>
          <w:tcPr>
            <w:tcW w:w="382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258" w:type="dxa"/>
            <w:tcBorders/>
          </w:tcPr>
          <w:p>
            <w:pPr>
              <w:pStyle w:val="TableContents"/>
              <w:bidi w:val="0"/>
              <w:spacing w:before="0" w:after="283"/>
              <w:jc w:val="left"/>
              <w:rPr/>
            </w:pPr>
            <w:r>
              <w:rPr/>
              <w:t>ING Financial Markets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832"/>
        <w:gridCol w:w="120"/>
        <w:gridCol w:w="6253"/>
      </w:tblGrid>
      <w:tr>
        <w:trPr/>
        <w:tc>
          <w:tcPr>
            <w:tcW w:w="383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25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832" w:type="dxa"/>
            <w:tcBorders/>
            <w:vAlign w:val="center"/>
          </w:tcPr>
          <w:p>
            <w:pPr>
              <w:pStyle w:val="TableContents"/>
              <w:bidi w:val="0"/>
              <w:spacing w:before="0" w:after="283"/>
              <w:jc w:val="left"/>
              <w:rPr>
                <w:sz w:val="4"/>
                <w:szCs w:val="4"/>
              </w:rPr>
            </w:pPr>
            <w:r>
              <w:rPr>
                <w:sz w:val="4"/>
                <w:szCs w:val="4"/>
              </w:rPr>
            </w:r>
          </w:p>
        </w:tc>
        <w:tc>
          <w:tcPr>
            <w:tcW w:w="6373" w:type="dxa"/>
            <w:gridSpan w:val="2"/>
            <w:tcBorders/>
            <w:vAlign w:val="center"/>
          </w:tcPr>
          <w:p>
            <w:pPr>
              <w:pStyle w:val="TableContents"/>
              <w:bidi w:val="0"/>
              <w:spacing w:before="0" w:after="283"/>
              <w:jc w:val="left"/>
              <w:rPr>
                <w:sz w:val="4"/>
                <w:szCs w:val="4"/>
              </w:rPr>
            </w:pPr>
            <w:r>
              <w:rPr>
                <w:sz w:val="4"/>
                <w:szCs w:val="4"/>
              </w:rPr>
            </w:r>
          </w:p>
        </w:tc>
      </w:tr>
      <w:tr>
        <w:trPr/>
        <w:tc>
          <w:tcPr>
            <w:tcW w:w="3832" w:type="dxa"/>
            <w:tcBorders/>
          </w:tcPr>
          <w:p>
            <w:pPr>
              <w:pStyle w:val="TableContents"/>
              <w:bidi w:val="0"/>
              <w:spacing w:before="0" w:after="283"/>
              <w:jc w:val="left"/>
              <w:rPr/>
            </w:pPr>
            <w:r>
              <w:rPr/>
              <w:t>Co-Managers:</w:t>
            </w:r>
          </w:p>
        </w:tc>
        <w:tc>
          <w:tcPr>
            <w:tcW w:w="120" w:type="dxa"/>
            <w:tcBorders/>
            <w:vAlign w:val="bottom"/>
          </w:tcPr>
          <w:p>
            <w:pPr>
              <w:pStyle w:val="TableContents"/>
              <w:bidi w:val="0"/>
              <w:spacing w:before="0" w:after="283"/>
              <w:jc w:val="left"/>
              <w:rPr/>
            </w:pPr>
            <w:r>
              <w:rPr/>
              <w:t>  </w:t>
            </w:r>
          </w:p>
        </w:tc>
        <w:tc>
          <w:tcPr>
            <w:tcW w:w="6253" w:type="dxa"/>
            <w:tcBorders/>
          </w:tcPr>
          <w:p>
            <w:pPr>
              <w:pStyle w:val="TableContents"/>
              <w:bidi w:val="0"/>
              <w:spacing w:before="0" w:after="20"/>
              <w:jc w:val="left"/>
              <w:rPr>
                <w:rFonts w:ascii="Times New Roman" w:hAnsi="Times New Roman"/>
                <w:sz w:val="20"/>
              </w:rPr>
            </w:pPr>
            <w:r>
              <w:rPr>
                <w:rFonts w:ascii="Times New Roman" w:hAnsi="Times New Roman"/>
                <w:sz w:val="20"/>
              </w:rPr>
              <w:t>HSBC Securities (USA) Inc.</w:t>
            </w:r>
          </w:p>
        </w:tc>
      </w:tr>
      <w:tr>
        <w:trPr/>
        <w:tc>
          <w:tcPr>
            <w:tcW w:w="383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53"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Loop Capital Markets LLC </w:t>
            </w:r>
          </w:p>
        </w:tc>
      </w:tr>
      <w:tr>
        <w:trPr/>
        <w:tc>
          <w:tcPr>
            <w:tcW w:w="383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53" w:type="dxa"/>
            <w:tcBorders/>
          </w:tcPr>
          <w:p>
            <w:pPr>
              <w:pStyle w:val="TableContents"/>
              <w:bidi w:val="0"/>
              <w:spacing w:before="0" w:after="283"/>
              <w:jc w:val="left"/>
              <w:rPr/>
            </w:pPr>
            <w:r>
              <w:rPr/>
              <w:t>Morgan Stanley &amp; Co. LLC</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explanation of the significance of ratings may be obtained from the rating agencies. Generally, rating agencies base their ratings on such material and information, and such of their own investigations, studies and assumptions, as they deem appropriate. The rating of the notes should be evaluated independently from similar ratings of other securities. A credit rating of a security is not a recommendation to buy, sell or hold securities and may be subject to review, revision, suspension, reduction or withdrawal at any time by the assigning rating agency.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communication is intended for the sole use of the person to whom it is provided by us. </w:t>
      </w:r>
    </w:p>
    <w:p>
      <w:pPr>
        <w:pStyle w:val="TextBody"/>
        <w:bidi w:val="0"/>
        <w:spacing w:before="240" w:after="0"/>
        <w:jc w:val="left"/>
        <w:rPr>
          <w:rFonts w:ascii="Times New Roman" w:hAnsi="Times New Roman"/>
          <w:sz w:val="20"/>
        </w:rPr>
      </w:pPr>
      <w:r>
        <w:rPr>
          <w:rFonts w:ascii="Times New Roman" w:hAnsi="Times New Roman"/>
          <w:sz w:val="20"/>
        </w:rPr>
        <w:t xml:space="preserve">The Issuer has filed a registration statement (including a prospectus) and a prospectus supplement with the U.S. Securities and Exchange Commission (“SEC”) for the offering to which this communication relates. Before you invest, you should read the prospectus supplement for this offering, the prospectus in that registration statement and the documents the Issuer has filed with the SEC that are incorporated by reference in the foregoing for more complete information about the Issuer and this offering. You may get these documents for free by visiting EDGAR on the SEC web site at http://www.sec.gov. Alternatively, the Issuer, any underwriter or any dealer participating in the offering will arrange to send you copies of the prospectus supplement and prospectus if you request them by calling Citigroup Global Markets Inc. toll-free at (800) 831-9146, J.P. Morgan Securities LLC collect at (212) 834-4533, PNC Capital Markets LLC toll-free at (855) 881-0697, or U.S. Bancorp Investments, Inc. toll-free at (877) 558-2607. </w:t>
      </w:r>
    </w:p>
    <w:p>
      <w:pPr>
        <w:pStyle w:val="TextBody"/>
        <w:bidi w:val="0"/>
        <w:spacing w:before="240" w:after="0"/>
        <w:jc w:val="left"/>
        <w:rPr>
          <w:rFonts w:ascii="Times New Roman" w:hAnsi="Times New Roman"/>
          <w:sz w:val="20"/>
        </w:rPr>
      </w:pPr>
      <w:r>
        <w:rPr>
          <w:rFonts w:ascii="Times New Roman" w:hAnsi="Times New Roman"/>
          <w:sz w:val="20"/>
        </w:rPr>
        <w:t xml:space="preserve">This pricing term sheet supplements the preliminary prospectus supplement issued by Cabot Corporation on August 12, 2026 relating to the base prospectus dated December 15, 2023. </w:t>
      </w:r>
    </w:p>
    <w:p>
      <w:pPr>
        <w:pStyle w:val="TextBody"/>
        <w:bidi w:val="0"/>
        <w:spacing w:before="240" w:after="0"/>
        <w:jc w:val="left"/>
        <w:rPr>
          <w:rFonts w:ascii="Times New Roman" w:hAnsi="Times New Roman"/>
          <w:b/>
          <w:i/>
          <w:sz w:val="20"/>
        </w:rPr>
      </w:pPr>
      <w:r>
        <w:rPr>
          <w:rFonts w:ascii="Times New Roman" w:hAnsi="Times New Roman"/>
          <w:b/>
          <w:i/>
          <w:sz w:val="20"/>
        </w:rPr>
        <w:t xml:space="preserve">Any disclaimer or other notice that may appear below is not applicable to this communication and should be disregarded. Such disclaimer or notice was automatically generated as a result of this communication being sent by Bloomberg or another email system.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856</Words>
  <Characters>4560</Characters>
  <CharactersWithSpaces>5428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