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723265</wp:posOffset>
            </wp:positionV>
            <wp:extent cx="6489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17145"/>
                    </a:xfrm>
                    <a:prstGeom prst="rect">
                      <a:avLst/>
                    </a:prstGeom>
                    <a:noFill/>
                  </pic:spPr>
                </pic:pic>
              </a:graphicData>
            </a:graphic>
          </wp:anchor>
        </w:drawing>
        <w:t>UNITED STATES</w:t>
      </w:r>
    </w:p>
    <w:p>
      <w:pPr>
        <w:spacing w:after="0" w:line="1"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ind w:left="3760" w:right="2620" w:hanging="3088"/>
        <w:spacing w:after="0" w:line="319" w:lineRule="auto"/>
        <w:tabs>
          <w:tab w:leader="none" w:pos="1203"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QUARTERLY REPORT PURSUANT TO SECTION 13 OR 15(d) OF THE SECURITIES EXCHANGE ACT OF 1934 For the quarterly period ended December 31, 2024</w:t>
      </w:r>
    </w:p>
    <w:p>
      <w:pPr>
        <w:spacing w:after="0" w:line="5"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or</w:t>
      </w:r>
    </w:p>
    <w:p>
      <w:pPr>
        <w:spacing w:after="0" w:line="77"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60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Calibri" w:cs="Calibri" w:eastAsia="Calibri" w:hAnsi="Calibri"/>
                <w:sz w:val="18"/>
                <w:szCs w:val="18"/>
                <w:b w:val="1"/>
                <w:bCs w:val="1"/>
                <w:color w:val="auto"/>
              </w:rPr>
              <w:t>For the transiton period from</w:t>
            </w:r>
          </w:p>
        </w:tc>
        <w:tc>
          <w:tcPr>
            <w:tcW w:w="80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Calibri" w:cs="Calibri" w:eastAsia="Calibri" w:hAnsi="Calibri"/>
                <w:sz w:val="18"/>
                <w:szCs w:val="18"/>
                <w:b w:val="1"/>
                <w:bCs w:val="1"/>
                <w:color w:val="auto"/>
                <w:w w:val="87"/>
              </w:rPr>
              <w:t>to</w:t>
            </w:r>
          </w:p>
        </w:tc>
      </w:tr>
      <w:tr>
        <w:trPr>
          <w:trHeight w:val="308"/>
        </w:trPr>
        <w:tc>
          <w:tcPr>
            <w:tcW w:w="3220" w:type="dxa"/>
            <w:vAlign w:val="bottom"/>
            <w:gridSpan w:val="3"/>
          </w:tcPr>
          <w:p>
            <w:pPr>
              <w:ind w:left="860"/>
              <w:spacing w:after="0"/>
              <w:rPr>
                <w:sz w:val="20"/>
                <w:szCs w:val="20"/>
                <w:color w:val="auto"/>
              </w:rPr>
            </w:pPr>
            <w:r>
              <w:rPr>
                <w:rFonts w:ascii="Calibri" w:cs="Calibri" w:eastAsia="Calibri" w:hAnsi="Calibri"/>
                <w:sz w:val="18"/>
                <w:szCs w:val="18"/>
                <w:b w:val="1"/>
                <w:bCs w:val="1"/>
                <w:color w:val="auto"/>
              </w:rPr>
              <w:t>Commission fle number 1-5667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tbl>
      <w:tblPr>
        <w:tblLayout w:type="fixed"/>
        <w:tblInd w:w="1660" w:type="dxa"/>
        <w:tblCellMar>
          <w:top w:w="0" w:type="dxa"/>
          <w:left w:w="0" w:type="dxa"/>
          <w:bottom w:w="0" w:type="dxa"/>
          <w:right w:w="0" w:type="dxa"/>
        </w:tblCellMar>
      </w:tblPr>
      <w:tr>
        <w:trPr>
          <w:trHeight w:val="525"/>
        </w:trPr>
        <w:tc>
          <w:tcPr>
            <w:tcW w:w="6040" w:type="dxa"/>
            <w:vAlign w:val="bottom"/>
            <w:gridSpan w:val="3"/>
          </w:tcPr>
          <w:p>
            <w:pPr>
              <w:jc w:val="center"/>
              <w:ind w:left="1781"/>
              <w:spacing w:after="0"/>
              <w:rPr>
                <w:sz w:val="20"/>
                <w:szCs w:val="20"/>
                <w:color w:val="auto"/>
              </w:rPr>
            </w:pPr>
            <w:r>
              <w:rPr>
                <w:rFonts w:ascii="Calibri" w:cs="Calibri" w:eastAsia="Calibri" w:hAnsi="Calibri"/>
                <w:sz w:val="43"/>
                <w:szCs w:val="43"/>
                <w:b w:val="1"/>
                <w:bCs w:val="1"/>
                <w:color w:val="auto"/>
              </w:rPr>
              <w:t>Cabot Corporaton</w:t>
            </w:r>
          </w:p>
        </w:tc>
        <w:tc>
          <w:tcPr>
            <w:tcW w:w="1280" w:type="dxa"/>
            <w:vAlign w:val="bottom"/>
          </w:tcPr>
          <w:p>
            <w:pPr>
              <w:spacing w:after="0"/>
              <w:rPr>
                <w:sz w:val="24"/>
                <w:szCs w:val="24"/>
                <w:color w:val="auto"/>
              </w:rPr>
            </w:pPr>
          </w:p>
        </w:tc>
      </w:tr>
      <w:tr>
        <w:trPr>
          <w:trHeight w:val="247"/>
        </w:trPr>
        <w:tc>
          <w:tcPr>
            <w:tcW w:w="6040" w:type="dxa"/>
            <w:vAlign w:val="bottom"/>
            <w:gridSpan w:val="3"/>
          </w:tcPr>
          <w:p>
            <w:pPr>
              <w:jc w:val="center"/>
              <w:ind w:left="1801"/>
              <w:spacing w:after="0"/>
              <w:rPr>
                <w:sz w:val="20"/>
                <w:szCs w:val="20"/>
                <w:color w:val="auto"/>
              </w:rPr>
            </w:pPr>
            <w:r>
              <w:rPr>
                <w:rFonts w:ascii="Calibri" w:cs="Calibri" w:eastAsia="Calibri" w:hAnsi="Calibri"/>
                <w:sz w:val="18"/>
                <w:szCs w:val="18"/>
                <w:b w:val="1"/>
                <w:bCs w:val="1"/>
                <w:color w:val="auto"/>
                <w:w w:val="98"/>
              </w:rPr>
              <w:t>(Exact name of registrant as specifed in its charter)</w:t>
            </w:r>
          </w:p>
        </w:tc>
        <w:tc>
          <w:tcPr>
            <w:tcW w:w="1280" w:type="dxa"/>
            <w:vAlign w:val="bottom"/>
          </w:tcPr>
          <w:p>
            <w:pPr>
              <w:spacing w:after="0"/>
              <w:rPr>
                <w:sz w:val="21"/>
                <w:szCs w:val="21"/>
                <w:color w:val="auto"/>
              </w:rPr>
            </w:pPr>
          </w:p>
        </w:tc>
      </w:tr>
      <w:tr>
        <w:trPr>
          <w:trHeight w:val="145"/>
        </w:trPr>
        <w:tc>
          <w:tcPr>
            <w:tcW w:w="28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402"/>
        </w:trPr>
        <w:tc>
          <w:tcPr>
            <w:tcW w:w="6040" w:type="dxa"/>
            <w:vAlign w:val="bottom"/>
            <w:gridSpan w:val="3"/>
          </w:tcPr>
          <w:p>
            <w:pPr>
              <w:jc w:val="center"/>
              <w:ind w:right="3740"/>
              <w:spacing w:after="0"/>
              <w:rPr>
                <w:sz w:val="20"/>
                <w:szCs w:val="20"/>
                <w:color w:val="auto"/>
              </w:rPr>
            </w:pPr>
            <w:r>
              <w:rPr>
                <w:rFonts w:ascii="Calibri" w:cs="Calibri" w:eastAsia="Calibri" w:hAnsi="Calibri"/>
                <w:sz w:val="18"/>
                <w:szCs w:val="18"/>
                <w:b w:val="1"/>
                <w:bCs w:val="1"/>
                <w:color w:val="auto"/>
                <w:w w:val="97"/>
              </w:rPr>
              <w:t>Delaware</w:t>
            </w:r>
          </w:p>
        </w:tc>
        <w:tc>
          <w:tcPr>
            <w:tcW w:w="1280" w:type="dxa"/>
            <w:vAlign w:val="bottom"/>
          </w:tcPr>
          <w:p>
            <w:pPr>
              <w:jc w:val="center"/>
              <w:ind w:left="101"/>
              <w:spacing w:after="0"/>
              <w:rPr>
                <w:sz w:val="20"/>
                <w:szCs w:val="20"/>
                <w:color w:val="auto"/>
              </w:rPr>
            </w:pPr>
            <w:r>
              <w:rPr>
                <w:rFonts w:ascii="Calibri" w:cs="Calibri" w:eastAsia="Calibri" w:hAnsi="Calibri"/>
                <w:sz w:val="18"/>
                <w:szCs w:val="18"/>
                <w:b w:val="1"/>
                <w:bCs w:val="1"/>
                <w:color w:val="auto"/>
                <w:w w:val="98"/>
              </w:rPr>
              <w:t>04-2271897</w:t>
            </w:r>
          </w:p>
        </w:tc>
      </w:tr>
      <w:tr>
        <w:trPr>
          <w:trHeight w:val="179"/>
        </w:trPr>
        <w:tc>
          <w:tcPr>
            <w:tcW w:w="6040" w:type="dxa"/>
            <w:vAlign w:val="bottom"/>
            <w:gridSpan w:val="3"/>
          </w:tcPr>
          <w:p>
            <w:pPr>
              <w:jc w:val="center"/>
              <w:ind w:right="3740"/>
              <w:spacing w:after="0"/>
              <w:rPr>
                <w:sz w:val="20"/>
                <w:szCs w:val="20"/>
                <w:color w:val="auto"/>
              </w:rPr>
            </w:pPr>
            <w:r>
              <w:rPr>
                <w:rFonts w:ascii="Calibri" w:cs="Calibri" w:eastAsia="Calibri" w:hAnsi="Calibri"/>
                <w:sz w:val="14"/>
                <w:szCs w:val="14"/>
                <w:b w:val="1"/>
                <w:bCs w:val="1"/>
                <w:color w:val="auto"/>
              </w:rPr>
              <w:t>(State or other jurisdicton of</w:t>
            </w:r>
          </w:p>
        </w:tc>
        <w:tc>
          <w:tcPr>
            <w:tcW w:w="1280" w:type="dxa"/>
            <w:vAlign w:val="bottom"/>
          </w:tcPr>
          <w:p>
            <w:pPr>
              <w:jc w:val="center"/>
              <w:ind w:left="101"/>
              <w:spacing w:after="0"/>
              <w:rPr>
                <w:sz w:val="20"/>
                <w:szCs w:val="20"/>
                <w:color w:val="auto"/>
              </w:rPr>
            </w:pPr>
            <w:r>
              <w:rPr>
                <w:rFonts w:ascii="Calibri" w:cs="Calibri" w:eastAsia="Calibri" w:hAnsi="Calibri"/>
                <w:sz w:val="14"/>
                <w:szCs w:val="14"/>
                <w:b w:val="1"/>
                <w:bCs w:val="1"/>
                <w:color w:val="auto"/>
              </w:rPr>
              <w:t>(I.R.S. Employer</w:t>
            </w:r>
          </w:p>
        </w:tc>
      </w:tr>
      <w:tr>
        <w:trPr>
          <w:trHeight w:val="175"/>
        </w:trPr>
        <w:tc>
          <w:tcPr>
            <w:tcW w:w="6040" w:type="dxa"/>
            <w:vAlign w:val="bottom"/>
            <w:gridSpan w:val="3"/>
          </w:tcPr>
          <w:p>
            <w:pPr>
              <w:jc w:val="center"/>
              <w:ind w:right="3720"/>
              <w:spacing w:after="0"/>
              <w:rPr>
                <w:sz w:val="20"/>
                <w:szCs w:val="20"/>
                <w:color w:val="auto"/>
              </w:rPr>
            </w:pPr>
            <w:r>
              <w:rPr>
                <w:rFonts w:ascii="Calibri" w:cs="Calibri" w:eastAsia="Calibri" w:hAnsi="Calibri"/>
                <w:sz w:val="14"/>
                <w:szCs w:val="14"/>
                <w:b w:val="1"/>
                <w:bCs w:val="1"/>
                <w:color w:val="auto"/>
              </w:rPr>
              <w:t>incorporaton or organizaton)</w:t>
            </w:r>
          </w:p>
        </w:tc>
        <w:tc>
          <w:tcPr>
            <w:tcW w:w="1280" w:type="dxa"/>
            <w:vAlign w:val="bottom"/>
          </w:tcPr>
          <w:p>
            <w:pPr>
              <w:jc w:val="center"/>
              <w:ind w:left="101"/>
              <w:spacing w:after="0"/>
              <w:rPr>
                <w:sz w:val="20"/>
                <w:szCs w:val="20"/>
                <w:color w:val="auto"/>
              </w:rPr>
            </w:pPr>
            <w:r>
              <w:rPr>
                <w:rFonts w:ascii="Calibri" w:cs="Calibri" w:eastAsia="Calibri" w:hAnsi="Calibri"/>
                <w:sz w:val="14"/>
                <w:szCs w:val="14"/>
                <w:b w:val="1"/>
                <w:bCs w:val="1"/>
                <w:color w:val="auto"/>
              </w:rPr>
              <w:t>Identfcaton No.)</w:t>
            </w:r>
          </w:p>
        </w:tc>
      </w:tr>
      <w:tr>
        <w:trPr>
          <w:trHeight w:val="320"/>
        </w:trPr>
        <w:tc>
          <w:tcPr>
            <w:tcW w:w="6040" w:type="dxa"/>
            <w:vAlign w:val="bottom"/>
            <w:gridSpan w:val="3"/>
          </w:tcPr>
          <w:p>
            <w:pPr>
              <w:jc w:val="center"/>
              <w:ind w:right="3720"/>
              <w:spacing w:after="0"/>
              <w:rPr>
                <w:sz w:val="20"/>
                <w:szCs w:val="20"/>
                <w:color w:val="auto"/>
              </w:rPr>
            </w:pPr>
            <w:r>
              <w:rPr>
                <w:rFonts w:ascii="Calibri" w:cs="Calibri" w:eastAsia="Calibri" w:hAnsi="Calibri"/>
                <w:sz w:val="18"/>
                <w:szCs w:val="18"/>
                <w:b w:val="1"/>
                <w:bCs w:val="1"/>
                <w:color w:val="auto"/>
                <w:w w:val="97"/>
              </w:rPr>
              <w:t>Two Seaport Lane, Suite 1400</w:t>
            </w:r>
          </w:p>
        </w:tc>
        <w:tc>
          <w:tcPr>
            <w:tcW w:w="1280" w:type="dxa"/>
            <w:vAlign w:val="bottom"/>
          </w:tcPr>
          <w:p>
            <w:pPr>
              <w:spacing w:after="0"/>
              <w:rPr>
                <w:sz w:val="24"/>
                <w:szCs w:val="24"/>
                <w:color w:val="auto"/>
              </w:rPr>
            </w:pPr>
          </w:p>
        </w:tc>
      </w:tr>
      <w:tr>
        <w:trPr>
          <w:trHeight w:val="216"/>
        </w:trPr>
        <w:tc>
          <w:tcPr>
            <w:tcW w:w="6040" w:type="dxa"/>
            <w:vAlign w:val="bottom"/>
            <w:gridSpan w:val="3"/>
          </w:tcPr>
          <w:p>
            <w:pPr>
              <w:jc w:val="center"/>
              <w:ind w:right="3720"/>
              <w:spacing w:after="0" w:line="216" w:lineRule="exact"/>
              <w:rPr>
                <w:sz w:val="20"/>
                <w:szCs w:val="20"/>
                <w:color w:val="auto"/>
              </w:rPr>
            </w:pPr>
            <w:r>
              <w:rPr>
                <w:rFonts w:ascii="Calibri" w:cs="Calibri" w:eastAsia="Calibri" w:hAnsi="Calibri"/>
                <w:sz w:val="18"/>
                <w:szCs w:val="18"/>
                <w:b w:val="1"/>
                <w:bCs w:val="1"/>
                <w:color w:val="auto"/>
              </w:rPr>
              <w:t>Boston, Massachusets</w:t>
            </w:r>
          </w:p>
        </w:tc>
        <w:tc>
          <w:tcPr>
            <w:tcW w:w="1280" w:type="dxa"/>
            <w:vAlign w:val="bottom"/>
          </w:tcPr>
          <w:p>
            <w:pPr>
              <w:jc w:val="center"/>
              <w:ind w:left="101"/>
              <w:spacing w:after="0" w:line="216" w:lineRule="exact"/>
              <w:rPr>
                <w:sz w:val="20"/>
                <w:szCs w:val="20"/>
                <w:color w:val="auto"/>
              </w:rPr>
            </w:pPr>
            <w:r>
              <w:rPr>
                <w:rFonts w:ascii="Calibri" w:cs="Calibri" w:eastAsia="Calibri" w:hAnsi="Calibri"/>
                <w:sz w:val="18"/>
                <w:szCs w:val="18"/>
                <w:b w:val="1"/>
                <w:bCs w:val="1"/>
                <w:color w:val="auto"/>
                <w:w w:val="98"/>
              </w:rPr>
              <w:t>02210-2019</w:t>
            </w:r>
          </w:p>
        </w:tc>
      </w:tr>
      <w:tr>
        <w:trPr>
          <w:trHeight w:val="179"/>
        </w:trPr>
        <w:tc>
          <w:tcPr>
            <w:tcW w:w="6040" w:type="dxa"/>
            <w:vAlign w:val="bottom"/>
            <w:gridSpan w:val="3"/>
          </w:tcPr>
          <w:p>
            <w:pPr>
              <w:jc w:val="center"/>
              <w:ind w:right="3740"/>
              <w:spacing w:after="0"/>
              <w:rPr>
                <w:sz w:val="20"/>
                <w:szCs w:val="20"/>
                <w:color w:val="auto"/>
              </w:rPr>
            </w:pPr>
            <w:r>
              <w:rPr>
                <w:rFonts w:ascii="Calibri" w:cs="Calibri" w:eastAsia="Calibri" w:hAnsi="Calibri"/>
                <w:sz w:val="14"/>
                <w:szCs w:val="14"/>
                <w:b w:val="1"/>
                <w:bCs w:val="1"/>
                <w:color w:val="auto"/>
              </w:rPr>
              <w:t>(Address of principal executve ofces)</w:t>
            </w:r>
          </w:p>
        </w:tc>
        <w:tc>
          <w:tcPr>
            <w:tcW w:w="1280" w:type="dxa"/>
            <w:vAlign w:val="bottom"/>
          </w:tcPr>
          <w:p>
            <w:pPr>
              <w:jc w:val="center"/>
              <w:ind w:left="101"/>
              <w:spacing w:after="0"/>
              <w:rPr>
                <w:sz w:val="20"/>
                <w:szCs w:val="20"/>
                <w:color w:val="auto"/>
              </w:rPr>
            </w:pPr>
            <w:r>
              <w:rPr>
                <w:rFonts w:ascii="Calibri" w:cs="Calibri" w:eastAsia="Calibri" w:hAnsi="Calibri"/>
                <w:sz w:val="14"/>
                <w:szCs w:val="14"/>
                <w:b w:val="1"/>
                <w:bCs w:val="1"/>
                <w:color w:val="auto"/>
              </w:rPr>
              <w:t>(Zip Code)</w:t>
            </w:r>
          </w:p>
        </w:tc>
      </w:tr>
    </w:tbl>
    <w:p>
      <w:pPr>
        <w:spacing w:after="0" w:line="74"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83" w:lineRule="exact"/>
        <w:rPr>
          <w:sz w:val="24"/>
          <w:szCs w:val="24"/>
          <w:color w:val="auto"/>
        </w:rPr>
      </w:pPr>
    </w:p>
    <w:tbl>
      <w:tblPr>
        <w:tblLayout w:type="fixed"/>
        <w:tblInd w:w="590" w:type="dxa"/>
        <w:tblCellMar>
          <w:top w:w="0" w:type="dxa"/>
          <w:left w:w="0" w:type="dxa"/>
          <w:bottom w:w="0" w:type="dxa"/>
          <w:right w:w="0" w:type="dxa"/>
        </w:tblCellMar>
      </w:tblPr>
      <w:tr>
        <w:trPr>
          <w:trHeight w:val="219"/>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78"/>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4260" w:type="dxa"/>
            <w:vAlign w:val="bottom"/>
            <w:tcBorders>
              <w:bottom w:val="single" w:sz="8" w:color="auto"/>
              <w:right w:val="single" w:sz="8" w:color="auto"/>
            </w:tcBorders>
          </w:tcPr>
          <w:p>
            <w:pPr>
              <w:spacing w:after="0"/>
              <w:rPr>
                <w:sz w:val="6"/>
                <w:szCs w:val="6"/>
                <w:color w:val="auto"/>
              </w:rPr>
            </w:pPr>
          </w:p>
        </w:tc>
      </w:tr>
      <w:tr>
        <w:trPr>
          <w:trHeight w:val="156"/>
        </w:trPr>
        <w:tc>
          <w:tcPr>
            <w:tcW w:w="3680" w:type="dxa"/>
            <w:vAlign w:val="bottom"/>
            <w:tcBorders>
              <w:left w:val="single" w:sz="8" w:color="auto"/>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6"/>
                <w:szCs w:val="16"/>
                <w:color w:val="auto"/>
              </w:rPr>
              <w:t>Common Stock, $1 par value per share</w:t>
            </w:r>
          </w:p>
        </w:tc>
        <w:tc>
          <w:tcPr>
            <w:tcW w:w="2160" w:type="dxa"/>
            <w:vAlign w:val="bottom"/>
            <w:tcBorders>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6"/>
                <w:szCs w:val="16"/>
                <w:color w:val="auto"/>
              </w:rPr>
              <w:t>CBT</w:t>
            </w:r>
          </w:p>
        </w:tc>
        <w:tc>
          <w:tcPr>
            <w:tcW w:w="4260" w:type="dxa"/>
            <w:vAlign w:val="bottom"/>
            <w:tcBorders>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6"/>
                <w:szCs w:val="16"/>
                <w:color w:val="auto"/>
              </w:rPr>
              <w:t>The New York Stock Exchange</w:t>
            </w:r>
          </w:p>
        </w:tc>
      </w:tr>
    </w:tbl>
    <w:p>
      <w:pPr>
        <w:spacing w:after="0" w:line="54" w:lineRule="exact"/>
        <w:rPr>
          <w:sz w:val="24"/>
          <w:szCs w:val="24"/>
          <w:color w:val="auto"/>
        </w:rPr>
      </w:pPr>
    </w:p>
    <w:p>
      <w:pPr>
        <w:ind w:right="80" w:firstLine="562"/>
        <w:spacing w:after="0" w:line="224" w:lineRule="exact"/>
        <w:rPr>
          <w:sz w:val="20"/>
          <w:szCs w:val="20"/>
          <w:color w:val="auto"/>
        </w:rPr>
      </w:pPr>
      <w:r>
        <w:rPr>
          <w:rFonts w:ascii="Calibri" w:cs="Calibri" w:eastAsia="Calibri" w:hAnsi="Calibri"/>
          <w:sz w:val="17"/>
          <w:szCs w:val="17"/>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jc w:val="both"/>
        <w:ind w:right="20" w:firstLine="562"/>
        <w:spacing w:after="0" w:line="224" w:lineRule="exact"/>
        <w:rPr>
          <w:sz w:val="20"/>
          <w:szCs w:val="20"/>
          <w:color w:val="auto"/>
        </w:rPr>
      </w:pPr>
      <w:r>
        <w:rPr>
          <w:rFonts w:ascii="Calibri" w:cs="Calibri" w:eastAsia="Calibri" w:hAnsi="Calibri"/>
          <w:sz w:val="17"/>
          <w:szCs w:val="17"/>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ind w:firstLine="469"/>
        <w:spacing w:after="0" w:line="234" w:lineRule="auto"/>
        <w:rPr>
          <w:sz w:val="20"/>
          <w:szCs w:val="20"/>
          <w:color w:val="auto"/>
        </w:rPr>
      </w:pPr>
      <w:r>
        <w:rPr>
          <w:rFonts w:ascii="Calibri" w:cs="Calibri" w:eastAsia="Calibri" w:hAnsi="Calibri"/>
          <w:sz w:val="17"/>
          <w:szCs w:val="17"/>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220" w:type="dxa"/>
            <w:vAlign w:val="bottom"/>
          </w:tcPr>
          <w:p>
            <w:pPr>
              <w:spacing w:after="0"/>
              <w:rPr>
                <w:sz w:val="20"/>
                <w:szCs w:val="20"/>
                <w:color w:val="auto"/>
              </w:rPr>
            </w:pPr>
            <w:r>
              <w:rPr>
                <w:rFonts w:ascii="Calibri" w:cs="Calibri" w:eastAsia="Calibri" w:hAnsi="Calibri"/>
                <w:sz w:val="17"/>
                <w:szCs w:val="17"/>
                <w:color w:val="auto"/>
              </w:rPr>
              <w:t>Large 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Accelerated fler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220" w:type="dxa"/>
            <w:vAlign w:val="bottom"/>
          </w:tcPr>
          <w:p>
            <w:pPr>
              <w:spacing w:after="0"/>
              <w:rPr>
                <w:sz w:val="20"/>
                <w:szCs w:val="20"/>
                <w:color w:val="auto"/>
              </w:rPr>
            </w:pPr>
            <w:r>
              <w:rPr>
                <w:rFonts w:ascii="Calibri" w:cs="Calibri" w:eastAsia="Calibri" w:hAnsi="Calibri"/>
                <w:sz w:val="17"/>
                <w:szCs w:val="17"/>
                <w:color w:val="auto"/>
              </w:rPr>
              <w:t>Non-accelerated fler</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820"/>
              <w:spacing w:after="0"/>
              <w:rPr>
                <w:sz w:val="20"/>
                <w:szCs w:val="20"/>
                <w:color w:val="auto"/>
              </w:rPr>
            </w:pPr>
            <w:r>
              <w:rPr>
                <w:rFonts w:ascii="Calibri" w:cs="Calibri" w:eastAsia="Calibri" w:hAnsi="Calibri"/>
                <w:sz w:val="17"/>
                <w:szCs w:val="17"/>
                <w:color w:val="auto"/>
              </w:rPr>
              <w:t>Smaller reportng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220" w:type="dxa"/>
            <w:vAlign w:val="bottom"/>
          </w:tcPr>
          <w:p>
            <w:pPr>
              <w:spacing w:after="0"/>
              <w:rPr>
                <w:sz w:val="20"/>
                <w:szCs w:val="20"/>
                <w:color w:val="auto"/>
              </w:rPr>
            </w:pPr>
            <w:r>
              <w:rPr>
                <w:rFonts w:ascii="Calibri" w:cs="Calibri" w:eastAsia="Calibri" w:hAnsi="Calibri"/>
                <w:sz w:val="17"/>
                <w:szCs w:val="17"/>
                <w:color w:val="auto"/>
              </w:rPr>
              <w:t>Emerging growth company</w:t>
            </w:r>
          </w:p>
        </w:tc>
        <w:tc>
          <w:tcPr>
            <w:tcW w:w="33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6" w:lineRule="exact"/>
        <w:rPr>
          <w:sz w:val="24"/>
          <w:szCs w:val="24"/>
          <w:color w:val="auto"/>
        </w:rPr>
      </w:pPr>
    </w:p>
    <w:p>
      <w:pPr>
        <w:ind w:right="60" w:firstLine="509"/>
        <w:spacing w:after="0" w:line="235"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left="520" w:right="1480"/>
        <w:spacing w:after="0" w:line="267" w:lineRule="exact"/>
        <w:rPr>
          <w:sz w:val="20"/>
          <w:szCs w:val="20"/>
          <w:color w:val="auto"/>
        </w:rPr>
      </w:pPr>
      <w:r>
        <w:rPr>
          <w:rFonts w:ascii="Calibri" w:cs="Calibri" w:eastAsia="Calibri" w:hAnsi="Calibri"/>
          <w:sz w:val="17"/>
          <w:szCs w:val="17"/>
          <w:color w:val="auto"/>
        </w:rPr>
        <w:t xml:space="preserve">Indicate by check mark whether the registrant is a shell company (as defned in Rule 12b-2 of the Exchange Act). Yes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No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The Company had 54,221,492 shares of common stock, $1.00 par value per share, outstanding as of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80" w:type="dxa"/>
            <w:vAlign w:val="bottom"/>
            <w:gridSpan w:val="4"/>
          </w:tcPr>
          <w:p>
            <w:pPr>
              <w:jc w:val="center"/>
              <w:ind w:right="3100"/>
              <w:spacing w:after="0"/>
              <w:rPr>
                <w:sz w:val="20"/>
                <w:szCs w:val="20"/>
                <w:color w:val="auto"/>
              </w:rPr>
            </w:pPr>
            <w:r>
              <w:rPr>
                <w:rFonts w:ascii="Calibri" w:cs="Calibri" w:eastAsia="Calibri" w:hAnsi="Calibri"/>
                <w:sz w:val="18"/>
                <w:szCs w:val="18"/>
                <w:b w:val="1"/>
                <w:bCs w:val="1"/>
                <w:color w:val="auto"/>
                <w:w w:val="98"/>
              </w:rPr>
              <w:t>INDEX</w:t>
            </w:r>
          </w:p>
        </w:tc>
        <w:tc>
          <w:tcPr>
            <w:tcW w:w="1820" w:type="dxa"/>
            <w:vAlign w:val="bottom"/>
          </w:tcPr>
          <w:p>
            <w:pPr>
              <w:spacing w:after="0"/>
              <w:rPr>
                <w:sz w:val="19"/>
                <w:szCs w:val="19"/>
                <w:color w:val="auto"/>
              </w:rPr>
            </w:pPr>
          </w:p>
        </w:tc>
      </w:tr>
      <w:tr>
        <w:trPr>
          <w:trHeight w:val="402"/>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w:t>
            </w:r>
          </w:p>
        </w:tc>
        <w:tc>
          <w:tcPr>
            <w:tcW w:w="8760" w:type="dxa"/>
            <w:vAlign w:val="bottom"/>
            <w:gridSpan w:val="15"/>
          </w:tcPr>
          <w:p>
            <w:pPr>
              <w:spacing w:after="0"/>
              <w:rPr>
                <w:sz w:val="20"/>
                <w:szCs w:val="20"/>
                <w:color w:val="auto"/>
              </w:rPr>
            </w:pPr>
            <w:r>
              <w:rPr>
                <w:rFonts w:ascii="Calibri" w:cs="Calibri" w:eastAsia="Calibri" w:hAnsi="Calibri"/>
                <w:sz w:val="18"/>
                <w:szCs w:val="18"/>
                <w:color w:val="0000FF"/>
              </w:rPr>
              <w:t>Financial Informaton</w:t>
            </w:r>
          </w:p>
        </w:tc>
        <w:tc>
          <w:tcPr>
            <w:tcW w:w="1820" w:type="dxa"/>
            <w:vAlign w:val="bottom"/>
          </w:tcPr>
          <w:p>
            <w:pPr>
              <w:spacing w:after="0"/>
              <w:rPr>
                <w:sz w:val="24"/>
                <w:szCs w:val="24"/>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1.</w:t>
            </w:r>
          </w:p>
        </w:tc>
        <w:tc>
          <w:tcPr>
            <w:tcW w:w="7860" w:type="dxa"/>
            <w:vAlign w:val="bottom"/>
            <w:gridSpan w:val="14"/>
          </w:tcPr>
          <w:p>
            <w:pPr>
              <w:spacing w:after="0"/>
              <w:rPr>
                <w:sz w:val="20"/>
                <w:szCs w:val="20"/>
                <w:color w:val="auto"/>
              </w:rPr>
            </w:pPr>
            <w:r>
              <w:rPr>
                <w:rFonts w:ascii="Calibri" w:cs="Calibri" w:eastAsia="Calibri" w:hAnsi="Calibri"/>
                <w:sz w:val="18"/>
                <w:szCs w:val="18"/>
                <w:color w:val="0000FF"/>
              </w:rPr>
              <w:t>Financial Statements (unaudited)</w:t>
            </w:r>
          </w:p>
        </w:tc>
        <w:tc>
          <w:tcPr>
            <w:tcW w:w="18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Consolidated Statements of Operatons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3</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Consolidated Statements of Comprehensive Income (Loss)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4</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Consolidated Balance Sheets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Consolidated Statements of Cash Flows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7</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Consolidated Statements of Changes in Stockholders’ Equity</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8</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Notes to the Consolidated Financial Statements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60" w:type="dxa"/>
            <w:vAlign w:val="bottom"/>
            <w:gridSpan w:val="14"/>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20" w:type="dxa"/>
            <w:vAlign w:val="bottom"/>
          </w:tcPr>
          <w:p>
            <w:pPr>
              <w:jc w:val="right"/>
              <w:spacing w:after="0"/>
              <w:rPr>
                <w:sz w:val="20"/>
                <w:szCs w:val="20"/>
                <w:color w:val="auto"/>
              </w:rPr>
            </w:pPr>
            <w:r>
              <w:rPr>
                <w:rFonts w:ascii="Calibri" w:cs="Calibri" w:eastAsia="Calibri" w:hAnsi="Calibri"/>
                <w:sz w:val="18"/>
                <w:szCs w:val="18"/>
                <w:color w:val="auto"/>
              </w:rPr>
              <w:t>19</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Calibri" w:cs="Calibri" w:eastAsia="Calibri" w:hAnsi="Calibri"/>
                <w:sz w:val="18"/>
                <w:szCs w:val="18"/>
                <w:color w:val="auto"/>
              </w:rPr>
              <w:t>Item 3.</w:t>
            </w: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Quanttatve and Qualitatve Disclosures About Market Risk</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Calibri" w:cs="Calibri" w:eastAsia="Calibri" w:hAnsi="Calibri"/>
                <w:sz w:val="18"/>
                <w:szCs w:val="18"/>
                <w:color w:val="auto"/>
              </w:rPr>
              <w:t>Item 4.</w:t>
            </w: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Controls and Procedures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31"/>
        </w:trPr>
        <w:tc>
          <w:tcPr>
            <w:tcW w:w="660" w:type="dxa"/>
            <w:vAlign w:val="bottom"/>
          </w:tcPr>
          <w:p>
            <w:pPr>
              <w:ind w:left="20"/>
              <w:spacing w:after="0"/>
              <w:rPr>
                <w:sz w:val="20"/>
                <w:szCs w:val="20"/>
                <w:color w:val="auto"/>
              </w:rPr>
            </w:pPr>
            <w:r>
              <w:rPr>
                <w:rFonts w:ascii="Calibri" w:cs="Calibri" w:eastAsia="Calibri" w:hAnsi="Calibri"/>
                <w:sz w:val="18"/>
                <w:szCs w:val="18"/>
                <w:color w:val="auto"/>
              </w:rPr>
              <w:t>Part II.</w:t>
            </w:r>
          </w:p>
        </w:tc>
        <w:tc>
          <w:tcPr>
            <w:tcW w:w="8760" w:type="dxa"/>
            <w:vAlign w:val="bottom"/>
            <w:gridSpan w:val="15"/>
          </w:tcPr>
          <w:p>
            <w:pPr>
              <w:spacing w:after="0"/>
              <w:rPr>
                <w:sz w:val="20"/>
                <w:szCs w:val="20"/>
                <w:color w:val="auto"/>
              </w:rPr>
            </w:pPr>
            <w:r>
              <w:rPr>
                <w:rFonts w:ascii="Calibri" w:cs="Calibri" w:eastAsia="Calibri" w:hAnsi="Calibri"/>
                <w:sz w:val="18"/>
                <w:szCs w:val="18"/>
                <w:color w:val="0000FF"/>
              </w:rPr>
              <w:t>Other Informaton</w:t>
            </w:r>
          </w:p>
        </w:tc>
        <w:tc>
          <w:tcPr>
            <w:tcW w:w="1820" w:type="dxa"/>
            <w:vAlign w:val="bottom"/>
          </w:tcPr>
          <w:p>
            <w:pPr>
              <w:spacing w:after="0"/>
              <w:rPr>
                <w:sz w:val="24"/>
                <w:szCs w:val="24"/>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alibri" w:cs="Calibri" w:eastAsia="Calibri" w:hAnsi="Calibri"/>
                <w:sz w:val="18"/>
                <w:szCs w:val="18"/>
                <w:color w:val="auto"/>
              </w:rPr>
              <w:t>Item 2.</w:t>
            </w:r>
          </w:p>
        </w:tc>
        <w:tc>
          <w:tcPr>
            <w:tcW w:w="7860" w:type="dxa"/>
            <w:vAlign w:val="bottom"/>
            <w:gridSpan w:val="14"/>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1820" w:type="dxa"/>
            <w:vAlign w:val="bottom"/>
          </w:tcPr>
          <w:p>
            <w:pPr>
              <w:jc w:val="right"/>
              <w:spacing w:after="0"/>
              <w:rPr>
                <w:sz w:val="20"/>
                <w:szCs w:val="20"/>
                <w:color w:val="auto"/>
              </w:rPr>
            </w:pPr>
            <w:r>
              <w:rPr>
                <w:rFonts w:ascii="Calibri" w:cs="Calibri" w:eastAsia="Calibri" w:hAnsi="Calibri"/>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Calibri" w:cs="Calibri" w:eastAsia="Calibri" w:hAnsi="Calibri"/>
                <w:sz w:val="18"/>
                <w:szCs w:val="18"/>
                <w:color w:val="auto"/>
              </w:rPr>
              <w:t>Item 5.</w:t>
            </w: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Other Informaton</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Calibri" w:cs="Calibri" w:eastAsia="Calibri" w:hAnsi="Calibri"/>
                <w:sz w:val="18"/>
                <w:szCs w:val="18"/>
                <w:color w:val="auto"/>
              </w:rPr>
              <w:t>Item 6.</w:t>
            </w:r>
          </w:p>
        </w:tc>
        <w:tc>
          <w:tcPr>
            <w:tcW w:w="7860" w:type="dxa"/>
            <w:vAlign w:val="bottom"/>
            <w:gridSpan w:val="14"/>
          </w:tcPr>
          <w:p>
            <w:pPr>
              <w:spacing w:after="0" w:line="196" w:lineRule="exact"/>
              <w:rPr>
                <w:sz w:val="20"/>
                <w:szCs w:val="20"/>
                <w:color w:val="auto"/>
              </w:rPr>
            </w:pPr>
            <w:r>
              <w:rPr>
                <w:rFonts w:ascii="Calibri" w:cs="Calibri" w:eastAsia="Calibri" w:hAnsi="Calibri"/>
                <w:sz w:val="18"/>
                <w:szCs w:val="18"/>
                <w:color w:val="0000FF"/>
              </w:rPr>
              <w:t>Exhibits</w:t>
            </w:r>
          </w:p>
        </w:tc>
        <w:tc>
          <w:tcPr>
            <w:tcW w:w="1820" w:type="dxa"/>
            <w:vAlign w:val="bottom"/>
          </w:tcPr>
          <w:p>
            <w:pPr>
              <w:jc w:val="right"/>
              <w:spacing w:after="0" w:line="196" w:lineRule="exact"/>
              <w:rPr>
                <w:sz w:val="20"/>
                <w:szCs w:val="20"/>
                <w:color w:val="auto"/>
              </w:rPr>
            </w:pPr>
            <w:r>
              <w:rPr>
                <w:rFonts w:ascii="Calibri" w:cs="Calibri" w:eastAsia="Calibri" w:hAnsi="Calibri"/>
                <w:sz w:val="18"/>
                <w:szCs w:val="18"/>
                <w:color w:val="auto"/>
              </w:rPr>
              <w:t>27</w:t>
            </w:r>
          </w:p>
        </w:tc>
      </w:tr>
      <w:tr>
        <w:trPr>
          <w:trHeight w:val="642"/>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Borders>
              <w:top w:val="single" w:sz="8" w:color="0000FF"/>
            </w:tcBorders>
            <w:gridSpan w:val="3"/>
          </w:tcPr>
          <w:p>
            <w:pPr>
              <w:spacing w:after="0"/>
              <w:rPr>
                <w:sz w:val="24"/>
                <w:szCs w:val="24"/>
                <w:color w:val="auto"/>
              </w:rPr>
            </w:pPr>
          </w:p>
        </w:tc>
        <w:tc>
          <w:tcPr>
            <w:tcW w:w="36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i w:val="1"/>
          <w:iCs w:val="1"/>
          <w:color w:val="auto"/>
        </w:rPr>
        <w:t>Part I. Financial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4"/>
              <w:spacing w:after="0"/>
              <w:rPr>
                <w:sz w:val="20"/>
                <w:szCs w:val="20"/>
                <w:color w:val="auto"/>
              </w:rPr>
            </w:pPr>
            <w:r>
              <w:rPr>
                <w:rFonts w:ascii="Calibri" w:cs="Calibri" w:eastAsia="Calibri" w:hAnsi="Calibri"/>
                <w:sz w:val="14"/>
                <w:szCs w:val="14"/>
                <w:b w:val="1"/>
                <w:bCs w:val="1"/>
                <w:color w:val="auto"/>
              </w:rPr>
              <w:t>Three Months Ended December 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60" w:type="dxa"/>
            <w:vAlign w:val="bottom"/>
          </w:tcPr>
          <w:p>
            <w:pPr>
              <w:spacing w:after="0"/>
              <w:rPr>
                <w:sz w:val="15"/>
                <w:szCs w:val="15"/>
                <w:color w:val="auto"/>
              </w:rPr>
            </w:pPr>
          </w:p>
        </w:tc>
        <w:tc>
          <w:tcPr>
            <w:tcW w:w="940" w:type="dxa"/>
            <w:vAlign w:val="bottom"/>
            <w:tcBorders>
              <w:bottom w:val="single" w:sz="8" w:color="auto"/>
            </w:tcBorders>
          </w:tcPr>
          <w:p>
            <w:pPr>
              <w:jc w:val="right"/>
              <w:ind w:right="18"/>
              <w:spacing w:after="0"/>
              <w:rPr>
                <w:sz w:val="20"/>
                <w:szCs w:val="20"/>
                <w:color w:val="auto"/>
              </w:rPr>
            </w:pPr>
            <w:r>
              <w:rPr>
                <w:rFonts w:ascii="Calibri" w:cs="Calibri" w:eastAsia="Calibri" w:hAnsi="Calibri"/>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bottom w:val="single" w:sz="8" w:color="auto"/>
            </w:tcBorders>
          </w:tcPr>
          <w:p>
            <w:pPr>
              <w:jc w:val="right"/>
              <w:ind w:right="114"/>
              <w:spacing w:after="0"/>
              <w:rPr>
                <w:sz w:val="20"/>
                <w:szCs w:val="20"/>
                <w:color w:val="auto"/>
              </w:rPr>
            </w:pPr>
            <w:r>
              <w:rPr>
                <w:rFonts w:ascii="Calibri" w:cs="Calibri" w:eastAsia="Calibri" w:hAnsi="Calibri"/>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60" w:type="dxa"/>
            <w:vAlign w:val="bottom"/>
          </w:tcPr>
          <w:p>
            <w:pPr>
              <w:spacing w:after="0"/>
              <w:rPr>
                <w:sz w:val="14"/>
                <w:szCs w:val="14"/>
                <w:color w:val="auto"/>
              </w:rPr>
            </w:pPr>
          </w:p>
        </w:tc>
        <w:tc>
          <w:tcPr>
            <w:tcW w:w="2720" w:type="dxa"/>
            <w:vAlign w:val="bottom"/>
            <w:gridSpan w:val="4"/>
          </w:tcPr>
          <w:p>
            <w:pPr>
              <w:jc w:val="right"/>
              <w:spacing w:after="0" w:line="169" w:lineRule="exact"/>
              <w:rPr>
                <w:sz w:val="20"/>
                <w:szCs w:val="20"/>
                <w:color w:val="auto"/>
              </w:rPr>
            </w:pPr>
            <w:r>
              <w:rPr>
                <w:rFonts w:ascii="Calibri" w:cs="Calibri" w:eastAsia="Calibri" w:hAnsi="Calibri"/>
                <w:sz w:val="14"/>
                <w:szCs w:val="14"/>
                <w:b w:val="1"/>
                <w:bCs w:val="1"/>
                <w:color w:val="auto"/>
              </w:rPr>
              <w:t>(In millions, except per share amounts)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Net sales and other operatng revenues</w:t>
            </w:r>
          </w:p>
        </w:tc>
        <w:tc>
          <w:tcPr>
            <w:tcW w:w="940" w:type="dxa"/>
            <w:vAlign w:val="bottom"/>
            <w:shd w:val="clear" w:color="auto" w:fill="CFF0FC"/>
          </w:tcPr>
          <w:p>
            <w:pPr>
              <w:jc w:val="right"/>
              <w:ind w:right="738"/>
              <w:spacing w:after="0" w:line="217" w:lineRule="exact"/>
              <w:rPr>
                <w:sz w:val="20"/>
                <w:szCs w:val="20"/>
                <w:color w:val="auto"/>
              </w:rPr>
            </w:pPr>
            <w:r>
              <w:rPr>
                <w:rFonts w:ascii="Calibri" w:cs="Calibri" w:eastAsia="Calibri" w:hAnsi="Calibri"/>
                <w:sz w:val="18"/>
                <w:szCs w:val="18"/>
                <w:color w:val="auto"/>
              </w:rPr>
              <w:t>$</w:t>
            </w:r>
          </w:p>
        </w:tc>
        <w:tc>
          <w:tcPr>
            <w:tcW w:w="4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955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4"/>
              <w:spacing w:after="0" w:line="217" w:lineRule="exact"/>
              <w:rPr>
                <w:sz w:val="20"/>
                <w:szCs w:val="20"/>
                <w:color w:val="auto"/>
              </w:rPr>
            </w:pPr>
            <w:r>
              <w:rPr>
                <w:rFonts w:ascii="Calibri" w:cs="Calibri" w:eastAsia="Calibri" w:hAnsi="Calibri"/>
                <w:sz w:val="18"/>
                <w:szCs w:val="18"/>
                <w:color w:val="auto"/>
                <w:w w:val="87"/>
              </w:rPr>
              <w:t>$</w:t>
            </w:r>
          </w:p>
        </w:tc>
        <w:tc>
          <w:tcPr>
            <w:tcW w:w="3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720</w:t>
            </w:r>
          </w:p>
        </w:tc>
        <w:tc>
          <w:tcPr>
            <w:tcW w:w="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Gross proft</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235</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9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66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Research and technical expenses</w:t>
            </w:r>
          </w:p>
        </w:tc>
        <w:tc>
          <w:tcPr>
            <w:tcW w:w="9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0"/>
              <w:spacing w:after="0" w:line="209" w:lineRule="exact"/>
              <w:rPr>
                <w:sz w:val="20"/>
                <w:szCs w:val="20"/>
                <w:color w:val="auto"/>
              </w:rPr>
            </w:pPr>
            <w:r>
              <w:rPr>
                <w:rFonts w:ascii="Calibri" w:cs="Calibri" w:eastAsia="Calibri" w:hAnsi="Calibri"/>
                <w:sz w:val="18"/>
                <w:szCs w:val="18"/>
                <w:color w:val="auto"/>
              </w:rPr>
              <w:t>Income (loss) from operatons</w:t>
            </w:r>
          </w:p>
        </w:tc>
        <w:tc>
          <w:tcPr>
            <w:tcW w:w="94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155</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09" w:lineRule="exact"/>
              <w:rPr>
                <w:sz w:val="20"/>
                <w:szCs w:val="20"/>
                <w:color w:val="auto"/>
              </w:rPr>
            </w:pPr>
            <w:r>
              <w:rPr>
                <w:rFonts w:ascii="Calibri" w:cs="Calibri" w:eastAsia="Calibri" w:hAnsi="Calibri"/>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and dividend income</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940" w:type="dxa"/>
            <w:vAlign w:val="bottom"/>
          </w:tcPr>
          <w:p>
            <w:pPr>
              <w:spacing w:after="0"/>
              <w:rPr>
                <w:sz w:val="18"/>
                <w:szCs w:val="18"/>
                <w:color w:val="auto"/>
              </w:rPr>
            </w:pPr>
          </w:p>
        </w:tc>
        <w:tc>
          <w:tcPr>
            <w:tcW w:w="7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(18 )</w:t>
            </w:r>
          </w:p>
        </w:tc>
        <w:tc>
          <w:tcPr>
            <w:tcW w:w="1020" w:type="dxa"/>
            <w:vAlign w:val="bottom"/>
          </w:tcPr>
          <w:p>
            <w:pPr>
              <w:spacing w:after="0"/>
              <w:rPr>
                <w:sz w:val="18"/>
                <w:szCs w:val="18"/>
                <w:color w:val="auto"/>
              </w:rPr>
            </w:pPr>
          </w:p>
        </w:tc>
        <w:tc>
          <w:tcPr>
            <w:tcW w:w="4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(22 )</w:t>
            </w:r>
          </w:p>
        </w:tc>
        <w:tc>
          <w:tcPr>
            <w:tcW w:w="0" w:type="dxa"/>
            <w:vAlign w:val="bottom"/>
          </w:tcPr>
          <w:p>
            <w:pPr>
              <w:spacing w:after="0"/>
              <w:rPr>
                <w:sz w:val="1"/>
                <w:szCs w:val="1"/>
                <w:color w:val="auto"/>
              </w:rPr>
            </w:pPr>
          </w:p>
        </w:tc>
      </w:tr>
      <w:tr>
        <w:trPr>
          <w:trHeight w:val="216"/>
        </w:trPr>
        <w:tc>
          <w:tcPr>
            <w:tcW w:w="80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income (expense)</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(29 )</w:t>
            </w:r>
          </w:p>
        </w:tc>
        <w:tc>
          <w:tcPr>
            <w:tcW w:w="0" w:type="dxa"/>
            <w:vAlign w:val="bottom"/>
          </w:tcPr>
          <w:p>
            <w:pPr>
              <w:spacing w:after="0"/>
              <w:rPr>
                <w:sz w:val="1"/>
                <w:szCs w:val="1"/>
                <w:color w:val="auto"/>
              </w:rPr>
            </w:pPr>
          </w:p>
        </w:tc>
      </w:tr>
      <w:tr>
        <w:trPr>
          <w:trHeight w:val="188"/>
        </w:trPr>
        <w:tc>
          <w:tcPr>
            <w:tcW w:w="8060" w:type="dxa"/>
            <w:vAlign w:val="bottom"/>
            <w:tcBorders>
              <w:top w:val="single" w:sz="8" w:color="CFF0FC"/>
            </w:tcBorders>
          </w:tcPr>
          <w:p>
            <w:pPr>
              <w:ind w:left="200"/>
              <w:spacing w:after="0" w:line="187" w:lineRule="exact"/>
              <w:rPr>
                <w:sz w:val="20"/>
                <w:szCs w:val="20"/>
                <w:color w:val="auto"/>
              </w:rPr>
            </w:pPr>
            <w:r>
              <w:rPr>
                <w:rFonts w:ascii="Calibri" w:cs="Calibri" w:eastAsia="Calibri" w:hAnsi="Calibri"/>
                <w:sz w:val="18"/>
                <w:szCs w:val="18"/>
                <w:color w:val="auto"/>
              </w:rPr>
              <w:t>Income (loss) from operatons before income taxes</w:t>
            </w:r>
          </w:p>
        </w:tc>
        <w:tc>
          <w:tcPr>
            <w:tcW w:w="9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320"/>
              <w:spacing w:after="0" w:line="215" w:lineRule="exact"/>
              <w:rPr>
                <w:sz w:val="20"/>
                <w:szCs w:val="20"/>
                <w:color w:val="auto"/>
              </w:rPr>
            </w:pPr>
            <w:r>
              <w:rPr>
                <w:rFonts w:ascii="Calibri" w:cs="Calibri" w:eastAsia="Calibri" w:hAnsi="Calibri"/>
                <w:sz w:val="18"/>
                <w:szCs w:val="18"/>
                <w:color w:val="auto"/>
              </w:rPr>
              <w:t>and equity in earnings of afliated companies</w:t>
            </w:r>
          </w:p>
        </w:tc>
        <w:tc>
          <w:tcPr>
            <w:tcW w:w="9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144</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(41 )</w:t>
            </w:r>
          </w:p>
        </w:tc>
        <w:tc>
          <w:tcPr>
            <w:tcW w:w="10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(34 )</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FF0FC"/>
            </w:tcBorders>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3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FF0FC"/>
          </w:tcPr>
          <w:p>
            <w:pPr>
              <w:ind w:left="200"/>
              <w:spacing w:after="0" w:line="196" w:lineRule="exact"/>
              <w:rPr>
                <w:sz w:val="20"/>
                <w:szCs w:val="20"/>
                <w:color w:val="auto"/>
              </w:rPr>
            </w:pPr>
            <w:r>
              <w:rPr>
                <w:rFonts w:ascii="Calibri" w:cs="Calibri" w:eastAsia="Calibri" w:hAnsi="Calibri"/>
                <w:sz w:val="18"/>
                <w:szCs w:val="18"/>
                <w:color w:val="auto"/>
              </w:rPr>
              <w:t>Net income (loss)</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104</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60" w:type="dxa"/>
            <w:vAlign w:val="bottom"/>
          </w:tcPr>
          <w:p>
            <w:pPr>
              <w:ind w:left="20"/>
              <w:spacing w:after="0" w:line="194" w:lineRule="exact"/>
              <w:rPr>
                <w:sz w:val="20"/>
                <w:szCs w:val="20"/>
                <w:color w:val="auto"/>
              </w:rPr>
            </w:pPr>
            <w:r>
              <w:rPr>
                <w:rFonts w:ascii="Calibri" w:cs="Calibri" w:eastAsia="Calibri" w:hAnsi="Calibri"/>
                <w:sz w:val="18"/>
                <w:szCs w:val="18"/>
                <w:color w:val="auto"/>
              </w:rPr>
              <w:t>Net income (loss) atributable to noncontrolling interests, net</w:t>
            </w:r>
          </w:p>
        </w:tc>
        <w:tc>
          <w:tcPr>
            <w:tcW w:w="94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Calibri" w:cs="Calibri" w:eastAsia="Calibri" w:hAnsi="Calibri"/>
                <w:sz w:val="18"/>
                <w:szCs w:val="18"/>
                <w:color w:val="auto"/>
              </w:rPr>
              <w:t>11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140"/>
              <w:spacing w:after="0" w:line="215" w:lineRule="exact"/>
              <w:rPr>
                <w:sz w:val="20"/>
                <w:szCs w:val="20"/>
                <w:color w:val="auto"/>
              </w:rPr>
            </w:pPr>
            <w:r>
              <w:rPr>
                <w:rFonts w:ascii="Calibri" w:cs="Calibri" w:eastAsia="Calibri" w:hAnsi="Calibri"/>
                <w:sz w:val="18"/>
                <w:szCs w:val="18"/>
                <w:color w:val="auto"/>
              </w:rPr>
              <w:t>of tax</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06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18"/>
                <w:szCs w:val="18"/>
                <w:color w:val="auto"/>
              </w:rPr>
              <w:t>Net income (loss) atributable to Cabot Corporaton</w:t>
            </w:r>
          </w:p>
        </w:tc>
        <w:tc>
          <w:tcPr>
            <w:tcW w:w="940" w:type="dxa"/>
            <w:vAlign w:val="bottom"/>
            <w:tcBorders>
              <w:bottom w:val="single" w:sz="8" w:color="auto"/>
            </w:tcBorders>
            <w:shd w:val="clear" w:color="auto" w:fill="CFF0FC"/>
          </w:tcPr>
          <w:p>
            <w:pPr>
              <w:jc w:val="right"/>
              <w:ind w:right="738"/>
              <w:spacing w:after="0" w:line="214"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93</w:t>
            </w:r>
          </w:p>
        </w:tc>
        <w:tc>
          <w:tcPr>
            <w:tcW w:w="3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34"/>
              <w:spacing w:after="0" w:line="214"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50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54.3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w w:val="93"/>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Diluted</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55.0</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3"/>
              </w:rPr>
              <w:t>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40" w:type="dxa"/>
            <w:vAlign w:val="bottom"/>
          </w:tcPr>
          <w:p>
            <w:pPr>
              <w:jc w:val="right"/>
              <w:ind w:right="73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1.69</w:t>
            </w:r>
          </w:p>
        </w:tc>
        <w:tc>
          <w:tcPr>
            <w:tcW w:w="320" w:type="dxa"/>
            <w:vAlign w:val="bottom"/>
          </w:tcPr>
          <w:p>
            <w:pPr>
              <w:spacing w:after="0"/>
              <w:rPr>
                <w:sz w:val="18"/>
                <w:szCs w:val="18"/>
                <w:color w:val="auto"/>
              </w:rPr>
            </w:pPr>
          </w:p>
        </w:tc>
        <w:tc>
          <w:tcPr>
            <w:tcW w:w="1020" w:type="dxa"/>
            <w:vAlign w:val="bottom"/>
          </w:tcPr>
          <w:p>
            <w:pPr>
              <w:jc w:val="right"/>
              <w:ind w:right="834"/>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w w:val="93"/>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Diluted</w:t>
            </w:r>
          </w:p>
        </w:tc>
        <w:tc>
          <w:tcPr>
            <w:tcW w:w="940" w:type="dxa"/>
            <w:vAlign w:val="bottom"/>
            <w:shd w:val="clear" w:color="auto" w:fill="CFF0FC"/>
          </w:tcPr>
          <w:p>
            <w:pPr>
              <w:jc w:val="right"/>
              <w:ind w:right="738"/>
              <w:spacing w:after="0" w:line="216" w:lineRule="exact"/>
              <w:rPr>
                <w:sz w:val="20"/>
                <w:szCs w:val="20"/>
                <w:color w:val="auto"/>
              </w:rPr>
            </w:pPr>
            <w:r>
              <w:rPr>
                <w:rFonts w:ascii="Calibri" w:cs="Calibri" w:eastAsia="Calibri" w:hAnsi="Calibri"/>
                <w:sz w:val="18"/>
                <w:szCs w:val="18"/>
                <w:color w:val="auto"/>
              </w:rPr>
              <w:t>$</w:t>
            </w:r>
          </w:p>
        </w:tc>
        <w:tc>
          <w:tcPr>
            <w:tcW w:w="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1.67</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4"/>
              <w:spacing w:after="0" w:line="216" w:lineRule="exact"/>
              <w:rPr>
                <w:sz w:val="20"/>
                <w:szCs w:val="20"/>
                <w:color w:val="auto"/>
              </w:rPr>
            </w:pPr>
            <w:r>
              <w:rPr>
                <w:rFonts w:ascii="Calibri" w:cs="Calibri" w:eastAsia="Calibri" w:hAnsi="Calibri"/>
                <w:sz w:val="18"/>
                <w:szCs w:val="18"/>
                <w:color w:val="auto"/>
                <w:w w:val="87"/>
              </w:rPr>
              <w:t>$</w:t>
            </w:r>
          </w:p>
        </w:tc>
        <w:tc>
          <w:tcPr>
            <w:tcW w:w="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3"/>
              </w:rPr>
              <w:t>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-2794000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-2237105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-2237105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-1679575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-1122680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-1105535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 (LOSS)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4"/>
                <w:szCs w:val="14"/>
                <w:b w:val="1"/>
                <w:bCs w:val="1"/>
                <w:color w:val="auto"/>
              </w:rPr>
              <w:t>Three Months Ended 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160" w:type="dxa"/>
            <w:vAlign w:val="bottom"/>
          </w:tcPr>
          <w:p>
            <w:pPr>
              <w:spacing w:after="0"/>
              <w:rPr>
                <w:sz w:val="15"/>
                <w:szCs w:val="15"/>
                <w:color w:val="auto"/>
              </w:rPr>
            </w:pPr>
          </w:p>
        </w:tc>
        <w:tc>
          <w:tcPr>
            <w:tcW w:w="900" w:type="dxa"/>
            <w:vAlign w:val="bottom"/>
            <w:tcBorders>
              <w:bottom w:val="single" w:sz="8" w:color="auto"/>
            </w:tcBorders>
          </w:tcPr>
          <w:p>
            <w:pPr>
              <w:jc w:val="right"/>
              <w:ind w:right="19"/>
              <w:spacing w:after="0"/>
              <w:rPr>
                <w:sz w:val="20"/>
                <w:szCs w:val="20"/>
                <w:color w:val="auto"/>
              </w:rPr>
            </w:pPr>
            <w:r>
              <w:rPr>
                <w:rFonts w:ascii="Calibri" w:cs="Calibri" w:eastAsia="Calibri" w:hAnsi="Calibri"/>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bottom w:val="single" w:sz="8" w:color="auto"/>
            </w:tcBorders>
          </w:tcPr>
          <w:p>
            <w:pPr>
              <w:jc w:val="right"/>
              <w:ind w:right="56"/>
              <w:spacing w:after="0"/>
              <w:rPr>
                <w:sz w:val="20"/>
                <w:szCs w:val="20"/>
                <w:color w:val="auto"/>
              </w:rPr>
            </w:pPr>
            <w:r>
              <w:rPr>
                <w:rFonts w:ascii="Calibri" w:cs="Calibri" w:eastAsia="Calibri" w:hAnsi="Calibri"/>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1280" w:type="dxa"/>
            <w:vAlign w:val="bottom"/>
            <w:gridSpan w:val="2"/>
          </w:tcPr>
          <w:p>
            <w:pPr>
              <w:jc w:val="right"/>
              <w:ind w:right="676"/>
              <w:spacing w:after="0" w:line="169" w:lineRule="exact"/>
              <w:rPr>
                <w:sz w:val="20"/>
                <w:szCs w:val="20"/>
                <w:color w:val="auto"/>
              </w:rPr>
            </w:pPr>
            <w:r>
              <w:rPr>
                <w:rFonts w:ascii="Calibri" w:cs="Calibri" w:eastAsia="Calibri" w:hAnsi="Calibri"/>
                <w:sz w:val="14"/>
                <w:szCs w:val="14"/>
                <w:b w:val="1"/>
                <w:bCs w:val="1"/>
                <w:color w:val="auto"/>
                <w:w w:val="99"/>
              </w:rPr>
              <w:t>millions)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Net income (loss)</w:t>
            </w:r>
          </w:p>
        </w:tc>
        <w:tc>
          <w:tcPr>
            <w:tcW w:w="900" w:type="dxa"/>
            <w:vAlign w:val="bottom"/>
            <w:shd w:val="clear" w:color="auto" w:fill="CFF0FC"/>
          </w:tcPr>
          <w:p>
            <w:pPr>
              <w:jc w:val="right"/>
              <w:ind w:right="719"/>
              <w:spacing w:after="0" w:line="217" w:lineRule="exact"/>
              <w:rPr>
                <w:sz w:val="20"/>
                <w:szCs w:val="20"/>
                <w:color w:val="auto"/>
              </w:rPr>
            </w:pPr>
            <w:r>
              <w:rPr>
                <w:rFonts w:ascii="Calibri" w:cs="Calibri" w:eastAsia="Calibri" w:hAnsi="Calibri"/>
                <w:sz w:val="18"/>
                <w:szCs w:val="18"/>
                <w:color w:val="auto"/>
                <w:w w:val="87"/>
              </w:rPr>
              <w:t>$</w:t>
            </w:r>
          </w:p>
        </w:tc>
        <w:tc>
          <w:tcPr>
            <w:tcW w:w="4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104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56"/>
              <w:spacing w:after="0" w:line="217" w:lineRule="exact"/>
              <w:rPr>
                <w:sz w:val="20"/>
                <w:szCs w:val="20"/>
                <w:color w:val="auto"/>
              </w:rPr>
            </w:pPr>
            <w:r>
              <w:rPr>
                <w:rFonts w:ascii="Calibri" w:cs="Calibri" w:eastAsia="Calibri" w:hAnsi="Calibri"/>
                <w:sz w:val="18"/>
                <w:szCs w:val="18"/>
                <w:color w:val="auto"/>
              </w:rPr>
              <w:t>$</w:t>
            </w:r>
          </w:p>
        </w:tc>
        <w:tc>
          <w:tcPr>
            <w:tcW w:w="3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Foreign currency translaton adjustment, net of tax</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59"/>
              <w:spacing w:after="0" w:line="216" w:lineRule="exact"/>
              <w:rPr>
                <w:sz w:val="20"/>
                <w:szCs w:val="20"/>
                <w:color w:val="auto"/>
              </w:rPr>
            </w:pPr>
            <w:r>
              <w:rPr>
                <w:rFonts w:ascii="Calibri" w:cs="Calibri" w:eastAsia="Calibri" w:hAnsi="Calibri"/>
                <w:sz w:val="18"/>
                <w:szCs w:val="18"/>
                <w:color w:val="auto"/>
              </w:rPr>
              <w:t>(104 )</w:t>
            </w: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6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(Gains) losses reclassifed to interest expense, net of tax</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59"/>
              <w:spacing w:after="0" w:line="216" w:lineRule="exact"/>
              <w:rPr>
                <w:sz w:val="20"/>
                <w:szCs w:val="20"/>
                <w:color w:val="auto"/>
              </w:rPr>
            </w:pPr>
            <w:r>
              <w:rPr>
                <w:rFonts w:ascii="Calibri" w:cs="Calibri" w:eastAsia="Calibri" w:hAnsi="Calibri"/>
                <w:sz w:val="18"/>
                <w:szCs w:val="18"/>
                <w:color w:val="auto"/>
              </w:rPr>
              <w:t>(1 )</w:t>
            </w:r>
          </w:p>
        </w:tc>
        <w:tc>
          <w:tcPr>
            <w:tcW w:w="9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8160" w:type="dxa"/>
            <w:vAlign w:val="bottom"/>
          </w:tcPr>
          <w:p>
            <w:pPr>
              <w:ind w:left="380"/>
              <w:spacing w:after="0" w:line="215" w:lineRule="exact"/>
              <w:rPr>
                <w:sz w:val="20"/>
                <w:szCs w:val="20"/>
                <w:color w:val="auto"/>
              </w:rPr>
            </w:pPr>
            <w:r>
              <w:rPr>
                <w:rFonts w:ascii="Calibri" w:cs="Calibri" w:eastAsia="Calibri" w:hAnsi="Calibri"/>
                <w:sz w:val="18"/>
                <w:szCs w:val="18"/>
                <w:color w:val="auto"/>
              </w:rPr>
              <w:t>(Gains) losses excluded from efectveness testng and amortzed to interest expense, net of tax</w:t>
            </w:r>
          </w:p>
        </w:tc>
        <w:tc>
          <w:tcPr>
            <w:tcW w:w="90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9"/>
        </w:trPr>
        <w:tc>
          <w:tcPr>
            <w:tcW w:w="8160" w:type="dxa"/>
            <w:vAlign w:val="bottom"/>
            <w:tcBorders>
              <w:top w:val="single" w:sz="8" w:color="CFF0FC"/>
              <w:bottom w:val="single" w:sz="8" w:color="CFF0FC"/>
            </w:tcBorders>
            <w:shd w:val="clear" w:color="auto" w:fill="CFF0FC"/>
          </w:tcPr>
          <w:p>
            <w:pPr>
              <w:ind w:left="200"/>
              <w:spacing w:after="0" w:line="196" w:lineRule="exact"/>
              <w:rPr>
                <w:sz w:val="20"/>
                <w:szCs w:val="20"/>
                <w:color w:val="auto"/>
              </w:rPr>
            </w:pPr>
            <w:r>
              <w:rPr>
                <w:rFonts w:ascii="Calibri" w:cs="Calibri" w:eastAsia="Calibri" w:hAnsi="Calibri"/>
                <w:sz w:val="18"/>
                <w:szCs w:val="18"/>
                <w:color w:val="auto"/>
              </w:rPr>
              <w:t>Other comprehensive income (loss), net of tax (provision) beneft of $(4), $1</w:t>
            </w: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(104</w:t>
            </w:r>
          </w:p>
        </w:tc>
        <w:tc>
          <w:tcPr>
            <w:tcW w:w="320" w:type="dxa"/>
            <w:vAlign w:val="bottom"/>
            <w:tcBorders>
              <w:top w:val="single" w:sz="8" w:color="CFF0FC"/>
              <w:bottom w:val="single" w:sz="8" w:color="CFF0FC"/>
            </w:tcBorders>
            <w:shd w:val="clear" w:color="auto" w:fill="CFF0FC"/>
          </w:tcPr>
          <w:p>
            <w:pPr>
              <w:jc w:val="right"/>
              <w:ind w:right="159"/>
              <w:spacing w:after="0" w:line="196"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line="209" w:lineRule="exact"/>
              <w:rPr>
                <w:sz w:val="20"/>
                <w:szCs w:val="20"/>
                <w:color w:val="auto"/>
              </w:rPr>
            </w:pPr>
            <w:r>
              <w:rPr>
                <w:rFonts w:ascii="Calibri" w:cs="Calibri" w:eastAsia="Calibri" w:hAnsi="Calibri"/>
                <w:sz w:val="18"/>
                <w:szCs w:val="18"/>
                <w:color w:val="auto"/>
              </w:rPr>
              <w:t>Comprehensive income (loss)</w:t>
            </w:r>
          </w:p>
        </w:tc>
        <w:tc>
          <w:tcPr>
            <w:tcW w:w="900" w:type="dxa"/>
            <w:vAlign w:val="bottom"/>
          </w:tcPr>
          <w:p>
            <w:pPr>
              <w:spacing w:after="0"/>
              <w:rPr>
                <w:sz w:val="18"/>
                <w:szCs w:val="18"/>
                <w:color w:val="auto"/>
              </w:rPr>
            </w:pPr>
          </w:p>
        </w:tc>
        <w:tc>
          <w:tcPr>
            <w:tcW w:w="740" w:type="dxa"/>
            <w:vAlign w:val="bottom"/>
            <w:gridSpan w:val="2"/>
          </w:tcPr>
          <w:p>
            <w:pPr>
              <w:jc w:val="right"/>
              <w:ind w:right="259"/>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Pr>
          <w:p>
            <w:pPr>
              <w:spacing w:after="0"/>
              <w:rPr>
                <w:sz w:val="18"/>
                <w:szCs w:val="18"/>
                <w:color w:val="auto"/>
              </w:rPr>
            </w:pPr>
          </w:p>
        </w:tc>
        <w:tc>
          <w:tcPr>
            <w:tcW w:w="380" w:type="dxa"/>
            <w:vAlign w:val="bottom"/>
          </w:tcPr>
          <w:p>
            <w:pPr>
              <w:jc w:val="right"/>
              <w:spacing w:after="0" w:line="209"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160" w:type="dxa"/>
            <w:vAlign w:val="bottom"/>
            <w:shd w:val="clear" w:color="auto" w:fill="CFF0FC"/>
          </w:tcPr>
          <w:p>
            <w:pPr>
              <w:ind w:left="200"/>
              <w:spacing w:after="0" w:line="187" w:lineRule="exact"/>
              <w:rPr>
                <w:sz w:val="20"/>
                <w:szCs w:val="20"/>
                <w:color w:val="auto"/>
              </w:rPr>
            </w:pPr>
            <w:r>
              <w:rPr>
                <w:rFonts w:ascii="Calibri" w:cs="Calibri" w:eastAsia="Calibri" w:hAnsi="Calibri"/>
                <w:sz w:val="18"/>
                <w:szCs w:val="18"/>
                <w:color w:val="auto"/>
              </w:rPr>
              <w:t>Net income (loss) atributable to noncontrolling interests, net</w:t>
            </w:r>
          </w:p>
        </w:tc>
        <w:tc>
          <w:tcPr>
            <w:tcW w:w="90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6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of tax</w:t>
            </w:r>
          </w:p>
        </w:tc>
        <w:tc>
          <w:tcPr>
            <w:tcW w:w="9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3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200"/>
              <w:spacing w:after="0" w:line="194" w:lineRule="exact"/>
              <w:rPr>
                <w:sz w:val="20"/>
                <w:szCs w:val="20"/>
                <w:color w:val="auto"/>
              </w:rPr>
            </w:pPr>
            <w:r>
              <w:rPr>
                <w:rFonts w:ascii="Calibri" w:cs="Calibri" w:eastAsia="Calibri" w:hAnsi="Calibri"/>
                <w:sz w:val="18"/>
                <w:szCs w:val="18"/>
                <w:color w:val="auto"/>
              </w:rPr>
              <w:t>Foreign currency translaton adjustment atributable to</w:t>
            </w:r>
          </w:p>
        </w:tc>
        <w:tc>
          <w:tcPr>
            <w:tcW w:w="900" w:type="dxa"/>
            <w:vAlign w:val="bottom"/>
          </w:tcPr>
          <w:p>
            <w:pPr>
              <w:spacing w:after="0"/>
              <w:rPr>
                <w:sz w:val="16"/>
                <w:szCs w:val="16"/>
                <w:color w:val="auto"/>
              </w:rPr>
            </w:pPr>
          </w:p>
        </w:tc>
        <w:tc>
          <w:tcPr>
            <w:tcW w:w="740" w:type="dxa"/>
            <w:vAlign w:val="bottom"/>
            <w:gridSpan w:val="2"/>
            <w:vMerge w:val="restart"/>
          </w:tcPr>
          <w:p>
            <w:pPr>
              <w:jc w:val="right"/>
              <w:ind w:right="159"/>
              <w:spacing w:after="0"/>
              <w:rPr>
                <w:sz w:val="20"/>
                <w:szCs w:val="20"/>
                <w:color w:val="auto"/>
              </w:rPr>
            </w:pPr>
            <w:r>
              <w:rPr>
                <w:rFonts w:ascii="Calibri" w:cs="Calibri" w:eastAsia="Calibri" w:hAnsi="Calibri"/>
                <w:sz w:val="18"/>
                <w:szCs w:val="18"/>
                <w:color w:val="auto"/>
              </w:rPr>
              <w:t>(7 )</w:t>
            </w:r>
          </w:p>
        </w:tc>
        <w:tc>
          <w:tcPr>
            <w:tcW w:w="96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3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9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16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4</w:t>
            </w:r>
          </w:p>
        </w:tc>
        <w:tc>
          <w:tcPr>
            <w:tcW w:w="3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line="209" w:lineRule="exact"/>
              <w:rPr>
                <w:sz w:val="20"/>
                <w:szCs w:val="20"/>
                <w:color w:val="auto"/>
              </w:rPr>
            </w:pPr>
            <w:r>
              <w:rPr>
                <w:rFonts w:ascii="Calibri" w:cs="Calibri" w:eastAsia="Calibri" w:hAnsi="Calibri"/>
                <w:sz w:val="18"/>
                <w:szCs w:val="18"/>
                <w:color w:val="auto"/>
              </w:rPr>
              <w:t>Comprehensive income (loss) atributable to Cabot Corporaton</w:t>
            </w:r>
          </w:p>
        </w:tc>
        <w:tc>
          <w:tcPr>
            <w:tcW w:w="900" w:type="dxa"/>
            <w:vAlign w:val="bottom"/>
          </w:tcPr>
          <w:p>
            <w:pPr>
              <w:jc w:val="right"/>
              <w:ind w:right="719"/>
              <w:spacing w:after="0" w:line="209" w:lineRule="exact"/>
              <w:rPr>
                <w:sz w:val="20"/>
                <w:szCs w:val="20"/>
                <w:color w:val="auto"/>
              </w:rPr>
            </w:pPr>
            <w:r>
              <w:rPr>
                <w:rFonts w:ascii="Calibri" w:cs="Calibri" w:eastAsia="Calibri" w:hAnsi="Calibri"/>
                <w:sz w:val="18"/>
                <w:szCs w:val="18"/>
                <w:color w:val="auto"/>
                <w:w w:val="87"/>
              </w:rPr>
              <w:t>$</w:t>
            </w:r>
          </w:p>
        </w:tc>
        <w:tc>
          <w:tcPr>
            <w:tcW w:w="740" w:type="dxa"/>
            <w:vAlign w:val="bottom"/>
            <w:gridSpan w:val="2"/>
          </w:tcPr>
          <w:p>
            <w:pPr>
              <w:jc w:val="right"/>
              <w:ind w:right="159"/>
              <w:spacing w:after="0" w:line="209" w:lineRule="exact"/>
              <w:rPr>
                <w:sz w:val="20"/>
                <w:szCs w:val="20"/>
                <w:color w:val="auto"/>
              </w:rPr>
            </w:pPr>
            <w:r>
              <w:rPr>
                <w:rFonts w:ascii="Calibri" w:cs="Calibri" w:eastAsia="Calibri" w:hAnsi="Calibri"/>
                <w:sz w:val="18"/>
                <w:szCs w:val="18"/>
                <w:color w:val="auto"/>
              </w:rPr>
              <w:t>(4 )</w:t>
            </w:r>
          </w:p>
        </w:tc>
        <w:tc>
          <w:tcPr>
            <w:tcW w:w="960" w:type="dxa"/>
            <w:vAlign w:val="bottom"/>
          </w:tcPr>
          <w:p>
            <w:pPr>
              <w:jc w:val="right"/>
              <w:ind w:right="756"/>
              <w:spacing w:after="0" w:line="209"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spacing w:after="0" w:line="209" w:lineRule="exact"/>
              <w:rPr>
                <w:sz w:val="20"/>
                <w:szCs w:val="20"/>
                <w:color w:val="auto"/>
              </w:rPr>
            </w:pPr>
            <w:r>
              <w:rPr>
                <w:rFonts w:ascii="Calibri" w:cs="Calibri" w:eastAsia="Calibri" w:hAnsi="Calibri"/>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-1169670</wp:posOffset>
            </wp:positionV>
            <wp:extent cx="939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-1169670</wp:posOffset>
            </wp:positionV>
            <wp:extent cx="939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08"/>
              <w:spacing w:after="0"/>
              <w:rPr>
                <w:sz w:val="20"/>
                <w:szCs w:val="20"/>
                <w:color w:val="auto"/>
              </w:rPr>
            </w:pPr>
            <w:r>
              <w:rPr>
                <w:rFonts w:ascii="Calibri" w:cs="Calibri" w:eastAsia="Calibri" w:hAnsi="Calibri"/>
                <w:sz w:val="14"/>
                <w:szCs w:val="14"/>
                <w:b w:val="1"/>
                <w:bCs w:val="1"/>
                <w:color w:val="auto"/>
              </w:rPr>
              <w:t>December 31, 2024</w:t>
            </w:r>
          </w:p>
        </w:tc>
        <w:tc>
          <w:tcPr>
            <w:tcW w:w="14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alibri" w:cs="Calibri" w:eastAsia="Calibri" w:hAnsi="Calibri"/>
                <w:sz w:val="14"/>
                <w:szCs w:val="14"/>
                <w:b w:val="1"/>
                <w:bCs w:val="1"/>
                <w:color w:val="auto"/>
              </w:rPr>
              <w:t>September 30, 2024</w:t>
            </w:r>
          </w:p>
        </w:tc>
      </w:tr>
      <w:tr>
        <w:trPr>
          <w:trHeight w:val="173"/>
        </w:trPr>
        <w:tc>
          <w:tcPr>
            <w:tcW w:w="7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(In</w:t>
            </w:r>
          </w:p>
        </w:tc>
        <w:tc>
          <w:tcPr>
            <w:tcW w:w="1860" w:type="dxa"/>
            <w:vAlign w:val="bottom"/>
            <w:tcBorders>
              <w:top w:val="single" w:sz="8" w:color="auto"/>
            </w:tcBorders>
            <w:gridSpan w:val="3"/>
          </w:tcPr>
          <w:p>
            <w:pPr>
              <w:jc w:val="right"/>
              <w:ind w:right="1271"/>
              <w:spacing w:after="0"/>
              <w:rPr>
                <w:sz w:val="20"/>
                <w:szCs w:val="20"/>
                <w:color w:val="auto"/>
              </w:rPr>
            </w:pPr>
            <w:r>
              <w:rPr>
                <w:rFonts w:ascii="Calibri" w:cs="Calibri" w:eastAsia="Calibri" w:hAnsi="Calibri"/>
                <w:sz w:val="14"/>
                <w:szCs w:val="14"/>
                <w:b w:val="1"/>
                <w:bCs w:val="1"/>
                <w:color w:val="auto"/>
                <w:w w:val="95"/>
              </w:rPr>
              <w:t>millions)</w:t>
            </w:r>
          </w:p>
        </w:tc>
        <w:tc>
          <w:tcPr>
            <w:tcW w:w="100" w:type="dxa"/>
            <w:vAlign w:val="bottom"/>
          </w:tcPr>
          <w:p>
            <w:pPr>
              <w:spacing w:after="0"/>
              <w:rPr>
                <w:sz w:val="15"/>
                <w:szCs w:val="15"/>
                <w:color w:val="auto"/>
              </w:rPr>
            </w:pPr>
          </w:p>
        </w:tc>
      </w:tr>
      <w:tr>
        <w:trPr>
          <w:trHeight w:val="219"/>
        </w:trPr>
        <w:tc>
          <w:tcPr>
            <w:tcW w:w="772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183</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223</w:t>
            </w:r>
          </w:p>
        </w:tc>
        <w:tc>
          <w:tcPr>
            <w:tcW w:w="100" w:type="dxa"/>
            <w:vAlign w:val="bottom"/>
          </w:tcPr>
          <w:p>
            <w:pPr>
              <w:spacing w:after="0"/>
              <w:rPr>
                <w:sz w:val="18"/>
                <w:szCs w:val="18"/>
                <w:color w:val="auto"/>
              </w:rPr>
            </w:pPr>
          </w:p>
        </w:tc>
      </w:tr>
      <w:tr>
        <w:trPr>
          <w:trHeight w:val="194"/>
        </w:trPr>
        <w:tc>
          <w:tcPr>
            <w:tcW w:w="772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Accounts and notes receivable, net of reserve for doubtul</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77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accounts of $5 and $5</w:t>
            </w: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400"/>
              <w:spacing w:after="0" w:line="216" w:lineRule="exact"/>
              <w:rPr>
                <w:sz w:val="20"/>
                <w:szCs w:val="20"/>
                <w:color w:val="auto"/>
              </w:rPr>
            </w:pPr>
            <w:r>
              <w:rPr>
                <w:rFonts w:ascii="Calibri" w:cs="Calibri" w:eastAsia="Calibri" w:hAnsi="Calibri"/>
                <w:sz w:val="18"/>
                <w:szCs w:val="18"/>
                <w:color w:val="auto"/>
              </w:rPr>
              <w:t>Raw materials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150</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400"/>
              <w:spacing w:after="0" w:line="215" w:lineRule="exact"/>
              <w:rPr>
                <w:sz w:val="20"/>
                <w:szCs w:val="20"/>
                <w:color w:val="auto"/>
              </w:rPr>
            </w:pPr>
            <w:r>
              <w:rPr>
                <w:rFonts w:ascii="Calibri" w:cs="Calibri" w:eastAsia="Calibri" w:hAnsi="Calibri"/>
                <w:sz w:val="18"/>
                <w:szCs w:val="18"/>
                <w:color w:val="auto"/>
              </w:rPr>
              <w:t>Finished goods</w:t>
            </w: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333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400"/>
              <w:spacing w:after="0" w:line="216" w:lineRule="exact"/>
              <w:rPr>
                <w:sz w:val="20"/>
                <w:szCs w:val="20"/>
                <w:color w:val="auto"/>
              </w:rPr>
            </w:pPr>
            <w:r>
              <w:rPr>
                <w:rFonts w:ascii="Calibri" w:cs="Calibri" w:eastAsia="Calibri" w:hAnsi="Calibri"/>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560"/>
              <w:spacing w:after="0" w:line="209" w:lineRule="exact"/>
              <w:rPr>
                <w:sz w:val="20"/>
                <w:szCs w:val="20"/>
                <w:color w:val="auto"/>
              </w:rPr>
            </w:pPr>
            <w:r>
              <w:rPr>
                <w:rFonts w:ascii="Calibri" w:cs="Calibri" w:eastAsia="Calibri" w:hAnsi="Calibri"/>
                <w:sz w:val="18"/>
                <w:szCs w:val="18"/>
                <w:color w:val="auto"/>
              </w:rPr>
              <w:t>Total inventories</w:t>
            </w:r>
          </w:p>
        </w:tc>
        <w:tc>
          <w:tcPr>
            <w:tcW w:w="14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color w:val="auto"/>
              </w:rPr>
              <w:t>536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09" w:lineRule="exact"/>
              <w:rPr>
                <w:sz w:val="20"/>
                <w:szCs w:val="20"/>
                <w:color w:val="auto"/>
              </w:rPr>
            </w:pPr>
            <w:r>
              <w:rPr>
                <w:rFonts w:ascii="Calibri" w:cs="Calibri" w:eastAsia="Calibri" w:hAnsi="Calibri"/>
                <w:sz w:val="18"/>
                <w:szCs w:val="18"/>
                <w:color w:val="auto"/>
              </w:rPr>
              <w:t>552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560"/>
              <w:spacing w:after="0" w:line="209" w:lineRule="exact"/>
              <w:rPr>
                <w:sz w:val="20"/>
                <w:szCs w:val="20"/>
                <w:color w:val="auto"/>
              </w:rPr>
            </w:pPr>
            <w:r>
              <w:rPr>
                <w:rFonts w:ascii="Calibri" w:cs="Calibri" w:eastAsia="Calibri" w:hAnsi="Calibri"/>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1,496</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1,605</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Property, plant and equipment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4,049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4,082</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140" w:type="dxa"/>
            <w:vAlign w:val="bottom"/>
          </w:tcPr>
          <w:p>
            <w:pPr>
              <w:spacing w:after="0"/>
              <w:rPr>
                <w:sz w:val="18"/>
                <w:szCs w:val="18"/>
                <w:color w:val="auto"/>
              </w:rPr>
            </w:pPr>
          </w:p>
        </w:tc>
        <w:tc>
          <w:tcPr>
            <w:tcW w:w="17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(2,493 )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(2,548 )</w:t>
            </w:r>
          </w:p>
        </w:tc>
      </w:tr>
      <w:tr>
        <w:trPr>
          <w:trHeight w:val="209"/>
        </w:trPr>
        <w:tc>
          <w:tcPr>
            <w:tcW w:w="7720" w:type="dxa"/>
            <w:vAlign w:val="bottom"/>
            <w:tcBorders>
              <w:bottom w:val="single" w:sz="8" w:color="CFF0FC"/>
            </w:tcBorders>
            <w:shd w:val="clear" w:color="auto" w:fill="CFF0FC"/>
          </w:tcPr>
          <w:p>
            <w:pPr>
              <w:ind w:left="560"/>
              <w:spacing w:after="0" w:line="209" w:lineRule="exact"/>
              <w:rPr>
                <w:sz w:val="20"/>
                <w:szCs w:val="20"/>
                <w:color w:val="auto"/>
              </w:rPr>
            </w:pPr>
            <w:r>
              <w:rPr>
                <w:rFonts w:ascii="Calibri" w:cs="Calibri" w:eastAsia="Calibri" w:hAnsi="Calibri"/>
                <w:sz w:val="18"/>
                <w:szCs w:val="18"/>
                <w:color w:val="auto"/>
              </w:rPr>
              <w:t>Net property, plant and equipment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1,556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line="209" w:lineRule="exact"/>
              <w:rPr>
                <w:sz w:val="20"/>
                <w:szCs w:val="20"/>
                <w:color w:val="auto"/>
              </w:rPr>
            </w:pPr>
            <w:r>
              <w:rPr>
                <w:rFonts w:ascii="Calibri" w:cs="Calibri" w:eastAsia="Calibri" w:hAnsi="Calibri"/>
                <w:sz w:val="18"/>
                <w:szCs w:val="18"/>
                <w:color w:val="auto"/>
              </w:rPr>
              <w:t>Goodwill</w:t>
            </w:r>
          </w:p>
        </w:tc>
        <w:tc>
          <w:tcPr>
            <w:tcW w:w="14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color w:val="auto"/>
              </w:rPr>
              <w:t>127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09" w:lineRule="exact"/>
              <w:rPr>
                <w:sz w:val="20"/>
                <w:szCs w:val="20"/>
                <w:color w:val="auto"/>
              </w:rPr>
            </w:pPr>
            <w:r>
              <w:rPr>
                <w:rFonts w:ascii="Calibri" w:cs="Calibri" w:eastAsia="Calibri" w:hAnsi="Calibri"/>
                <w:sz w:val="18"/>
                <w:szCs w:val="18"/>
                <w:color w:val="auto"/>
              </w:rPr>
              <w:t>133</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Equity afliates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income taxes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216</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assets</w:t>
            </w: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3,642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3,736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-1722120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-1439545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-864870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08"/>
              <w:spacing w:after="0"/>
              <w:rPr>
                <w:sz w:val="20"/>
                <w:szCs w:val="20"/>
                <w:color w:val="auto"/>
              </w:rPr>
            </w:pPr>
            <w:r>
              <w:rPr>
                <w:rFonts w:ascii="Calibri" w:cs="Calibri" w:eastAsia="Calibri" w:hAnsi="Calibri"/>
                <w:sz w:val="14"/>
                <w:szCs w:val="14"/>
                <w:b w:val="1"/>
                <w:bCs w:val="1"/>
                <w:color w:val="auto"/>
              </w:rPr>
              <w:t>December 31, 2024</w:t>
            </w:r>
          </w:p>
        </w:tc>
        <w:tc>
          <w:tcPr>
            <w:tcW w:w="14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alibri" w:cs="Calibri" w:eastAsia="Calibri" w:hAnsi="Calibri"/>
                <w:sz w:val="14"/>
                <w:szCs w:val="14"/>
                <w:b w:val="1"/>
                <w:bCs w:val="1"/>
                <w:color w:val="auto"/>
              </w:rPr>
              <w:t>September 30, 2024</w:t>
            </w:r>
          </w:p>
        </w:tc>
      </w:tr>
      <w:tr>
        <w:trPr>
          <w:trHeight w:val="161"/>
        </w:trPr>
        <w:tc>
          <w:tcPr>
            <w:tcW w:w="77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61" w:lineRule="exact"/>
              <w:rPr>
                <w:sz w:val="20"/>
                <w:szCs w:val="20"/>
                <w:color w:val="auto"/>
              </w:rPr>
            </w:pPr>
            <w:r>
              <w:rPr>
                <w:rFonts w:ascii="Calibri" w:cs="Calibri" w:eastAsia="Calibri" w:hAnsi="Calibri"/>
                <w:sz w:val="14"/>
                <w:szCs w:val="14"/>
                <w:b w:val="1"/>
                <w:bCs w:val="1"/>
                <w:color w:val="auto"/>
              </w:rPr>
              <w:t>(In millions,</w:t>
            </w:r>
          </w:p>
        </w:tc>
        <w:tc>
          <w:tcPr>
            <w:tcW w:w="1860" w:type="dxa"/>
            <w:vAlign w:val="bottom"/>
            <w:tcBorders>
              <w:top w:val="single" w:sz="8" w:color="auto"/>
            </w:tcBorders>
            <w:gridSpan w:val="3"/>
          </w:tcPr>
          <w:p>
            <w:pPr>
              <w:jc w:val="right"/>
              <w:ind w:right="891"/>
              <w:spacing w:after="0" w:line="161" w:lineRule="exact"/>
              <w:rPr>
                <w:sz w:val="20"/>
                <w:szCs w:val="20"/>
                <w:color w:val="auto"/>
              </w:rPr>
            </w:pPr>
            <w:r>
              <w:rPr>
                <w:rFonts w:ascii="Calibri" w:cs="Calibri" w:eastAsia="Calibri" w:hAnsi="Calibri"/>
                <w:sz w:val="14"/>
                <w:szCs w:val="14"/>
                <w:b w:val="1"/>
                <w:bCs w:val="1"/>
                <w:color w:val="auto"/>
              </w:rPr>
              <w:t>except share</w:t>
            </w:r>
          </w:p>
        </w:tc>
        <w:tc>
          <w:tcPr>
            <w:tcW w:w="100" w:type="dxa"/>
            <w:vAlign w:val="bottom"/>
          </w:tcPr>
          <w:p>
            <w:pPr>
              <w:spacing w:after="0"/>
              <w:rPr>
                <w:sz w:val="14"/>
                <w:szCs w:val="14"/>
                <w:color w:val="auto"/>
              </w:rPr>
            </w:pPr>
          </w:p>
        </w:tc>
      </w:tr>
      <w:tr>
        <w:trPr>
          <w:trHeight w:val="180"/>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5"/>
          </w:tcPr>
          <w:p>
            <w:pPr>
              <w:jc w:val="right"/>
              <w:ind w:right="1100"/>
              <w:spacing w:after="0"/>
              <w:rPr>
                <w:sz w:val="20"/>
                <w:szCs w:val="20"/>
                <w:color w:val="auto"/>
              </w:rPr>
            </w:pPr>
            <w:r>
              <w:rPr>
                <w:rFonts w:ascii="Calibri" w:cs="Calibri" w:eastAsia="Calibri" w:hAnsi="Calibri"/>
                <w:sz w:val="14"/>
                <w:szCs w:val="14"/>
                <w:b w:val="1"/>
                <w:bCs w:val="1"/>
                <w:color w:val="auto"/>
              </w:rPr>
              <w:t>and per share amounts)</w:t>
            </w:r>
          </w:p>
        </w:tc>
      </w:tr>
      <w:tr>
        <w:trPr>
          <w:trHeight w:val="226"/>
        </w:trPr>
        <w:tc>
          <w:tcPr>
            <w:tcW w:w="772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Current liabilites: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28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Accounts payable and accrued liabilites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599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676</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Current porton of long-term debt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line="209" w:lineRule="exact"/>
              <w:rPr>
                <w:sz w:val="20"/>
                <w:szCs w:val="20"/>
                <w:color w:val="auto"/>
              </w:rPr>
            </w:pPr>
            <w:r>
              <w:rPr>
                <w:rFonts w:ascii="Calibri" w:cs="Calibri" w:eastAsia="Calibri" w:hAnsi="Calibri"/>
                <w:sz w:val="18"/>
                <w:szCs w:val="18"/>
                <w:color w:val="auto"/>
              </w:rPr>
              <w:t>Total current liabilites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747</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772</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Long-term debt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1,089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1,087</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liabilites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245</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Contngencies (Note 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8"/>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720" w:type="dxa"/>
            <w:vAlign w:val="bottom"/>
            <w:shd w:val="clear" w:color="auto" w:fill="CFF0FC"/>
          </w:tcPr>
          <w:p>
            <w:pPr>
              <w:ind w:left="380"/>
              <w:spacing w:after="0" w:line="194" w:lineRule="exact"/>
              <w:rPr>
                <w:sz w:val="20"/>
                <w:szCs w:val="20"/>
                <w:color w:val="auto"/>
              </w:rPr>
            </w:pPr>
            <w:r>
              <w:rPr>
                <w:rFonts w:ascii="Calibri" w:cs="Calibri" w:eastAsia="Calibri" w:hAnsi="Calibri"/>
                <w:sz w:val="18"/>
                <w:szCs w:val="18"/>
                <w:color w:val="auto"/>
              </w:rPr>
              <w:t>Authorized: 200,000,000 shares of $1 par value, Issued: 54,348,447 and 54,430,316 shares,</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77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Outstanding: 54,215,426 and 54,297,251 shares</w:t>
            </w: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133,021 and 133,065 shares of common treasury stock</w:t>
            </w:r>
          </w:p>
        </w:tc>
        <w:tc>
          <w:tcPr>
            <w:tcW w:w="140" w:type="dxa"/>
            <w:vAlign w:val="bottom"/>
          </w:tcPr>
          <w:p>
            <w:pPr>
              <w:spacing w:after="0"/>
              <w:rPr>
                <w:sz w:val="18"/>
                <w:szCs w:val="18"/>
                <w:color w:val="auto"/>
              </w:rPr>
            </w:pPr>
          </w:p>
        </w:tc>
        <w:tc>
          <w:tcPr>
            <w:tcW w:w="17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(3 )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Additonal paid-in capital</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8"/>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Retained earnings</w:t>
            </w:r>
          </w:p>
        </w:tc>
        <w:tc>
          <w:tcPr>
            <w:tcW w:w="1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1,772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1,734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Accumulated other comprehensive income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8"/>
              <w:spacing w:after="0" w:line="216" w:lineRule="exact"/>
              <w:rPr>
                <w:sz w:val="20"/>
                <w:szCs w:val="20"/>
                <w:color w:val="auto"/>
              </w:rPr>
            </w:pPr>
            <w:r>
              <w:rPr>
                <w:rFonts w:ascii="Calibri" w:cs="Calibri" w:eastAsia="Calibri" w:hAnsi="Calibri"/>
                <w:sz w:val="18"/>
                <w:szCs w:val="18"/>
                <w:color w:val="auto"/>
              </w:rPr>
              <w:t>(457 )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(360 )</w:t>
            </w:r>
          </w:p>
        </w:tc>
      </w:tr>
      <w:tr>
        <w:trPr>
          <w:trHeight w:val="210"/>
        </w:trPr>
        <w:tc>
          <w:tcPr>
            <w:tcW w:w="7720" w:type="dxa"/>
            <w:vAlign w:val="bottom"/>
            <w:tcBorders>
              <w:top w:val="single" w:sz="8" w:color="CFF0FC"/>
            </w:tcBorders>
          </w:tcPr>
          <w:p>
            <w:pPr>
              <w:ind w:left="200"/>
              <w:spacing w:after="0" w:line="209" w:lineRule="exact"/>
              <w:rPr>
                <w:sz w:val="20"/>
                <w:szCs w:val="20"/>
                <w:color w:val="auto"/>
              </w:rPr>
            </w:pPr>
            <w:r>
              <w:rPr>
                <w:rFonts w:ascii="Calibri" w:cs="Calibri" w:eastAsia="Calibri" w:hAnsi="Calibri"/>
                <w:sz w:val="18"/>
                <w:szCs w:val="18"/>
                <w:color w:val="auto"/>
              </w:rPr>
              <w:t>Total Cabot Corporaton stockholders' equity</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1,366</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1,425</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Noncontrolling interests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line="209" w:lineRule="exact"/>
              <w:rPr>
                <w:sz w:val="20"/>
                <w:szCs w:val="20"/>
                <w:color w:val="auto"/>
              </w:rPr>
            </w:pPr>
            <w:r>
              <w:rPr>
                <w:rFonts w:ascii="Calibri" w:cs="Calibri" w:eastAsia="Calibri" w:hAnsi="Calibri"/>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1,515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1,590</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liabilites and stockholders' equity</w:t>
            </w: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3,642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3,736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-2673985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-599440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2960" w:type="dxa"/>
            <w:vAlign w:val="bottom"/>
            <w:gridSpan w:val="4"/>
          </w:tcPr>
          <w:p>
            <w:pPr>
              <w:jc w:val="right"/>
              <w:ind w:right="84"/>
              <w:spacing w:after="0"/>
              <w:rPr>
                <w:sz w:val="20"/>
                <w:szCs w:val="20"/>
                <w:color w:val="auto"/>
              </w:rPr>
            </w:pPr>
            <w:r>
              <w:rPr>
                <w:rFonts w:ascii="Calibri" w:cs="Calibri" w:eastAsia="Calibri" w:hAnsi="Calibri"/>
                <w:sz w:val="15"/>
                <w:szCs w:val="15"/>
                <w:b w:val="1"/>
                <w:bCs w:val="1"/>
                <w:color w:val="auto"/>
              </w:rPr>
              <w:t>Three Months Ended December 31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7740" w:type="dxa"/>
            <w:vAlign w:val="bottom"/>
          </w:tcPr>
          <w:p>
            <w:pPr>
              <w:spacing w:after="0"/>
              <w:rPr>
                <w:sz w:val="15"/>
                <w:szCs w:val="15"/>
                <w:color w:val="auto"/>
              </w:rPr>
            </w:pPr>
          </w:p>
        </w:tc>
        <w:tc>
          <w:tcPr>
            <w:tcW w:w="1100" w:type="dxa"/>
            <w:vAlign w:val="bottom"/>
            <w:tcBorders>
              <w:bottom w:val="single" w:sz="8" w:color="auto"/>
            </w:tcBorders>
          </w:tcPr>
          <w:p>
            <w:pPr>
              <w:jc w:val="right"/>
              <w:ind w:right="104"/>
              <w:spacing w:after="0" w:line="180" w:lineRule="exact"/>
              <w:rPr>
                <w:sz w:val="20"/>
                <w:szCs w:val="20"/>
                <w:color w:val="auto"/>
              </w:rPr>
            </w:pPr>
            <w:r>
              <w:rPr>
                <w:rFonts w:ascii="Calibri" w:cs="Calibri" w:eastAsia="Calibri" w:hAnsi="Calibri"/>
                <w:sz w:val="15"/>
                <w:szCs w:val="15"/>
                <w:b w:val="1"/>
                <w:bCs w:val="1"/>
                <w:color w:val="auto"/>
              </w:rPr>
              <w:t>2024</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right"/>
              <w:ind w:right="124"/>
              <w:spacing w:after="0" w:line="180" w:lineRule="exact"/>
              <w:rPr>
                <w:sz w:val="20"/>
                <w:szCs w:val="20"/>
                <w:color w:val="auto"/>
              </w:rPr>
            </w:pPr>
            <w:r>
              <w:rPr>
                <w:rFonts w:ascii="Calibri" w:cs="Calibri" w:eastAsia="Calibri" w:hAnsi="Calibri"/>
                <w:sz w:val="15"/>
                <w:szCs w:val="15"/>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ind w:right="4"/>
              <w:spacing w:after="0"/>
              <w:rPr>
                <w:sz w:val="20"/>
                <w:szCs w:val="20"/>
                <w:color w:val="auto"/>
              </w:rPr>
            </w:pPr>
            <w:r>
              <w:rPr>
                <w:rFonts w:ascii="Calibri" w:cs="Calibri" w:eastAsia="Calibri" w:hAnsi="Calibri"/>
                <w:sz w:val="15"/>
                <w:szCs w:val="15"/>
                <w:b w:val="1"/>
                <w:bCs w:val="1"/>
                <w:color w:val="auto"/>
              </w:rPr>
              <w:t>(In</w:t>
            </w:r>
          </w:p>
        </w:tc>
        <w:tc>
          <w:tcPr>
            <w:tcW w:w="1400" w:type="dxa"/>
            <w:vAlign w:val="bottom"/>
            <w:gridSpan w:val="2"/>
          </w:tcPr>
          <w:p>
            <w:pPr>
              <w:jc w:val="right"/>
              <w:ind w:right="824"/>
              <w:spacing w:after="0"/>
              <w:rPr>
                <w:sz w:val="20"/>
                <w:szCs w:val="20"/>
                <w:color w:val="auto"/>
              </w:rPr>
            </w:pPr>
            <w:r>
              <w:rPr>
                <w:rFonts w:ascii="Calibri" w:cs="Calibri" w:eastAsia="Calibri" w:hAnsi="Calibri"/>
                <w:sz w:val="15"/>
                <w:szCs w:val="15"/>
                <w:b w:val="1"/>
                <w:bCs w:val="1"/>
                <w:color w:val="auto"/>
                <w:w w:val="89"/>
              </w:rPr>
              <w:t>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740" w:type="dxa"/>
            <w:vAlign w:val="bottom"/>
            <w:shd w:val="clear" w:color="auto" w:fill="CFF0FC"/>
          </w:tcPr>
          <w:p>
            <w:pPr>
              <w:ind w:left="20"/>
              <w:spacing w:after="0"/>
              <w:rPr>
                <w:sz w:val="20"/>
                <w:szCs w:val="20"/>
                <w:color w:val="auto"/>
              </w:rPr>
            </w:pPr>
            <w:r>
              <w:rPr>
                <w:rFonts w:ascii="Calibri" w:cs="Calibri" w:eastAsia="Calibri" w:hAnsi="Calibri"/>
                <w:sz w:val="15"/>
                <w:szCs w:val="15"/>
                <w:b w:val="1"/>
                <w:bCs w:val="1"/>
                <w:color w:val="auto"/>
              </w:rPr>
              <w:t>Cash Flows from Operatng Actvites:</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160"/>
              <w:spacing w:after="0"/>
              <w:rPr>
                <w:sz w:val="20"/>
                <w:szCs w:val="20"/>
                <w:color w:val="auto"/>
              </w:rPr>
            </w:pPr>
            <w:r>
              <w:rPr>
                <w:rFonts w:ascii="Calibri" w:cs="Calibri" w:eastAsia="Calibri" w:hAnsi="Calibri"/>
                <w:sz w:val="15"/>
                <w:szCs w:val="15"/>
                <w:color w:val="auto"/>
              </w:rPr>
              <w:t>Net income (loss)</w:t>
            </w:r>
          </w:p>
        </w:tc>
        <w:tc>
          <w:tcPr>
            <w:tcW w:w="1100" w:type="dxa"/>
            <w:vAlign w:val="bottom"/>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Pr>
          <w:p>
            <w:pPr>
              <w:jc w:val="right"/>
              <w:spacing w:after="0"/>
              <w:rPr>
                <w:sz w:val="20"/>
                <w:szCs w:val="20"/>
                <w:color w:val="auto"/>
              </w:rPr>
            </w:pPr>
            <w:r>
              <w:rPr>
                <w:rFonts w:ascii="Calibri" w:cs="Calibri" w:eastAsia="Calibri" w:hAnsi="Calibri"/>
                <w:sz w:val="15"/>
                <w:szCs w:val="15"/>
                <w:color w:val="auto"/>
              </w:rPr>
              <w:t>104</w:t>
            </w:r>
          </w:p>
        </w:tc>
        <w:tc>
          <w:tcPr>
            <w:tcW w:w="280" w:type="dxa"/>
            <w:vAlign w:val="bottom"/>
          </w:tcPr>
          <w:p>
            <w:pPr>
              <w:spacing w:after="0"/>
              <w:rPr>
                <w:sz w:val="16"/>
                <w:szCs w:val="16"/>
                <w:color w:val="auto"/>
              </w:rPr>
            </w:pPr>
          </w:p>
        </w:tc>
        <w:tc>
          <w:tcPr>
            <w:tcW w:w="1120" w:type="dxa"/>
            <w:vAlign w:val="bottom"/>
          </w:tcPr>
          <w:p>
            <w:pPr>
              <w:jc w:val="right"/>
              <w:ind w:right="944"/>
              <w:spacing w:after="0"/>
              <w:rPr>
                <w:sz w:val="20"/>
                <w:szCs w:val="20"/>
                <w:color w:val="auto"/>
              </w:rPr>
            </w:pPr>
            <w:r>
              <w:rPr>
                <w:rFonts w:ascii="Calibri" w:cs="Calibri" w:eastAsia="Calibri" w:hAnsi="Calibri"/>
                <w:sz w:val="15"/>
                <w:szCs w:val="15"/>
                <w:color w:val="auto"/>
              </w:rPr>
              <w:t>$</w:t>
            </w:r>
          </w:p>
        </w:tc>
        <w:tc>
          <w:tcPr>
            <w:tcW w:w="440" w:type="dxa"/>
            <w:vAlign w:val="bottom"/>
          </w:tcPr>
          <w:p>
            <w:pPr>
              <w:jc w:val="right"/>
              <w:spacing w:after="0"/>
              <w:rPr>
                <w:sz w:val="20"/>
                <w:szCs w:val="20"/>
                <w:color w:val="auto"/>
              </w:rPr>
            </w:pPr>
            <w:r>
              <w:rPr>
                <w:rFonts w:ascii="Calibri" w:cs="Calibri" w:eastAsia="Calibri" w:hAnsi="Calibri"/>
                <w:sz w:val="15"/>
                <w:szCs w:val="15"/>
                <w:color w:val="auto"/>
              </w:rPr>
              <w:t>61</w:t>
            </w:r>
          </w:p>
        </w:tc>
        <w:tc>
          <w:tcPr>
            <w:tcW w:w="100" w:type="dxa"/>
            <w:vAlign w:val="bottom"/>
          </w:tcPr>
          <w:p>
            <w:pPr>
              <w:spacing w:after="0"/>
              <w:rPr>
                <w:sz w:val="16"/>
                <w:szCs w:val="16"/>
                <w:color w:val="auto"/>
              </w:rPr>
            </w:pPr>
          </w:p>
        </w:tc>
      </w:tr>
      <w:tr>
        <w:trPr>
          <w:trHeight w:val="192"/>
        </w:trPr>
        <w:tc>
          <w:tcPr>
            <w:tcW w:w="774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Adjustments to reconcile net income (loss) to cash provided by operatng actvites:</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300"/>
              <w:spacing w:after="0"/>
              <w:rPr>
                <w:sz w:val="20"/>
                <w:szCs w:val="20"/>
                <w:color w:val="auto"/>
              </w:rPr>
            </w:pPr>
            <w:r>
              <w:rPr>
                <w:rFonts w:ascii="Calibri" w:cs="Calibri" w:eastAsia="Calibri" w:hAnsi="Calibri"/>
                <w:sz w:val="15"/>
                <w:szCs w:val="15"/>
                <w:color w:val="auto"/>
              </w:rPr>
              <w:t>Depreciaton and amortzaton</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37</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41</w:t>
            </w:r>
          </w:p>
        </w:tc>
        <w:tc>
          <w:tcPr>
            <w:tcW w:w="100" w:type="dxa"/>
            <w:vAlign w:val="bottom"/>
          </w:tcPr>
          <w:p>
            <w:pPr>
              <w:spacing w:after="0"/>
              <w:rPr>
                <w:sz w:val="16"/>
                <w:szCs w:val="16"/>
                <w:color w:val="auto"/>
              </w:rPr>
            </w:pPr>
          </w:p>
        </w:tc>
      </w:tr>
      <w:tr>
        <w:trPr>
          <w:trHeight w:val="192"/>
        </w:trPr>
        <w:tc>
          <w:tcPr>
            <w:tcW w:w="7740" w:type="dxa"/>
            <w:vAlign w:val="bottom"/>
            <w:shd w:val="clear" w:color="auto" w:fill="CFF0FC"/>
          </w:tcPr>
          <w:p>
            <w:pPr>
              <w:ind w:left="300"/>
              <w:spacing w:after="0"/>
              <w:rPr>
                <w:sz w:val="20"/>
                <w:szCs w:val="20"/>
                <w:color w:val="auto"/>
              </w:rPr>
            </w:pPr>
            <w:r>
              <w:rPr>
                <w:rFonts w:ascii="Calibri" w:cs="Calibri" w:eastAsia="Calibri" w:hAnsi="Calibri"/>
                <w:sz w:val="15"/>
                <w:szCs w:val="15"/>
                <w:color w:val="auto"/>
              </w:rPr>
              <w:t>Deferred tax provision (beneft)</w:t>
            </w:r>
          </w:p>
        </w:tc>
        <w:tc>
          <w:tcPr>
            <w:tcW w:w="1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300"/>
              <w:spacing w:after="0"/>
              <w:rPr>
                <w:sz w:val="20"/>
                <w:szCs w:val="20"/>
                <w:color w:val="auto"/>
              </w:rPr>
            </w:pPr>
            <w:r>
              <w:rPr>
                <w:rFonts w:ascii="Calibri" w:cs="Calibri" w:eastAsia="Calibri" w:hAnsi="Calibri"/>
                <w:sz w:val="15"/>
                <w:szCs w:val="15"/>
                <w:color w:val="auto"/>
              </w:rPr>
              <w:t>Equity in earnings of afliated companies</w:t>
            </w:r>
          </w:p>
        </w:tc>
        <w:tc>
          <w:tcPr>
            <w:tcW w:w="110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(1 )</w:t>
            </w:r>
          </w:p>
        </w:tc>
        <w:tc>
          <w:tcPr>
            <w:tcW w:w="11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(1 )</w:t>
            </w:r>
          </w:p>
        </w:tc>
      </w:tr>
      <w:tr>
        <w:trPr>
          <w:trHeight w:val="192"/>
        </w:trPr>
        <w:tc>
          <w:tcPr>
            <w:tcW w:w="7740" w:type="dxa"/>
            <w:vAlign w:val="bottom"/>
            <w:shd w:val="clear" w:color="auto" w:fill="CFF0FC"/>
          </w:tcPr>
          <w:p>
            <w:pPr>
              <w:ind w:left="300"/>
              <w:spacing w:after="0"/>
              <w:rPr>
                <w:sz w:val="20"/>
                <w:szCs w:val="20"/>
                <w:color w:val="auto"/>
              </w:rPr>
            </w:pPr>
            <w:r>
              <w:rPr>
                <w:rFonts w:ascii="Calibri" w:cs="Calibri" w:eastAsia="Calibri" w:hAnsi="Calibri"/>
                <w:sz w:val="15"/>
                <w:szCs w:val="15"/>
                <w:color w:val="auto"/>
              </w:rPr>
              <w:t>Share-based compensaton</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8</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300"/>
              <w:spacing w:after="0"/>
              <w:rPr>
                <w:sz w:val="20"/>
                <w:szCs w:val="20"/>
                <w:color w:val="auto"/>
              </w:rPr>
            </w:pPr>
            <w:r>
              <w:rPr>
                <w:rFonts w:ascii="Calibri" w:cs="Calibri" w:eastAsia="Calibri" w:hAnsi="Calibri"/>
                <w:sz w:val="15"/>
                <w:szCs w:val="15"/>
                <w:color w:val="auto"/>
              </w:rPr>
              <w:t>Other non-cash (income) expense</w:t>
            </w:r>
          </w:p>
        </w:tc>
        <w:tc>
          <w:tcPr>
            <w:tcW w:w="1100" w:type="dxa"/>
            <w:vAlign w:val="bottom"/>
          </w:tcPr>
          <w:p>
            <w:pPr>
              <w:spacing w:after="0"/>
              <w:rPr>
                <w:sz w:val="16"/>
                <w:szCs w:val="16"/>
                <w:color w:val="auto"/>
              </w:rPr>
            </w:pPr>
          </w:p>
        </w:tc>
        <w:tc>
          <w:tcPr>
            <w:tcW w:w="74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1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37</w:t>
            </w:r>
          </w:p>
        </w:tc>
        <w:tc>
          <w:tcPr>
            <w:tcW w:w="100" w:type="dxa"/>
            <w:vAlign w:val="bottom"/>
          </w:tcPr>
          <w:p>
            <w:pPr>
              <w:spacing w:after="0"/>
              <w:rPr>
                <w:sz w:val="16"/>
                <w:szCs w:val="16"/>
                <w:color w:val="auto"/>
              </w:rPr>
            </w:pPr>
          </w:p>
        </w:tc>
      </w:tr>
      <w:tr>
        <w:trPr>
          <w:trHeight w:val="192"/>
        </w:trPr>
        <w:tc>
          <w:tcPr>
            <w:tcW w:w="7740" w:type="dxa"/>
            <w:vAlign w:val="bottom"/>
            <w:shd w:val="clear" w:color="auto" w:fill="CFF0FC"/>
          </w:tcPr>
          <w:p>
            <w:pPr>
              <w:ind w:left="300"/>
              <w:spacing w:after="0"/>
              <w:rPr>
                <w:sz w:val="20"/>
                <w:szCs w:val="20"/>
                <w:color w:val="auto"/>
              </w:rPr>
            </w:pPr>
            <w:r>
              <w:rPr>
                <w:rFonts w:ascii="Calibri" w:cs="Calibri" w:eastAsia="Calibri" w:hAnsi="Calibri"/>
                <w:sz w:val="15"/>
                <w:szCs w:val="15"/>
                <w:color w:val="auto"/>
              </w:rPr>
              <w:t>Cash dividends received from equity afliates</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12</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300"/>
              <w:spacing w:after="0"/>
              <w:rPr>
                <w:sz w:val="20"/>
                <w:szCs w:val="20"/>
                <w:color w:val="auto"/>
              </w:rPr>
            </w:pPr>
            <w:r>
              <w:rPr>
                <w:rFonts w:ascii="Calibri" w:cs="Calibri" w:eastAsia="Calibri" w:hAnsi="Calibri"/>
                <w:sz w:val="15"/>
                <w:szCs w:val="15"/>
                <w:color w:val="auto"/>
              </w:rPr>
              <w:t>Changes in assets and liabilites:</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774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rPr>
              <w:t>Accounts and notes receivable</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18</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(7 )</w:t>
            </w:r>
          </w:p>
        </w:tc>
      </w:tr>
      <w:tr>
        <w:trPr>
          <w:trHeight w:val="186"/>
        </w:trPr>
        <w:tc>
          <w:tcPr>
            <w:tcW w:w="7740" w:type="dxa"/>
            <w:vAlign w:val="bottom"/>
          </w:tcPr>
          <w:p>
            <w:pPr>
              <w:ind w:left="460"/>
              <w:spacing w:after="0"/>
              <w:rPr>
                <w:sz w:val="20"/>
                <w:szCs w:val="20"/>
                <w:color w:val="auto"/>
              </w:rPr>
            </w:pPr>
            <w:r>
              <w:rPr>
                <w:rFonts w:ascii="Calibri" w:cs="Calibri" w:eastAsia="Calibri" w:hAnsi="Calibri"/>
                <w:sz w:val="15"/>
                <w:szCs w:val="15"/>
                <w:color w:val="auto"/>
              </w:rPr>
              <w:t>Inventories</w:t>
            </w:r>
          </w:p>
        </w:tc>
        <w:tc>
          <w:tcPr>
            <w:tcW w:w="110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(8 )</w:t>
            </w:r>
          </w:p>
        </w:tc>
        <w:tc>
          <w:tcPr>
            <w:tcW w:w="11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(19 )</w:t>
            </w:r>
          </w:p>
        </w:tc>
      </w:tr>
      <w:tr>
        <w:trPr>
          <w:trHeight w:val="192"/>
        </w:trPr>
        <w:tc>
          <w:tcPr>
            <w:tcW w:w="774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rPr>
              <w:t>Prepaid expenses and other assets</w:t>
            </w:r>
          </w:p>
        </w:tc>
        <w:tc>
          <w:tcPr>
            <w:tcW w:w="1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(6 )</w:t>
            </w: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(2 )</w:t>
            </w:r>
          </w:p>
        </w:tc>
      </w:tr>
      <w:tr>
        <w:trPr>
          <w:trHeight w:val="186"/>
        </w:trPr>
        <w:tc>
          <w:tcPr>
            <w:tcW w:w="7740" w:type="dxa"/>
            <w:vAlign w:val="bottom"/>
          </w:tcPr>
          <w:p>
            <w:pPr>
              <w:ind w:left="460"/>
              <w:spacing w:after="0"/>
              <w:rPr>
                <w:sz w:val="20"/>
                <w:szCs w:val="20"/>
                <w:color w:val="auto"/>
              </w:rPr>
            </w:pPr>
            <w:r>
              <w:rPr>
                <w:rFonts w:ascii="Calibri" w:cs="Calibri" w:eastAsia="Calibri" w:hAnsi="Calibri"/>
                <w:sz w:val="15"/>
                <w:szCs w:val="15"/>
                <w:color w:val="auto"/>
              </w:rPr>
              <w:t>Accounts payable and accrued liabilites</w:t>
            </w:r>
          </w:p>
        </w:tc>
        <w:tc>
          <w:tcPr>
            <w:tcW w:w="110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(48 )</w:t>
            </w:r>
          </w:p>
        </w:tc>
        <w:tc>
          <w:tcPr>
            <w:tcW w:w="11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(20 )</w:t>
            </w:r>
          </w:p>
        </w:tc>
      </w:tr>
      <w:tr>
        <w:trPr>
          <w:trHeight w:val="192"/>
        </w:trPr>
        <w:tc>
          <w:tcPr>
            <w:tcW w:w="774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rPr>
              <w:t>Income taxes payable</w:t>
            </w:r>
          </w:p>
        </w:tc>
        <w:tc>
          <w:tcPr>
            <w:tcW w:w="1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(2 )</w:t>
            </w: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(10 )</w:t>
            </w:r>
          </w:p>
        </w:tc>
      </w:tr>
      <w:tr>
        <w:trPr>
          <w:trHeight w:val="186"/>
        </w:trPr>
        <w:tc>
          <w:tcPr>
            <w:tcW w:w="7740" w:type="dxa"/>
            <w:vAlign w:val="bottom"/>
          </w:tcPr>
          <w:p>
            <w:pPr>
              <w:ind w:left="460"/>
              <w:spacing w:after="0"/>
              <w:rPr>
                <w:sz w:val="20"/>
                <w:szCs w:val="20"/>
                <w:color w:val="auto"/>
              </w:rPr>
            </w:pPr>
            <w:r>
              <w:rPr>
                <w:rFonts w:ascii="Calibri" w:cs="Calibri" w:eastAsia="Calibri" w:hAnsi="Calibri"/>
                <w:sz w:val="15"/>
                <w:szCs w:val="15"/>
                <w:color w:val="auto"/>
              </w:rPr>
              <w:t>Other liabilites</w:t>
            </w: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10</w:t>
            </w:r>
          </w:p>
        </w:tc>
        <w:tc>
          <w:tcPr>
            <w:tcW w:w="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11</w:t>
            </w:r>
          </w:p>
        </w:tc>
        <w:tc>
          <w:tcPr>
            <w:tcW w:w="100" w:type="dxa"/>
            <w:vAlign w:val="bottom"/>
          </w:tcPr>
          <w:p>
            <w:pPr>
              <w:spacing w:after="0"/>
              <w:rPr>
                <w:sz w:val="16"/>
                <w:szCs w:val="16"/>
                <w:color w:val="auto"/>
              </w:rPr>
            </w:pPr>
          </w:p>
        </w:tc>
      </w:tr>
      <w:tr>
        <w:trPr>
          <w:trHeight w:val="183"/>
        </w:trPr>
        <w:tc>
          <w:tcPr>
            <w:tcW w:w="7740" w:type="dxa"/>
            <w:vAlign w:val="bottom"/>
            <w:tcBorders>
              <w:bottom w:val="single" w:sz="8" w:color="CFF0FC"/>
            </w:tcBorders>
            <w:shd w:val="clear" w:color="auto" w:fill="CFF0FC"/>
          </w:tcPr>
          <w:p>
            <w:pPr>
              <w:ind w:left="600"/>
              <w:spacing w:after="0"/>
              <w:rPr>
                <w:sz w:val="20"/>
                <w:szCs w:val="20"/>
                <w:color w:val="auto"/>
              </w:rPr>
            </w:pPr>
            <w:r>
              <w:rPr>
                <w:rFonts w:ascii="Calibri" w:cs="Calibri" w:eastAsia="Calibri" w:hAnsi="Calibri"/>
                <w:sz w:val="15"/>
                <w:szCs w:val="15"/>
                <w:color w:val="auto"/>
              </w:rPr>
              <w:t>Cash provided by (used in) operatng actvites</w:t>
            </w:r>
          </w:p>
        </w:tc>
        <w:tc>
          <w:tcPr>
            <w:tcW w:w="1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124</w:t>
            </w:r>
          </w:p>
        </w:tc>
        <w:tc>
          <w:tcPr>
            <w:tcW w:w="2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105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Calibri" w:cs="Calibri" w:eastAsia="Calibri" w:hAnsi="Calibri"/>
                <w:sz w:val="15"/>
                <w:szCs w:val="15"/>
                <w:b w:val="1"/>
                <w:bCs w:val="1"/>
                <w:color w:val="auto"/>
              </w:rPr>
              <w:t>Cash Flows from Investng Actvites:</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74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Additons to property, plant and equipment</w:t>
            </w:r>
          </w:p>
        </w:tc>
        <w:tc>
          <w:tcPr>
            <w:tcW w:w="1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(77 )</w:t>
            </w: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(54 )</w:t>
            </w:r>
          </w:p>
        </w:tc>
      </w:tr>
      <w:tr>
        <w:trPr>
          <w:trHeight w:val="186"/>
        </w:trPr>
        <w:tc>
          <w:tcPr>
            <w:tcW w:w="7740" w:type="dxa"/>
            <w:vAlign w:val="bottom"/>
          </w:tcPr>
          <w:p>
            <w:pPr>
              <w:ind w:left="160"/>
              <w:spacing w:after="0"/>
              <w:rPr>
                <w:sz w:val="20"/>
                <w:szCs w:val="20"/>
                <w:color w:val="auto"/>
              </w:rPr>
            </w:pPr>
            <w:r>
              <w:rPr>
                <w:rFonts w:ascii="Calibri" w:cs="Calibri" w:eastAsia="Calibri" w:hAnsi="Calibri"/>
                <w:sz w:val="15"/>
                <w:szCs w:val="15"/>
                <w:color w:val="auto"/>
              </w:rPr>
              <w:t>Cash paid for asset acquisiton</w:t>
            </w:r>
          </w:p>
        </w:tc>
        <w:tc>
          <w:tcPr>
            <w:tcW w:w="110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(27 )</w:t>
            </w:r>
          </w:p>
        </w:tc>
        <w:tc>
          <w:tcPr>
            <w:tcW w:w="1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r>
      <w:tr>
        <w:trPr>
          <w:trHeight w:val="20"/>
        </w:trPr>
        <w:tc>
          <w:tcPr>
            <w:tcW w:w="7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600"/>
              <w:spacing w:after="0"/>
              <w:rPr>
                <w:sz w:val="20"/>
                <w:szCs w:val="20"/>
                <w:color w:val="auto"/>
              </w:rPr>
            </w:pPr>
            <w:r>
              <w:rPr>
                <w:rFonts w:ascii="Calibri" w:cs="Calibri" w:eastAsia="Calibri" w:hAnsi="Calibri"/>
                <w:sz w:val="15"/>
                <w:szCs w:val="15"/>
                <w:color w:val="auto"/>
              </w:rPr>
              <w:t>Cash provided by (used in) investng actvites</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(104 )</w:t>
            </w:r>
          </w:p>
        </w:tc>
        <w:tc>
          <w:tcPr>
            <w:tcW w:w="1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(54 )</w:t>
            </w:r>
          </w:p>
        </w:tc>
      </w:tr>
      <w:tr>
        <w:trPr>
          <w:trHeight w:val="183"/>
        </w:trPr>
        <w:tc>
          <w:tcPr>
            <w:tcW w:w="7740" w:type="dxa"/>
            <w:vAlign w:val="bottom"/>
            <w:tcBorders>
              <w:top w:val="single" w:sz="8" w:color="CFF0FC"/>
            </w:tcBorders>
          </w:tcPr>
          <w:p>
            <w:pPr>
              <w:ind w:left="20"/>
              <w:spacing w:after="0"/>
              <w:rPr>
                <w:sz w:val="20"/>
                <w:szCs w:val="20"/>
                <w:color w:val="auto"/>
              </w:rPr>
            </w:pPr>
            <w:r>
              <w:rPr>
                <w:rFonts w:ascii="Calibri" w:cs="Calibri" w:eastAsia="Calibri" w:hAnsi="Calibri"/>
                <w:sz w:val="15"/>
                <w:szCs w:val="15"/>
                <w:b w:val="1"/>
                <w:bCs w:val="1"/>
                <w:color w:val="auto"/>
              </w:rPr>
              <w:t>Cash Flows from Financing Actvites:</w:t>
            </w: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92"/>
        </w:trPr>
        <w:tc>
          <w:tcPr>
            <w:tcW w:w="774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Proceeds from issuance (repayments) of commercial paper, net</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55</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32</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160"/>
              <w:spacing w:after="0"/>
              <w:rPr>
                <w:sz w:val="20"/>
                <w:szCs w:val="20"/>
                <w:color w:val="auto"/>
              </w:rPr>
            </w:pPr>
            <w:r>
              <w:rPr>
                <w:rFonts w:ascii="Calibri" w:cs="Calibri" w:eastAsia="Calibri" w:hAnsi="Calibri"/>
                <w:sz w:val="15"/>
                <w:szCs w:val="15"/>
                <w:color w:val="auto"/>
              </w:rPr>
              <w:t>Proceeds from long-term debt</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r>
      <w:tr>
        <w:trPr>
          <w:trHeight w:val="192"/>
        </w:trPr>
        <w:tc>
          <w:tcPr>
            <w:tcW w:w="774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Repayments of long-term debt</w:t>
            </w:r>
          </w:p>
        </w:tc>
        <w:tc>
          <w:tcPr>
            <w:tcW w:w="1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(1 )</w:t>
            </w: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(1 )</w:t>
            </w:r>
          </w:p>
        </w:tc>
      </w:tr>
      <w:tr>
        <w:trPr>
          <w:trHeight w:val="186"/>
        </w:trPr>
        <w:tc>
          <w:tcPr>
            <w:tcW w:w="7740" w:type="dxa"/>
            <w:vAlign w:val="bottom"/>
          </w:tcPr>
          <w:p>
            <w:pPr>
              <w:ind w:left="160"/>
              <w:spacing w:after="0"/>
              <w:rPr>
                <w:sz w:val="20"/>
                <w:szCs w:val="20"/>
                <w:color w:val="auto"/>
              </w:rPr>
            </w:pPr>
            <w:r>
              <w:rPr>
                <w:rFonts w:ascii="Calibri" w:cs="Calibri" w:eastAsia="Calibri" w:hAnsi="Calibri"/>
                <w:sz w:val="15"/>
                <w:szCs w:val="15"/>
                <w:color w:val="auto"/>
              </w:rPr>
              <w:t>Purchases of common stock</w:t>
            </w:r>
          </w:p>
        </w:tc>
        <w:tc>
          <w:tcPr>
            <w:tcW w:w="110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(42 )</w:t>
            </w:r>
          </w:p>
        </w:tc>
        <w:tc>
          <w:tcPr>
            <w:tcW w:w="11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(33 )</w:t>
            </w:r>
          </w:p>
        </w:tc>
      </w:tr>
      <w:tr>
        <w:trPr>
          <w:trHeight w:val="192"/>
        </w:trPr>
        <w:tc>
          <w:tcPr>
            <w:tcW w:w="774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Proceeds from sales of common stock</w:t>
            </w:r>
          </w:p>
        </w:tc>
        <w:tc>
          <w:tcPr>
            <w:tcW w:w="1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160"/>
              <w:spacing w:after="0"/>
              <w:rPr>
                <w:sz w:val="20"/>
                <w:szCs w:val="20"/>
                <w:color w:val="auto"/>
              </w:rPr>
            </w:pPr>
            <w:r>
              <w:rPr>
                <w:rFonts w:ascii="Calibri" w:cs="Calibri" w:eastAsia="Calibri" w:hAnsi="Calibri"/>
                <w:sz w:val="15"/>
                <w:szCs w:val="15"/>
                <w:color w:val="auto"/>
              </w:rPr>
              <w:t>Cash dividends paid to noncontrolling interests</w:t>
            </w:r>
          </w:p>
        </w:tc>
        <w:tc>
          <w:tcPr>
            <w:tcW w:w="1100" w:type="dxa"/>
            <w:vAlign w:val="bottom"/>
          </w:tcPr>
          <w:p>
            <w:pPr>
              <w:spacing w:after="0"/>
              <w:rPr>
                <w:sz w:val="16"/>
                <w:szCs w:val="16"/>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(20 )</w:t>
            </w:r>
          </w:p>
        </w:tc>
        <w:tc>
          <w:tcPr>
            <w:tcW w:w="11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(12 )</w:t>
            </w:r>
          </w:p>
        </w:tc>
      </w:tr>
      <w:tr>
        <w:trPr>
          <w:trHeight w:val="189"/>
        </w:trPr>
        <w:tc>
          <w:tcPr>
            <w:tcW w:w="774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Cash dividends paid to common stockholders</w:t>
            </w:r>
          </w:p>
        </w:tc>
        <w:tc>
          <w:tcPr>
            <w:tcW w:w="1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(24 )</w:t>
            </w: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(22 )</w:t>
            </w: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40" w:type="dxa"/>
            <w:vAlign w:val="bottom"/>
          </w:tcPr>
          <w:p>
            <w:pPr>
              <w:ind w:left="600"/>
              <w:spacing w:after="0"/>
              <w:rPr>
                <w:sz w:val="20"/>
                <w:szCs w:val="20"/>
                <w:color w:val="auto"/>
              </w:rPr>
            </w:pPr>
            <w:r>
              <w:rPr>
                <w:rFonts w:ascii="Calibri" w:cs="Calibri" w:eastAsia="Calibri" w:hAnsi="Calibri"/>
                <w:sz w:val="15"/>
                <w:szCs w:val="15"/>
                <w:color w:val="auto"/>
              </w:rPr>
              <w:t>Cash provided by (used in) fnancing actvites</w:t>
            </w:r>
          </w:p>
        </w:tc>
        <w:tc>
          <w:tcPr>
            <w:tcW w:w="110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(24 )</w:t>
            </w:r>
          </w:p>
        </w:tc>
        <w:tc>
          <w:tcPr>
            <w:tcW w:w="11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(29 )</w:t>
            </w:r>
          </w:p>
        </w:tc>
      </w:tr>
      <w:tr>
        <w:trPr>
          <w:trHeight w:val="20"/>
        </w:trPr>
        <w:tc>
          <w:tcPr>
            <w:tcW w:w="7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Efects of exchange rate changes on cash</w:t>
            </w:r>
          </w:p>
        </w:tc>
        <w:tc>
          <w:tcPr>
            <w:tcW w:w="1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Calibri" w:cs="Calibri" w:eastAsia="Calibri" w:hAnsi="Calibri"/>
                <w:sz w:val="15"/>
                <w:szCs w:val="15"/>
                <w:color w:val="auto"/>
              </w:rPr>
              <w:t>(36 )</w:t>
            </w:r>
          </w:p>
        </w:tc>
        <w:tc>
          <w:tcPr>
            <w:tcW w:w="1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(16 )</w:t>
            </w: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40" w:type="dxa"/>
            <w:vAlign w:val="bottom"/>
          </w:tcPr>
          <w:p>
            <w:pPr>
              <w:ind w:left="20"/>
              <w:spacing w:after="0"/>
              <w:rPr>
                <w:sz w:val="20"/>
                <w:szCs w:val="20"/>
                <w:color w:val="auto"/>
              </w:rPr>
            </w:pPr>
            <w:r>
              <w:rPr>
                <w:rFonts w:ascii="Calibri" w:cs="Calibri" w:eastAsia="Calibri" w:hAnsi="Calibri"/>
                <w:sz w:val="15"/>
                <w:szCs w:val="15"/>
                <w:color w:val="auto"/>
              </w:rPr>
              <w:t>Increase (decrease) in cash and cash equivalents</w:t>
            </w:r>
          </w:p>
        </w:tc>
        <w:tc>
          <w:tcPr>
            <w:tcW w:w="110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Calibri" w:cs="Calibri" w:eastAsia="Calibri" w:hAnsi="Calibri"/>
                <w:sz w:val="15"/>
                <w:szCs w:val="15"/>
                <w:color w:val="auto"/>
              </w:rPr>
              <w:t>(40 )</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Pr>
          <w:p>
            <w:pPr>
              <w:spacing w:after="0"/>
              <w:rPr>
                <w:sz w:val="15"/>
                <w:szCs w:val="15"/>
                <w:color w:val="auto"/>
              </w:rPr>
            </w:pP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Cash and cash equivalents at beginning of period</w:t>
            </w:r>
          </w:p>
        </w:tc>
        <w:tc>
          <w:tcPr>
            <w:tcW w:w="11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223</w:t>
            </w:r>
          </w:p>
        </w:tc>
        <w:tc>
          <w:tcPr>
            <w:tcW w:w="2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238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6"/>
        </w:trPr>
        <w:tc>
          <w:tcPr>
            <w:tcW w:w="7740" w:type="dxa"/>
            <w:vAlign w:val="bottom"/>
          </w:tcPr>
          <w:p>
            <w:pPr>
              <w:ind w:left="20"/>
              <w:spacing w:after="0"/>
              <w:rPr>
                <w:sz w:val="20"/>
                <w:szCs w:val="20"/>
                <w:color w:val="auto"/>
              </w:rPr>
            </w:pPr>
            <w:r>
              <w:rPr>
                <w:rFonts w:ascii="Calibri" w:cs="Calibri" w:eastAsia="Calibri" w:hAnsi="Calibri"/>
                <w:sz w:val="15"/>
                <w:szCs w:val="15"/>
                <w:color w:val="auto"/>
              </w:rPr>
              <w:t>Cash and cash equivalents at end of period</w:t>
            </w:r>
          </w:p>
        </w:tc>
        <w:tc>
          <w:tcPr>
            <w:tcW w:w="1100" w:type="dxa"/>
            <w:vAlign w:val="bottom"/>
            <w:tcBorders>
              <w:bottom w:val="single" w:sz="8" w:color="auto"/>
            </w:tcBorders>
          </w:tcPr>
          <w:p>
            <w:pPr>
              <w:jc w:val="right"/>
              <w:ind w:right="924"/>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183</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ind w:right="944"/>
              <w:spacing w:after="0"/>
              <w:rPr>
                <w:sz w:val="20"/>
                <w:szCs w:val="20"/>
                <w:color w:val="auto"/>
              </w:rPr>
            </w:pPr>
            <w:r>
              <w:rPr>
                <w:rFonts w:ascii="Calibri" w:cs="Calibri" w:eastAsia="Calibri" w:hAnsi="Calibri"/>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244</w:t>
            </w:r>
          </w:p>
        </w:tc>
        <w:tc>
          <w:tcPr>
            <w:tcW w:w="100" w:type="dxa"/>
            <w:vAlign w:val="bottom"/>
          </w:tcPr>
          <w:p>
            <w:pPr>
              <w:spacing w:after="0"/>
              <w:rPr>
                <w:sz w:val="16"/>
                <w:szCs w:val="16"/>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-402590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2860"/>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Accumulate</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Total Cabot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520" w:type="dxa"/>
            <w:vAlign w:val="bottom"/>
            <w:gridSpan w:val="4"/>
            <w:vMerge w:val="restart"/>
          </w:tcPr>
          <w:p>
            <w:pPr>
              <w:jc w:val="right"/>
              <w:ind w:right="34"/>
              <w:spacing w:after="0"/>
              <w:rPr>
                <w:sz w:val="20"/>
                <w:szCs w:val="20"/>
                <w:color w:val="auto"/>
              </w:rPr>
            </w:pPr>
            <w:r>
              <w:rPr>
                <w:rFonts w:ascii="Calibri" w:cs="Calibri" w:eastAsia="Calibri" w:hAnsi="Calibri"/>
                <w:sz w:val="14"/>
                <w:szCs w:val="14"/>
                <w:b w:val="1"/>
                <w:bCs w:val="1"/>
                <w:color w:val="auto"/>
              </w:rPr>
              <w:t>Common Stock, Net of</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d Other</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160"/>
              <w:spacing w:after="0" w:line="168" w:lineRule="exact"/>
              <w:rPr>
                <w:sz w:val="20"/>
                <w:szCs w:val="20"/>
                <w:color w:val="auto"/>
              </w:rPr>
            </w:pPr>
            <w:r>
              <w:rPr>
                <w:rFonts w:ascii="Calibri" w:cs="Calibri" w:eastAsia="Calibri" w:hAnsi="Calibri"/>
                <w:sz w:val="14"/>
                <w:szCs w:val="14"/>
                <w:b w:val="1"/>
                <w:bCs w:val="1"/>
                <w:color w:val="auto"/>
              </w:rPr>
              <w:t>Additonal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line="168" w:lineRule="exact"/>
              <w:rPr>
                <w:sz w:val="20"/>
                <w:szCs w:val="20"/>
                <w:color w:val="auto"/>
              </w:rPr>
            </w:pPr>
            <w:r>
              <w:rPr>
                <w:rFonts w:ascii="Calibri" w:cs="Calibri" w:eastAsia="Calibri" w:hAnsi="Calibri"/>
                <w:sz w:val="14"/>
                <w:szCs w:val="14"/>
                <w:b w:val="1"/>
                <w:bCs w:val="1"/>
                <w:color w:val="auto"/>
              </w:rPr>
              <w:t>Comprehen</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Stockholder</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w:t>
            </w:r>
          </w:p>
        </w:tc>
        <w:tc>
          <w:tcPr>
            <w:tcW w:w="90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234"/>
              <w:spacing w:after="0"/>
              <w:rPr>
                <w:sz w:val="20"/>
                <w:szCs w:val="20"/>
                <w:color w:val="auto"/>
              </w:rPr>
            </w:pPr>
            <w:r>
              <w:rPr>
                <w:rFonts w:ascii="Calibri" w:cs="Calibri" w:eastAsia="Calibri" w:hAnsi="Calibri"/>
                <w:sz w:val="14"/>
                <w:szCs w:val="14"/>
                <w:b w:val="1"/>
                <w:bCs w:val="1"/>
                <w:color w:val="auto"/>
              </w:rPr>
              <w:t>Treasury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w w:val="98"/>
              </w:rPr>
              <w:t>Paid-in</w:t>
            </w:r>
          </w:p>
        </w:tc>
        <w:tc>
          <w:tcPr>
            <w:tcW w:w="100" w:type="dxa"/>
            <w:vAlign w:val="bottom"/>
          </w:tcPr>
          <w:p>
            <w:pPr>
              <w:spacing w:after="0"/>
              <w:rPr>
                <w:sz w:val="15"/>
                <w:szCs w:val="15"/>
                <w:color w:val="auto"/>
              </w:rPr>
            </w:pPr>
          </w:p>
        </w:tc>
        <w:tc>
          <w:tcPr>
            <w:tcW w:w="940" w:type="dxa"/>
            <w:vAlign w:val="bottom"/>
            <w:gridSpan w:val="3"/>
          </w:tcPr>
          <w:p>
            <w:pPr>
              <w:jc w:val="right"/>
              <w:ind w:right="248"/>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w w:val="96"/>
              </w:rPr>
              <w:t>sive</w:t>
            </w:r>
          </w:p>
        </w:tc>
        <w:tc>
          <w:tcPr>
            <w:tcW w:w="160" w:type="dxa"/>
            <w:vAlign w:val="bottom"/>
          </w:tcPr>
          <w:p>
            <w:pPr>
              <w:spacing w:after="0"/>
              <w:rPr>
                <w:sz w:val="15"/>
                <w:szCs w:val="15"/>
                <w:color w:val="auto"/>
              </w:rPr>
            </w:pPr>
          </w:p>
        </w:tc>
        <w:tc>
          <w:tcPr>
            <w:tcW w:w="82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s’</w:t>
            </w:r>
          </w:p>
        </w:tc>
        <w:tc>
          <w:tcPr>
            <w:tcW w:w="120" w:type="dxa"/>
            <w:vAlign w:val="bottom"/>
          </w:tcPr>
          <w:p>
            <w:pPr>
              <w:spacing w:after="0"/>
              <w:rPr>
                <w:sz w:val="15"/>
                <w:szCs w:val="15"/>
                <w:color w:val="auto"/>
              </w:rPr>
            </w:pPr>
          </w:p>
        </w:tc>
        <w:tc>
          <w:tcPr>
            <w:tcW w:w="86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ing</w:t>
            </w:r>
          </w:p>
        </w:tc>
        <w:tc>
          <w:tcPr>
            <w:tcW w:w="1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380"/>
              <w:spacing w:after="0" w:line="156" w:lineRule="exact"/>
              <w:rPr>
                <w:sz w:val="20"/>
                <w:szCs w:val="20"/>
                <w:color w:val="auto"/>
              </w:rPr>
            </w:pPr>
            <w:r>
              <w:rPr>
                <w:rFonts w:ascii="Calibri" w:cs="Calibri" w:eastAsia="Calibri" w:hAnsi="Calibri"/>
                <w:sz w:val="14"/>
                <w:szCs w:val="14"/>
                <w:b w:val="1"/>
                <w:bCs w:val="1"/>
                <w:color w:val="auto"/>
              </w:rPr>
              <w:t>Income</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Calibri" w:cs="Calibri" w:eastAsia="Calibri" w:hAnsi="Calibri"/>
                <w:sz w:val="14"/>
                <w:szCs w:val="14"/>
                <w:b w:val="1"/>
                <w:bCs w:val="1"/>
                <w:color w:val="auto"/>
                <w:w w:val="94"/>
              </w:rPr>
              <w:t>Cost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w w:val="98"/>
              </w:rPr>
              <w:t>Capital</w:t>
            </w:r>
          </w:p>
        </w:tc>
        <w:tc>
          <w:tcPr>
            <w:tcW w:w="100" w:type="dxa"/>
            <w:vAlign w:val="bottom"/>
          </w:tcPr>
          <w:p>
            <w:pPr>
              <w:spacing w:after="0"/>
              <w:rPr>
                <w:sz w:val="16"/>
                <w:szCs w:val="16"/>
                <w:color w:val="auto"/>
              </w:rPr>
            </w:pPr>
          </w:p>
        </w:tc>
        <w:tc>
          <w:tcPr>
            <w:tcW w:w="940" w:type="dxa"/>
            <w:vAlign w:val="bottom"/>
            <w:gridSpan w:val="3"/>
          </w:tcPr>
          <w:p>
            <w:pPr>
              <w:jc w:val="right"/>
              <w:ind w:right="26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(Loss)</w:t>
            </w:r>
          </w:p>
        </w:tc>
        <w:tc>
          <w:tcPr>
            <w:tcW w:w="16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Equity</w:t>
            </w:r>
          </w:p>
        </w:tc>
        <w:tc>
          <w:tcPr>
            <w:tcW w:w="12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w w:val="97"/>
              </w:rPr>
              <w:t>Interests</w:t>
            </w:r>
          </w:p>
        </w:tc>
        <w:tc>
          <w:tcPr>
            <w:tcW w:w="160" w:type="dxa"/>
            <w:vAlign w:val="bottom"/>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360" w:type="dxa"/>
            <w:vAlign w:val="bottom"/>
            <w:tcBorders>
              <w:top w:val="single" w:sz="8" w:color="auto"/>
              <w:bottom w:val="single" w:sz="8" w:color="auto"/>
            </w:tcBorders>
            <w:gridSpan w:val="5"/>
          </w:tcPr>
          <w:p>
            <w:pPr>
              <w:spacing w:after="0"/>
              <w:rPr>
                <w:sz w:val="20"/>
                <w:szCs w:val="20"/>
                <w:color w:val="auto"/>
              </w:rPr>
            </w:pPr>
            <w:r>
              <w:rPr>
                <w:rFonts w:ascii="Calibri" w:cs="Calibri" w:eastAsia="Calibri" w:hAnsi="Calibri"/>
                <w:sz w:val="14"/>
                <w:szCs w:val="14"/>
                <w:b w:val="1"/>
                <w:bCs w:val="1"/>
                <w:color w:val="auto"/>
              </w:rPr>
              <w:t>except share amounts)</w:t>
            </w:r>
          </w:p>
        </w:tc>
        <w:tc>
          <w:tcPr>
            <w:tcW w:w="60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Balance at September 30, 2024</w:t>
            </w:r>
          </w:p>
        </w:tc>
        <w:tc>
          <w:tcPr>
            <w:tcW w:w="76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54,297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87"/>
              </w:rPr>
              <w:t>$</w:t>
            </w:r>
          </w:p>
        </w:tc>
        <w:tc>
          <w:tcPr>
            <w:tcW w:w="4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51</w:t>
            </w:r>
          </w:p>
        </w:tc>
        <w:tc>
          <w:tcPr>
            <w:tcW w:w="340" w:type="dxa"/>
            <w:vAlign w:val="bottom"/>
            <w:gridSpan w:val="2"/>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700" w:type="dxa"/>
            <w:vAlign w:val="bottom"/>
            <w:gridSpan w:val="2"/>
            <w:shd w:val="clear" w:color="auto" w:fill="CFF0FC"/>
          </w:tcPr>
          <w:p>
            <w:pPr>
              <w:jc w:val="right"/>
              <w:ind w:right="140"/>
              <w:spacing w:after="0" w:line="212" w:lineRule="exact"/>
              <w:rPr>
                <w:sz w:val="20"/>
                <w:szCs w:val="20"/>
                <w:color w:val="auto"/>
              </w:rPr>
            </w:pPr>
            <w:r>
              <w:rPr>
                <w:rFonts w:ascii="Calibri" w:cs="Calibri" w:eastAsia="Calibri" w:hAnsi="Calibri"/>
                <w:sz w:val="18"/>
                <w:szCs w:val="18"/>
                <w:color w:val="auto"/>
              </w:rPr>
              <w:t>—</w:t>
            </w:r>
          </w:p>
        </w:tc>
        <w:tc>
          <w:tcPr>
            <w:tcW w:w="300" w:type="dxa"/>
            <w:vAlign w:val="bottom"/>
            <w:gridSpan w:val="2"/>
            <w:shd w:val="clear" w:color="auto" w:fill="CFF0FC"/>
          </w:tcPr>
          <w:p>
            <w:pPr>
              <w:jc w:val="right"/>
              <w:ind w:right="22"/>
              <w:spacing w:after="0" w:line="212" w:lineRule="exact"/>
              <w:rPr>
                <w:sz w:val="20"/>
                <w:szCs w:val="20"/>
                <w:color w:val="auto"/>
              </w:rPr>
            </w:pPr>
            <w:r>
              <w:rPr>
                <w:rFonts w:ascii="Calibri" w:cs="Calibri" w:eastAsia="Calibri" w:hAnsi="Calibri"/>
                <w:sz w:val="18"/>
                <w:szCs w:val="18"/>
                <w:color w:val="auto"/>
              </w:rPr>
              <w:t>$</w:t>
            </w:r>
          </w:p>
        </w:tc>
        <w:tc>
          <w:tcPr>
            <w:tcW w:w="5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1,734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87"/>
              </w:rPr>
              <w:t>$</w:t>
            </w:r>
          </w:p>
        </w:tc>
        <w:tc>
          <w:tcPr>
            <w:tcW w:w="860" w:type="dxa"/>
            <w:vAlign w:val="bottom"/>
            <w:gridSpan w:val="2"/>
            <w:shd w:val="clear" w:color="auto" w:fill="CFF0FC"/>
          </w:tcPr>
          <w:p>
            <w:pPr>
              <w:jc w:val="right"/>
              <w:ind w:right="140"/>
              <w:spacing w:after="0" w:line="212" w:lineRule="exact"/>
              <w:rPr>
                <w:sz w:val="20"/>
                <w:szCs w:val="20"/>
                <w:color w:val="auto"/>
              </w:rPr>
            </w:pPr>
            <w:r>
              <w:rPr>
                <w:rFonts w:ascii="Calibri" w:cs="Calibri" w:eastAsia="Calibri" w:hAnsi="Calibri"/>
                <w:sz w:val="18"/>
                <w:szCs w:val="18"/>
                <w:color w:val="auto"/>
              </w:rPr>
              <w:t>(360 )</w:t>
            </w:r>
          </w:p>
        </w:tc>
        <w:tc>
          <w:tcPr>
            <w:tcW w:w="16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1,425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Total other comprehensive income (loss)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(97 )</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(97 )</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(7 )</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(104 )</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Common stock, $0.43 per share</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(24 )</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(24 )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(24 )</w:t>
            </w:r>
          </w:p>
        </w:tc>
        <w:tc>
          <w:tcPr>
            <w:tcW w:w="0" w:type="dxa"/>
            <w:vAlign w:val="bottom"/>
          </w:tcPr>
          <w:p>
            <w:pPr>
              <w:spacing w:after="0"/>
              <w:rPr>
                <w:sz w:val="1"/>
                <w:szCs w:val="1"/>
                <w:color w:val="auto"/>
              </w:rPr>
            </w:pPr>
          </w:p>
        </w:tc>
      </w:tr>
      <w:tr>
        <w:trPr>
          <w:trHeight w:val="194"/>
        </w:trPr>
        <w:tc>
          <w:tcPr>
            <w:tcW w:w="3800" w:type="dxa"/>
            <w:vAlign w:val="bottom"/>
          </w:tcPr>
          <w:p>
            <w:pPr>
              <w:ind w:left="20"/>
              <w:spacing w:after="0" w:line="194" w:lineRule="exact"/>
              <w:rPr>
                <w:sz w:val="20"/>
                <w:szCs w:val="20"/>
                <w:color w:val="auto"/>
              </w:rPr>
            </w:pPr>
            <w:r>
              <w:rPr>
                <w:rFonts w:ascii="Calibri" w:cs="Calibri" w:eastAsia="Calibri" w:hAnsi="Calibri"/>
                <w:sz w:val="18"/>
                <w:szCs w:val="18"/>
                <w:color w:val="auto"/>
              </w:rPr>
              <w:t>Cash dividends declared to noncontrolling</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(20 )</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(20 )</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Issuance of stock under equity compensaton</w:t>
            </w: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plans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Purchase and retrement of common stock</w:t>
            </w:r>
          </w:p>
        </w:tc>
        <w:tc>
          <w:tcPr>
            <w:tcW w:w="98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(390 )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(10 )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(31 )</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(41 )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(41 )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20"/>
              <w:spacing w:after="0" w:line="210" w:lineRule="exact"/>
              <w:rPr>
                <w:sz w:val="20"/>
                <w:szCs w:val="20"/>
                <w:color w:val="auto"/>
              </w:rPr>
            </w:pPr>
            <w:r>
              <w:rPr>
                <w:rFonts w:ascii="Calibri" w:cs="Calibri" w:eastAsia="Calibri" w:hAnsi="Calibri"/>
                <w:sz w:val="18"/>
                <w:szCs w:val="18"/>
                <w:color w:val="auto"/>
              </w:rPr>
              <w:t>Balance at December 31, 2024</w:t>
            </w:r>
          </w:p>
        </w:tc>
        <w:tc>
          <w:tcPr>
            <w:tcW w:w="760" w:type="dxa"/>
            <w:vAlign w:val="bottom"/>
          </w:tcPr>
          <w:p>
            <w:pPr>
              <w:jc w:val="right"/>
              <w:spacing w:after="0" w:line="210" w:lineRule="exact"/>
              <w:rPr>
                <w:sz w:val="20"/>
                <w:szCs w:val="20"/>
                <w:color w:val="auto"/>
              </w:rPr>
            </w:pPr>
            <w:r>
              <w:rPr>
                <w:rFonts w:ascii="Calibri" w:cs="Calibri" w:eastAsia="Calibri" w:hAnsi="Calibri"/>
                <w:sz w:val="18"/>
                <w:szCs w:val="18"/>
                <w:color w:val="auto"/>
              </w:rPr>
              <w:t>54,215</w:t>
            </w:r>
          </w:p>
        </w:tc>
        <w:tc>
          <w:tcPr>
            <w:tcW w:w="2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tcPr>
          <w:p>
            <w:pPr>
              <w:jc w:val="right"/>
              <w:spacing w:after="0" w:line="210" w:lineRule="exact"/>
              <w:rPr>
                <w:sz w:val="20"/>
                <w:szCs w:val="20"/>
                <w:color w:val="auto"/>
              </w:rPr>
            </w:pPr>
            <w:r>
              <w:rPr>
                <w:rFonts w:ascii="Calibri" w:cs="Calibri" w:eastAsia="Calibri" w:hAnsi="Calibri"/>
                <w:sz w:val="18"/>
                <w:szCs w:val="18"/>
                <w:color w:val="auto"/>
              </w:rPr>
              <w:t>51</w:t>
            </w:r>
          </w:p>
        </w:tc>
        <w:tc>
          <w:tcPr>
            <w:tcW w:w="20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2"/>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1,772</w:t>
            </w:r>
          </w:p>
        </w:tc>
        <w:tc>
          <w:tcPr>
            <w:tcW w:w="2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(457 )</w:t>
            </w:r>
          </w:p>
        </w:tc>
        <w:tc>
          <w:tcPr>
            <w:tcW w:w="160" w:type="dxa"/>
            <w:vAlign w:val="bottom"/>
          </w:tcPr>
          <w:p>
            <w:pPr>
              <w:ind w:left="20"/>
              <w:spacing w:after="0" w:line="210"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0" w:lineRule="exact"/>
              <w:rPr>
                <w:sz w:val="20"/>
                <w:szCs w:val="20"/>
                <w:color w:val="auto"/>
              </w:rPr>
            </w:pPr>
            <w:r>
              <w:rPr>
                <w:rFonts w:ascii="Calibri" w:cs="Calibri" w:eastAsia="Calibri" w:hAnsi="Calibri"/>
                <w:sz w:val="18"/>
                <w:szCs w:val="18"/>
                <w:color w:val="auto"/>
              </w:rPr>
              <w:t>1,366</w:t>
            </w:r>
          </w:p>
        </w:tc>
        <w:tc>
          <w:tcPr>
            <w:tcW w:w="220" w:type="dxa"/>
            <w:vAlign w:val="bottom"/>
          </w:tcPr>
          <w:p>
            <w:pPr>
              <w:spacing w:after="0"/>
              <w:rPr>
                <w:sz w:val="18"/>
                <w:szCs w:val="18"/>
                <w:color w:val="auto"/>
              </w:rPr>
            </w:pPr>
          </w:p>
        </w:tc>
        <w:tc>
          <w:tcPr>
            <w:tcW w:w="120" w:type="dxa"/>
            <w:vAlign w:val="bottom"/>
          </w:tcPr>
          <w:p>
            <w:pPr>
              <w:ind w:left="20"/>
              <w:spacing w:after="0" w:line="210"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10" w:lineRule="exact"/>
              <w:rPr>
                <w:sz w:val="20"/>
                <w:szCs w:val="20"/>
                <w:color w:val="auto"/>
              </w:rPr>
            </w:pPr>
            <w:r>
              <w:rPr>
                <w:rFonts w:ascii="Calibri" w:cs="Calibri" w:eastAsia="Calibri" w:hAnsi="Calibri"/>
                <w:sz w:val="18"/>
                <w:szCs w:val="18"/>
                <w:color w:val="auto"/>
              </w:rPr>
              <w:t>149</w:t>
            </w:r>
          </w:p>
        </w:tc>
        <w:tc>
          <w:tcPr>
            <w:tcW w:w="200" w:type="dxa"/>
            <w:vAlign w:val="bottom"/>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0" w:lineRule="exact"/>
              <w:rPr>
                <w:sz w:val="20"/>
                <w:szCs w:val="20"/>
                <w:color w:val="auto"/>
              </w:rPr>
            </w:pPr>
            <w:r>
              <w:rPr>
                <w:rFonts w:ascii="Calibri" w:cs="Calibri" w:eastAsia="Calibri" w:hAnsi="Calibri"/>
                <w:sz w:val="18"/>
                <w:szCs w:val="18"/>
                <w:color w:val="auto"/>
              </w:rPr>
              <w:t>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-170815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CHANGES IN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Accumulate</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Total Cabot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520" w:type="dxa"/>
            <w:vAlign w:val="bottom"/>
            <w:gridSpan w:val="4"/>
            <w:vMerge w:val="restart"/>
          </w:tcPr>
          <w:p>
            <w:pPr>
              <w:jc w:val="right"/>
              <w:ind w:right="34"/>
              <w:spacing w:after="0"/>
              <w:rPr>
                <w:sz w:val="20"/>
                <w:szCs w:val="20"/>
                <w:color w:val="auto"/>
              </w:rPr>
            </w:pPr>
            <w:r>
              <w:rPr>
                <w:rFonts w:ascii="Calibri" w:cs="Calibri" w:eastAsia="Calibri" w:hAnsi="Calibri"/>
                <w:sz w:val="14"/>
                <w:szCs w:val="14"/>
                <w:b w:val="1"/>
                <w:bCs w:val="1"/>
                <w:color w:val="auto"/>
              </w:rPr>
              <w:t>Common Stock, Net of</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d Other</w:t>
            </w:r>
          </w:p>
        </w:tc>
        <w:tc>
          <w:tcPr>
            <w:tcW w:w="9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Corporaton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160"/>
              <w:spacing w:after="0" w:line="168" w:lineRule="exact"/>
              <w:rPr>
                <w:sz w:val="20"/>
                <w:szCs w:val="20"/>
                <w:color w:val="auto"/>
              </w:rPr>
            </w:pPr>
            <w:r>
              <w:rPr>
                <w:rFonts w:ascii="Calibri" w:cs="Calibri" w:eastAsia="Calibri" w:hAnsi="Calibri"/>
                <w:sz w:val="14"/>
                <w:szCs w:val="14"/>
                <w:b w:val="1"/>
                <w:bCs w:val="1"/>
                <w:color w:val="auto"/>
              </w:rPr>
              <w:t>Additonal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line="168" w:lineRule="exact"/>
              <w:rPr>
                <w:sz w:val="20"/>
                <w:szCs w:val="20"/>
                <w:color w:val="auto"/>
              </w:rPr>
            </w:pPr>
            <w:r>
              <w:rPr>
                <w:rFonts w:ascii="Calibri" w:cs="Calibri" w:eastAsia="Calibri" w:hAnsi="Calibri"/>
                <w:sz w:val="14"/>
                <w:szCs w:val="14"/>
                <w:b w:val="1"/>
                <w:bCs w:val="1"/>
                <w:color w:val="auto"/>
              </w:rPr>
              <w:t>Comprehen</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Stockholder</w:t>
            </w:r>
          </w:p>
        </w:tc>
        <w:tc>
          <w:tcPr>
            <w:tcW w:w="98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Noncontroll</w:t>
            </w:r>
          </w:p>
        </w:tc>
        <w:tc>
          <w:tcPr>
            <w:tcW w:w="900" w:type="dxa"/>
            <w:vAlign w:val="bottom"/>
            <w:gridSpan w:val="3"/>
          </w:tcPr>
          <w:p>
            <w:pPr>
              <w:jc w:val="center"/>
              <w:ind w:right="100"/>
              <w:spacing w:after="0" w:line="168" w:lineRule="exact"/>
              <w:rPr>
                <w:sz w:val="20"/>
                <w:szCs w:val="20"/>
                <w:color w:val="auto"/>
              </w:rPr>
            </w:pPr>
            <w:r>
              <w:rPr>
                <w:rFonts w:ascii="Calibri" w:cs="Calibri" w:eastAsia="Calibri" w:hAnsi="Calibri"/>
                <w:sz w:val="14"/>
                <w:szCs w:val="14"/>
                <w:b w:val="1"/>
                <w:bCs w:val="1"/>
                <w:color w:val="auto"/>
              </w:rPr>
              <w:t>Stockholder</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234"/>
              <w:spacing w:after="0"/>
              <w:rPr>
                <w:sz w:val="20"/>
                <w:szCs w:val="20"/>
                <w:color w:val="auto"/>
              </w:rPr>
            </w:pPr>
            <w:r>
              <w:rPr>
                <w:rFonts w:ascii="Calibri" w:cs="Calibri" w:eastAsia="Calibri" w:hAnsi="Calibri"/>
                <w:sz w:val="14"/>
                <w:szCs w:val="14"/>
                <w:b w:val="1"/>
                <w:bCs w:val="1"/>
                <w:color w:val="auto"/>
              </w:rPr>
              <w:t>Treasury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w w:val="98"/>
              </w:rPr>
              <w:t>Paid-in</w:t>
            </w:r>
          </w:p>
        </w:tc>
        <w:tc>
          <w:tcPr>
            <w:tcW w:w="100" w:type="dxa"/>
            <w:vAlign w:val="bottom"/>
          </w:tcPr>
          <w:p>
            <w:pPr>
              <w:spacing w:after="0"/>
              <w:rPr>
                <w:sz w:val="15"/>
                <w:szCs w:val="15"/>
                <w:color w:val="auto"/>
              </w:rPr>
            </w:pPr>
          </w:p>
        </w:tc>
        <w:tc>
          <w:tcPr>
            <w:tcW w:w="940" w:type="dxa"/>
            <w:vAlign w:val="bottom"/>
            <w:gridSpan w:val="3"/>
          </w:tcPr>
          <w:p>
            <w:pPr>
              <w:jc w:val="right"/>
              <w:ind w:right="248"/>
              <w:spacing w:after="0"/>
              <w:rPr>
                <w:sz w:val="20"/>
                <w:szCs w:val="20"/>
                <w:color w:val="auto"/>
              </w:rPr>
            </w:pPr>
            <w:r>
              <w:rPr>
                <w:rFonts w:ascii="Calibri" w:cs="Calibri" w:eastAsia="Calibri" w:hAnsi="Calibri"/>
                <w:sz w:val="14"/>
                <w:szCs w:val="14"/>
                <w:b w:val="1"/>
                <w:bCs w:val="1"/>
                <w:color w:val="auto"/>
              </w:rPr>
              <w:t>Retained</w:t>
            </w: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w w:val="96"/>
              </w:rPr>
              <w:t>sive</w:t>
            </w:r>
          </w:p>
        </w:tc>
        <w:tc>
          <w:tcPr>
            <w:tcW w:w="160" w:type="dxa"/>
            <w:vAlign w:val="bottom"/>
          </w:tcPr>
          <w:p>
            <w:pPr>
              <w:spacing w:after="0"/>
              <w:rPr>
                <w:sz w:val="15"/>
                <w:szCs w:val="15"/>
                <w:color w:val="auto"/>
              </w:rPr>
            </w:pPr>
          </w:p>
        </w:tc>
        <w:tc>
          <w:tcPr>
            <w:tcW w:w="820" w:type="dxa"/>
            <w:vAlign w:val="bottom"/>
            <w:gridSpan w:val="2"/>
          </w:tcPr>
          <w:p>
            <w:pPr>
              <w:jc w:val="right"/>
              <w:ind w:right="560"/>
              <w:spacing w:after="0"/>
              <w:rPr>
                <w:sz w:val="20"/>
                <w:szCs w:val="20"/>
                <w:color w:val="auto"/>
              </w:rPr>
            </w:pPr>
            <w:r>
              <w:rPr>
                <w:rFonts w:ascii="Calibri" w:cs="Calibri" w:eastAsia="Calibri" w:hAnsi="Calibri"/>
                <w:sz w:val="14"/>
                <w:szCs w:val="14"/>
                <w:b w:val="1"/>
                <w:bCs w:val="1"/>
                <w:color w:val="auto"/>
              </w:rPr>
              <w:t>s’</w:t>
            </w:r>
          </w:p>
        </w:tc>
        <w:tc>
          <w:tcPr>
            <w:tcW w:w="120" w:type="dxa"/>
            <w:vAlign w:val="bottom"/>
          </w:tcPr>
          <w:p>
            <w:pPr>
              <w:spacing w:after="0"/>
              <w:rPr>
                <w:sz w:val="15"/>
                <w:szCs w:val="15"/>
                <w:color w:val="auto"/>
              </w:rPr>
            </w:pPr>
          </w:p>
        </w:tc>
        <w:tc>
          <w:tcPr>
            <w:tcW w:w="860" w:type="dxa"/>
            <w:vAlign w:val="bottom"/>
            <w:gridSpan w:val="2"/>
          </w:tcPr>
          <w:p>
            <w:pPr>
              <w:jc w:val="right"/>
              <w:ind w:right="500"/>
              <w:spacing w:after="0"/>
              <w:rPr>
                <w:sz w:val="20"/>
                <w:szCs w:val="20"/>
                <w:color w:val="auto"/>
              </w:rPr>
            </w:pPr>
            <w:r>
              <w:rPr>
                <w:rFonts w:ascii="Calibri" w:cs="Calibri" w:eastAsia="Calibri" w:hAnsi="Calibri"/>
                <w:sz w:val="14"/>
                <w:szCs w:val="14"/>
                <w:b w:val="1"/>
                <w:bCs w:val="1"/>
                <w:color w:val="auto"/>
              </w:rPr>
              <w:t>ing</w:t>
            </w:r>
          </w:p>
        </w:tc>
        <w:tc>
          <w:tcPr>
            <w:tcW w:w="1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s’</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380"/>
              <w:spacing w:after="0" w:line="156" w:lineRule="exact"/>
              <w:rPr>
                <w:sz w:val="20"/>
                <w:szCs w:val="20"/>
                <w:color w:val="auto"/>
              </w:rPr>
            </w:pPr>
            <w:r>
              <w:rPr>
                <w:rFonts w:ascii="Calibri" w:cs="Calibri" w:eastAsia="Calibri" w:hAnsi="Calibri"/>
                <w:sz w:val="14"/>
                <w:szCs w:val="14"/>
                <w:b w:val="1"/>
                <w:bCs w:val="1"/>
                <w:color w:val="auto"/>
              </w:rPr>
              <w:t>Income</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Calibri" w:cs="Calibri" w:eastAsia="Calibri" w:hAnsi="Calibri"/>
                <w:sz w:val="14"/>
                <w:szCs w:val="14"/>
                <w:b w:val="1"/>
                <w:bCs w:val="1"/>
                <w:color w:val="auto"/>
                <w:w w:val="94"/>
              </w:rPr>
              <w:t>Cost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w w:val="98"/>
              </w:rPr>
              <w:t>Capital</w:t>
            </w:r>
          </w:p>
        </w:tc>
        <w:tc>
          <w:tcPr>
            <w:tcW w:w="100" w:type="dxa"/>
            <w:vAlign w:val="bottom"/>
          </w:tcPr>
          <w:p>
            <w:pPr>
              <w:spacing w:after="0"/>
              <w:rPr>
                <w:sz w:val="16"/>
                <w:szCs w:val="16"/>
                <w:color w:val="auto"/>
              </w:rPr>
            </w:pPr>
          </w:p>
        </w:tc>
        <w:tc>
          <w:tcPr>
            <w:tcW w:w="940" w:type="dxa"/>
            <w:vAlign w:val="bottom"/>
            <w:gridSpan w:val="3"/>
          </w:tcPr>
          <w:p>
            <w:pPr>
              <w:jc w:val="right"/>
              <w:ind w:right="26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(Loss)</w:t>
            </w:r>
          </w:p>
        </w:tc>
        <w:tc>
          <w:tcPr>
            <w:tcW w:w="16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Equity</w:t>
            </w:r>
          </w:p>
        </w:tc>
        <w:tc>
          <w:tcPr>
            <w:tcW w:w="12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w w:val="97"/>
              </w:rPr>
              <w:t>Interests</w:t>
            </w:r>
          </w:p>
        </w:tc>
        <w:tc>
          <w:tcPr>
            <w:tcW w:w="160" w:type="dxa"/>
            <w:vAlign w:val="bottom"/>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360" w:type="dxa"/>
            <w:vAlign w:val="bottom"/>
            <w:tcBorders>
              <w:top w:val="single" w:sz="8" w:color="auto"/>
              <w:bottom w:val="single" w:sz="8" w:color="auto"/>
            </w:tcBorders>
            <w:gridSpan w:val="5"/>
          </w:tcPr>
          <w:p>
            <w:pPr>
              <w:spacing w:after="0"/>
              <w:rPr>
                <w:sz w:val="20"/>
                <w:szCs w:val="20"/>
                <w:color w:val="auto"/>
              </w:rPr>
            </w:pPr>
            <w:r>
              <w:rPr>
                <w:rFonts w:ascii="Calibri" w:cs="Calibri" w:eastAsia="Calibri" w:hAnsi="Calibri"/>
                <w:sz w:val="14"/>
                <w:szCs w:val="14"/>
                <w:b w:val="1"/>
                <w:bCs w:val="1"/>
                <w:color w:val="auto"/>
              </w:rPr>
              <w:t>except share amounts)</w:t>
            </w:r>
          </w:p>
        </w:tc>
        <w:tc>
          <w:tcPr>
            <w:tcW w:w="60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Balance at September 30, 2023</w:t>
            </w:r>
          </w:p>
        </w:tc>
        <w:tc>
          <w:tcPr>
            <w:tcW w:w="76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55,244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87"/>
              </w:rPr>
              <w:t>$</w:t>
            </w:r>
          </w:p>
        </w:tc>
        <w:tc>
          <w:tcPr>
            <w:tcW w:w="4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52</w:t>
            </w:r>
          </w:p>
        </w:tc>
        <w:tc>
          <w:tcPr>
            <w:tcW w:w="340" w:type="dxa"/>
            <w:vAlign w:val="bottom"/>
            <w:gridSpan w:val="2"/>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700" w:type="dxa"/>
            <w:vAlign w:val="bottom"/>
            <w:gridSpan w:val="2"/>
            <w:shd w:val="clear" w:color="auto" w:fill="CFF0FC"/>
          </w:tcPr>
          <w:p>
            <w:pPr>
              <w:jc w:val="right"/>
              <w:ind w:right="140"/>
              <w:spacing w:after="0" w:line="212" w:lineRule="exact"/>
              <w:rPr>
                <w:sz w:val="20"/>
                <w:szCs w:val="20"/>
                <w:color w:val="auto"/>
              </w:rPr>
            </w:pPr>
            <w:r>
              <w:rPr>
                <w:rFonts w:ascii="Calibri" w:cs="Calibri" w:eastAsia="Calibri" w:hAnsi="Calibri"/>
                <w:sz w:val="18"/>
                <w:szCs w:val="18"/>
                <w:color w:val="auto"/>
              </w:rPr>
              <w:t>—</w:t>
            </w:r>
          </w:p>
        </w:tc>
        <w:tc>
          <w:tcPr>
            <w:tcW w:w="300" w:type="dxa"/>
            <w:vAlign w:val="bottom"/>
            <w:gridSpan w:val="2"/>
            <w:shd w:val="clear" w:color="auto" w:fill="CFF0FC"/>
          </w:tcPr>
          <w:p>
            <w:pPr>
              <w:jc w:val="right"/>
              <w:ind w:right="22"/>
              <w:spacing w:after="0" w:line="212" w:lineRule="exact"/>
              <w:rPr>
                <w:sz w:val="20"/>
                <w:szCs w:val="20"/>
                <w:color w:val="auto"/>
              </w:rPr>
            </w:pPr>
            <w:r>
              <w:rPr>
                <w:rFonts w:ascii="Calibri" w:cs="Calibri" w:eastAsia="Calibri" w:hAnsi="Calibri"/>
                <w:sz w:val="18"/>
                <w:szCs w:val="18"/>
                <w:color w:val="auto"/>
              </w:rPr>
              <w:t>$</w:t>
            </w:r>
          </w:p>
        </w:tc>
        <w:tc>
          <w:tcPr>
            <w:tcW w:w="5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1,574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87"/>
              </w:rPr>
              <w:t>$</w:t>
            </w:r>
          </w:p>
        </w:tc>
        <w:tc>
          <w:tcPr>
            <w:tcW w:w="860" w:type="dxa"/>
            <w:vAlign w:val="bottom"/>
            <w:gridSpan w:val="2"/>
            <w:shd w:val="clear" w:color="auto" w:fill="CFF0FC"/>
          </w:tcPr>
          <w:p>
            <w:pPr>
              <w:jc w:val="right"/>
              <w:ind w:right="140"/>
              <w:spacing w:after="0" w:line="212" w:lineRule="exact"/>
              <w:rPr>
                <w:sz w:val="20"/>
                <w:szCs w:val="20"/>
                <w:color w:val="auto"/>
              </w:rPr>
            </w:pPr>
            <w:r>
              <w:rPr>
                <w:rFonts w:ascii="Calibri" w:cs="Calibri" w:eastAsia="Calibri" w:hAnsi="Calibri"/>
                <w:sz w:val="18"/>
                <w:szCs w:val="18"/>
                <w:color w:val="auto"/>
              </w:rPr>
              <w:t>(362 )</w:t>
            </w:r>
          </w:p>
        </w:tc>
        <w:tc>
          <w:tcPr>
            <w:tcW w:w="16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1,264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143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Total other comprehensive income (loss)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paid: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Common stock, $0.40 per share</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(22 )</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(22 )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(22 )</w:t>
            </w:r>
          </w:p>
        </w:tc>
        <w:tc>
          <w:tcPr>
            <w:tcW w:w="0" w:type="dxa"/>
            <w:vAlign w:val="bottom"/>
          </w:tcPr>
          <w:p>
            <w:pPr>
              <w:spacing w:after="0"/>
              <w:rPr>
                <w:sz w:val="1"/>
                <w:szCs w:val="1"/>
                <w:color w:val="auto"/>
              </w:rPr>
            </w:pPr>
          </w:p>
        </w:tc>
      </w:tr>
      <w:tr>
        <w:trPr>
          <w:trHeight w:val="194"/>
        </w:trPr>
        <w:tc>
          <w:tcPr>
            <w:tcW w:w="3800" w:type="dxa"/>
            <w:vAlign w:val="bottom"/>
          </w:tcPr>
          <w:p>
            <w:pPr>
              <w:ind w:left="20"/>
              <w:spacing w:after="0" w:line="194" w:lineRule="exact"/>
              <w:rPr>
                <w:sz w:val="20"/>
                <w:szCs w:val="20"/>
                <w:color w:val="auto"/>
              </w:rPr>
            </w:pPr>
            <w:r>
              <w:rPr>
                <w:rFonts w:ascii="Calibri" w:cs="Calibri" w:eastAsia="Calibri" w:hAnsi="Calibri"/>
                <w:sz w:val="18"/>
                <w:szCs w:val="18"/>
                <w:color w:val="auto"/>
              </w:rPr>
              <w:t>Cash dividends declared to noncontrolling</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(12 )</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Issuance of stock under equity compensaton</w:t>
            </w: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plans</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Share-based compensaton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Purchase and retrement of common stock</w:t>
            </w:r>
          </w:p>
        </w:tc>
        <w:tc>
          <w:tcPr>
            <w:tcW w:w="98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(260 )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(13 )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8"/>
              <w:spacing w:after="0" w:line="216" w:lineRule="exact"/>
              <w:rPr>
                <w:sz w:val="20"/>
                <w:szCs w:val="20"/>
                <w:color w:val="auto"/>
              </w:rPr>
            </w:pPr>
            <w:r>
              <w:rPr>
                <w:rFonts w:ascii="Calibri" w:cs="Calibri" w:eastAsia="Calibri" w:hAnsi="Calibri"/>
                <w:sz w:val="18"/>
                <w:szCs w:val="18"/>
                <w:color w:val="auto"/>
              </w:rPr>
              <w:t>(20 )</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(33 )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(33 )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20"/>
              <w:spacing w:after="0" w:line="210" w:lineRule="exact"/>
              <w:rPr>
                <w:sz w:val="20"/>
                <w:szCs w:val="20"/>
                <w:color w:val="auto"/>
              </w:rPr>
            </w:pPr>
            <w:r>
              <w:rPr>
                <w:rFonts w:ascii="Calibri" w:cs="Calibri" w:eastAsia="Calibri" w:hAnsi="Calibri"/>
                <w:sz w:val="18"/>
                <w:szCs w:val="18"/>
                <w:color w:val="auto"/>
              </w:rPr>
              <w:t>Balance at December 31, 2023</w:t>
            </w:r>
          </w:p>
        </w:tc>
        <w:tc>
          <w:tcPr>
            <w:tcW w:w="760" w:type="dxa"/>
            <w:vAlign w:val="bottom"/>
          </w:tcPr>
          <w:p>
            <w:pPr>
              <w:jc w:val="right"/>
              <w:spacing w:after="0" w:line="210" w:lineRule="exact"/>
              <w:rPr>
                <w:sz w:val="20"/>
                <w:szCs w:val="20"/>
                <w:color w:val="auto"/>
              </w:rPr>
            </w:pPr>
            <w:r>
              <w:rPr>
                <w:rFonts w:ascii="Calibri" w:cs="Calibri" w:eastAsia="Calibri" w:hAnsi="Calibri"/>
                <w:sz w:val="18"/>
                <w:szCs w:val="18"/>
                <w:color w:val="auto"/>
              </w:rPr>
              <w:t>55,425</w:t>
            </w:r>
          </w:p>
        </w:tc>
        <w:tc>
          <w:tcPr>
            <w:tcW w:w="2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tcPr>
          <w:p>
            <w:pPr>
              <w:jc w:val="right"/>
              <w:spacing w:after="0" w:line="210" w:lineRule="exact"/>
              <w:rPr>
                <w:sz w:val="20"/>
                <w:szCs w:val="20"/>
                <w:color w:val="auto"/>
              </w:rPr>
            </w:pPr>
            <w:r>
              <w:rPr>
                <w:rFonts w:ascii="Calibri" w:cs="Calibri" w:eastAsia="Calibri" w:hAnsi="Calibri"/>
                <w:sz w:val="18"/>
                <w:szCs w:val="18"/>
                <w:color w:val="auto"/>
              </w:rPr>
              <w:t>52</w:t>
            </w:r>
          </w:p>
        </w:tc>
        <w:tc>
          <w:tcPr>
            <w:tcW w:w="20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2"/>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1,582</w:t>
            </w:r>
          </w:p>
        </w:tc>
        <w:tc>
          <w:tcPr>
            <w:tcW w:w="2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(305 )</w:t>
            </w:r>
          </w:p>
        </w:tc>
        <w:tc>
          <w:tcPr>
            <w:tcW w:w="160" w:type="dxa"/>
            <w:vAlign w:val="bottom"/>
          </w:tcPr>
          <w:p>
            <w:pPr>
              <w:ind w:left="20"/>
              <w:spacing w:after="0" w:line="210"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0" w:lineRule="exact"/>
              <w:rPr>
                <w:sz w:val="20"/>
                <w:szCs w:val="20"/>
                <w:color w:val="auto"/>
              </w:rPr>
            </w:pPr>
            <w:r>
              <w:rPr>
                <w:rFonts w:ascii="Calibri" w:cs="Calibri" w:eastAsia="Calibri" w:hAnsi="Calibri"/>
                <w:sz w:val="18"/>
                <w:szCs w:val="18"/>
                <w:color w:val="auto"/>
              </w:rPr>
              <w:t>1,329</w:t>
            </w:r>
          </w:p>
        </w:tc>
        <w:tc>
          <w:tcPr>
            <w:tcW w:w="220" w:type="dxa"/>
            <w:vAlign w:val="bottom"/>
          </w:tcPr>
          <w:p>
            <w:pPr>
              <w:spacing w:after="0"/>
              <w:rPr>
                <w:sz w:val="18"/>
                <w:szCs w:val="18"/>
                <w:color w:val="auto"/>
              </w:rPr>
            </w:pPr>
          </w:p>
        </w:tc>
        <w:tc>
          <w:tcPr>
            <w:tcW w:w="120" w:type="dxa"/>
            <w:vAlign w:val="bottom"/>
          </w:tcPr>
          <w:p>
            <w:pPr>
              <w:ind w:left="20"/>
              <w:spacing w:after="0" w:line="210"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10" w:lineRule="exact"/>
              <w:rPr>
                <w:sz w:val="20"/>
                <w:szCs w:val="20"/>
                <w:color w:val="auto"/>
              </w:rPr>
            </w:pPr>
            <w:r>
              <w:rPr>
                <w:rFonts w:ascii="Calibri" w:cs="Calibri" w:eastAsia="Calibri" w:hAnsi="Calibri"/>
                <w:sz w:val="18"/>
                <w:szCs w:val="18"/>
                <w:color w:val="auto"/>
              </w:rPr>
              <w:t>146</w:t>
            </w:r>
          </w:p>
        </w:tc>
        <w:tc>
          <w:tcPr>
            <w:tcW w:w="200" w:type="dxa"/>
            <w:vAlign w:val="bottom"/>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0" w:lineRule="exact"/>
              <w:rPr>
                <w:sz w:val="20"/>
                <w:szCs w:val="20"/>
                <w:color w:val="auto"/>
              </w:rPr>
            </w:pPr>
            <w:r>
              <w:rPr>
                <w:rFonts w:ascii="Calibri" w:cs="Calibri" w:eastAsia="Calibri" w:hAnsi="Calibri"/>
                <w:sz w:val="18"/>
                <w:szCs w:val="18"/>
                <w:color w:val="auto"/>
              </w:rPr>
              <w:t>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 w:name="page10"/>
    <w:bookmarkEnd w:id="9"/>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December 31, 2024</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 Basis of Presentaton</w:t>
      </w:r>
    </w:p>
    <w:p>
      <w:pPr>
        <w:spacing w:after="0" w:line="82"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The consolidated fnancial statements have been prepared in conformity with accountng principles generally accepted in the United States (“U.S.”) (“GAAP”) and include the accounts of Cabot Corporaton (“Cabot” or the “Company”) and its wholly-owned subsidiaries and majority-owned and controlled U.S. and non-U.S. subsidiaries. Additonally, Cabot considers consolidaton of enttes over which control is achieved through means other than votng rights. Intercompany transactons have been eliminated in consolidaton.</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unaudited consolidated fnancial statements have been prepared in accordance with the requirements of Form 10-Q and consequently do not include all disclosures required by Form 10-K. Additonal informaton may be obtained by referring to Cabot’s Annual Report on Form 10-K for its fscal year ended September 30, 2024 (the “2024 10-K”).</w:t>
      </w:r>
    </w:p>
    <w:p>
      <w:pPr>
        <w:spacing w:after="0" w:line="8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fnancial informaton submited herewith is unaudited and refects all adjustments which are, in the opinion of management, necessary to provide a fair statement of the results for the interim periods ended December 31, 2024 and 2023. All such adjustments are of a normal recurring nature. The results for interim periods are not necessarily indicatve of the results to be expected for the fscal year.</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 Signifcant Accountng Policies</w:t>
      </w:r>
    </w:p>
    <w:p>
      <w:pPr>
        <w:spacing w:after="0" w:line="7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Full detail on the Company’s signifcant accountng policies may be obtained by referring to Note A in the 2024 10-K.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Argentnian Government Actons</w:t>
      </w:r>
    </w:p>
    <w:p>
      <w:pPr>
        <w:spacing w:after="0" w:line="82"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The Company’s wholly-owned Argentnian subsidiary operates in a highly infatonary economy and, as a result, the functonal currency of the subsidiary is Cabot’s reportng currency, the U.S. dollar. During the three months ended December 31, 2024 and 2023, the Company recorded foreign exchange losses of $2 million and $40 million, respectvely, related to the revaluaton of non-functonal currency denominated monetary asset and liability balances. Of the $40 million of foreign exchange losses in the frst quarter of fscal 2024, $33 million related to a single devaluaton acton in December 2023 by the Argentne government. The Company invests cash in money market funds and recorded investment income of less than $1 million and $12 million, respectvely, for the three months ended December 31, 2024 and 2023. The foreign exchange losses and investment gains are recorded in Other income (expense) in the Consolidated Statement of Operatons.</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November 2024, the FASB issued a new standard, Expense Disaggregaton Disclosures. The new guidance requires quanttatve and qualitatve disclosure of certain cost and expense categories in the notes to the fnancial statements for interim and annual reportng periods. The new standard is efectve for the Company's fscal years and interim periods beginning October 1, 2027, with early adopton permited. The Company is currently evaluatng the tming of adopton and evaluatng the impact of the potental adopton of this standard on the Company’s Consolidated Financial Statements.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March 2024, the Securites and Exchange Commission (“SEC”) issued its fnal rule, The Enhancement and Standardizaton of Climate-Related Disclosures for Investors that requires the Company to provide certain climate-related informaton. The rule provides a phased-in compliance period and is efectve for fscal years beginning afer December 15, 2024, with early adopton permited. In April 2024, the SEC voluntarily stayed its rule pending completon of judicial review by the U.S. Court of Appeals for the Eighth Circuit and, therefore, the tming of the efectveness of these disclosure requirements is uncertain. The Company is currently monitoring the tming of adopton and evaluatng the impact of the potental adopton of this standard on the Company’s Consolidated Financial Statements.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December 2023, the FASB issued a new standard, Improvements to Income Tax Disclosures. The new guidance requires additonal disclosures primarily related to the income tax rate reconciliaton and income taxes paid. The new standard is efectve for the Company’s fscal years and interim periods beginning October 1, 2025. The Company is currently evaluatng the impact of the adopton of this standard on the Company’s Consolidated Financial Statements.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November 2023, the FASB issued a new standard, Improvement to Reportable Segment Disclosures. The new guidance requires enhanced disclosure of signifcant reportable segment expenses. The new standard is efectve for the Company’s current fscal year which began October 1, 2024, and for interim periods beginning October 1, 2025. The Company is currently evaluatng the impact of the adopton of this standard on the Company’s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C. Acquisitons</w:t>
      </w:r>
    </w:p>
    <w:p>
      <w:pPr>
        <w:spacing w:after="0" w:line="82" w:lineRule="exact"/>
        <w:rPr>
          <w:sz w:val="20"/>
          <w:szCs w:val="20"/>
          <w:color w:val="auto"/>
        </w:rPr>
      </w:pPr>
    </w:p>
    <w:p>
      <w:pPr>
        <w:jc w:val="both"/>
        <w:ind w:right="500" w:firstLine="509"/>
        <w:spacing w:after="0" w:line="235" w:lineRule="auto"/>
        <w:rPr>
          <w:sz w:val="20"/>
          <w:szCs w:val="20"/>
          <w:color w:val="auto"/>
        </w:rPr>
      </w:pPr>
      <w:r>
        <w:rPr>
          <w:rFonts w:ascii="Calibri" w:cs="Calibri" w:eastAsia="Calibri" w:hAnsi="Calibri"/>
          <w:sz w:val="18"/>
          <w:szCs w:val="18"/>
          <w:color w:val="auto"/>
        </w:rPr>
        <w:t>In October 2024, the Company completed the purchase of certain assets and licensed related technology, which the Company expects to use to manufacture certain products for its Batery Materials product line. The Company paid $27 million, which was allocated to the identfable assets on a relatve fair value basis, with $19 million allocated to property, plant and equipment and $8 million to intangible assets.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 Goodwill and Intangible Assets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carrying amount of goodwill atributable to each reportable segment and the changes in those balances during the three months ended</w:t>
      </w:r>
    </w:p>
    <w:p>
      <w:pPr>
        <w:spacing w:after="0" w:line="235" w:lineRule="auto"/>
        <w:rPr>
          <w:sz w:val="20"/>
          <w:szCs w:val="20"/>
          <w:color w:val="auto"/>
        </w:rPr>
      </w:pPr>
      <w:r>
        <w:rPr>
          <w:rFonts w:ascii="Calibri" w:cs="Calibri" w:eastAsia="Calibri" w:hAnsi="Calibri"/>
          <w:sz w:val="18"/>
          <w:szCs w:val="18"/>
          <w:color w:val="auto"/>
        </w:rPr>
        <w:t>December 31, 2024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228"/>
              <w:spacing w:after="0"/>
              <w:rPr>
                <w:sz w:val="20"/>
                <w:szCs w:val="20"/>
                <w:color w:val="auto"/>
              </w:rPr>
            </w:pPr>
            <w:r>
              <w:rPr>
                <w:rFonts w:ascii="Calibri" w:cs="Calibri" w:eastAsia="Calibri" w:hAnsi="Calibri"/>
                <w:sz w:val="14"/>
                <w:szCs w:val="14"/>
                <w:b w:val="1"/>
                <w:bCs w:val="1"/>
                <w:color w:val="auto"/>
              </w:rPr>
              <w:t>Reinforcement</w:t>
            </w:r>
          </w:p>
        </w:tc>
        <w:tc>
          <w:tcPr>
            <w:tcW w:w="180" w:type="dxa"/>
            <w:vAlign w:val="bottom"/>
          </w:tcPr>
          <w:p>
            <w:pPr>
              <w:spacing w:after="0"/>
              <w:rPr>
                <w:sz w:val="14"/>
                <w:szCs w:val="14"/>
                <w:color w:val="auto"/>
              </w:rPr>
            </w:pPr>
          </w:p>
        </w:tc>
        <w:tc>
          <w:tcPr>
            <w:tcW w:w="1460" w:type="dxa"/>
            <w:vAlign w:val="bottom"/>
            <w:gridSpan w:val="4"/>
          </w:tcPr>
          <w:p>
            <w:pPr>
              <w:jc w:val="right"/>
              <w:ind w:right="420"/>
              <w:spacing w:after="0"/>
              <w:rPr>
                <w:sz w:val="20"/>
                <w:szCs w:val="20"/>
                <w:color w:val="auto"/>
              </w:rPr>
            </w:pPr>
            <w:r>
              <w:rPr>
                <w:rFonts w:ascii="Calibri" w:cs="Calibri" w:eastAsia="Calibri" w:hAnsi="Calibri"/>
                <w:sz w:val="14"/>
                <w:szCs w:val="14"/>
                <w:b w:val="1"/>
                <w:bCs w:val="1"/>
                <w:color w:val="auto"/>
              </w:rPr>
              <w:t>Performance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388"/>
              <w:spacing w:after="0"/>
              <w:rPr>
                <w:sz w:val="20"/>
                <w:szCs w:val="20"/>
                <w:color w:val="auto"/>
              </w:rPr>
            </w:pPr>
            <w:r>
              <w:rPr>
                <w:rFonts w:ascii="Calibri" w:cs="Calibri" w:eastAsia="Calibri" w:hAnsi="Calibri"/>
                <w:sz w:val="14"/>
                <w:szCs w:val="14"/>
                <w:b w:val="1"/>
                <w:bCs w:val="1"/>
                <w:color w:val="auto"/>
              </w:rPr>
              <w:t>Materials</w:t>
            </w:r>
          </w:p>
        </w:tc>
        <w:tc>
          <w:tcPr>
            <w:tcW w:w="180" w:type="dxa"/>
            <w:vAlign w:val="bottom"/>
          </w:tcPr>
          <w:p>
            <w:pPr>
              <w:spacing w:after="0"/>
              <w:rPr>
                <w:sz w:val="16"/>
                <w:szCs w:val="16"/>
                <w:color w:val="auto"/>
              </w:rPr>
            </w:pPr>
          </w:p>
        </w:tc>
        <w:tc>
          <w:tcPr>
            <w:tcW w:w="1460" w:type="dxa"/>
            <w:vAlign w:val="bottom"/>
            <w:gridSpan w:val="4"/>
          </w:tcPr>
          <w:p>
            <w:pPr>
              <w:jc w:val="right"/>
              <w:ind w:right="500"/>
              <w:spacing w:after="0"/>
              <w:rPr>
                <w:sz w:val="20"/>
                <w:szCs w:val="20"/>
                <w:color w:val="auto"/>
              </w:rPr>
            </w:pPr>
            <w:r>
              <w:rPr>
                <w:rFonts w:ascii="Calibri" w:cs="Calibri" w:eastAsia="Calibri" w:hAnsi="Calibri"/>
                <w:sz w:val="14"/>
                <w:szCs w:val="14"/>
                <w:b w:val="1"/>
                <w:bCs w:val="1"/>
                <w:color w:val="auto"/>
              </w:rPr>
              <w:t>Chemicals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6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top w:val="single" w:sz="8" w:color="auto"/>
            </w:tcBorders>
            <w:gridSpan w:val="3"/>
          </w:tcPr>
          <w:p>
            <w:pPr>
              <w:jc w:val="right"/>
              <w:ind w:right="228"/>
              <w:spacing w:after="0"/>
              <w:rPr>
                <w:sz w:val="20"/>
                <w:szCs w:val="20"/>
                <w:color w:val="auto"/>
              </w:rPr>
            </w:pPr>
            <w:r>
              <w:rPr>
                <w:rFonts w:ascii="Calibri" w:cs="Calibri" w:eastAsia="Calibri" w:hAnsi="Calibri"/>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Balance at September 30, 2024</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8"/>
              <w:spacing w:after="0" w:line="217" w:lineRule="exact"/>
              <w:rPr>
                <w:sz w:val="20"/>
                <w:szCs w:val="20"/>
                <w:color w:val="auto"/>
              </w:rPr>
            </w:pPr>
            <w:r>
              <w:rPr>
                <w:rFonts w:ascii="Calibri" w:cs="Calibri" w:eastAsia="Calibri" w:hAnsi="Calibri"/>
                <w:sz w:val="18"/>
                <w:szCs w:val="18"/>
                <w:color w:val="auto"/>
              </w:rPr>
              <w:t>48</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line="217" w:lineRule="exact"/>
              <w:rPr>
                <w:sz w:val="20"/>
                <w:szCs w:val="20"/>
                <w:color w:val="auto"/>
              </w:rPr>
            </w:pPr>
            <w:r>
              <w:rPr>
                <w:rFonts w:ascii="Calibri" w:cs="Calibri" w:eastAsia="Calibri" w:hAnsi="Calibri"/>
                <w:sz w:val="18"/>
                <w:szCs w:val="18"/>
                <w:color w:val="auto"/>
                <w:w w:val="87"/>
              </w:rPr>
              <w:t>$</w:t>
            </w:r>
          </w:p>
        </w:tc>
        <w:tc>
          <w:tcPr>
            <w:tcW w:w="62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85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impact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Balance at December 31, 2024</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left w:val="single" w:sz="8" w:color="CFF0FC"/>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right w:val="single" w:sz="8" w:color="CFF0FC"/>
            </w:tcBorders>
            <w:gridSpan w:val="2"/>
            <w:shd w:val="clear" w:color="auto" w:fill="CFF0FC"/>
          </w:tcPr>
          <w:p>
            <w:pPr>
              <w:jc w:val="right"/>
              <w:ind w:right="28"/>
              <w:spacing w:after="0" w:line="210" w:lineRule="exact"/>
              <w:rPr>
                <w:sz w:val="20"/>
                <w:szCs w:val="20"/>
                <w:color w:val="auto"/>
              </w:rPr>
            </w:pPr>
            <w:r>
              <w:rPr>
                <w:rFonts w:ascii="Calibri" w:cs="Calibri" w:eastAsia="Calibri" w:hAnsi="Calibri"/>
                <w:sz w:val="18"/>
                <w:szCs w:val="18"/>
                <w:color w:val="auto"/>
              </w:rPr>
              <w:t>46</w:t>
            </w:r>
          </w:p>
        </w:tc>
        <w:tc>
          <w:tcPr>
            <w:tcW w:w="1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9"/>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tcBorders>
              <w:top w:val="single" w:sz="8" w:color="auto"/>
              <w:bottom w:val="single" w:sz="8" w:color="auto"/>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62"/>
        </w:trPr>
        <w:tc>
          <w:tcPr>
            <w:tcW w:w="6820" w:type="dxa"/>
            <w:vAlign w:val="bottom"/>
            <w:gridSpan w:val="7"/>
          </w:tcPr>
          <w:p>
            <w:pPr>
              <w:ind w:left="520"/>
              <w:spacing w:after="0"/>
              <w:rPr>
                <w:sz w:val="20"/>
                <w:szCs w:val="20"/>
                <w:color w:val="auto"/>
              </w:rPr>
            </w:pPr>
            <w:r>
              <w:rPr>
                <w:rFonts w:ascii="Calibri" w:cs="Calibri" w:eastAsia="Calibri" w:hAnsi="Calibri"/>
                <w:sz w:val="18"/>
                <w:szCs w:val="18"/>
                <w:color w:val="auto"/>
              </w:rPr>
              <w:t>The following table provides informaton regarding the Company’s intangible assets: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ind w:right="60"/>
              <w:spacing w:after="0"/>
              <w:rPr>
                <w:sz w:val="20"/>
                <w:szCs w:val="20"/>
                <w:color w:val="auto"/>
              </w:rPr>
            </w:pPr>
            <w:r>
              <w:rPr>
                <w:rFonts w:ascii="Calibri" w:cs="Calibri" w:eastAsia="Calibri" w:hAnsi="Calibri"/>
                <w:sz w:val="14"/>
                <w:szCs w:val="14"/>
                <w:b w:val="1"/>
                <w:bCs w:val="1"/>
                <w:color w:val="auto"/>
              </w:rPr>
              <w:t>September 30, 2024</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8"/>
              <w:spacing w:after="0" w:line="161" w:lineRule="exact"/>
              <w:rPr>
                <w:sz w:val="20"/>
                <w:szCs w:val="20"/>
                <w:color w:val="auto"/>
              </w:rPr>
            </w:pPr>
            <w:r>
              <w:rPr>
                <w:rFonts w:ascii="Calibri" w:cs="Calibri" w:eastAsia="Calibri" w:hAnsi="Calibri"/>
                <w:sz w:val="14"/>
                <w:szCs w:val="14"/>
                <w:b w:val="1"/>
                <w:bCs w:val="1"/>
                <w:color w:val="auto"/>
                <w:w w:val="98"/>
              </w:rPr>
              <w:t>Gross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7"/>
              <w:spacing w:after="0" w:line="161" w:lineRule="exact"/>
              <w:rPr>
                <w:sz w:val="20"/>
                <w:szCs w:val="20"/>
                <w:color w:val="auto"/>
              </w:rPr>
            </w:pPr>
            <w:r>
              <w:rPr>
                <w:rFonts w:ascii="Calibri" w:cs="Calibri" w:eastAsia="Calibri" w:hAnsi="Calibri"/>
                <w:sz w:val="14"/>
                <w:szCs w:val="14"/>
                <w:b w:val="1"/>
                <w:bCs w:val="1"/>
                <w:color w:val="auto"/>
                <w:w w:val="94"/>
              </w:rPr>
              <w:t>Net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19"/>
              <w:spacing w:after="0" w:line="161" w:lineRule="exact"/>
              <w:rPr>
                <w:sz w:val="20"/>
                <w:szCs w:val="20"/>
                <w:color w:val="auto"/>
              </w:rPr>
            </w:pPr>
            <w:r>
              <w:rPr>
                <w:rFonts w:ascii="Calibri" w:cs="Calibri" w:eastAsia="Calibri" w:hAnsi="Calibri"/>
                <w:sz w:val="14"/>
                <w:szCs w:val="14"/>
                <w:b w:val="1"/>
                <w:bCs w:val="1"/>
                <w:color w:val="auto"/>
              </w:rPr>
              <w:t>Gross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5"/>
              <w:spacing w:after="0" w:line="161" w:lineRule="exact"/>
              <w:rPr>
                <w:sz w:val="20"/>
                <w:szCs w:val="20"/>
                <w:color w:val="auto"/>
              </w:rPr>
            </w:pPr>
            <w:r>
              <w:rPr>
                <w:rFonts w:ascii="Calibri" w:cs="Calibri" w:eastAsia="Calibri" w:hAnsi="Calibri"/>
                <w:sz w:val="14"/>
                <w:szCs w:val="14"/>
                <w:b w:val="1"/>
                <w:bCs w:val="1"/>
                <w:color w:val="auto"/>
                <w:w w:val="94"/>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Carrying</w:t>
            </w:r>
          </w:p>
        </w:tc>
        <w:tc>
          <w:tcPr>
            <w:tcW w:w="240" w:type="dxa"/>
            <w:vAlign w:val="bottom"/>
          </w:tcPr>
          <w:p>
            <w:pPr>
              <w:spacing w:after="0"/>
              <w:rPr>
                <w:sz w:val="14"/>
                <w:szCs w:val="14"/>
                <w:color w:val="auto"/>
              </w:rPr>
            </w:pPr>
          </w:p>
        </w:tc>
        <w:tc>
          <w:tcPr>
            <w:tcW w:w="1000" w:type="dxa"/>
            <w:vAlign w:val="bottom"/>
            <w:gridSpan w:val="3"/>
          </w:tcPr>
          <w:p>
            <w:pPr>
              <w:jc w:val="right"/>
              <w:ind w:right="90"/>
              <w:spacing w:after="0"/>
              <w:rPr>
                <w:sz w:val="20"/>
                <w:szCs w:val="20"/>
                <w:color w:val="auto"/>
              </w:rPr>
            </w:pPr>
            <w:r>
              <w:rPr>
                <w:rFonts w:ascii="Calibri" w:cs="Calibri" w:eastAsia="Calibri" w:hAnsi="Calibri"/>
                <w:sz w:val="14"/>
                <w:szCs w:val="14"/>
                <w:b w:val="1"/>
                <w:bCs w:val="1"/>
                <w:color w:val="auto"/>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8"/>
              <w:spacing w:after="0"/>
              <w:rPr>
                <w:sz w:val="20"/>
                <w:szCs w:val="20"/>
                <w:color w:val="auto"/>
              </w:rPr>
            </w:pPr>
            <w:r>
              <w:rPr>
                <w:rFonts w:ascii="Calibri" w:cs="Calibri" w:eastAsia="Calibri" w:hAnsi="Calibri"/>
                <w:sz w:val="14"/>
                <w:szCs w:val="14"/>
                <w:b w:val="1"/>
                <w:bCs w:val="1"/>
                <w:color w:val="auto"/>
              </w:rPr>
              <w:t>Intangible</w:t>
            </w:r>
          </w:p>
        </w:tc>
        <w:tc>
          <w:tcPr>
            <w:tcW w:w="180" w:type="dxa"/>
            <w:vAlign w:val="bottom"/>
          </w:tcPr>
          <w:p>
            <w:pPr>
              <w:spacing w:after="0"/>
              <w:rPr>
                <w:sz w:val="14"/>
                <w:szCs w:val="14"/>
                <w:color w:val="auto"/>
              </w:rPr>
            </w:pPr>
          </w:p>
        </w:tc>
        <w:tc>
          <w:tcPr>
            <w:tcW w:w="700" w:type="dxa"/>
            <w:vAlign w:val="bottom"/>
          </w:tcPr>
          <w:p>
            <w:pPr>
              <w:jc w:val="center"/>
              <w:ind w:right="119"/>
              <w:spacing w:after="0"/>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4"/>
                <w:szCs w:val="14"/>
                <w:color w:val="auto"/>
              </w:rPr>
            </w:pPr>
          </w:p>
        </w:tc>
        <w:tc>
          <w:tcPr>
            <w:tcW w:w="1100" w:type="dxa"/>
            <w:vAlign w:val="bottom"/>
            <w:gridSpan w:val="5"/>
          </w:tcPr>
          <w:p>
            <w:pPr>
              <w:jc w:val="right"/>
              <w:ind w:right="28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Intangible</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98"/>
              <w:spacing w:after="0"/>
              <w:rPr>
                <w:sz w:val="20"/>
                <w:szCs w:val="20"/>
                <w:color w:val="auto"/>
              </w:rPr>
            </w:pPr>
            <w:r>
              <w:rPr>
                <w:rFonts w:ascii="Calibri" w:cs="Calibri" w:eastAsia="Calibri" w:hAnsi="Calibri"/>
                <w:sz w:val="14"/>
                <w:szCs w:val="14"/>
                <w:b w:val="1"/>
                <w:bCs w:val="1"/>
                <w:color w:val="auto"/>
              </w:rPr>
              <w:t>Value</w:t>
            </w:r>
          </w:p>
        </w:tc>
        <w:tc>
          <w:tcPr>
            <w:tcW w:w="24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Amortzaton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19"/>
              <w:spacing w:after="0"/>
              <w:rPr>
                <w:sz w:val="20"/>
                <w:szCs w:val="20"/>
                <w:color w:val="auto"/>
              </w:rPr>
            </w:pPr>
            <w:r>
              <w:rPr>
                <w:rFonts w:ascii="Calibri" w:cs="Calibri" w:eastAsia="Calibri" w:hAnsi="Calibri"/>
                <w:sz w:val="14"/>
                <w:szCs w:val="14"/>
                <w:b w:val="1"/>
                <w:bCs w:val="1"/>
                <w:color w:val="auto"/>
              </w:rPr>
              <w:t>Value</w:t>
            </w:r>
          </w:p>
        </w:tc>
        <w:tc>
          <w:tcPr>
            <w:tcW w:w="220" w:type="dxa"/>
            <w:vAlign w:val="bottom"/>
          </w:tcPr>
          <w:p>
            <w:pPr>
              <w:spacing w:after="0"/>
              <w:rPr>
                <w:sz w:val="16"/>
                <w:szCs w:val="16"/>
                <w:color w:val="auto"/>
              </w:rPr>
            </w:pPr>
          </w:p>
        </w:tc>
        <w:tc>
          <w:tcPr>
            <w:tcW w:w="88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4"/>
                <w:szCs w:val="14"/>
                <w:b w:val="1"/>
                <w:bCs w:val="1"/>
                <w:color w:val="auto"/>
              </w:rPr>
              <w:t>Amortzaton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Calibri" w:cs="Calibri" w:eastAsia="Calibri" w:hAnsi="Calibri"/>
                <w:sz w:val="14"/>
                <w:szCs w:val="14"/>
                <w:b w:val="1"/>
                <w:bCs w:val="1"/>
                <w:color w:val="auto"/>
              </w:rPr>
              <w:t>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60" w:type="dxa"/>
            <w:vAlign w:val="bottom"/>
            <w:vMerge w:val="restart"/>
          </w:tcPr>
          <w:p>
            <w:pPr>
              <w:ind w:left="20"/>
              <w:spacing w:after="0"/>
              <w:rPr>
                <w:sz w:val="20"/>
                <w:szCs w:val="20"/>
                <w:color w:val="auto"/>
              </w:rPr>
            </w:pPr>
            <w:r>
              <w:rPr>
                <w:rFonts w:ascii="Calibri" w:cs="Calibri" w:eastAsia="Calibri" w:hAnsi="Calibri"/>
                <w:sz w:val="18"/>
                <w:szCs w:val="18"/>
                <w:color w:val="auto"/>
              </w:rPr>
              <w:t>Intangible assets with fnite lives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Calibri" w:cs="Calibri" w:eastAsia="Calibri" w:hAnsi="Calibri"/>
                <w:sz w:val="14"/>
                <w:szCs w:val="14"/>
                <w:b w:val="1"/>
                <w:bCs w:val="1"/>
                <w:color w:val="auto"/>
              </w:rPr>
              <w:t>(In</w:t>
            </w:r>
          </w:p>
        </w:tc>
        <w:tc>
          <w:tcPr>
            <w:tcW w:w="1100" w:type="dxa"/>
            <w:vAlign w:val="bottom"/>
            <w:gridSpan w:val="3"/>
          </w:tcPr>
          <w:p>
            <w:pPr>
              <w:jc w:val="right"/>
              <w:ind w:right="599"/>
              <w:spacing w:after="0"/>
              <w:rPr>
                <w:sz w:val="20"/>
                <w:szCs w:val="20"/>
                <w:color w:val="auto"/>
              </w:rPr>
            </w:pPr>
            <w:r>
              <w:rPr>
                <w:rFonts w:ascii="Calibri" w:cs="Calibri" w:eastAsia="Calibri" w:hAnsi="Calibri"/>
                <w:sz w:val="14"/>
                <w:szCs w:val="14"/>
                <w:b w:val="1"/>
                <w:bCs w:val="1"/>
                <w:color w:val="auto"/>
                <w:w w:val="79"/>
              </w:rPr>
              <w:t>millions)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00"/>
              <w:spacing w:after="0" w:line="263" w:lineRule="exact"/>
              <w:rPr>
                <w:sz w:val="20"/>
                <w:szCs w:val="20"/>
                <w:color w:val="auto"/>
              </w:rPr>
            </w:pPr>
            <w:r>
              <w:rPr>
                <w:rFonts w:ascii="Calibri" w:cs="Calibri" w:eastAsia="Calibri" w:hAnsi="Calibri"/>
                <w:sz w:val="18"/>
                <w:szCs w:val="18"/>
                <w:color w:val="auto"/>
              </w:rPr>
              <w:t>Developed technologies</w:t>
            </w:r>
            <w:r>
              <w:rPr>
                <w:rFonts w:ascii="Calibri" w:cs="Calibri" w:eastAsia="Calibri" w:hAnsi="Calibri"/>
                <w:sz w:val="24"/>
                <w:szCs w:val="24"/>
                <w:color w:val="auto"/>
                <w:vertAlign w:val="superscript"/>
              </w:rPr>
              <w:t>(1)</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40</w:t>
            </w:r>
          </w:p>
        </w:tc>
        <w:tc>
          <w:tcPr>
            <w:tcW w:w="600" w:type="dxa"/>
            <w:vAlign w:val="bottom"/>
            <w:gridSpan w:val="2"/>
          </w:tcPr>
          <w:p>
            <w:pPr>
              <w:jc w:val="right"/>
              <w:ind w:right="182"/>
              <w:spacing w:after="0"/>
              <w:rPr>
                <w:sz w:val="20"/>
                <w:szCs w:val="20"/>
                <w:color w:val="auto"/>
              </w:rPr>
            </w:pPr>
            <w:r>
              <w:rPr>
                <w:rFonts w:ascii="Calibri" w:cs="Calibri" w:eastAsia="Calibri" w:hAnsi="Calibri"/>
                <w:sz w:val="18"/>
                <w:szCs w:val="18"/>
                <w:color w:val="auto"/>
              </w:rPr>
              <w:t>$</w:t>
            </w:r>
          </w:p>
        </w:tc>
        <w:tc>
          <w:tcPr>
            <w:tcW w:w="640" w:type="dxa"/>
            <w:vAlign w:val="bottom"/>
            <w:gridSpan w:val="2"/>
          </w:tcPr>
          <w:p>
            <w:pPr>
              <w:jc w:val="right"/>
              <w:spacing w:after="0"/>
              <w:rPr>
                <w:sz w:val="20"/>
                <w:szCs w:val="20"/>
                <w:color w:val="auto"/>
              </w:rPr>
            </w:pPr>
            <w:r>
              <w:rPr>
                <w:rFonts w:ascii="Calibri" w:cs="Calibri" w:eastAsia="Calibri" w:hAnsi="Calibri"/>
                <w:sz w:val="18"/>
                <w:szCs w:val="18"/>
                <w:color w:val="auto"/>
              </w:rPr>
              <w:t>(12 )</w:t>
            </w:r>
          </w:p>
        </w:tc>
        <w:tc>
          <w:tcPr>
            <w:tcW w:w="22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28</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34</w:t>
            </w:r>
          </w:p>
        </w:tc>
        <w:tc>
          <w:tcPr>
            <w:tcW w:w="620" w:type="dxa"/>
            <w:vAlign w:val="bottom"/>
            <w:gridSpan w:val="2"/>
          </w:tcPr>
          <w:p>
            <w:pPr>
              <w:jc w:val="right"/>
              <w:ind w:right="228"/>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22"/>
                <w:szCs w:val="22"/>
                <w:color w:val="auto"/>
              </w:rPr>
            </w:pPr>
          </w:p>
        </w:tc>
        <w:tc>
          <w:tcPr>
            <w:tcW w:w="560" w:type="dxa"/>
            <w:vAlign w:val="bottom"/>
            <w:gridSpan w:val="3"/>
          </w:tcPr>
          <w:p>
            <w:pPr>
              <w:jc w:val="right"/>
              <w:ind w:right="140"/>
              <w:spacing w:after="0"/>
              <w:rPr>
                <w:sz w:val="20"/>
                <w:szCs w:val="20"/>
                <w:color w:val="auto"/>
              </w:rPr>
            </w:pPr>
            <w:r>
              <w:rPr>
                <w:rFonts w:ascii="Calibri" w:cs="Calibri" w:eastAsia="Calibri" w:hAnsi="Calibri"/>
                <w:sz w:val="18"/>
                <w:szCs w:val="18"/>
                <w:color w:val="auto"/>
              </w:rPr>
              <w:t>(12 )</w:t>
            </w:r>
          </w:p>
        </w:tc>
        <w:tc>
          <w:tcPr>
            <w:tcW w:w="12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0"/>
              <w:spacing w:after="0" w:line="215" w:lineRule="exact"/>
              <w:rPr>
                <w:sz w:val="20"/>
                <w:szCs w:val="20"/>
                <w:color w:val="auto"/>
              </w:rPr>
            </w:pPr>
            <w:r>
              <w:rPr>
                <w:rFonts w:ascii="Calibri" w:cs="Calibri" w:eastAsia="Calibri" w:hAnsi="Calibri"/>
                <w:sz w:val="18"/>
                <w:szCs w:val="18"/>
                <w:color w:val="auto"/>
              </w:rPr>
              <w:t>Customer relatonships</w:t>
            </w:r>
          </w:p>
        </w:tc>
        <w:tc>
          <w:tcPr>
            <w:tcW w:w="16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(30 )</w:t>
            </w:r>
          </w:p>
        </w:tc>
        <w:tc>
          <w:tcPr>
            <w:tcW w:w="1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intangible assets</w:t>
            </w:r>
          </w:p>
        </w:tc>
        <w:tc>
          <w:tcPr>
            <w:tcW w:w="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82"/>
              <w:spacing w:after="0" w:line="210" w:lineRule="exact"/>
              <w:rPr>
                <w:sz w:val="20"/>
                <w:szCs w:val="20"/>
                <w:color w:val="auto"/>
              </w:rPr>
            </w:pPr>
            <w:r>
              <w:rPr>
                <w:rFonts w:ascii="Calibri" w:cs="Calibri" w:eastAsia="Calibri" w:hAnsi="Calibri"/>
                <w:sz w:val="18"/>
                <w:szCs w:val="18"/>
                <w:color w:val="auto"/>
                <w:w w:val="87"/>
              </w:rPr>
              <w:t>$</w:t>
            </w:r>
          </w:p>
        </w:tc>
        <w:tc>
          <w:tcPr>
            <w:tcW w:w="64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(43 )</w:t>
            </w:r>
          </w:p>
        </w:tc>
        <w:tc>
          <w:tcPr>
            <w:tcW w:w="22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57</w:t>
            </w: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96</w:t>
            </w:r>
          </w:p>
        </w:tc>
        <w:tc>
          <w:tcPr>
            <w:tcW w:w="620" w:type="dxa"/>
            <w:vAlign w:val="bottom"/>
            <w:gridSpan w:val="2"/>
            <w:shd w:val="clear" w:color="auto" w:fill="CFF0FC"/>
          </w:tcPr>
          <w:p>
            <w:pPr>
              <w:jc w:val="right"/>
              <w:ind w:right="228"/>
              <w:spacing w:after="0" w:line="210"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(43 )</w:t>
            </w: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-1645285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-1628140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-1645285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-1628140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240" w:hanging="512"/>
        <w:spacing w:after="0" w:line="191" w:lineRule="auto"/>
        <w:tabs>
          <w:tab w:leader="none" w:pos="52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Included within Developed technologies as of December 31, 2024 is $8 million of intangible assets acquired during the frst quarter of fscal 2025 as discussed in Note C above.</w:t>
      </w:r>
    </w:p>
    <w:p>
      <w:pPr>
        <w:spacing w:after="0" w:line="218"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Intangible assets are amortzed over their estmated useful lives, which range between ten and twenty-fve years, with a weighted average amortzaton period of approximately sixteen years. Amortzaton expense was $2 million and $1 million, respectvely, for the three months ended December 31, 2024 and 2023. Amortzaton expense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 Accumulated Other Comprehensive Income (Loss) (“AOCI”)</w:t>
      </w:r>
    </w:p>
    <w:p>
      <w:pPr>
        <w:spacing w:after="0" w:line="82"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Comprehensive income combines net income (loss) and other comprehensive income items, which are reported as components of stockholders’ equity in the accompanying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58"/>
              <w:spacing w:after="0"/>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Balance at September 30, 2024, atributable to Cabot Corporaton</w:t>
            </w:r>
          </w:p>
        </w:tc>
        <w:tc>
          <w:tcPr>
            <w:tcW w:w="1700" w:type="dxa"/>
            <w:vAlign w:val="bottom"/>
            <w:gridSpan w:val="2"/>
            <w:shd w:val="clear" w:color="auto" w:fill="CFF0FC"/>
          </w:tcPr>
          <w:p>
            <w:pPr>
              <w:jc w:val="right"/>
              <w:ind w:right="10"/>
              <w:spacing w:after="0" w:line="217" w:lineRule="exact"/>
              <w:rPr>
                <w:sz w:val="20"/>
                <w:szCs w:val="20"/>
                <w:color w:val="auto"/>
              </w:rPr>
            </w:pPr>
            <w:r>
              <w:rPr>
                <w:rFonts w:ascii="Calibri" w:cs="Calibri" w:eastAsia="Calibri" w:hAnsi="Calibri"/>
                <w:sz w:val="18"/>
                <w:szCs w:val="18"/>
                <w:color w:val="auto"/>
              </w:rPr>
              <w:t>$</w:t>
            </w:r>
          </w:p>
        </w:tc>
        <w:tc>
          <w:tcPr>
            <w:tcW w:w="138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(342 )</w:t>
            </w:r>
          </w:p>
        </w:tc>
        <w:tc>
          <w:tcPr>
            <w:tcW w:w="1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44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(18 )</w:t>
            </w:r>
          </w:p>
        </w:tc>
        <w:tc>
          <w:tcPr>
            <w:tcW w:w="300" w:type="dxa"/>
            <w:vAlign w:val="bottom"/>
            <w:shd w:val="clear" w:color="auto" w:fill="CFF0FC"/>
          </w:tcPr>
          <w:p>
            <w:pPr>
              <w:jc w:val="right"/>
              <w:ind w:right="110"/>
              <w:spacing w:after="0" w:line="217"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FF0FC"/>
          </w:tcPr>
          <w:p>
            <w:pPr>
              <w:jc w:val="right"/>
              <w:ind w:right="40"/>
              <w:spacing w:after="0" w:line="217" w:lineRule="exact"/>
              <w:rPr>
                <w:sz w:val="20"/>
                <w:szCs w:val="20"/>
                <w:color w:val="auto"/>
              </w:rPr>
            </w:pPr>
            <w:r>
              <w:rPr>
                <w:rFonts w:ascii="Calibri" w:cs="Calibri" w:eastAsia="Calibri" w:hAnsi="Calibri"/>
                <w:sz w:val="18"/>
                <w:szCs w:val="18"/>
                <w:color w:val="auto"/>
              </w:rPr>
              <w:t>(360 )</w:t>
            </w: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(104 )</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(104 )</w:t>
            </w: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Amounts reclassifed from AOCI</w:t>
            </w: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94"/>
        </w:trPr>
        <w:tc>
          <w:tcPr>
            <w:tcW w:w="5140" w:type="dxa"/>
            <w:vAlign w:val="bottom"/>
          </w:tcPr>
          <w:p>
            <w:pPr>
              <w:ind w:left="20"/>
              <w:spacing w:after="0" w:line="194" w:lineRule="exact"/>
              <w:rPr>
                <w:sz w:val="20"/>
                <w:szCs w:val="20"/>
                <w:color w:val="auto"/>
              </w:rPr>
            </w:pPr>
            <w:r>
              <w:rPr>
                <w:rFonts w:ascii="Calibri" w:cs="Calibri" w:eastAsia="Calibri" w:hAnsi="Calibri"/>
                <w:sz w:val="18"/>
                <w:szCs w:val="18"/>
                <w:color w:val="auto"/>
              </w:rPr>
              <w:t>Less: Other comprehensive income (loss) atributable to</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(7 )</w:t>
            </w:r>
          </w:p>
        </w:tc>
        <w:tc>
          <w:tcPr>
            <w:tcW w:w="140" w:type="dxa"/>
            <w:vAlign w:val="bottom"/>
          </w:tcPr>
          <w:p>
            <w:pPr>
              <w:spacing w:after="0"/>
              <w:rPr>
                <w:sz w:val="16"/>
                <w:szCs w:val="16"/>
                <w:color w:val="auto"/>
              </w:rPr>
            </w:pPr>
          </w:p>
        </w:tc>
        <w:tc>
          <w:tcPr>
            <w:tcW w:w="1440" w:type="dxa"/>
            <w:vAlign w:val="bottom"/>
            <w:gridSpan w:val="2"/>
            <w:vMerge w:val="restart"/>
          </w:tcPr>
          <w:p>
            <w:pPr>
              <w:jc w:val="right"/>
              <w:ind w:right="2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6"/>
                <w:szCs w:val="16"/>
                <w:color w:val="auto"/>
              </w:rPr>
            </w:pPr>
          </w:p>
        </w:tc>
        <w:tc>
          <w:tcPr>
            <w:tcW w:w="114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20"/>
        </w:trPr>
        <w:tc>
          <w:tcPr>
            <w:tcW w:w="514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December 31, 2024, atributable to Cabot Corporaton</w:t>
            </w:r>
          </w:p>
        </w:tc>
        <w:tc>
          <w:tcPr>
            <w:tcW w:w="15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(439 )</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(18 )</w:t>
            </w: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(457 )</w:t>
            </w:r>
          </w:p>
        </w:tc>
        <w:tc>
          <w:tcPr>
            <w:tcW w:w="0" w:type="dxa"/>
            <w:vAlign w:val="bottom"/>
          </w:tcPr>
          <w:p>
            <w:pPr>
              <w:spacing w:after="0"/>
              <w:rPr>
                <w:sz w:val="1"/>
                <w:szCs w:val="1"/>
                <w:color w:val="auto"/>
              </w:rPr>
            </w:pPr>
          </w:p>
        </w:tc>
      </w:tr>
      <w:tr>
        <w:trPr>
          <w:trHeight w:val="588"/>
        </w:trPr>
        <w:tc>
          <w:tcPr>
            <w:tcW w:w="514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-908050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-908050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28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Adjustments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58"/>
              <w:spacing w:after="0"/>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Balance at September 30, 2023, atributable to Cabot Corporaton</w:t>
            </w:r>
          </w:p>
        </w:tc>
        <w:tc>
          <w:tcPr>
            <w:tcW w:w="200" w:type="dxa"/>
            <w:vAlign w:val="bottom"/>
            <w:shd w:val="clear" w:color="auto" w:fill="CFF0FC"/>
          </w:tcPr>
          <w:p>
            <w:pPr>
              <w:jc w:val="right"/>
              <w:ind w:right="10"/>
              <w:spacing w:after="0" w:line="217" w:lineRule="exact"/>
              <w:rPr>
                <w:sz w:val="20"/>
                <w:szCs w:val="20"/>
                <w:color w:val="auto"/>
              </w:rPr>
            </w:pPr>
            <w:r>
              <w:rPr>
                <w:rFonts w:ascii="Calibri" w:cs="Calibri" w:eastAsia="Calibri" w:hAnsi="Calibri"/>
                <w:sz w:val="18"/>
                <w:szCs w:val="18"/>
                <w:color w:val="auto"/>
                <w:w w:val="87"/>
              </w:rPr>
              <w:t>$</w:t>
            </w:r>
          </w:p>
        </w:tc>
        <w:tc>
          <w:tcPr>
            <w:tcW w:w="138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(353 )</w:t>
            </w:r>
          </w:p>
        </w:tc>
        <w:tc>
          <w:tcPr>
            <w:tcW w:w="1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440" w:type="dxa"/>
            <w:vAlign w:val="bottom"/>
            <w:gridSpan w:val="2"/>
            <w:shd w:val="clear" w:color="auto" w:fill="CFF0FC"/>
          </w:tcPr>
          <w:p>
            <w:pPr>
              <w:jc w:val="right"/>
              <w:ind w:right="200"/>
              <w:spacing w:after="0" w:line="217" w:lineRule="exact"/>
              <w:rPr>
                <w:sz w:val="20"/>
                <w:szCs w:val="20"/>
                <w:color w:val="auto"/>
              </w:rPr>
            </w:pPr>
            <w:r>
              <w:rPr>
                <w:rFonts w:ascii="Calibri" w:cs="Calibri" w:eastAsia="Calibri" w:hAnsi="Calibri"/>
                <w:sz w:val="18"/>
                <w:szCs w:val="18"/>
                <w:color w:val="auto"/>
              </w:rPr>
              <w:t>(9 )</w:t>
            </w:r>
          </w:p>
        </w:tc>
        <w:tc>
          <w:tcPr>
            <w:tcW w:w="300" w:type="dxa"/>
            <w:vAlign w:val="bottom"/>
            <w:shd w:val="clear" w:color="auto" w:fill="CFF0FC"/>
          </w:tcPr>
          <w:p>
            <w:pPr>
              <w:jc w:val="right"/>
              <w:ind w:right="110"/>
              <w:spacing w:after="0" w:line="217"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FF0FC"/>
          </w:tcPr>
          <w:p>
            <w:pPr>
              <w:jc w:val="right"/>
              <w:ind w:right="40"/>
              <w:spacing w:after="0" w:line="217" w:lineRule="exact"/>
              <w:rPr>
                <w:sz w:val="20"/>
                <w:szCs w:val="20"/>
                <w:color w:val="auto"/>
              </w:rPr>
            </w:pPr>
            <w:r>
              <w:rPr>
                <w:rFonts w:ascii="Calibri" w:cs="Calibri" w:eastAsia="Calibri" w:hAnsi="Calibri"/>
                <w:sz w:val="18"/>
                <w:szCs w:val="18"/>
                <w:color w:val="auto"/>
              </w:rPr>
              <w:t>(362 )</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(1 )</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194"/>
        </w:trPr>
        <w:tc>
          <w:tcPr>
            <w:tcW w:w="6640" w:type="dxa"/>
            <w:vAlign w:val="bottom"/>
          </w:tcPr>
          <w:p>
            <w:pPr>
              <w:ind w:left="20"/>
              <w:spacing w:after="0" w:line="194"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6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 at December 31, 2023, atributable to Cabot Corporaton</w:t>
            </w: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(296 )</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(9 )</w:t>
            </w: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(305 )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For both three months ended December 31, 2024 and 2023, the Company reclassifed $1 million of gain associated with net investment hedges and $1 million and nil, respectvely, of losses excluded from net investment hedges efectveness testng out of AOCI and into interest expense on the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 Contngencies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Respirator Liabilites</w:t>
      </w:r>
    </w:p>
    <w:p>
      <w:pPr>
        <w:spacing w:after="0" w:line="55"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 As more fully described in the 2024 10-K, the respirator liabilites generally involve claims for personal injury, including asbestosis, silicosis and coal worker’s pneumoconiosis, allegedly resultng from the use of respirators that are alleged to have been negligently designed and/or labeled. At no tme did this respiratory product line represent a signifcant porton of the respirator market. In additon to Cabot’s subsidiary, other partes are responsible for signifcant portons of the costs of these respirator liabilites (as defned in the 2024 10-K, the “Payor Group”).</w:t>
      </w:r>
    </w:p>
    <w:p>
      <w:pPr>
        <w:spacing w:after="0" w:line="52" w:lineRule="exact"/>
        <w:rPr>
          <w:sz w:val="20"/>
          <w:szCs w:val="20"/>
          <w:color w:val="auto"/>
        </w:rPr>
      </w:pPr>
    </w:p>
    <w:p>
      <w:pPr>
        <w:ind w:right="140" w:firstLine="509"/>
        <w:spacing w:after="0"/>
        <w:rPr>
          <w:sz w:val="20"/>
          <w:szCs w:val="20"/>
          <w:color w:val="auto"/>
        </w:rPr>
      </w:pPr>
      <w:r>
        <w:rPr>
          <w:rFonts w:ascii="Calibri" w:cs="Calibri" w:eastAsia="Calibri" w:hAnsi="Calibri"/>
          <w:sz w:val="18"/>
          <w:szCs w:val="18"/>
          <w:color w:val="auto"/>
        </w:rPr>
        <w:t>Cabot has a reserve to cover its expected share of liabilites for pending and future respirator liability claims, which is included in Other liabilites and Accounts payable and accrued liabilites on the Consolidated Balance Sheets. The Company expects these liabilites to be incurred over a number of years. The reserve balance was $34 million and $35 million at December 31, 2024 and September 30, 2024, respectvely.</w:t>
      </w:r>
    </w:p>
    <w:p>
      <w:pPr>
        <w:spacing w:after="0" w:line="56" w:lineRule="exact"/>
        <w:rPr>
          <w:sz w:val="20"/>
          <w:szCs w:val="20"/>
          <w:color w:val="auto"/>
        </w:rPr>
      </w:pPr>
    </w:p>
    <w:p>
      <w:pPr>
        <w:ind w:right="40" w:firstLine="509"/>
        <w:spacing w:after="0" w:line="249" w:lineRule="auto"/>
        <w:rPr>
          <w:sz w:val="20"/>
          <w:szCs w:val="20"/>
          <w:color w:val="auto"/>
        </w:rPr>
      </w:pPr>
      <w:r>
        <w:rPr>
          <w:rFonts w:ascii="Calibri" w:cs="Calibri" w:eastAsia="Calibri" w:hAnsi="Calibri"/>
          <w:sz w:val="17"/>
          <w:szCs w:val="17"/>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w:t>
      </w:r>
    </w:p>
    <w:p>
      <w:pPr>
        <w:spacing w:after="0" w:line="1" w:lineRule="exact"/>
        <w:rPr>
          <w:sz w:val="20"/>
          <w:szCs w:val="20"/>
          <w:color w:val="auto"/>
        </w:rPr>
      </w:pPr>
    </w:p>
    <w:p>
      <w:pPr>
        <w:ind w:firstLine="8"/>
        <w:spacing w:after="0" w:line="235" w:lineRule="auto"/>
        <w:tabs>
          <w:tab w:leader="none" w:pos="18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82"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G. Income Tax</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Efectve Tax Rate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139"/>
              <w:spacing w:after="0"/>
              <w:rPr>
                <w:sz w:val="20"/>
                <w:szCs w:val="20"/>
                <w:color w:val="auto"/>
              </w:rPr>
            </w:pPr>
            <w:r>
              <w:rPr>
                <w:rFonts w:ascii="Calibri" w:cs="Calibri" w:eastAsia="Calibri" w:hAnsi="Calibri"/>
                <w:sz w:val="14"/>
                <w:szCs w:val="14"/>
                <w:b w:val="1"/>
                <w:bCs w:val="1"/>
                <w:color w:val="auto"/>
              </w:rPr>
              <w:t>Three Months Ended December 31</w:t>
            </w: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Calibri" w:cs="Calibri" w:eastAsia="Calibri" w:hAnsi="Calibri"/>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Calibri" w:cs="Calibri" w:eastAsia="Calibri" w:hAnsi="Calibri"/>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ind w:left="120"/>
              <w:spacing w:after="0" w:line="169" w:lineRule="exact"/>
              <w:rPr>
                <w:sz w:val="20"/>
                <w:szCs w:val="20"/>
                <w:color w:val="auto"/>
              </w:rPr>
            </w:pPr>
            <w:r>
              <w:rPr>
                <w:rFonts w:ascii="Calibri" w:cs="Calibri" w:eastAsia="Calibri" w:hAnsi="Calibri"/>
                <w:sz w:val="14"/>
                <w:szCs w:val="14"/>
                <w:b w:val="1"/>
                <w:bCs w:val="1"/>
                <w:color w:val="auto"/>
                <w:w w:val="75"/>
              </w:rPr>
              <w:t>(Dollars</w:t>
            </w:r>
          </w:p>
        </w:tc>
        <w:tc>
          <w:tcPr>
            <w:tcW w:w="1480" w:type="dxa"/>
            <w:vAlign w:val="bottom"/>
            <w:gridSpan w:val="2"/>
          </w:tcPr>
          <w:p>
            <w:pPr>
              <w:jc w:val="right"/>
              <w:ind w:right="599"/>
              <w:spacing w:after="0" w:line="169" w:lineRule="exact"/>
              <w:rPr>
                <w:sz w:val="20"/>
                <w:szCs w:val="20"/>
                <w:color w:val="auto"/>
              </w:rPr>
            </w:pPr>
            <w:r>
              <w:rPr>
                <w:rFonts w:ascii="Calibri" w:cs="Calibri" w:eastAsia="Calibri" w:hAnsi="Calibri"/>
                <w:sz w:val="14"/>
                <w:szCs w:val="14"/>
                <w:b w:val="1"/>
                <w:bCs w:val="1"/>
                <w:color w:val="auto"/>
              </w:rPr>
              <w:t>in millions)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9"/>
        </w:trPr>
        <w:tc>
          <w:tcPr>
            <w:tcW w:w="772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color w:val="auto"/>
              </w:rPr>
              <w:t>(Provision) beneft for income taxes</w:t>
            </w:r>
          </w:p>
        </w:tc>
        <w:tc>
          <w:tcPr>
            <w:tcW w:w="980" w:type="dxa"/>
            <w:vAlign w:val="bottom"/>
            <w:shd w:val="clear" w:color="auto" w:fill="CFF0FC"/>
          </w:tcPr>
          <w:p>
            <w:pPr>
              <w:jc w:val="right"/>
              <w:ind w:right="782"/>
              <w:spacing w:after="0" w:line="217" w:lineRule="exact"/>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FF0FC"/>
          </w:tcPr>
          <w:p>
            <w:pPr>
              <w:jc w:val="right"/>
              <w:ind w:right="288"/>
              <w:spacing w:after="0" w:line="217" w:lineRule="exact"/>
              <w:rPr>
                <w:sz w:val="20"/>
                <w:szCs w:val="20"/>
                <w:color w:val="auto"/>
              </w:rPr>
            </w:pPr>
            <w:r>
              <w:rPr>
                <w:rFonts w:ascii="Calibri" w:cs="Calibri" w:eastAsia="Calibri" w:hAnsi="Calibri"/>
                <w:sz w:val="18"/>
                <w:szCs w:val="18"/>
                <w:color w:val="auto"/>
              </w:rPr>
              <w:t>(41 )</w:t>
            </w:r>
          </w:p>
        </w:tc>
        <w:tc>
          <w:tcPr>
            <w:tcW w:w="1040" w:type="dxa"/>
            <w:vAlign w:val="bottom"/>
            <w:shd w:val="clear" w:color="auto" w:fill="CFF0FC"/>
          </w:tcPr>
          <w:p>
            <w:pPr>
              <w:jc w:val="right"/>
              <w:ind w:right="859"/>
              <w:spacing w:after="0" w:line="217" w:lineRule="exact"/>
              <w:rPr>
                <w:sz w:val="20"/>
                <w:szCs w:val="20"/>
                <w:color w:val="auto"/>
              </w:rPr>
            </w:pPr>
            <w:r>
              <w:rPr>
                <w:rFonts w:ascii="Calibri" w:cs="Calibri" w:eastAsia="Calibri" w:hAnsi="Calibri"/>
                <w:sz w:val="18"/>
                <w:szCs w:val="18"/>
                <w:color w:val="auto"/>
                <w:w w:val="87"/>
              </w:rPr>
              <w:t>$</w:t>
            </w:r>
          </w:p>
        </w:tc>
        <w:tc>
          <w:tcPr>
            <w:tcW w:w="580" w:type="dxa"/>
            <w:vAlign w:val="bottom"/>
            <w:gridSpan w:val="2"/>
            <w:shd w:val="clear" w:color="auto" w:fill="CFF0FC"/>
          </w:tcPr>
          <w:p>
            <w:pPr>
              <w:jc w:val="right"/>
              <w:ind w:right="100"/>
              <w:spacing w:after="0" w:line="217" w:lineRule="exact"/>
              <w:rPr>
                <w:sz w:val="20"/>
                <w:szCs w:val="20"/>
                <w:color w:val="auto"/>
              </w:rPr>
            </w:pPr>
            <w:r>
              <w:rPr>
                <w:rFonts w:ascii="Calibri" w:cs="Calibri" w:eastAsia="Calibri" w:hAnsi="Calibri"/>
                <w:sz w:val="18"/>
                <w:szCs w:val="18"/>
                <w:color w:val="auto"/>
              </w:rPr>
              <w:t>(34 )</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Efectve tax rate</w:t>
            </w:r>
          </w:p>
        </w:tc>
        <w:tc>
          <w:tcPr>
            <w:tcW w:w="980" w:type="dxa"/>
            <w:vAlign w:val="bottom"/>
          </w:tcPr>
          <w:p>
            <w:pPr>
              <w:spacing w:after="0"/>
              <w:rPr>
                <w:sz w:val="18"/>
                <w:szCs w:val="18"/>
                <w:color w:val="auto"/>
              </w:rPr>
            </w:pPr>
          </w:p>
        </w:tc>
        <w:tc>
          <w:tcPr>
            <w:tcW w:w="920" w:type="dxa"/>
            <w:vAlign w:val="bottom"/>
            <w:gridSpan w:val="2"/>
          </w:tcPr>
          <w:p>
            <w:pPr>
              <w:jc w:val="right"/>
              <w:ind w:right="208"/>
              <w:spacing w:after="0" w:line="215" w:lineRule="exact"/>
              <w:rPr>
                <w:sz w:val="20"/>
                <w:szCs w:val="20"/>
                <w:color w:val="auto"/>
              </w:rPr>
            </w:pPr>
            <w:r>
              <w:rPr>
                <w:rFonts w:ascii="Calibri" w:cs="Calibri" w:eastAsia="Calibri" w:hAnsi="Calibri"/>
                <w:sz w:val="18"/>
                <w:szCs w:val="18"/>
                <w:color w:val="auto"/>
              </w:rPr>
              <w:t>28 %</w:t>
            </w:r>
          </w:p>
        </w:tc>
        <w:tc>
          <w:tcPr>
            <w:tcW w:w="1040" w:type="dxa"/>
            <w:vAlign w:val="bottom"/>
          </w:tcPr>
          <w:p>
            <w:pPr>
              <w:spacing w:after="0"/>
              <w:rPr>
                <w:sz w:val="18"/>
                <w:szCs w:val="18"/>
                <w:color w:val="auto"/>
              </w:rPr>
            </w:pPr>
          </w:p>
        </w:tc>
        <w:tc>
          <w:tcPr>
            <w:tcW w:w="5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36 %</w:t>
            </w:r>
          </w:p>
        </w:tc>
      </w:tr>
    </w:tbl>
    <w:p>
      <w:pPr>
        <w:spacing w:after="0" w:line="46"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For the three months ended December 31, 2024 and 2023, the provision for income taxes included a net discrete tax expense of $2 million and $7 million, respectvely.</w:t>
      </w:r>
    </w:p>
    <w:p>
      <w:pPr>
        <w:spacing w:after="0" w:line="29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 in Interim Periods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records its tax provision or beneft on an interim basis using an estmated annual efectve tax rate. This rate is applied to the current period ordinary income or loss to determine the income tax provision or beneft allocated to the interim period. The income tax efects of unusual or infrequent items are excluded from the estmated annual efectve tax rate and are recognized in the impacted interim period. Losses from jurisdictons for which no beneft can be recognized are excluded from the overall computatons of the estmated annual efectve tax rate and a separate estmated annual efectve tax rate is computed and applied to ordinary income or loss in the loss jurisdicton.</w:t>
      </w:r>
    </w:p>
    <w:p>
      <w:pPr>
        <w:spacing w:after="0" w:line="8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Valuaton allowances are provided against the future tax benefts that arise from the deferred tax assets in jurisdictons for which the Company expects that no beneft can be recognized. The estmated annual efectve tax rate may be signifcantly impacted by nondeductble expenses and the Company’s projected earnings mix by tax jurisdicton. Adjustments to the estmated annual efectve income tax rate are recognized in the period when such estmates are revised.</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Uncertaintes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change in the unrecognized tax benefts may also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fles U.S. federal and state and non-U.S. income tax returns in jurisdictons with varying statutes of limitatons. The 2021 through 2023 tax years generally remain subject to examinaton by the IRS and various tax years from 2021 through 2023 remain subject to examinaton by the respectve state tax authorites. In foreign jurisdictons, various tax years from 2006 through 2024 remain subject to examinaton by their respectve tax authorites.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During the three month periods ended December 31, 2024 and 2023, Cabot released uncertain tax positons of $2 million and $1 million, respectvely, due to the expiraton of statutes of limitatons in various jurisdictons.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color w:val="auto"/>
        </w:rPr>
        <w:t>H. Earnings Per Share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tables summarize the components of the basic and diluted earnings (loss) per common share (“EPS”) computatons: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820" w:type="dxa"/>
            <w:vAlign w:val="bottom"/>
            <w:tcBorders>
              <w:bottom w:val="single" w:sz="8" w:color="auto"/>
            </w:tcBorders>
            <w:gridSpan w:val="4"/>
          </w:tcPr>
          <w:p>
            <w:pPr>
              <w:ind w:left="520"/>
              <w:spacing w:after="0"/>
              <w:rPr>
                <w:sz w:val="20"/>
                <w:szCs w:val="20"/>
                <w:color w:val="auto"/>
              </w:rPr>
            </w:pPr>
            <w:r>
              <w:rPr>
                <w:rFonts w:ascii="Calibri" w:cs="Calibri" w:eastAsia="Calibri" w:hAnsi="Calibri"/>
                <w:sz w:val="14"/>
                <w:szCs w:val="14"/>
                <w:b w:val="1"/>
                <w:bCs w:val="1"/>
                <w:color w:val="auto"/>
              </w:rPr>
              <w:t>Three Months Ended December 31</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980" w:type="dxa"/>
            <w:vAlign w:val="bottom"/>
            <w:tcBorders>
              <w:bottom w:val="single" w:sz="8" w:color="auto"/>
            </w:tcBorders>
          </w:tcPr>
          <w:p>
            <w:pPr>
              <w:ind w:left="520"/>
              <w:spacing w:after="0"/>
              <w:rPr>
                <w:sz w:val="20"/>
                <w:szCs w:val="20"/>
                <w:color w:val="auto"/>
              </w:rPr>
            </w:pPr>
            <w:r>
              <w:rPr>
                <w:rFonts w:ascii="Calibri" w:cs="Calibri" w:eastAsia="Calibri" w:hAnsi="Calibri"/>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Borders>
              <w:bottom w:val="single" w:sz="8" w:color="auto"/>
            </w:tcBorders>
          </w:tcPr>
          <w:p>
            <w:pPr>
              <w:jc w:val="right"/>
              <w:ind w:right="139"/>
              <w:spacing w:after="0"/>
              <w:rPr>
                <w:sz w:val="20"/>
                <w:szCs w:val="20"/>
                <w:color w:val="auto"/>
              </w:rPr>
            </w:pPr>
            <w:r>
              <w:rPr>
                <w:rFonts w:ascii="Calibri" w:cs="Calibri" w:eastAsia="Calibri" w:hAnsi="Calibri"/>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2820" w:type="dxa"/>
            <w:vAlign w:val="bottom"/>
            <w:gridSpan w:val="4"/>
          </w:tcPr>
          <w:p>
            <w:pPr>
              <w:jc w:val="right"/>
              <w:ind w:right="19"/>
              <w:spacing w:after="0" w:line="169" w:lineRule="exact"/>
              <w:rPr>
                <w:sz w:val="20"/>
                <w:szCs w:val="20"/>
                <w:color w:val="auto"/>
              </w:rPr>
            </w:pPr>
            <w:r>
              <w:rPr>
                <w:rFonts w:ascii="Calibri" w:cs="Calibri" w:eastAsia="Calibri" w:hAnsi="Calibri"/>
                <w:sz w:val="14"/>
                <w:szCs w:val="14"/>
                <w:b w:val="1"/>
                <w:bCs w:val="1"/>
                <w:color w:val="auto"/>
              </w:rPr>
              <w:t>(In millions, except per share amounts)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FF0FC"/>
          </w:tcPr>
          <w:p>
            <w:pPr>
              <w:ind w:left="20"/>
              <w:spacing w:after="0" w:line="217" w:lineRule="exact"/>
              <w:rPr>
                <w:sz w:val="20"/>
                <w:szCs w:val="20"/>
                <w:color w:val="auto"/>
              </w:rPr>
            </w:pPr>
            <w:r>
              <w:rPr>
                <w:rFonts w:ascii="Calibri" w:cs="Calibri" w:eastAsia="Calibri" w:hAnsi="Calibri"/>
                <w:sz w:val="18"/>
                <w:szCs w:val="18"/>
                <w:b w:val="1"/>
                <w:bCs w:val="1"/>
                <w:color w:val="auto"/>
              </w:rPr>
              <w:t>Basic EPS: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20" w:type="dxa"/>
            <w:vAlign w:val="bottom"/>
          </w:tcPr>
          <w:p>
            <w:pPr>
              <w:ind w:left="200"/>
              <w:spacing w:after="0" w:line="194" w:lineRule="exact"/>
              <w:rPr>
                <w:sz w:val="20"/>
                <w:szCs w:val="20"/>
                <w:color w:val="auto"/>
              </w:rPr>
            </w:pPr>
            <w:r>
              <w:rPr>
                <w:rFonts w:ascii="Calibri" w:cs="Calibri" w:eastAsia="Calibri" w:hAnsi="Calibri"/>
                <w:sz w:val="18"/>
                <w:szCs w:val="18"/>
                <w:color w:val="auto"/>
              </w:rPr>
              <w:t>Net income (loss) atributable to Cabot</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20"/>
              <w:spacing w:after="0" w:line="215" w:lineRule="exact"/>
              <w:rPr>
                <w:sz w:val="20"/>
                <w:szCs w:val="20"/>
                <w:color w:val="auto"/>
              </w:rPr>
            </w:pPr>
            <w:r>
              <w:rPr>
                <w:rFonts w:ascii="Calibri" w:cs="Calibri" w:eastAsia="Calibri" w:hAnsi="Calibri"/>
                <w:sz w:val="18"/>
                <w:szCs w:val="18"/>
                <w:color w:val="auto"/>
              </w:rPr>
              <w:t>Corporaton</w:t>
            </w:r>
          </w:p>
        </w:tc>
        <w:tc>
          <w:tcPr>
            <w:tcW w:w="980" w:type="dxa"/>
            <w:vAlign w:val="bottom"/>
          </w:tcPr>
          <w:p>
            <w:pPr>
              <w:jc w:val="right"/>
              <w:ind w:right="801"/>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93</w:t>
            </w:r>
          </w:p>
        </w:tc>
        <w:tc>
          <w:tcPr>
            <w:tcW w:w="1480" w:type="dxa"/>
            <w:vAlign w:val="bottom"/>
            <w:gridSpan w:val="2"/>
          </w:tcPr>
          <w:p>
            <w:pPr>
              <w:jc w:val="right"/>
              <w:ind w:right="839"/>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02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Less: Dividends and dividend equivalents</w:t>
            </w: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to partcipatng securites</w:t>
            </w:r>
          </w:p>
        </w:tc>
        <w:tc>
          <w:tcPr>
            <w:tcW w:w="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9"/>
        </w:trPr>
        <w:tc>
          <w:tcPr>
            <w:tcW w:w="8020" w:type="dxa"/>
            <w:vAlign w:val="bottom"/>
          </w:tcPr>
          <w:p>
            <w:pPr>
              <w:ind w:left="200"/>
              <w:spacing w:after="0" w:line="169" w:lineRule="exact"/>
              <w:rPr>
                <w:sz w:val="20"/>
                <w:szCs w:val="20"/>
                <w:color w:val="auto"/>
              </w:rPr>
            </w:pPr>
            <w:r>
              <w:rPr>
                <w:rFonts w:ascii="Calibri" w:cs="Calibri" w:eastAsia="Calibri" w:hAnsi="Calibri"/>
                <w:sz w:val="18"/>
                <w:szCs w:val="18"/>
                <w:color w:val="auto"/>
              </w:rPr>
              <w:t>Less: Undistributed earnings allocated to</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20" w:type="dxa"/>
            <w:vAlign w:val="bottom"/>
          </w:tcPr>
          <w:p>
            <w:pPr>
              <w:ind w:left="320"/>
              <w:spacing w:after="0" w:line="250"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4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020" w:type="dxa"/>
            <w:vAlign w:val="bottom"/>
            <w:shd w:val="clear" w:color="auto" w:fill="CFF0FC"/>
          </w:tcPr>
          <w:p>
            <w:pPr>
              <w:ind w:left="480"/>
              <w:spacing w:after="0" w:line="187" w:lineRule="exact"/>
              <w:rPr>
                <w:sz w:val="20"/>
                <w:szCs w:val="20"/>
                <w:color w:val="auto"/>
              </w:rPr>
            </w:pPr>
            <w:r>
              <w:rPr>
                <w:rFonts w:ascii="Calibri" w:cs="Calibri" w:eastAsia="Calibri" w:hAnsi="Calibri"/>
                <w:sz w:val="18"/>
                <w:szCs w:val="18"/>
                <w:color w:val="auto"/>
              </w:rPr>
              <w:t>Earnings (loss) allocated to common</w:t>
            </w:r>
          </w:p>
        </w:tc>
        <w:tc>
          <w:tcPr>
            <w:tcW w:w="980" w:type="dxa"/>
            <w:vAlign w:val="bottom"/>
            <w:vMerge w:val="restart"/>
            <w:shd w:val="clear" w:color="auto" w:fill="CFF0FC"/>
          </w:tcPr>
          <w:p>
            <w:pPr>
              <w:jc w:val="right"/>
              <w:ind w:right="801"/>
              <w:spacing w:after="0"/>
              <w:rPr>
                <w:sz w:val="20"/>
                <w:szCs w:val="20"/>
                <w:color w:val="auto"/>
              </w:rPr>
            </w:pPr>
            <w:r>
              <w:rPr>
                <w:rFonts w:ascii="Calibri" w:cs="Calibri" w:eastAsia="Calibri" w:hAnsi="Calibri"/>
                <w:sz w:val="18"/>
                <w:szCs w:val="18"/>
                <w:color w:val="auto"/>
                <w:w w:val="87"/>
              </w:rPr>
              <w:t>$</w:t>
            </w: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92</w:t>
            </w:r>
          </w:p>
        </w:tc>
        <w:tc>
          <w:tcPr>
            <w:tcW w:w="460" w:type="dxa"/>
            <w:vAlign w:val="bottom"/>
            <w:vMerge w:val="restart"/>
            <w:shd w:val="clear" w:color="auto" w:fill="CFF0FC"/>
          </w:tcPr>
          <w:p>
            <w:pPr>
              <w:spacing w:after="0"/>
              <w:rPr>
                <w:sz w:val="16"/>
                <w:szCs w:val="16"/>
                <w:color w:val="auto"/>
              </w:rPr>
            </w:pPr>
          </w:p>
        </w:tc>
        <w:tc>
          <w:tcPr>
            <w:tcW w:w="1020" w:type="dxa"/>
            <w:vAlign w:val="bottom"/>
            <w:vMerge w:val="restart"/>
            <w:shd w:val="clear" w:color="auto" w:fill="CFF0FC"/>
          </w:tcPr>
          <w:p>
            <w:pPr>
              <w:jc w:val="right"/>
              <w:ind w:right="839"/>
              <w:spacing w:after="0"/>
              <w:rPr>
                <w:sz w:val="20"/>
                <w:szCs w:val="20"/>
                <w:color w:val="auto"/>
              </w:rPr>
            </w:pPr>
            <w:r>
              <w:rPr>
                <w:rFonts w:ascii="Calibri" w:cs="Calibri" w:eastAsia="Calibri" w:hAnsi="Calibri"/>
                <w:sz w:val="18"/>
                <w:szCs w:val="18"/>
                <w:color w:val="auto"/>
                <w:w w:val="87"/>
              </w:rPr>
              <w:t>$</w:t>
            </w:r>
          </w:p>
        </w:tc>
        <w:tc>
          <w:tcPr>
            <w:tcW w:w="3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FF0FC"/>
            </w:tcBorders>
            <w:shd w:val="clear" w:color="auto" w:fill="CFF0FC"/>
          </w:tcPr>
          <w:p>
            <w:pPr>
              <w:ind w:left="600"/>
              <w:spacing w:after="0" w:line="198" w:lineRule="exact"/>
              <w:rPr>
                <w:sz w:val="20"/>
                <w:szCs w:val="20"/>
                <w:color w:val="auto"/>
              </w:rPr>
            </w:pPr>
            <w:r>
              <w:rPr>
                <w:rFonts w:ascii="Calibri" w:cs="Calibri" w:eastAsia="Calibri" w:hAnsi="Calibri"/>
                <w:sz w:val="18"/>
                <w:szCs w:val="18"/>
                <w:color w:val="auto"/>
              </w:rPr>
              <w:t>stockholders (numerator)</w:t>
            </w: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CFF0FC"/>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18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Weighted average common shares and</w:t>
      </w:r>
    </w:p>
    <w:p>
      <w:pPr>
        <w:ind w:left="320"/>
        <w:spacing w:after="0" w:line="235" w:lineRule="auto"/>
        <w:rPr>
          <w:sz w:val="20"/>
          <w:szCs w:val="20"/>
          <w:color w:val="auto"/>
        </w:rPr>
      </w:pPr>
      <w:r>
        <w:rPr>
          <w:rFonts w:ascii="Calibri" w:cs="Calibri" w:eastAsia="Calibri" w:hAnsi="Calibri"/>
          <w:sz w:val="18"/>
          <w:szCs w:val="18"/>
          <w:color w:val="auto"/>
        </w:rPr>
        <w:t>partcipatng securites outstanding</w:t>
      </w:r>
    </w:p>
    <w:p>
      <w:pPr>
        <w:ind w:left="200"/>
        <w:spacing w:after="0" w:line="219" w:lineRule="auto"/>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p>
      <w:pPr>
        <w:ind w:left="480"/>
        <w:spacing w:after="0" w:line="207" w:lineRule="auto"/>
        <w:rPr>
          <w:sz w:val="20"/>
          <w:szCs w:val="20"/>
          <w:color w:val="auto"/>
        </w:rPr>
      </w:pPr>
      <w:r>
        <w:rPr>
          <w:rFonts w:ascii="Calibri" w:cs="Calibri" w:eastAsia="Calibri" w:hAnsi="Calibri"/>
          <w:sz w:val="17"/>
          <w:szCs w:val="17"/>
          <w:color w:val="auto"/>
        </w:rPr>
        <w:t>Adjusted weighted average common</w:t>
      </w:r>
    </w:p>
    <w:p>
      <w:pPr>
        <w:ind w:left="600"/>
        <w:spacing w:after="0" w:line="235" w:lineRule="auto"/>
        <w:rPr>
          <w:sz w:val="20"/>
          <w:szCs w:val="20"/>
          <w:color w:val="auto"/>
        </w:rPr>
      </w:pPr>
      <w:r>
        <w:rPr>
          <w:rFonts w:ascii="Calibri" w:cs="Calibri" w:eastAsia="Calibri" w:hAnsi="Calibri"/>
          <w:sz w:val="18"/>
          <w:szCs w:val="18"/>
          <w:color w:val="auto"/>
        </w:rPr>
        <w:t>shares (denominator)</w:t>
      </w:r>
    </w:p>
    <w:p>
      <w:pPr>
        <w:spacing w:after="0" w:line="218"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Earnings (loss) per common share - basic:</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55.2</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56.4</w:t>
            </w:r>
          </w:p>
        </w:tc>
      </w:tr>
      <w:tr>
        <w:trPr>
          <w:trHeight w:val="216"/>
        </w:trPr>
        <w:tc>
          <w:tcPr>
            <w:tcW w:w="560" w:type="dxa"/>
            <w:vAlign w:val="bottom"/>
          </w:tcPr>
          <w:p>
            <w:pPr>
              <w:spacing w:after="0"/>
              <w:rPr>
                <w:sz w:val="18"/>
                <w:szCs w:val="18"/>
                <w:color w:val="auto"/>
              </w:rPr>
            </w:pPr>
          </w:p>
        </w:tc>
        <w:tc>
          <w:tcPr>
            <w:tcW w:w="780" w:type="dxa"/>
            <w:vAlign w:val="bottom"/>
          </w:tcPr>
          <w:p>
            <w:pPr>
              <w:jc w:val="right"/>
              <w:spacing w:after="0" w:line="216" w:lineRule="exact"/>
              <w:rPr>
                <w:sz w:val="20"/>
                <w:szCs w:val="20"/>
                <w:color w:val="auto"/>
              </w:rPr>
            </w:pPr>
            <w:r>
              <w:rPr>
                <w:rFonts w:ascii="Calibri" w:cs="Calibri" w:eastAsia="Calibri" w:hAnsi="Calibri"/>
                <w:sz w:val="18"/>
                <w:szCs w:val="18"/>
                <w:color w:val="auto"/>
              </w:rPr>
              <w:t>0.9</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line="216" w:lineRule="exact"/>
              <w:rPr>
                <w:sz w:val="20"/>
                <w:szCs w:val="20"/>
                <w:color w:val="auto"/>
              </w:rPr>
            </w:pPr>
            <w:r>
              <w:rPr>
                <w:rFonts w:ascii="Calibri" w:cs="Calibri" w:eastAsia="Calibri" w:hAnsi="Calibri"/>
                <w:sz w:val="18"/>
                <w:szCs w:val="18"/>
                <w:color w:val="auto"/>
              </w:rPr>
              <w:t>1.1</w:t>
            </w:r>
          </w:p>
        </w:tc>
      </w:tr>
      <w:tr>
        <w:trPr>
          <w:trHeight w:val="23"/>
        </w:trPr>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62"/>
        </w:trPr>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54.3</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55.3</w:t>
            </w:r>
          </w:p>
        </w:tc>
      </w:tr>
      <w:tr>
        <w:trPr>
          <w:trHeight w:val="23"/>
        </w:trPr>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89"/>
        </w:trPr>
        <w:tc>
          <w:tcPr>
            <w:tcW w:w="560" w:type="dxa"/>
            <w:vAlign w:val="bottom"/>
          </w:tcPr>
          <w:p>
            <w:pPr>
              <w:jc w:val="right"/>
              <w:ind w:right="370"/>
              <w:spacing w:after="0"/>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1.69</w:t>
            </w:r>
          </w:p>
        </w:tc>
        <w:tc>
          <w:tcPr>
            <w:tcW w:w="1000" w:type="dxa"/>
            <w:vAlign w:val="bottom"/>
            <w:gridSpan w:val="2"/>
          </w:tcPr>
          <w:p>
            <w:pPr>
              <w:jc w:val="right"/>
              <w:ind w:right="4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-953135</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-121920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-533400</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1057" w:right="3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2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Diluted EPS:</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20" w:type="dxa"/>
            <w:vAlign w:val="bottom"/>
          </w:tcPr>
          <w:p>
            <w:pPr>
              <w:ind w:left="200"/>
              <w:spacing w:after="0" w:line="194" w:lineRule="exact"/>
              <w:rPr>
                <w:sz w:val="20"/>
                <w:szCs w:val="20"/>
                <w:color w:val="auto"/>
              </w:rPr>
            </w:pPr>
            <w:r>
              <w:rPr>
                <w:rFonts w:ascii="Calibri" w:cs="Calibri" w:eastAsia="Calibri" w:hAnsi="Calibri"/>
                <w:sz w:val="18"/>
                <w:szCs w:val="18"/>
                <w:color w:val="auto"/>
              </w:rPr>
              <w:t>Earnings (loss) allocated to common</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20"/>
              <w:spacing w:after="0" w:line="215" w:lineRule="exact"/>
              <w:rPr>
                <w:sz w:val="20"/>
                <w:szCs w:val="20"/>
                <w:color w:val="auto"/>
              </w:rPr>
            </w:pPr>
            <w:r>
              <w:rPr>
                <w:rFonts w:ascii="Calibri" w:cs="Calibri" w:eastAsia="Calibri" w:hAnsi="Calibri"/>
                <w:sz w:val="18"/>
                <w:szCs w:val="18"/>
                <w:color w:val="auto"/>
              </w:rPr>
              <w:t>stockholders</w:t>
            </w:r>
          </w:p>
        </w:tc>
        <w:tc>
          <w:tcPr>
            <w:tcW w:w="620" w:type="dxa"/>
            <w:vAlign w:val="bottom"/>
          </w:tcPr>
          <w:p>
            <w:pPr>
              <w:jc w:val="right"/>
              <w:ind w:right="43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92</w:t>
            </w:r>
          </w:p>
        </w:tc>
        <w:tc>
          <w:tcPr>
            <w:tcW w:w="1060" w:type="dxa"/>
            <w:vAlign w:val="bottom"/>
            <w:gridSpan w:val="2"/>
          </w:tcPr>
          <w:p>
            <w:pPr>
              <w:jc w:val="right"/>
              <w:ind w:right="41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02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Plus: Earnings allocated to</w:t>
            </w:r>
          </w:p>
        </w:tc>
        <w:tc>
          <w:tcPr>
            <w:tcW w:w="6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partcipatng securites</w:t>
            </w:r>
          </w:p>
        </w:tc>
        <w:tc>
          <w:tcPr>
            <w:tcW w:w="6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tcPr>
          <w:p>
            <w:pPr>
              <w:ind w:left="200"/>
              <w:spacing w:after="0" w:line="169" w:lineRule="exact"/>
              <w:rPr>
                <w:sz w:val="20"/>
                <w:szCs w:val="20"/>
                <w:color w:val="auto"/>
              </w:rPr>
            </w:pPr>
            <w:r>
              <w:rPr>
                <w:rFonts w:ascii="Calibri" w:cs="Calibri" w:eastAsia="Calibri" w:hAnsi="Calibri"/>
                <w:sz w:val="18"/>
                <w:szCs w:val="18"/>
                <w:color w:val="auto"/>
              </w:rPr>
              <w:t>Less: Adjusted earnings allocated to</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20" w:type="dxa"/>
            <w:vAlign w:val="bottom"/>
          </w:tcPr>
          <w:p>
            <w:pPr>
              <w:ind w:left="320"/>
              <w:spacing w:after="0" w:line="250" w:lineRule="exact"/>
              <w:rPr>
                <w:sz w:val="20"/>
                <w:szCs w:val="20"/>
                <w:color w:val="auto"/>
              </w:rPr>
            </w:pPr>
            <w:r>
              <w:rPr>
                <w:rFonts w:ascii="Calibri" w:cs="Calibri" w:eastAsia="Calibri" w:hAnsi="Calibri"/>
                <w:sz w:val="18"/>
                <w:szCs w:val="18"/>
                <w:color w:val="auto"/>
              </w:rPr>
              <w:t>partcipatng securites</w:t>
            </w:r>
            <w:r>
              <w:rPr>
                <w:rFonts w:ascii="Calibri" w:cs="Calibri" w:eastAsia="Calibri" w:hAnsi="Calibri"/>
                <w:sz w:val="24"/>
                <w:szCs w:val="24"/>
                <w:color w:val="auto"/>
                <w:vertAlign w:val="superscript"/>
              </w:rPr>
              <w:t>(2)</w:t>
            </w:r>
          </w:p>
        </w:tc>
        <w:tc>
          <w:tcPr>
            <w:tcW w:w="6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4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020" w:type="dxa"/>
            <w:vAlign w:val="bottom"/>
            <w:shd w:val="clear" w:color="auto" w:fill="CFF0FC"/>
          </w:tcPr>
          <w:p>
            <w:pPr>
              <w:ind w:left="480"/>
              <w:spacing w:after="0" w:line="187" w:lineRule="exact"/>
              <w:rPr>
                <w:sz w:val="20"/>
                <w:szCs w:val="20"/>
                <w:color w:val="auto"/>
              </w:rPr>
            </w:pPr>
            <w:r>
              <w:rPr>
                <w:rFonts w:ascii="Calibri" w:cs="Calibri" w:eastAsia="Calibri" w:hAnsi="Calibri"/>
                <w:sz w:val="18"/>
                <w:szCs w:val="18"/>
                <w:color w:val="auto"/>
              </w:rPr>
              <w:t>Earnings (loss) allocated to common</w:t>
            </w:r>
          </w:p>
        </w:tc>
        <w:tc>
          <w:tcPr>
            <w:tcW w:w="620" w:type="dxa"/>
            <w:vAlign w:val="bottom"/>
            <w:vMerge w:val="restart"/>
            <w:shd w:val="clear" w:color="auto" w:fill="CFF0FC"/>
          </w:tcPr>
          <w:p>
            <w:pPr>
              <w:jc w:val="right"/>
              <w:ind w:right="430"/>
              <w:spacing w:after="0"/>
              <w:rPr>
                <w:sz w:val="20"/>
                <w:szCs w:val="20"/>
                <w:color w:val="auto"/>
              </w:rPr>
            </w:pPr>
            <w:r>
              <w:rPr>
                <w:rFonts w:ascii="Calibri" w:cs="Calibri" w:eastAsia="Calibri" w:hAnsi="Calibri"/>
                <w:sz w:val="18"/>
                <w:szCs w:val="18"/>
                <w:color w:val="auto"/>
                <w:w w:val="87"/>
              </w:rPr>
              <w:t>$</w:t>
            </w:r>
          </w:p>
        </w:tc>
        <w:tc>
          <w:tcPr>
            <w:tcW w:w="7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92</w:t>
            </w:r>
          </w:p>
        </w:tc>
        <w:tc>
          <w:tcPr>
            <w:tcW w:w="460" w:type="dxa"/>
            <w:vAlign w:val="bottom"/>
            <w:vMerge w:val="restart"/>
            <w:shd w:val="clear" w:color="auto" w:fill="CFF0FC"/>
          </w:tcPr>
          <w:p>
            <w:pPr>
              <w:spacing w:after="0"/>
              <w:rPr>
                <w:sz w:val="16"/>
                <w:szCs w:val="16"/>
                <w:color w:val="auto"/>
              </w:rPr>
            </w:pPr>
          </w:p>
        </w:tc>
        <w:tc>
          <w:tcPr>
            <w:tcW w:w="600" w:type="dxa"/>
            <w:vAlign w:val="bottom"/>
            <w:vMerge w:val="restart"/>
            <w:shd w:val="clear" w:color="auto" w:fill="CFF0FC"/>
          </w:tcPr>
          <w:p>
            <w:pPr>
              <w:jc w:val="right"/>
              <w:ind w:right="410"/>
              <w:spacing w:after="0"/>
              <w:rPr>
                <w:sz w:val="20"/>
                <w:szCs w:val="20"/>
                <w:color w:val="auto"/>
              </w:rPr>
            </w:pPr>
            <w:r>
              <w:rPr>
                <w:rFonts w:ascii="Calibri" w:cs="Calibri" w:eastAsia="Calibri" w:hAnsi="Calibri"/>
                <w:sz w:val="18"/>
                <w:szCs w:val="18"/>
                <w:color w:val="auto"/>
                <w:w w:val="87"/>
              </w:rPr>
              <w:t>$</w:t>
            </w:r>
          </w:p>
        </w:tc>
        <w:tc>
          <w:tcPr>
            <w:tcW w:w="7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FF0FC"/>
            </w:tcBorders>
            <w:shd w:val="clear" w:color="auto" w:fill="CFF0FC"/>
          </w:tcPr>
          <w:p>
            <w:pPr>
              <w:ind w:left="600"/>
              <w:spacing w:after="0" w:line="198" w:lineRule="exact"/>
              <w:rPr>
                <w:sz w:val="20"/>
                <w:szCs w:val="20"/>
                <w:color w:val="auto"/>
              </w:rPr>
            </w:pPr>
            <w:r>
              <w:rPr>
                <w:rFonts w:ascii="Calibri" w:cs="Calibri" w:eastAsia="Calibri" w:hAnsi="Calibri"/>
                <w:sz w:val="18"/>
                <w:szCs w:val="18"/>
                <w:color w:val="auto"/>
              </w:rPr>
              <w:t>stockholders (numerator)</w:t>
            </w: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CFF0FC"/>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p>
      <w:pPr>
        <w:spacing w:after="0" w:line="18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Adjusted weighted average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20"/>
        <w:spacing w:after="0" w:line="235" w:lineRule="auto"/>
        <w:rPr>
          <w:sz w:val="20"/>
          <w:szCs w:val="20"/>
          <w:color w:val="auto"/>
        </w:rPr>
      </w:pPr>
      <w:r>
        <w:rPr>
          <w:rFonts w:ascii="Calibri" w:cs="Calibri" w:eastAsia="Calibri" w:hAnsi="Calibri"/>
          <w:sz w:val="18"/>
          <w:szCs w:val="18"/>
          <w:color w:val="auto"/>
        </w:rPr>
        <w:t>shares outstanding</w:t>
      </w:r>
    </w:p>
    <w:p>
      <w:pPr>
        <w:ind w:left="200"/>
        <w:spacing w:after="0" w:line="236" w:lineRule="auto"/>
        <w:rPr>
          <w:sz w:val="20"/>
          <w:szCs w:val="20"/>
          <w:color w:val="auto"/>
        </w:rPr>
      </w:pPr>
      <w:r>
        <w:rPr>
          <w:rFonts w:ascii="Calibri" w:cs="Calibri" w:eastAsia="Calibri" w:hAnsi="Calibri"/>
          <w:sz w:val="18"/>
          <w:szCs w:val="18"/>
          <w:color w:val="auto"/>
        </w:rPr>
        <w:t>Efect of dilutve securites:</w:t>
      </w:r>
    </w:p>
    <w:p>
      <w:pPr>
        <w:ind w:left="380"/>
        <w:spacing w:after="0" w:line="188" w:lineRule="auto"/>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80"/>
        <w:spacing w:after="0" w:line="236" w:lineRule="auto"/>
        <w:rPr>
          <w:sz w:val="20"/>
          <w:szCs w:val="20"/>
          <w:color w:val="auto"/>
        </w:rPr>
      </w:pPr>
      <w:r>
        <w:rPr>
          <w:rFonts w:ascii="Calibri" w:cs="Calibri" w:eastAsia="Calibri" w:hAnsi="Calibri"/>
          <w:sz w:val="18"/>
          <w:szCs w:val="18"/>
          <w:color w:val="auto"/>
        </w:rPr>
        <w:t>Adjusted weighted average common</w:t>
      </w:r>
    </w:p>
    <w:p>
      <w:pPr>
        <w:ind w:left="600"/>
        <w:spacing w:after="0" w:line="236" w:lineRule="auto"/>
        <w:rPr>
          <w:sz w:val="20"/>
          <w:szCs w:val="20"/>
          <w:color w:val="auto"/>
        </w:rPr>
      </w:pPr>
      <w:r>
        <w:rPr>
          <w:rFonts w:ascii="Calibri" w:cs="Calibri" w:eastAsia="Calibri" w:hAnsi="Calibri"/>
          <w:sz w:val="18"/>
          <w:szCs w:val="18"/>
          <w:color w:val="auto"/>
        </w:rPr>
        <w:t>shares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Earnings (loss) per common share - diluted: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54.3</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55.3</w:t>
            </w:r>
          </w:p>
        </w:tc>
      </w:tr>
      <w:tr>
        <w:trPr>
          <w:trHeight w:val="432"/>
        </w:trPr>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0.7</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0.5</w:t>
            </w:r>
          </w:p>
        </w:tc>
      </w:tr>
      <w:tr>
        <w:trPr>
          <w:trHeight w:val="23"/>
        </w:trPr>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62"/>
        </w:trPr>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55.0</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55.8</w:t>
            </w:r>
          </w:p>
        </w:tc>
      </w:tr>
      <w:tr>
        <w:trPr>
          <w:trHeight w:val="23"/>
        </w:trPr>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89"/>
        </w:trPr>
        <w:tc>
          <w:tcPr>
            <w:tcW w:w="560" w:type="dxa"/>
            <w:vAlign w:val="bottom"/>
          </w:tcPr>
          <w:p>
            <w:pPr>
              <w:jc w:val="right"/>
              <w:ind w:right="370"/>
              <w:spacing w:after="0"/>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1.67</w:t>
            </w:r>
          </w:p>
        </w:tc>
        <w:tc>
          <w:tcPr>
            <w:tcW w:w="1000" w:type="dxa"/>
            <w:vAlign w:val="bottom"/>
            <w:gridSpan w:val="2"/>
          </w:tcPr>
          <w:p>
            <w:pPr>
              <w:jc w:val="right"/>
              <w:ind w:right="44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0.88</w:t>
            </w:r>
          </w:p>
        </w:tc>
      </w:tr>
    </w:tbl>
    <w:p>
      <w:pPr>
        <w:spacing w:after="0" w:line="109" w:lineRule="exact"/>
        <w:rPr>
          <w:sz w:val="20"/>
          <w:szCs w:val="20"/>
          <w:color w:val="auto"/>
        </w:rPr>
      </w:pPr>
    </w:p>
    <w:p>
      <w:pPr>
        <w:sectPr>
          <w:pgSz w:w="11900" w:h="16838" w:orient="portrait"/>
          <w:cols w:equalWidth="0" w:num="2">
            <w:col w:w="7300" w:space="720"/>
            <w:col w:w="3220"/>
          </w:cols>
          <w:pgMar w:left="320" w:top="1057" w:right="339" w:bottom="1440" w:gutter="0" w:footer="0" w:header="0"/>
          <w:type w:val="continuous"/>
        </w:sectPr>
      </w:pPr>
    </w:p>
    <w:p>
      <w:pPr>
        <w:ind w:left="520" w:right="60" w:hanging="512"/>
        <w:spacing w:after="0" w:line="225" w:lineRule="auto"/>
        <w:tabs>
          <w:tab w:leader="none" w:pos="520" w:val="left"/>
        </w:tabs>
        <w:numPr>
          <w:ilvl w:val="0"/>
          <w:numId w:val="5"/>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4" w:name="page15"/>
    <w:bookmarkEnd w:id="14"/>
    <w:p>
      <w:pPr>
        <w:ind w:left="520" w:right="100"/>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stockholders. Undistributed earnings are allocated to common and partcipatng stockholders on the same basis as dividend distributons. The calculaton of undistributed earnings is as follows:</w:t>
      </w:r>
    </w:p>
    <w:p>
      <w:pPr>
        <w:spacing w:after="0" w:line="118"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8"/>
              <w:spacing w:after="0"/>
              <w:rPr>
                <w:sz w:val="20"/>
                <w:szCs w:val="20"/>
                <w:color w:val="auto"/>
              </w:rPr>
            </w:pPr>
            <w:r>
              <w:rPr>
                <w:rFonts w:ascii="Calibri" w:cs="Calibri" w:eastAsia="Calibri" w:hAnsi="Calibri"/>
                <w:sz w:val="14"/>
                <w:szCs w:val="14"/>
                <w:b w:val="1"/>
                <w:bCs w:val="1"/>
                <w:color w:val="auto"/>
              </w:rPr>
              <w:t>Three Months Ended December 31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980" w:type="dxa"/>
            <w:vAlign w:val="bottom"/>
            <w:tcBorders>
              <w:bottom w:val="single" w:sz="8" w:color="auto"/>
            </w:tcBorders>
          </w:tcPr>
          <w:p>
            <w:pPr>
              <w:jc w:val="right"/>
              <w:ind w:right="76"/>
              <w:spacing w:after="0"/>
              <w:rPr>
                <w:sz w:val="20"/>
                <w:szCs w:val="20"/>
                <w:color w:val="auto"/>
              </w:rPr>
            </w:pPr>
            <w:r>
              <w:rPr>
                <w:rFonts w:ascii="Calibri" w:cs="Calibri" w:eastAsia="Calibri" w:hAnsi="Calibri"/>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1280" w:type="dxa"/>
            <w:vAlign w:val="bottom"/>
            <w:gridSpan w:val="2"/>
          </w:tcPr>
          <w:p>
            <w:pPr>
              <w:jc w:val="right"/>
              <w:ind w:right="748"/>
              <w:spacing w:after="0" w:line="169" w:lineRule="exact"/>
              <w:rPr>
                <w:sz w:val="20"/>
                <w:szCs w:val="20"/>
                <w:color w:val="auto"/>
              </w:rPr>
            </w:pPr>
            <w:r>
              <w:rPr>
                <w:rFonts w:ascii="Calibri" w:cs="Calibri" w:eastAsia="Calibri" w:hAnsi="Calibri"/>
                <w:sz w:val="14"/>
                <w:szCs w:val="14"/>
                <w:b w:val="1"/>
                <w:bCs w:val="1"/>
                <w:color w:val="auto"/>
                <w:w w:val="87"/>
              </w:rPr>
              <w:t>millions)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Calculaton of undistributed earnings (loss):</w:t>
            </w: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980" w:type="dxa"/>
            <w:vAlign w:val="bottom"/>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93</w:t>
            </w:r>
          </w:p>
        </w:tc>
        <w:tc>
          <w:tcPr>
            <w:tcW w:w="1280" w:type="dxa"/>
            <w:vAlign w:val="bottom"/>
            <w:gridSpan w:val="2"/>
          </w:tcPr>
          <w:p>
            <w:pPr>
              <w:jc w:val="right"/>
              <w:ind w:right="868"/>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Less: Dividends declared on common stock</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60" w:type="dxa"/>
            <w:vAlign w:val="bottom"/>
          </w:tcPr>
          <w:p>
            <w:pPr>
              <w:ind w:left="180"/>
              <w:spacing w:after="0" w:line="194" w:lineRule="exact"/>
              <w:rPr>
                <w:sz w:val="20"/>
                <w:szCs w:val="20"/>
                <w:color w:val="auto"/>
              </w:rPr>
            </w:pPr>
            <w:r>
              <w:rPr>
                <w:rFonts w:ascii="Calibri" w:cs="Calibri" w:eastAsia="Calibri" w:hAnsi="Calibri"/>
                <w:sz w:val="18"/>
                <w:szCs w:val="18"/>
                <w:color w:val="auto"/>
              </w:rPr>
              <w:t>Less: Dividends declared on partcipatng</w:t>
            </w:r>
          </w:p>
        </w:tc>
        <w:tc>
          <w:tcPr>
            <w:tcW w:w="98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660" w:type="dxa"/>
            <w:vAlign w:val="bottom"/>
            <w:shd w:val="clear" w:color="auto" w:fill="CFF0FC"/>
          </w:tcPr>
          <w:p>
            <w:pPr>
              <w:ind w:left="360"/>
              <w:spacing w:after="0" w:line="215" w:lineRule="exact"/>
              <w:rPr>
                <w:sz w:val="20"/>
                <w:szCs w:val="20"/>
                <w:color w:val="auto"/>
              </w:rPr>
            </w:pPr>
            <w:r>
              <w:rPr>
                <w:rFonts w:ascii="Calibri" w:cs="Calibri" w:eastAsia="Calibri" w:hAnsi="Calibri"/>
                <w:sz w:val="18"/>
                <w:szCs w:val="18"/>
                <w:color w:val="auto"/>
              </w:rPr>
              <w:t>Undistributed earnings (loss)</w:t>
            </w:r>
          </w:p>
        </w:tc>
        <w:tc>
          <w:tcPr>
            <w:tcW w:w="980" w:type="dxa"/>
            <w:vAlign w:val="bottom"/>
            <w:shd w:val="clear" w:color="auto" w:fill="CFF0FC"/>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w:t>
            </w:r>
          </w:p>
        </w:tc>
        <w:tc>
          <w:tcPr>
            <w:tcW w:w="1280" w:type="dxa"/>
            <w:vAlign w:val="bottom"/>
            <w:gridSpan w:val="2"/>
            <w:shd w:val="clear" w:color="auto" w:fill="CFF0FC"/>
          </w:tcPr>
          <w:p>
            <w:pPr>
              <w:jc w:val="right"/>
              <w:ind w:right="868"/>
              <w:spacing w:after="0" w:line="215"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6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Allocaton of undistributed earnings (loss):</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60" w:type="dxa"/>
            <w:vAlign w:val="bottom"/>
          </w:tcPr>
          <w:p>
            <w:pPr>
              <w:ind w:left="180"/>
              <w:spacing w:after="0" w:line="194" w:lineRule="exact"/>
              <w:rPr>
                <w:sz w:val="20"/>
                <w:szCs w:val="20"/>
                <w:color w:val="auto"/>
              </w:rPr>
            </w:pPr>
            <w:r>
              <w:rPr>
                <w:rFonts w:ascii="Calibri" w:cs="Calibri" w:eastAsia="Calibri" w:hAnsi="Calibri"/>
                <w:sz w:val="18"/>
                <w:szCs w:val="18"/>
                <w:color w:val="auto"/>
              </w:rPr>
              <w:t>Undistributed earnings (loss) allocated to</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300"/>
              <w:spacing w:after="0" w:line="215" w:lineRule="exact"/>
              <w:rPr>
                <w:sz w:val="20"/>
                <w:szCs w:val="20"/>
                <w:color w:val="auto"/>
              </w:rPr>
            </w:pPr>
            <w:r>
              <w:rPr>
                <w:rFonts w:ascii="Calibri" w:cs="Calibri" w:eastAsia="Calibri" w:hAnsi="Calibri"/>
                <w:sz w:val="18"/>
                <w:szCs w:val="18"/>
                <w:color w:val="auto"/>
              </w:rPr>
              <w:t>common stockholders</w:t>
            </w:r>
          </w:p>
        </w:tc>
        <w:tc>
          <w:tcPr>
            <w:tcW w:w="980" w:type="dxa"/>
            <w:vAlign w:val="bottom"/>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68</w:t>
            </w:r>
          </w:p>
        </w:tc>
        <w:tc>
          <w:tcPr>
            <w:tcW w:w="1280" w:type="dxa"/>
            <w:vAlign w:val="bottom"/>
            <w:gridSpan w:val="2"/>
          </w:tcPr>
          <w:p>
            <w:pPr>
              <w:jc w:val="right"/>
              <w:ind w:right="868"/>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660" w:type="dxa"/>
            <w:vAlign w:val="bottom"/>
            <w:shd w:val="clear" w:color="auto" w:fill="CFF0FC"/>
          </w:tcPr>
          <w:p>
            <w:pPr>
              <w:ind w:left="180"/>
              <w:spacing w:after="0" w:line="194" w:lineRule="exact"/>
              <w:rPr>
                <w:sz w:val="20"/>
                <w:szCs w:val="20"/>
                <w:color w:val="auto"/>
              </w:rPr>
            </w:pPr>
            <w:r>
              <w:rPr>
                <w:rFonts w:ascii="Calibri" w:cs="Calibri" w:eastAsia="Calibri" w:hAnsi="Calibri"/>
                <w:sz w:val="18"/>
                <w:szCs w:val="18"/>
                <w:color w:val="auto"/>
              </w:rPr>
              <w:t>Undistributed earnings allocated to</w:t>
            </w:r>
          </w:p>
        </w:tc>
        <w:tc>
          <w:tcPr>
            <w:tcW w:w="980" w:type="dxa"/>
            <w:vAlign w:val="bottom"/>
            <w:shd w:val="clear" w:color="auto" w:fill="CFF0FC"/>
          </w:tcPr>
          <w:p>
            <w:pPr>
              <w:spacing w:after="0"/>
              <w:rPr>
                <w:sz w:val="16"/>
                <w:szCs w:val="16"/>
                <w:color w:val="auto"/>
              </w:rPr>
            </w:pPr>
          </w:p>
        </w:tc>
        <w:tc>
          <w:tcPr>
            <w:tcW w:w="4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6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partcipatng stockholders</w:t>
            </w: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360"/>
              <w:spacing w:after="0" w:line="215" w:lineRule="exact"/>
              <w:rPr>
                <w:sz w:val="20"/>
                <w:szCs w:val="20"/>
                <w:color w:val="auto"/>
              </w:rPr>
            </w:pPr>
            <w:r>
              <w:rPr>
                <w:rFonts w:ascii="Calibri" w:cs="Calibri" w:eastAsia="Calibri" w:hAnsi="Calibri"/>
                <w:sz w:val="18"/>
                <w:szCs w:val="18"/>
                <w:color w:val="auto"/>
              </w:rPr>
              <w:t>Undistributed earnings (loss)</w:t>
            </w:r>
          </w:p>
        </w:tc>
        <w:tc>
          <w:tcPr>
            <w:tcW w:w="980" w:type="dxa"/>
            <w:vAlign w:val="bottom"/>
          </w:tcPr>
          <w:p>
            <w:pPr>
              <w:jc w:val="right"/>
              <w:ind w:right="79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1280" w:type="dxa"/>
            <w:vAlign w:val="bottom"/>
            <w:gridSpan w:val="2"/>
          </w:tcPr>
          <w:p>
            <w:pPr>
              <w:jc w:val="right"/>
              <w:ind w:right="868"/>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-1010920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-993775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-1010920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-993775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3" w:lineRule="exact"/>
        <w:rPr>
          <w:sz w:val="20"/>
          <w:szCs w:val="20"/>
          <w:color w:val="auto"/>
        </w:rPr>
      </w:pPr>
    </w:p>
    <w:p>
      <w:pPr>
        <w:ind w:left="520" w:right="200" w:hanging="512"/>
        <w:spacing w:after="0" w:line="201" w:lineRule="auto"/>
        <w:tabs>
          <w:tab w:leader="none" w:pos="520" w:val="left"/>
        </w:tabs>
        <w:numPr>
          <w:ilvl w:val="0"/>
          <w:numId w:val="6"/>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are adjusted for the assumed distributon of dividends to the dilutve securites, which are described in (3) below, and then reallocated to partcipatng securites.</w:t>
      </w:r>
    </w:p>
    <w:p>
      <w:pPr>
        <w:spacing w:after="0" w:line="43" w:lineRule="exact"/>
        <w:rPr>
          <w:rFonts w:ascii="Calibri" w:cs="Calibri" w:eastAsia="Calibri" w:hAnsi="Calibri"/>
          <w:sz w:val="24"/>
          <w:szCs w:val="24"/>
          <w:color w:val="auto"/>
          <w:vertAlign w:val="superscript"/>
        </w:rPr>
      </w:pPr>
    </w:p>
    <w:p>
      <w:pPr>
        <w:ind w:left="520" w:right="120" w:hanging="512"/>
        <w:spacing w:after="0" w:line="211" w:lineRule="auto"/>
        <w:tabs>
          <w:tab w:leader="none" w:pos="520" w:val="left"/>
        </w:tabs>
        <w:numPr>
          <w:ilvl w:val="0"/>
          <w:numId w:val="6"/>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incremental shares of common stock from the assumed exercise of stock optons issued under Cabot’s equity incentve plans. For the three months ended December 31, 2024 and 2023, 63,807 and 330,331 incremental shares of common stock, respectvely, were excluded from the calculaton of diluted earnings per share because the inclusion of these shares would have been antdilutve.</w:t>
      </w: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 Financial Instruments and Fair Value Measurements</w:t>
      </w:r>
    </w:p>
    <w:p>
      <w:pPr>
        <w:spacing w:after="0" w:line="8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106"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36" w:lineRule="exact"/>
        <w:rPr>
          <w:sz w:val="20"/>
          <w:szCs w:val="20"/>
          <w:color w:val="auto"/>
        </w:rPr>
      </w:pPr>
    </w:p>
    <w:p>
      <w:pPr>
        <w:ind w:left="940" w:right="200" w:hanging="1295"/>
        <w:spacing w:after="0" w:line="235" w:lineRule="auto"/>
        <w:tabs>
          <w:tab w:leader="none" w:pos="92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33" w:lineRule="exact"/>
        <w:rPr>
          <w:sz w:val="20"/>
          <w:szCs w:val="20"/>
          <w:color w:val="auto"/>
        </w:rPr>
      </w:pPr>
    </w:p>
    <w:p>
      <w:pPr>
        <w:ind w:left="20"/>
        <w:spacing w:after="0"/>
        <w:tabs>
          <w:tab w:leader="none" w:pos="920" w:val="left"/>
          <w:tab w:leader="none" w:pos="130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190"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the frst three months of either fscal 2025 or 2024.</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At December 31, 2024 and September 30, 2024, the fair values of cash and cash equivalents, accounts and notes receivable, accounts payable and accrued liabilites, and short-term borrowings and variable rate debt approximated their carrying values due to the short-term nature of these instruments. Cash and cash equivalents are classifed as Level 1 within the fair value hierarchy.</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At December 31, 2024 and September 30, 2024, Cabot had derivatves relatng to foreign currency risks, including a net investment hedge and forward foreign currency contracts, carried at fair value. At December 31, 2024 and September 30, 2024, the fair value of the net investment hedge was an asset of $17 million and $1 million, respectvely, and was included in Prepaid expenses and other current assets and Other Assets on the Consolidated Balance sheets. At December 31, 2024 and September 30, 2024, the fair value of the forward currency contracts was a net asset of less than $1 million and an asset of less than $1 million, respectvely, and was included in Prepaid expenses and other current assets and Accounts payable and accrued liabilites on the Consolidated Balance Sheets. These derivatves are classifed as Level 2 instruments within the fair value hierarchy as the fair value determinaton was based on observable inputs.</w:t>
      </w:r>
    </w:p>
    <w:p>
      <w:pPr>
        <w:spacing w:after="0" w:line="8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both December 31, 2024 and September 30, 2024, the fair value of guaranteed investment contracts included in Other assets on the Consolidated Balance Sheets was $8 million. Guaranteed investment contracts were classifed as Level 2 instruments within the fair value hierarchy as the fair value determinaton was based on other observable inputs.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15" w:name="page16"/>
    <w:bookmarkEnd w:id="15"/>
    <w:p>
      <w:pPr>
        <w:ind w:right="360"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$1.08 billion and $1.06 billion, respectvely, as of December 31, 2024, and $1.08 billion and $1.08 billion, respectvely, as of September 30, 2024. The fair values of Cabot’s fxed rate long-term debt are estmated based on comparable quoted market prices at the respectve period ends. The carrying amounts of Cabot’s foatng rate long-term debt and fnance and operatng lease obligatons approximate their fair values. All such measurements are based on observable inputs and are classifed as Level 2 within the fair value hierarchy. The valuaton technique used is the discounted cash fow model.</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J. Supplier Financing Programs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maintains supply chain fnance agreements with third-party fnancial insttutons. These agreements allow the Company’s partcipatng suppliers to sell their receivables to such third-party fnancial insttutons to receive payment earlier than the negotated commercial terms between the supplier and the Company. Such sales are at the sole discreton of the supplier, and on terms and conditons that are negotated between the supplier and the respectve fnancial insttuton. The terms and conditons of the supplier invoice, including payment terms and amounts due, are not impacted by a supplier’s partcipaton in the program. Pursuant to the supply chain fnance agreements, the Company has agreed to pay fnancial insttutons on the original due date of the applicable invoice. There are no guarantees associated with these programs. The Company's outstanding payment obligatons to fnancial insttutons related to supplier fnancing programs were $14 million and $16 million as of December 31, 2024 and September 30, 2024, respectvely, and are included within Accounts payable and accrued liabilites on the Consolidated Balance Sheets.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 Financial Informaton by Segment</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identfes a product line as an operatng segment if: i) it engages in business actvites from which it may earn revenues and incur expenses; ii) 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Reinforcement Materials segment combines the reinforcing carbons and engineered elastomer composites product lines. The Performance Chemicals segment aggregates the specialty carbons, specialty compounds, fumed metal oxides, batery materials, inkjet colorants and aerogel product lines.</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representatve of on-going operatng segment results. In additon, Segment EBIT includes Equity in earnings of afliated companies, net of tax, Net income atributable to noncontrolling interests, net of tax, and discountng charges for certain Notes receivable.</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Reinforcement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Calibri" w:cs="Calibri" w:eastAsia="Calibri" w:hAnsi="Calibri"/>
                <w:sz w:val="14"/>
                <w:szCs w:val="14"/>
                <w:b w:val="1"/>
                <w:bCs w:val="1"/>
                <w:color w:val="auto"/>
              </w:rPr>
              <w:t>Performance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Segment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Unallocated</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Consolidated</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Calibri" w:cs="Calibri" w:eastAsia="Calibri" w:hAnsi="Calibri"/>
                <w:sz w:val="14"/>
                <w:szCs w:val="14"/>
                <w:b w:val="1"/>
                <w:bCs w:val="1"/>
                <w:color w:val="auto"/>
              </w:rPr>
              <w:t>Materials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Calibri" w:cs="Calibri" w:eastAsia="Calibri" w:hAnsi="Calibri"/>
                <w:sz w:val="14"/>
                <w:szCs w:val="14"/>
                <w:b w:val="1"/>
                <w:bCs w:val="1"/>
                <w:color w:val="auto"/>
              </w:rPr>
              <w:t>Chemicals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8"/>
              <w:spacing w:after="0"/>
              <w:rPr>
                <w:sz w:val="20"/>
                <w:szCs w:val="20"/>
                <w:color w:val="auto"/>
              </w:rPr>
            </w:pPr>
            <w:r>
              <w:rPr>
                <w:rFonts w:ascii="Calibri" w:cs="Calibri" w:eastAsia="Calibri" w:hAnsi="Calibri"/>
                <w:sz w:val="14"/>
                <w:szCs w:val="14"/>
                <w:b w:val="1"/>
                <w:bCs w:val="1"/>
                <w:color w:val="auto"/>
              </w:rPr>
              <w:t>Total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line="212" w:lineRule="exact"/>
              <w:rPr>
                <w:sz w:val="20"/>
                <w:szCs w:val="20"/>
                <w:color w:val="auto"/>
              </w:rPr>
            </w:pPr>
            <w:r>
              <w:rPr>
                <w:rFonts w:ascii="Calibri" w:cs="Calibri" w:eastAsia="Calibri" w:hAnsi="Calibri"/>
                <w:sz w:val="14"/>
                <w:szCs w:val="14"/>
                <w:b w:val="1"/>
                <w:bCs w:val="1"/>
                <w:color w:val="auto"/>
                <w:w w:val="95"/>
              </w:rPr>
              <w:t>and Other</w:t>
            </w:r>
            <w:r>
              <w:rPr>
                <w:rFonts w:ascii="Calibri" w:cs="Calibri" w:eastAsia="Calibri" w:hAnsi="Calibri"/>
                <w:sz w:val="19"/>
                <w:szCs w:val="19"/>
                <w:b w:val="1"/>
                <w:bCs w:val="1"/>
                <w:color w:val="auto"/>
                <w:w w:val="95"/>
                <w:vertAlign w:val="superscript"/>
              </w:rPr>
              <w:t>(1)</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16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Three Months Ended December 31, 2024</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98"/>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Calibri" w:cs="Calibri" w:eastAsia="Calibri" w:hAnsi="Calibri"/>
                <w:sz w:val="17"/>
                <w:szCs w:val="17"/>
                <w:color w:val="auto"/>
              </w:rPr>
              <w:t>Revenues from external customers</w:t>
            </w:r>
            <w:r>
              <w:rPr>
                <w:rFonts w:ascii="Calibri" w:cs="Calibri" w:eastAsia="Calibri" w:hAnsi="Calibri"/>
                <w:sz w:val="23"/>
                <w:szCs w:val="23"/>
                <w:color w:val="auto"/>
                <w:vertAlign w:val="superscript"/>
              </w:rPr>
              <w:t>(2)</w:t>
            </w:r>
          </w:p>
        </w:tc>
        <w:tc>
          <w:tcPr>
            <w:tcW w:w="180" w:type="dxa"/>
            <w:vAlign w:val="bottom"/>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6" w:lineRule="exact"/>
              <w:rPr>
                <w:sz w:val="20"/>
                <w:szCs w:val="20"/>
                <w:color w:val="auto"/>
              </w:rPr>
            </w:pPr>
            <w:r>
              <w:rPr>
                <w:rFonts w:ascii="Calibri" w:cs="Calibri" w:eastAsia="Calibri" w:hAnsi="Calibri"/>
                <w:sz w:val="18"/>
                <w:szCs w:val="18"/>
                <w:color w:val="auto"/>
              </w:rPr>
              <w:t>611</w:t>
            </w:r>
          </w:p>
        </w:tc>
        <w:tc>
          <w:tcPr>
            <w:tcW w:w="34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311</w:t>
            </w:r>
          </w:p>
        </w:tc>
        <w:tc>
          <w:tcPr>
            <w:tcW w:w="3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922</w:t>
            </w:r>
          </w:p>
        </w:tc>
        <w:tc>
          <w:tcPr>
            <w:tcW w:w="3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33</w:t>
            </w:r>
          </w:p>
        </w:tc>
        <w:tc>
          <w:tcPr>
            <w:tcW w:w="22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6" w:lineRule="exact"/>
              <w:rPr>
                <w:sz w:val="20"/>
                <w:szCs w:val="20"/>
                <w:color w:val="auto"/>
              </w:rPr>
            </w:pPr>
            <w:r>
              <w:rPr>
                <w:rFonts w:ascii="Calibri" w:cs="Calibri" w:eastAsia="Calibri" w:hAnsi="Calibri"/>
                <w:sz w:val="18"/>
                <w:szCs w:val="18"/>
                <w:color w:val="auto"/>
              </w:rPr>
              <w:t>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line="26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130</w:t>
            </w:r>
          </w:p>
        </w:tc>
        <w:tc>
          <w:tcPr>
            <w:tcW w:w="34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175</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(31 )</w:t>
            </w:r>
          </w:p>
        </w:tc>
        <w:tc>
          <w:tcPr>
            <w:tcW w:w="10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160" w:type="dxa"/>
            <w:vAlign w:val="bottom"/>
          </w:tcPr>
          <w:p>
            <w:pPr>
              <w:ind w:left="20"/>
              <w:spacing w:after="0"/>
              <w:rPr>
                <w:sz w:val="20"/>
                <w:szCs w:val="20"/>
                <w:color w:val="auto"/>
              </w:rPr>
            </w:pPr>
            <w:r>
              <w:rPr>
                <w:rFonts w:ascii="Calibri" w:cs="Calibri" w:eastAsia="Calibri" w:hAnsi="Calibri"/>
                <w:sz w:val="18"/>
                <w:szCs w:val="18"/>
                <w:b w:val="1"/>
                <w:bCs w:val="1"/>
                <w:color w:val="auto"/>
              </w:rPr>
              <w:t>Three Months Ended December 31, 2023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Calibri" w:cs="Calibri" w:eastAsia="Calibri" w:hAnsi="Calibri"/>
                <w:sz w:val="17"/>
                <w:szCs w:val="17"/>
                <w:color w:val="auto"/>
              </w:rPr>
              <w:t>Revenues from external customers</w:t>
            </w:r>
            <w:r>
              <w:rPr>
                <w:rFonts w:ascii="Calibri" w:cs="Calibri" w:eastAsia="Calibri" w:hAnsi="Calibri"/>
                <w:sz w:val="23"/>
                <w:szCs w:val="23"/>
                <w:color w:val="auto"/>
                <w:vertAlign w:val="superscript"/>
              </w:rPr>
              <w:t>(2)</w:t>
            </w:r>
          </w:p>
        </w:tc>
        <w:tc>
          <w:tcPr>
            <w:tcW w:w="180" w:type="dxa"/>
            <w:vAlign w:val="bottom"/>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6" w:lineRule="exact"/>
              <w:rPr>
                <w:sz w:val="20"/>
                <w:szCs w:val="20"/>
                <w:color w:val="auto"/>
              </w:rPr>
            </w:pPr>
            <w:r>
              <w:rPr>
                <w:rFonts w:ascii="Calibri" w:cs="Calibri" w:eastAsia="Calibri" w:hAnsi="Calibri"/>
                <w:sz w:val="18"/>
                <w:szCs w:val="18"/>
                <w:color w:val="auto"/>
              </w:rPr>
              <w:t>641</w:t>
            </w:r>
          </w:p>
        </w:tc>
        <w:tc>
          <w:tcPr>
            <w:tcW w:w="34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285</w:t>
            </w:r>
          </w:p>
        </w:tc>
        <w:tc>
          <w:tcPr>
            <w:tcW w:w="3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926</w:t>
            </w:r>
          </w:p>
        </w:tc>
        <w:tc>
          <w:tcPr>
            <w:tcW w:w="34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32</w:t>
            </w:r>
          </w:p>
        </w:tc>
        <w:tc>
          <w:tcPr>
            <w:tcW w:w="22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6" w:lineRule="exact"/>
              <w:rPr>
                <w:sz w:val="20"/>
                <w:szCs w:val="20"/>
                <w:color w:val="auto"/>
              </w:rPr>
            </w:pPr>
            <w:r>
              <w:rPr>
                <w:rFonts w:ascii="Calibri" w:cs="Calibri" w:eastAsia="Calibri" w:hAnsi="Calibri"/>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line="263" w:lineRule="exact"/>
              <w:rPr>
                <w:sz w:val="20"/>
                <w:szCs w:val="20"/>
                <w:color w:val="auto"/>
              </w:rPr>
            </w:pPr>
            <w:r>
              <w:rPr>
                <w:rFonts w:ascii="Calibri" w:cs="Calibri" w:eastAsia="Calibri" w:hAnsi="Calibri"/>
                <w:sz w:val="18"/>
                <w:szCs w:val="18"/>
                <w:color w:val="auto"/>
              </w:rPr>
              <w:t>Income (loss) before income taxes</w:t>
            </w:r>
            <w:r>
              <w:rPr>
                <w:rFonts w:ascii="Calibri" w:cs="Calibri" w:eastAsia="Calibri" w:hAnsi="Calibri"/>
                <w:sz w:val="24"/>
                <w:szCs w:val="24"/>
                <w:color w:val="auto"/>
                <w:vertAlign w:val="superscript"/>
              </w:rPr>
              <w:t>(3)</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129</w:t>
            </w:r>
          </w:p>
        </w:tc>
        <w:tc>
          <w:tcPr>
            <w:tcW w:w="34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34</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163</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(69 )</w:t>
            </w:r>
          </w:p>
        </w:tc>
        <w:tc>
          <w:tcPr>
            <w:tcW w:w="10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6" w:lineRule="exact"/>
        <w:rPr>
          <w:sz w:val="20"/>
          <w:szCs w:val="20"/>
          <w:color w:val="auto"/>
        </w:rPr>
      </w:pPr>
    </w:p>
    <w:p>
      <w:pPr>
        <w:ind w:left="520" w:hanging="512"/>
        <w:spacing w:after="0" w:line="201" w:lineRule="auto"/>
        <w:tabs>
          <w:tab w:leader="none" w:pos="520" w:val="left"/>
        </w:tabs>
        <w:numPr>
          <w:ilvl w:val="0"/>
          <w:numId w:val="7"/>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6" w:name="page17"/>
    <w:bookmarkEnd w:id="16"/>
    <w:p>
      <w:pPr>
        <w:ind w:left="520" w:right="40" w:hanging="512"/>
        <w:spacing w:after="0" w:line="211" w:lineRule="auto"/>
        <w:tabs>
          <w:tab w:leader="none" w:pos="520"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refects external shipping and handling fees, the impact of unearned revenue, and discountng charges for certain Notes receivable. Details are provided in the table below:</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79"/>
              <w:spacing w:after="0"/>
              <w:rPr>
                <w:sz w:val="20"/>
                <w:szCs w:val="20"/>
                <w:color w:val="auto"/>
              </w:rPr>
            </w:pPr>
            <w:r>
              <w:rPr>
                <w:rFonts w:ascii="Calibri" w:cs="Calibri" w:eastAsia="Calibri" w:hAnsi="Calibri"/>
                <w:sz w:val="14"/>
                <w:szCs w:val="14"/>
                <w:b w:val="1"/>
                <w:bCs w:val="1"/>
                <w:color w:val="auto"/>
              </w:rPr>
              <w:t>Three Months Ended December 31</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6860" w:type="dxa"/>
            <w:vAlign w:val="bottom"/>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Calibri" w:cs="Calibri" w:eastAsia="Calibri" w:hAnsi="Calibri"/>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139"/>
              <w:spacing w:after="0"/>
              <w:rPr>
                <w:sz w:val="20"/>
                <w:szCs w:val="20"/>
                <w:color w:val="auto"/>
              </w:rPr>
            </w:pPr>
            <w:r>
              <w:rPr>
                <w:rFonts w:ascii="Calibri" w:cs="Calibri" w:eastAsia="Calibri" w:hAnsi="Calibri"/>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6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1320" w:type="dxa"/>
            <w:vAlign w:val="bottom"/>
            <w:gridSpan w:val="2"/>
          </w:tcPr>
          <w:p>
            <w:pPr>
              <w:jc w:val="right"/>
              <w:ind w:right="759"/>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9"/>
        </w:trPr>
        <w:tc>
          <w:tcPr>
            <w:tcW w:w="68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Shipping and handling fees</w:t>
            </w:r>
          </w:p>
        </w:tc>
        <w:tc>
          <w:tcPr>
            <w:tcW w:w="1040" w:type="dxa"/>
            <w:vAlign w:val="bottom"/>
            <w:shd w:val="clear" w:color="auto" w:fill="CFF0FC"/>
          </w:tcPr>
          <w:p>
            <w:pPr>
              <w:jc w:val="right"/>
              <w:ind w:right="839"/>
              <w:spacing w:after="0" w:line="217" w:lineRule="exact"/>
              <w:rPr>
                <w:sz w:val="20"/>
                <w:szCs w:val="20"/>
                <w:color w:val="auto"/>
              </w:rPr>
            </w:pPr>
            <w:r>
              <w:rPr>
                <w:rFonts w:ascii="Calibri" w:cs="Calibri" w:eastAsia="Calibri" w:hAnsi="Calibri"/>
                <w:sz w:val="18"/>
                <w:szCs w:val="18"/>
                <w:color w:val="auto"/>
              </w:rPr>
              <w:t>$</w:t>
            </w:r>
          </w:p>
        </w:tc>
        <w:tc>
          <w:tcPr>
            <w:tcW w:w="4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28</w:t>
            </w:r>
          </w:p>
        </w:tc>
        <w:tc>
          <w:tcPr>
            <w:tcW w:w="1320" w:type="dxa"/>
            <w:vAlign w:val="bottom"/>
            <w:gridSpan w:val="2"/>
            <w:shd w:val="clear" w:color="auto" w:fill="CFF0FC"/>
          </w:tcPr>
          <w:p>
            <w:pPr>
              <w:jc w:val="right"/>
              <w:ind w:right="879"/>
              <w:spacing w:after="0" w:line="217"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30</w:t>
            </w:r>
          </w:p>
        </w:tc>
        <w:tc>
          <w:tcPr>
            <w:tcW w:w="120" w:type="dxa"/>
            <w:vAlign w:val="bottom"/>
            <w:shd w:val="clear" w:color="auto" w:fill="CFF0FC"/>
          </w:tcPr>
          <w:p>
            <w:pPr>
              <w:spacing w:after="0"/>
              <w:rPr>
                <w:sz w:val="19"/>
                <w:szCs w:val="19"/>
                <w:color w:val="auto"/>
              </w:rPr>
            </w:pPr>
          </w:p>
        </w:tc>
      </w:tr>
      <w:tr>
        <w:trPr>
          <w:trHeight w:val="215"/>
        </w:trPr>
        <w:tc>
          <w:tcPr>
            <w:tcW w:w="686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r>
      <w:tr>
        <w:trPr>
          <w:trHeight w:val="250"/>
        </w:trPr>
        <w:tc>
          <w:tcPr>
            <w:tcW w:w="6860" w:type="dxa"/>
            <w:vAlign w:val="bottom"/>
            <w:tcBorders>
              <w:bottom w:val="single" w:sz="8" w:color="CFF0FC"/>
            </w:tcBorders>
            <w:shd w:val="clear" w:color="auto" w:fill="CFF0FC"/>
          </w:tcPr>
          <w:p>
            <w:pPr>
              <w:spacing w:after="0" w:line="210" w:lineRule="exact"/>
              <w:rPr>
                <w:sz w:val="20"/>
                <w:szCs w:val="20"/>
                <w:color w:val="auto"/>
              </w:rPr>
            </w:pPr>
            <w:r>
              <w:rPr>
                <w:rFonts w:ascii="Calibri" w:cs="Calibri" w:eastAsia="Calibri" w:hAnsi="Calibri"/>
                <w:sz w:val="18"/>
                <w:szCs w:val="18"/>
                <w:color w:val="auto"/>
              </w:rPr>
              <w:t>Total</w:t>
            </w:r>
          </w:p>
        </w:tc>
        <w:tc>
          <w:tcPr>
            <w:tcW w:w="1040" w:type="dxa"/>
            <w:vAlign w:val="bottom"/>
            <w:tcBorders>
              <w:bottom w:val="single" w:sz="8" w:color="auto"/>
            </w:tcBorders>
            <w:shd w:val="clear" w:color="auto" w:fill="CFF0FC"/>
          </w:tcPr>
          <w:p>
            <w:pPr>
              <w:jc w:val="right"/>
              <w:ind w:right="839"/>
              <w:spacing w:after="0" w:line="210"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33</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9"/>
              <w:spacing w:after="0" w:line="210"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ind w:left="520" w:right="180" w:hanging="512"/>
        <w:spacing w:after="0" w:line="211" w:lineRule="auto"/>
        <w:tabs>
          <w:tab w:leader="none" w:pos="520" w:val="left"/>
        </w:tabs>
        <w:numPr>
          <w:ilvl w:val="0"/>
          <w:numId w:val="9"/>
        </w:numPr>
        <w:rPr>
          <w:rFonts w:ascii="Calibri" w:cs="Calibri" w:eastAsia="Calibri" w:hAnsi="Calibri"/>
          <w:sz w:val="23"/>
          <w:szCs w:val="23"/>
          <w:color w:val="auto"/>
          <w:vertAlign w:val="superscript"/>
        </w:rPr>
      </w:pPr>
      <w:r>
        <w:rPr>
          <w:rFonts w:ascii="Calibri" w:cs="Calibri" w:eastAsia="Calibri" w:hAnsi="Calibri"/>
          <w:sz w:val="17"/>
          <w:szCs w:val="17"/>
          <w:color w:val="auto"/>
        </w:rPr>
        <w:t>Consolidated Total Income (loss) before income taxes reconciles to Income (loss) before income taxes and equity in earnings of afliated companies on the Consolidated Statements of Operatons. Income (loss) before income taxes that are categorized as Unallocated and Other includes:</w:t>
      </w:r>
    </w:p>
    <w:p>
      <w:pPr>
        <w:spacing w:after="0" w:line="11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Calibri" w:cs="Calibri" w:eastAsia="Calibri" w:hAnsi="Calibri"/>
                <w:sz w:val="14"/>
                <w:szCs w:val="14"/>
                <w:b w:val="1"/>
                <w:bCs w:val="1"/>
                <w:color w:val="auto"/>
              </w:rPr>
              <w:t>Three Months Ended December 31</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20" w:type="dxa"/>
            <w:vAlign w:val="bottom"/>
            <w:tcBorders>
              <w:bottom w:val="single" w:sz="8" w:color="auto"/>
            </w:tcBorders>
          </w:tcPr>
          <w:p>
            <w:pPr>
              <w:jc w:val="right"/>
              <w:ind w:right="79"/>
              <w:spacing w:after="0"/>
              <w:rPr>
                <w:sz w:val="20"/>
                <w:szCs w:val="20"/>
                <w:color w:val="auto"/>
              </w:rPr>
            </w:pPr>
            <w:r>
              <w:rPr>
                <w:rFonts w:ascii="Calibri" w:cs="Calibri" w:eastAsia="Calibri" w:hAnsi="Calibri"/>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right"/>
              <w:ind w:right="116"/>
              <w:spacing w:after="0"/>
              <w:rPr>
                <w:sz w:val="20"/>
                <w:szCs w:val="20"/>
                <w:color w:val="auto"/>
              </w:rPr>
            </w:pPr>
            <w:r>
              <w:rPr>
                <w:rFonts w:ascii="Calibri" w:cs="Calibri" w:eastAsia="Calibri" w:hAnsi="Calibri"/>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(In</w:t>
            </w:r>
          </w:p>
        </w:tc>
        <w:tc>
          <w:tcPr>
            <w:tcW w:w="1300" w:type="dxa"/>
            <w:vAlign w:val="bottom"/>
            <w:gridSpan w:val="2"/>
          </w:tcPr>
          <w:p>
            <w:pPr>
              <w:jc w:val="right"/>
              <w:ind w:right="736"/>
              <w:spacing w:after="0" w:line="166" w:lineRule="exact"/>
              <w:rPr>
                <w:sz w:val="20"/>
                <w:szCs w:val="20"/>
                <w:color w:val="auto"/>
              </w:rPr>
            </w:pPr>
            <w:r>
              <w:rPr>
                <w:rFonts w:ascii="Calibri" w:cs="Calibri" w:eastAsia="Calibri" w:hAnsi="Calibri"/>
                <w:sz w:val="14"/>
                <w:szCs w:val="14"/>
                <w:b w:val="1"/>
                <w:bCs w:val="1"/>
                <w:color w:val="auto"/>
                <w:w w:val="91"/>
              </w:rPr>
              <w:t>millions)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line="174" w:lineRule="exact"/>
              <w:rPr>
                <w:sz w:val="20"/>
                <w:szCs w:val="20"/>
                <w:color w:val="auto"/>
              </w:rPr>
            </w:pPr>
            <w:r>
              <w:rPr>
                <w:rFonts w:ascii="Calibri" w:cs="Calibri" w:eastAsia="Calibri" w:hAnsi="Calibri"/>
                <w:sz w:val="18"/>
                <w:szCs w:val="18"/>
                <w:color w:val="auto"/>
              </w:rPr>
              <w:t>Interest expense</w:t>
            </w:r>
          </w:p>
        </w:tc>
        <w:tc>
          <w:tcPr>
            <w:tcW w:w="1020" w:type="dxa"/>
            <w:vAlign w:val="bottom"/>
          </w:tcPr>
          <w:p>
            <w:pPr>
              <w:jc w:val="right"/>
              <w:ind w:right="819"/>
              <w:spacing w:after="0" w:line="174"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19"/>
              <w:spacing w:after="0" w:line="174" w:lineRule="exact"/>
              <w:rPr>
                <w:sz w:val="20"/>
                <w:szCs w:val="20"/>
                <w:color w:val="auto"/>
              </w:rPr>
            </w:pPr>
            <w:r>
              <w:rPr>
                <w:rFonts w:ascii="Calibri" w:cs="Calibri" w:eastAsia="Calibri" w:hAnsi="Calibri"/>
                <w:sz w:val="18"/>
                <w:szCs w:val="18"/>
                <w:color w:val="auto"/>
              </w:rPr>
              <w:t>(18 )</w:t>
            </w:r>
          </w:p>
        </w:tc>
        <w:tc>
          <w:tcPr>
            <w:tcW w:w="1040" w:type="dxa"/>
            <w:vAlign w:val="bottom"/>
          </w:tcPr>
          <w:p>
            <w:pPr>
              <w:jc w:val="right"/>
              <w:ind w:right="856"/>
              <w:spacing w:after="0" w:line="174" w:lineRule="exact"/>
              <w:rPr>
                <w:sz w:val="20"/>
                <w:szCs w:val="20"/>
                <w:color w:val="auto"/>
              </w:rPr>
            </w:pPr>
            <w:r>
              <w:rPr>
                <w:rFonts w:ascii="Calibri" w:cs="Calibri" w:eastAsia="Calibri" w:hAnsi="Calibri"/>
                <w:sz w:val="18"/>
                <w:szCs w:val="18"/>
                <w:color w:val="auto"/>
                <w:w w:val="87"/>
              </w:rPr>
              <w:t>$</w:t>
            </w:r>
          </w:p>
        </w:tc>
        <w:tc>
          <w:tcPr>
            <w:tcW w:w="500" w:type="dxa"/>
            <w:vAlign w:val="bottom"/>
            <w:gridSpan w:val="2"/>
          </w:tcPr>
          <w:p>
            <w:pPr>
              <w:jc w:val="right"/>
              <w:spacing w:after="0" w:line="174" w:lineRule="exact"/>
              <w:rPr>
                <w:sz w:val="20"/>
                <w:szCs w:val="20"/>
                <w:color w:val="auto"/>
              </w:rPr>
            </w:pPr>
            <w:r>
              <w:rPr>
                <w:rFonts w:ascii="Calibri" w:cs="Calibri" w:eastAsia="Calibri" w:hAnsi="Calibri"/>
                <w:sz w:val="18"/>
                <w:szCs w:val="18"/>
                <w:color w:val="auto"/>
              </w:rPr>
              <w:t>(22 )</w:t>
            </w:r>
          </w:p>
        </w:tc>
        <w:tc>
          <w:tcPr>
            <w:tcW w:w="0" w:type="dxa"/>
            <w:vAlign w:val="bottom"/>
          </w:tcPr>
          <w:p>
            <w:pPr>
              <w:spacing w:after="0"/>
              <w:rPr>
                <w:sz w:val="1"/>
                <w:szCs w:val="1"/>
                <w:color w:val="auto"/>
              </w:rPr>
            </w:pPr>
          </w:p>
        </w:tc>
      </w:tr>
      <w:tr>
        <w:trPr>
          <w:trHeight w:val="263"/>
        </w:trPr>
        <w:tc>
          <w:tcPr>
            <w:tcW w:w="6860" w:type="dxa"/>
            <w:vAlign w:val="bottom"/>
          </w:tcPr>
          <w:p>
            <w:pPr>
              <w:spacing w:after="0" w:line="263"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w:t>
            </w:r>
          </w:p>
        </w:tc>
        <w:tc>
          <w:tcPr>
            <w:tcW w:w="10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19"/>
              <w:spacing w:after="0" w:line="215" w:lineRule="exact"/>
              <w:rPr>
                <w:sz w:val="20"/>
                <w:szCs w:val="20"/>
                <w:color w:val="auto"/>
              </w:rPr>
            </w:pPr>
            <w:r>
              <w:rPr>
                <w:rFonts w:ascii="Calibri" w:cs="Calibri" w:eastAsia="Calibri" w:hAnsi="Calibri"/>
                <w:sz w:val="18"/>
                <w:szCs w:val="18"/>
                <w:color w:val="auto"/>
              </w:rPr>
              <w:t>(5 )</w:t>
            </w: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and other losses (Note B)</w:t>
            </w:r>
          </w:p>
        </w:tc>
        <w:tc>
          <w:tcPr>
            <w:tcW w:w="1020" w:type="dxa"/>
            <w:vAlign w:val="bottom"/>
          </w:tcPr>
          <w:p>
            <w:pPr>
              <w:spacing w:after="0"/>
              <w:rPr>
                <w:sz w:val="18"/>
                <w:szCs w:val="18"/>
                <w:color w:val="auto"/>
              </w:rPr>
            </w:pPr>
          </w:p>
        </w:tc>
        <w:tc>
          <w:tcPr>
            <w:tcW w:w="680" w:type="dxa"/>
            <w:vAlign w:val="bottom"/>
            <w:gridSpan w:val="2"/>
          </w:tcPr>
          <w:p>
            <w:pPr>
              <w:jc w:val="right"/>
              <w:ind w:right="199"/>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spacing w:after="0"/>
              <w:rPr>
                <w:sz w:val="18"/>
                <w:szCs w:val="18"/>
                <w:color w:val="auto"/>
              </w:rPr>
            </w:pPr>
          </w:p>
        </w:tc>
        <w:tc>
          <w:tcPr>
            <w:tcW w:w="5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(33 )</w:t>
            </w: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Global restructuring actvites</w:t>
            </w:r>
          </w:p>
        </w:tc>
        <w:tc>
          <w:tcPr>
            <w:tcW w:w="10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99"/>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15"/>
        </w:trPr>
        <w:tc>
          <w:tcPr>
            <w:tcW w:w="6860" w:type="dxa"/>
            <w:vAlign w:val="bottom"/>
          </w:tcPr>
          <w:p>
            <w:pPr>
              <w:ind w:left="100"/>
              <w:spacing w:after="0" w:line="215" w:lineRule="exact"/>
              <w:rPr>
                <w:sz w:val="20"/>
                <w:szCs w:val="20"/>
                <w:color w:val="auto"/>
              </w:rPr>
            </w:pPr>
            <w:r>
              <w:rPr>
                <w:rFonts w:ascii="Calibri" w:cs="Calibri" w:eastAsia="Calibri" w:hAnsi="Calibri"/>
                <w:sz w:val="18"/>
                <w:szCs w:val="18"/>
                <w:color w:val="auto"/>
              </w:rPr>
              <w:t>Other certain items</w:t>
            </w:r>
          </w:p>
        </w:tc>
        <w:tc>
          <w:tcPr>
            <w:tcW w:w="1020" w:type="dxa"/>
            <w:vAlign w:val="bottom"/>
          </w:tcPr>
          <w:p>
            <w:pPr>
              <w:spacing w:after="0"/>
              <w:rPr>
                <w:sz w:val="18"/>
                <w:szCs w:val="18"/>
                <w:color w:val="auto"/>
              </w:rPr>
            </w:pPr>
          </w:p>
        </w:tc>
        <w:tc>
          <w:tcPr>
            <w:tcW w:w="680" w:type="dxa"/>
            <w:vAlign w:val="bottom"/>
            <w:gridSpan w:val="2"/>
          </w:tcPr>
          <w:p>
            <w:pPr>
              <w:jc w:val="right"/>
              <w:ind w:right="119"/>
              <w:spacing w:after="0" w:line="215" w:lineRule="exact"/>
              <w:rPr>
                <w:sz w:val="20"/>
                <w:szCs w:val="20"/>
                <w:color w:val="auto"/>
              </w:rPr>
            </w:pPr>
            <w:r>
              <w:rPr>
                <w:rFonts w:ascii="Calibri" w:cs="Calibri" w:eastAsia="Calibri" w:hAnsi="Calibri"/>
                <w:sz w:val="18"/>
                <w:szCs w:val="18"/>
                <w:color w:val="auto"/>
              </w:rPr>
              <w:t>(1 )</w:t>
            </w:r>
          </w:p>
        </w:tc>
        <w:tc>
          <w:tcPr>
            <w:tcW w:w="1040" w:type="dxa"/>
            <w:vAlign w:val="bottom"/>
          </w:tcPr>
          <w:p>
            <w:pPr>
              <w:spacing w:after="0"/>
              <w:rPr>
                <w:sz w:val="18"/>
                <w:szCs w:val="18"/>
                <w:color w:val="auto"/>
              </w:rPr>
            </w:pPr>
          </w:p>
        </w:tc>
        <w:tc>
          <w:tcPr>
            <w:tcW w:w="5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360"/>
              <w:spacing w:after="0" w:line="197" w:lineRule="exact"/>
              <w:rPr>
                <w:sz w:val="20"/>
                <w:szCs w:val="20"/>
                <w:color w:val="auto"/>
              </w:rPr>
            </w:pPr>
            <w:r>
              <w:rPr>
                <w:rFonts w:ascii="Calibri" w:cs="Calibri" w:eastAsia="Calibri" w:hAnsi="Calibri"/>
                <w:sz w:val="18"/>
                <w:szCs w:val="18"/>
                <w:color w:val="auto"/>
              </w:rPr>
              <w:t>Total certain items</w:t>
            </w: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19"/>
              <w:spacing w:after="0" w:line="177" w:lineRule="exact"/>
              <w:rPr>
                <w:sz w:val="20"/>
                <w:szCs w:val="20"/>
                <w:color w:val="auto"/>
              </w:rPr>
            </w:pPr>
            <w:r>
              <w:rPr>
                <w:rFonts w:ascii="Calibri" w:cs="Calibri" w:eastAsia="Calibri" w:hAnsi="Calibri"/>
                <w:sz w:val="18"/>
                <w:szCs w:val="18"/>
                <w:color w:val="auto"/>
              </w:rPr>
              <w:t>(6 )</w:t>
            </w:r>
          </w:p>
        </w:tc>
        <w:tc>
          <w:tcPr>
            <w:tcW w:w="1040" w:type="dxa"/>
            <w:vAlign w:val="bottom"/>
          </w:tcPr>
          <w:p>
            <w:pPr>
              <w:spacing w:after="0"/>
              <w:rPr>
                <w:sz w:val="15"/>
                <w:szCs w:val="15"/>
                <w:color w:val="auto"/>
              </w:rPr>
            </w:pPr>
          </w:p>
        </w:tc>
        <w:tc>
          <w:tcPr>
            <w:tcW w:w="500" w:type="dxa"/>
            <w:vAlign w:val="bottom"/>
            <w:gridSpan w:val="2"/>
          </w:tcPr>
          <w:p>
            <w:pPr>
              <w:jc w:val="right"/>
              <w:spacing w:after="0" w:line="177" w:lineRule="exact"/>
              <w:rPr>
                <w:sz w:val="20"/>
                <w:szCs w:val="20"/>
                <w:color w:val="auto"/>
              </w:rPr>
            </w:pPr>
            <w:r>
              <w:rPr>
                <w:rFonts w:ascii="Calibri" w:cs="Calibri" w:eastAsia="Calibri" w:hAnsi="Calibri"/>
                <w:sz w:val="18"/>
                <w:szCs w:val="18"/>
                <w:color w:val="auto"/>
              </w:rPr>
              <w:t>(42 )</w:t>
            </w:r>
          </w:p>
        </w:tc>
        <w:tc>
          <w:tcPr>
            <w:tcW w:w="0" w:type="dxa"/>
            <w:vAlign w:val="bottom"/>
          </w:tcPr>
          <w:p>
            <w:pPr>
              <w:spacing w:after="0"/>
              <w:rPr>
                <w:sz w:val="1"/>
                <w:szCs w:val="1"/>
                <w:color w:val="auto"/>
              </w:rPr>
            </w:pPr>
          </w:p>
        </w:tc>
      </w:tr>
      <w:tr>
        <w:trPr>
          <w:trHeight w:val="33"/>
        </w:trPr>
        <w:tc>
          <w:tcPr>
            <w:tcW w:w="6860" w:type="dxa"/>
            <w:vAlign w:val="bottom"/>
            <w:vMerge w:val="restart"/>
          </w:tcPr>
          <w:p>
            <w:pPr>
              <w:spacing w:after="0" w:line="216" w:lineRule="exact"/>
              <w:rPr>
                <w:sz w:val="20"/>
                <w:szCs w:val="20"/>
                <w:color w:val="auto"/>
              </w:rPr>
            </w:pPr>
            <w:r>
              <w:rPr>
                <w:rFonts w:ascii="Calibri" w:cs="Calibri" w:eastAsia="Calibri" w:hAnsi="Calibri"/>
                <w:sz w:val="17"/>
                <w:szCs w:val="17"/>
                <w:color w:val="auto"/>
              </w:rPr>
              <w:t>Unallocated corporate costs</w:t>
            </w:r>
            <w:r>
              <w:rPr>
                <w:rFonts w:ascii="Calibri" w:cs="Calibri" w:eastAsia="Calibri" w:hAnsi="Calibri"/>
                <w:sz w:val="23"/>
                <w:szCs w:val="23"/>
                <w:color w:val="auto"/>
                <w:vertAlign w:val="superscript"/>
              </w:rPr>
              <w:t>(b)</w:t>
            </w: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vMerge w:val="restart"/>
          </w:tcPr>
          <w:p>
            <w:pPr>
              <w:jc w:val="right"/>
              <w:ind w:right="119"/>
              <w:spacing w:after="0" w:line="216" w:lineRule="exact"/>
              <w:rPr>
                <w:sz w:val="20"/>
                <w:szCs w:val="20"/>
                <w:color w:val="auto"/>
              </w:rPr>
            </w:pPr>
            <w:r>
              <w:rPr>
                <w:rFonts w:ascii="Calibri" w:cs="Calibri" w:eastAsia="Calibri" w:hAnsi="Calibri"/>
                <w:sz w:val="18"/>
                <w:szCs w:val="18"/>
                <w:color w:val="auto"/>
                <w:w w:val="72"/>
              </w:rPr>
              <w:t>)</w:t>
            </w: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vMerge w:val="restart"/>
          </w:tcPr>
          <w:p>
            <w:pPr>
              <w:jc w:val="right"/>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3"/>
        </w:trPr>
        <w:tc>
          <w:tcPr>
            <w:tcW w:w="68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Calibri" w:cs="Calibri" w:eastAsia="Calibri" w:hAnsi="Calibri"/>
                <w:sz w:val="17"/>
                <w:szCs w:val="17"/>
                <w:color w:val="auto"/>
              </w:rPr>
              <w:t>(13</w:t>
            </w:r>
          </w:p>
        </w:tc>
        <w:tc>
          <w:tcPr>
            <w:tcW w:w="2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line="163" w:lineRule="exact"/>
              <w:rPr>
                <w:sz w:val="20"/>
                <w:szCs w:val="20"/>
                <w:color w:val="auto"/>
              </w:rPr>
            </w:pPr>
            <w:r>
              <w:rPr>
                <w:rFonts w:ascii="Calibri" w:cs="Calibri" w:eastAsia="Calibri" w:hAnsi="Calibri"/>
                <w:sz w:val="17"/>
                <w:szCs w:val="17"/>
                <w:color w:val="auto"/>
              </w:rPr>
              <w:t>(17</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line="263"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10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860" w:type="dxa"/>
            <w:vAlign w:val="bottom"/>
          </w:tcPr>
          <w:p>
            <w:pPr>
              <w:spacing w:after="0" w:line="169" w:lineRule="exact"/>
              <w:rPr>
                <w:sz w:val="20"/>
                <w:szCs w:val="20"/>
                <w:color w:val="auto"/>
              </w:rPr>
            </w:pPr>
            <w:r>
              <w:rPr>
                <w:rFonts w:ascii="Calibri" w:cs="Calibri" w:eastAsia="Calibri" w:hAnsi="Calibri"/>
                <w:sz w:val="18"/>
                <w:szCs w:val="18"/>
                <w:color w:val="auto"/>
              </w:rPr>
              <w:t>Less: Equity in earnings of afliated companies, net</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860" w:type="dxa"/>
            <w:vAlign w:val="bottom"/>
          </w:tcPr>
          <w:p>
            <w:pPr>
              <w:ind w:left="120"/>
              <w:spacing w:after="0" w:line="250" w:lineRule="exact"/>
              <w:rPr>
                <w:sz w:val="20"/>
                <w:szCs w:val="20"/>
                <w:color w:val="auto"/>
              </w:rPr>
            </w:pPr>
            <w:r>
              <w:rPr>
                <w:rFonts w:ascii="Calibri" w:cs="Calibri" w:eastAsia="Calibri" w:hAnsi="Calibri"/>
                <w:sz w:val="18"/>
                <w:szCs w:val="18"/>
                <w:color w:val="auto"/>
              </w:rPr>
              <w:t>of tax</w:t>
            </w:r>
            <w:r>
              <w:rPr>
                <w:rFonts w:ascii="Calibri" w:cs="Calibri" w:eastAsia="Calibri" w:hAnsi="Calibri"/>
                <w:sz w:val="24"/>
                <w:szCs w:val="24"/>
                <w:color w:val="auto"/>
                <w:vertAlign w:val="superscript"/>
              </w:rPr>
              <w:t>(d)</w:t>
            </w: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Total</w:t>
            </w:r>
          </w:p>
        </w:tc>
        <w:tc>
          <w:tcPr>
            <w:tcW w:w="1020" w:type="dxa"/>
            <w:vAlign w:val="bottom"/>
            <w:shd w:val="clear" w:color="auto" w:fill="CFF0FC"/>
          </w:tcPr>
          <w:p>
            <w:pPr>
              <w:jc w:val="right"/>
              <w:ind w:right="819"/>
              <w:spacing w:after="0" w:line="209"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FF0FC"/>
          </w:tcPr>
          <w:p>
            <w:pPr>
              <w:jc w:val="right"/>
              <w:ind w:right="119"/>
              <w:spacing w:after="0" w:line="209" w:lineRule="exact"/>
              <w:rPr>
                <w:sz w:val="20"/>
                <w:szCs w:val="20"/>
                <w:color w:val="auto"/>
              </w:rPr>
            </w:pPr>
            <w:r>
              <w:rPr>
                <w:rFonts w:ascii="Calibri" w:cs="Calibri" w:eastAsia="Calibri" w:hAnsi="Calibri"/>
                <w:sz w:val="18"/>
                <w:szCs w:val="18"/>
                <w:color w:val="auto"/>
              </w:rPr>
              <w:t>(31 )</w:t>
            </w:r>
          </w:p>
        </w:tc>
        <w:tc>
          <w:tcPr>
            <w:tcW w:w="1040" w:type="dxa"/>
            <w:vAlign w:val="bottom"/>
            <w:shd w:val="clear" w:color="auto" w:fill="CFF0FC"/>
          </w:tcPr>
          <w:p>
            <w:pPr>
              <w:jc w:val="right"/>
              <w:ind w:right="856"/>
              <w:spacing w:after="0" w:line="209" w:lineRule="exact"/>
              <w:rPr>
                <w:sz w:val="20"/>
                <w:szCs w:val="20"/>
                <w:color w:val="auto"/>
              </w:rPr>
            </w:pPr>
            <w:r>
              <w:rPr>
                <w:rFonts w:ascii="Calibri" w:cs="Calibri" w:eastAsia="Calibri" w:hAnsi="Calibri"/>
                <w:sz w:val="18"/>
                <w:szCs w:val="18"/>
                <w:color w:val="auto"/>
                <w:w w:val="87"/>
              </w:rPr>
              <w:t>$</w:t>
            </w:r>
          </w:p>
        </w:tc>
        <w:tc>
          <w:tcPr>
            <w:tcW w:w="5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(69 )</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-1687830</wp:posOffset>
            </wp:positionV>
            <wp:extent cx="641223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-573405</wp:posOffset>
            </wp:positionV>
            <wp:extent cx="641223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-856615</wp:posOffset>
            </wp:positionV>
            <wp:extent cx="641223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020" w:right="220" w:hanging="499"/>
        <w:spacing w:after="0" w:line="201" w:lineRule="auto"/>
        <w:tabs>
          <w:tab w:leader="none" w:pos="1020" w:val="left"/>
        </w:tabs>
        <w:numPr>
          <w:ilvl w:val="0"/>
          <w:numId w:val="10"/>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of expense and income that management does not consider representatve of the Company’s fundamental on-going segment results and they are, therefore, excluded from Segment EBIT.</w:t>
      </w:r>
    </w:p>
    <w:p>
      <w:pPr>
        <w:spacing w:after="0" w:line="1" w:lineRule="exact"/>
        <w:rPr>
          <w:rFonts w:ascii="Calibri" w:cs="Calibri" w:eastAsia="Calibri" w:hAnsi="Calibri"/>
          <w:sz w:val="24"/>
          <w:szCs w:val="24"/>
          <w:color w:val="auto"/>
          <w:vertAlign w:val="superscript"/>
        </w:rPr>
      </w:pPr>
    </w:p>
    <w:p>
      <w:pPr>
        <w:ind w:left="1020" w:hanging="499"/>
        <w:spacing w:after="0" w:line="210" w:lineRule="auto"/>
        <w:tabs>
          <w:tab w:leader="none" w:pos="1020" w:val="left"/>
        </w:tabs>
        <w:numPr>
          <w:ilvl w:val="0"/>
          <w:numId w:val="10"/>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costs that are not controlled by the segments and primarily beneft corporate interests.</w:t>
      </w:r>
    </w:p>
    <w:p>
      <w:pPr>
        <w:spacing w:after="0" w:line="64" w:lineRule="exact"/>
        <w:rPr>
          <w:rFonts w:ascii="Calibri" w:cs="Calibri" w:eastAsia="Calibri" w:hAnsi="Calibri"/>
          <w:sz w:val="24"/>
          <w:szCs w:val="24"/>
          <w:color w:val="auto"/>
          <w:vertAlign w:val="superscript"/>
        </w:rPr>
      </w:pPr>
    </w:p>
    <w:p>
      <w:pPr>
        <w:ind w:left="1020" w:right="240" w:hanging="499"/>
        <w:spacing w:after="0" w:line="208" w:lineRule="auto"/>
        <w:tabs>
          <w:tab w:leader="none" w:pos="1020" w:val="left"/>
        </w:tabs>
        <w:numPr>
          <w:ilvl w:val="0"/>
          <w:numId w:val="10"/>
        </w:numPr>
        <w:rPr>
          <w:rFonts w:ascii="Calibri" w:cs="Calibri" w:eastAsia="Calibri" w:hAnsi="Calibri"/>
          <w:sz w:val="24"/>
          <w:szCs w:val="24"/>
          <w:color w:val="auto"/>
          <w:vertAlign w:val="superscript"/>
        </w:rPr>
      </w:pPr>
      <w:r>
        <w:rPr>
          <w:rFonts w:ascii="Calibri" w:cs="Calibri" w:eastAsia="Calibri" w:hAnsi="Calibri"/>
          <w:sz w:val="18"/>
          <w:szCs w:val="18"/>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 This does not include items of income or expense that are separately treated as Certain items.</w:t>
      </w:r>
    </w:p>
    <w:p>
      <w:pPr>
        <w:spacing w:after="0" w:line="43" w:lineRule="exact"/>
        <w:rPr>
          <w:rFonts w:ascii="Calibri" w:cs="Calibri" w:eastAsia="Calibri" w:hAnsi="Calibri"/>
          <w:sz w:val="24"/>
          <w:szCs w:val="24"/>
          <w:color w:val="auto"/>
          <w:vertAlign w:val="superscript"/>
        </w:rPr>
      </w:pPr>
    </w:p>
    <w:p>
      <w:pPr>
        <w:ind w:left="1020" w:right="460" w:hanging="499"/>
        <w:spacing w:after="0" w:line="201" w:lineRule="auto"/>
        <w:tabs>
          <w:tab w:leader="none" w:pos="1020" w:val="left"/>
        </w:tabs>
        <w:numPr>
          <w:ilvl w:val="0"/>
          <w:numId w:val="10"/>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in Unallocated and other to reconcile to Income (loss) from operatons before income taxes and equity in earnings from afliated companies.</w:t>
      </w:r>
    </w:p>
    <w:p>
      <w:pPr>
        <w:spacing w:after="0" w:line="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Company’s segments operate globally. In additon to presentng Revenue from external customers by reportable segment, the following tables further disaggregate Revenues from external customers by geographic region.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jc w:val="center"/>
              <w:ind w:right="280"/>
              <w:spacing w:after="0"/>
              <w:rPr>
                <w:sz w:val="20"/>
                <w:szCs w:val="20"/>
                <w:color w:val="auto"/>
              </w:rPr>
            </w:pPr>
            <w:r>
              <w:rPr>
                <w:rFonts w:ascii="Calibri" w:cs="Calibri" w:eastAsia="Calibri" w:hAnsi="Calibri"/>
                <w:sz w:val="14"/>
                <w:szCs w:val="14"/>
                <w:b w:val="1"/>
                <w:bCs w:val="1"/>
                <w:color w:val="auto"/>
              </w:rPr>
              <w:t>Three Months Ended December 31, 2024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6"/>
              <w:spacing w:after="0" w:line="161" w:lineRule="exact"/>
              <w:rPr>
                <w:sz w:val="20"/>
                <w:szCs w:val="20"/>
                <w:color w:val="auto"/>
              </w:rPr>
            </w:pPr>
            <w:r>
              <w:rPr>
                <w:rFonts w:ascii="Calibri" w:cs="Calibri" w:eastAsia="Calibri" w:hAnsi="Calibri"/>
                <w:sz w:val="14"/>
                <w:szCs w:val="14"/>
                <w:b w:val="1"/>
                <w:bCs w:val="1"/>
                <w:color w:val="auto"/>
              </w:rPr>
              <w:t>Reinforcement</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78"/>
              <w:spacing w:after="0" w:line="161" w:lineRule="exact"/>
              <w:rPr>
                <w:sz w:val="20"/>
                <w:szCs w:val="20"/>
                <w:color w:val="auto"/>
              </w:rPr>
            </w:pPr>
            <w:r>
              <w:rPr>
                <w:rFonts w:ascii="Calibri" w:cs="Calibri" w:eastAsia="Calibri" w:hAnsi="Calibri"/>
                <w:sz w:val="14"/>
                <w:szCs w:val="14"/>
                <w:b w:val="1"/>
                <w:bCs w:val="1"/>
                <w:color w:val="auto"/>
              </w:rPr>
              <w:t>Performance</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5"/>
              <w:spacing w:after="0" w:line="161" w:lineRule="exact"/>
              <w:rPr>
                <w:sz w:val="20"/>
                <w:szCs w:val="20"/>
                <w:color w:val="auto"/>
              </w:rPr>
            </w:pPr>
            <w:r>
              <w:rPr>
                <w:rFonts w:ascii="Calibri" w:cs="Calibri" w:eastAsia="Calibri" w:hAnsi="Calibri"/>
                <w:sz w:val="14"/>
                <w:szCs w:val="14"/>
                <w:b w:val="1"/>
                <w:bCs w:val="1"/>
                <w:color w:val="auto"/>
              </w:rPr>
              <w:t>Consolidated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Calibri" w:cs="Calibri" w:eastAsia="Calibri" w:hAnsi="Calibri"/>
                <w:sz w:val="14"/>
                <w:szCs w:val="14"/>
                <w:b w:val="1"/>
                <w:bCs w:val="1"/>
                <w:color w:val="auto"/>
              </w:rPr>
              <w:t>Materials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Chemicals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Total</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78"/>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7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Americas</w:t>
            </w:r>
          </w:p>
        </w:tc>
        <w:tc>
          <w:tcPr>
            <w:tcW w:w="166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244</w:t>
            </w:r>
          </w:p>
        </w:tc>
        <w:tc>
          <w:tcPr>
            <w:tcW w:w="32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90</w:t>
            </w:r>
          </w:p>
        </w:tc>
        <w:tc>
          <w:tcPr>
            <w:tcW w:w="30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334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60" w:type="dxa"/>
            <w:vAlign w:val="bottom"/>
          </w:tcPr>
          <w:p>
            <w:pPr>
              <w:spacing w:after="0" w:line="215" w:lineRule="exact"/>
              <w:rPr>
                <w:sz w:val="20"/>
                <w:szCs w:val="20"/>
                <w:color w:val="auto"/>
              </w:rPr>
            </w:pPr>
            <w:r>
              <w:rPr>
                <w:rFonts w:ascii="Calibri" w:cs="Calibri" w:eastAsia="Calibri" w:hAnsi="Calibri"/>
                <w:sz w:val="18"/>
                <w:szCs w:val="18"/>
                <w:color w:val="auto"/>
              </w:rPr>
              <w:t>Asia Pacifc</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391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Europe, Middle East and Africa</w:t>
            </w:r>
          </w:p>
        </w:tc>
        <w:tc>
          <w:tcPr>
            <w:tcW w:w="1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line="209" w:lineRule="exact"/>
              <w:rPr>
                <w:sz w:val="20"/>
                <w:szCs w:val="20"/>
                <w:color w:val="auto"/>
              </w:rPr>
            </w:pPr>
            <w:r>
              <w:rPr>
                <w:rFonts w:ascii="Calibri" w:cs="Calibri" w:eastAsia="Calibri" w:hAnsi="Calibri"/>
                <w:sz w:val="18"/>
                <w:szCs w:val="18"/>
                <w:color w:val="auto"/>
              </w:rPr>
              <w:t>Segment revenues from external customers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611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Calibri" w:cs="Calibri" w:eastAsia="Calibri" w:hAnsi="Calibri"/>
                <w:sz w:val="18"/>
                <w:szCs w:val="18"/>
                <w:color w:val="auto"/>
              </w:rPr>
              <w:t>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Calibri" w:cs="Calibri" w:eastAsia="Calibri" w:hAnsi="Calibri"/>
                <w:sz w:val="18"/>
                <w:szCs w:val="18"/>
                <w:color w:val="auto"/>
              </w:rPr>
              <w:t>922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Unallocated and other</w:t>
            </w:r>
          </w:p>
        </w:tc>
        <w:tc>
          <w:tcPr>
            <w:tcW w:w="1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line="210" w:lineRule="exact"/>
              <w:rPr>
                <w:sz w:val="20"/>
                <w:szCs w:val="20"/>
                <w:color w:val="auto"/>
              </w:rPr>
            </w:pPr>
            <w:r>
              <w:rPr>
                <w:rFonts w:ascii="Calibri" w:cs="Calibri" w:eastAsia="Calibri" w:hAnsi="Calibri"/>
                <w:sz w:val="18"/>
                <w:szCs w:val="18"/>
                <w:color w:val="auto"/>
              </w:rPr>
              <w:t>Net sales and other operatng revenues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0" w:lineRule="exact"/>
              <w:rPr>
                <w:sz w:val="20"/>
                <w:szCs w:val="20"/>
                <w:color w:val="auto"/>
              </w:rPr>
            </w:pPr>
            <w:r>
              <w:rPr>
                <w:rFonts w:ascii="Calibri" w:cs="Calibri" w:eastAsia="Calibri" w:hAnsi="Calibri"/>
                <w:sz w:val="18"/>
                <w:szCs w:val="18"/>
                <w:color w:val="auto"/>
              </w:rPr>
              <w:t>955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-1405255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-1405255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-1405255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-1122045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jc w:val="center"/>
              <w:ind w:right="280"/>
              <w:spacing w:after="0"/>
              <w:rPr>
                <w:sz w:val="20"/>
                <w:szCs w:val="20"/>
                <w:color w:val="auto"/>
              </w:rPr>
            </w:pPr>
            <w:r>
              <w:rPr>
                <w:rFonts w:ascii="Calibri" w:cs="Calibri" w:eastAsia="Calibri" w:hAnsi="Calibri"/>
                <w:sz w:val="14"/>
                <w:szCs w:val="14"/>
                <w:b w:val="1"/>
                <w:bCs w:val="1"/>
                <w:color w:val="auto"/>
              </w:rPr>
              <w:t>Three Months Ended December 31, 2023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6"/>
              <w:spacing w:after="0" w:line="161" w:lineRule="exact"/>
              <w:rPr>
                <w:sz w:val="20"/>
                <w:szCs w:val="20"/>
                <w:color w:val="auto"/>
              </w:rPr>
            </w:pPr>
            <w:r>
              <w:rPr>
                <w:rFonts w:ascii="Calibri" w:cs="Calibri" w:eastAsia="Calibri" w:hAnsi="Calibri"/>
                <w:sz w:val="14"/>
                <w:szCs w:val="14"/>
                <w:b w:val="1"/>
                <w:bCs w:val="1"/>
                <w:color w:val="auto"/>
              </w:rPr>
              <w:t>Reinforcement</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78"/>
              <w:spacing w:after="0" w:line="161" w:lineRule="exact"/>
              <w:rPr>
                <w:sz w:val="20"/>
                <w:szCs w:val="20"/>
                <w:color w:val="auto"/>
              </w:rPr>
            </w:pPr>
            <w:r>
              <w:rPr>
                <w:rFonts w:ascii="Calibri" w:cs="Calibri" w:eastAsia="Calibri" w:hAnsi="Calibri"/>
                <w:sz w:val="14"/>
                <w:szCs w:val="14"/>
                <w:b w:val="1"/>
                <w:bCs w:val="1"/>
                <w:color w:val="auto"/>
              </w:rPr>
              <w:t>Performance</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5"/>
              <w:spacing w:after="0" w:line="161" w:lineRule="exact"/>
              <w:rPr>
                <w:sz w:val="20"/>
                <w:szCs w:val="20"/>
                <w:color w:val="auto"/>
              </w:rPr>
            </w:pPr>
            <w:r>
              <w:rPr>
                <w:rFonts w:ascii="Calibri" w:cs="Calibri" w:eastAsia="Calibri" w:hAnsi="Calibri"/>
                <w:sz w:val="14"/>
                <w:szCs w:val="14"/>
                <w:b w:val="1"/>
                <w:bCs w:val="1"/>
                <w:color w:val="auto"/>
              </w:rPr>
              <w:t>Consolidated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Calibri" w:cs="Calibri" w:eastAsia="Calibri" w:hAnsi="Calibri"/>
                <w:sz w:val="14"/>
                <w:szCs w:val="14"/>
                <w:b w:val="1"/>
                <w:bCs w:val="1"/>
                <w:color w:val="auto"/>
              </w:rPr>
              <w:t>Materials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Chemicals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Total</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78"/>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7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Americas</w:t>
            </w:r>
          </w:p>
        </w:tc>
        <w:tc>
          <w:tcPr>
            <w:tcW w:w="166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254</w:t>
            </w:r>
          </w:p>
        </w:tc>
        <w:tc>
          <w:tcPr>
            <w:tcW w:w="32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88</w:t>
            </w:r>
          </w:p>
        </w:tc>
        <w:tc>
          <w:tcPr>
            <w:tcW w:w="300" w:type="dxa"/>
            <w:vAlign w:val="bottom"/>
            <w:gridSpan w:val="2"/>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342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60" w:type="dxa"/>
            <w:vAlign w:val="bottom"/>
          </w:tcPr>
          <w:p>
            <w:pPr>
              <w:spacing w:after="0" w:line="215" w:lineRule="exact"/>
              <w:rPr>
                <w:sz w:val="20"/>
                <w:szCs w:val="20"/>
                <w:color w:val="auto"/>
              </w:rPr>
            </w:pPr>
            <w:r>
              <w:rPr>
                <w:rFonts w:ascii="Calibri" w:cs="Calibri" w:eastAsia="Calibri" w:hAnsi="Calibri"/>
                <w:sz w:val="18"/>
                <w:szCs w:val="18"/>
                <w:color w:val="auto"/>
              </w:rPr>
              <w:t>Asia Pacifc</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380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Europe, Middle East and Africa</w:t>
            </w:r>
          </w:p>
        </w:tc>
        <w:tc>
          <w:tcPr>
            <w:tcW w:w="1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204</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line="209" w:lineRule="exact"/>
              <w:rPr>
                <w:sz w:val="20"/>
                <w:szCs w:val="20"/>
                <w:color w:val="auto"/>
              </w:rPr>
            </w:pPr>
            <w:r>
              <w:rPr>
                <w:rFonts w:ascii="Calibri" w:cs="Calibri" w:eastAsia="Calibri" w:hAnsi="Calibri"/>
                <w:sz w:val="18"/>
                <w:szCs w:val="18"/>
                <w:color w:val="auto"/>
              </w:rPr>
              <w:t>Segment revenues from external customers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Calibri" w:cs="Calibri" w:eastAsia="Calibri" w:hAnsi="Calibri"/>
                <w:sz w:val="18"/>
                <w:szCs w:val="18"/>
                <w:color w:val="auto"/>
              </w:rPr>
              <w:t>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Calibri" w:cs="Calibri" w:eastAsia="Calibri" w:hAnsi="Calibri"/>
                <w:sz w:val="18"/>
                <w:szCs w:val="18"/>
                <w:color w:val="auto"/>
              </w:rPr>
              <w:t>926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Unallocated and other</w:t>
            </w:r>
          </w:p>
        </w:tc>
        <w:tc>
          <w:tcPr>
            <w:tcW w:w="1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line="210" w:lineRule="exact"/>
              <w:rPr>
                <w:sz w:val="20"/>
                <w:szCs w:val="20"/>
                <w:color w:val="auto"/>
              </w:rPr>
            </w:pPr>
            <w:r>
              <w:rPr>
                <w:rFonts w:ascii="Calibri" w:cs="Calibri" w:eastAsia="Calibri" w:hAnsi="Calibri"/>
                <w:sz w:val="18"/>
                <w:szCs w:val="18"/>
                <w:color w:val="auto"/>
              </w:rPr>
              <w:t>Net sales and other operatng revenues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0" w:lineRule="exact"/>
              <w:rPr>
                <w:sz w:val="20"/>
                <w:szCs w:val="20"/>
                <w:color w:val="auto"/>
              </w:rPr>
            </w:pPr>
            <w:r>
              <w:rPr>
                <w:rFonts w:ascii="Calibri" w:cs="Calibri" w:eastAsia="Calibri" w:hAnsi="Calibri"/>
                <w:sz w:val="18"/>
                <w:szCs w:val="18"/>
                <w:color w:val="auto"/>
              </w:rPr>
              <w:t>958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-1456690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-1456690</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-1456690</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-1173480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Item 2.  Management’s Discussion and Analysis of Financial Conditon and Results of Operatons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under the heading “Recent Accountng Pronouncements”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Cabot is also organized for operatonal purposes into three geographic regions: the Americas; Europe, Middle East and Africa (“EMEA”); and Asia Pacifc. The discussion of our results of operatons for the periods presented refects these structures.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analysis of our fnancial conditon and operatng results should be read with our consolidated fnancial statements and accompanying notes.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full fscal year. Our operatng tax rate is a non-GAAP fnancial measure and should not be considered as an alternatve to our efectve tax rate, the most comparable GAAP fnancial measure. The operatng tax rate is calculated based upon management's forecast of the annual operatng tax rate for the fscal year applied to adjusted pre-tax earnings. The operatng tax rate excludes income tax (expense) beneft on certain items, discrete tax items, and, on a quarterly basis, the tming of losses in certain jurisdictons.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discussion under the heading “First Quarter of Fiscal 2025 versus First Quarter of Fiscal 2024—By Business Segment” includes a discussion of Total segment EBIT, which is a non-GAAP fnancial measure defned as Income (loss) from operatons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Total segment EBIT should not be considered an alternatve for Income (loss) from operatons before income taxes and equity in earnings of afliated companies, which is the most directly comparable U.S. GAAP fnancial measure. A reconciliaton of Total segment EBIT to Income (loss) from operatons before income taxes and equity in earnings of afliated companies is provided under the heading “First quarter of Fiscal 2025 versus First quarter of Fiscal 2024—By Business Segment”. Investors should consider the limitatons associated with this non-GAAP measure, including the potental lack of comparability of this measure from one company to another.</w:t>
      </w:r>
    </w:p>
    <w:p>
      <w:pPr>
        <w:spacing w:after="0" w:line="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calculatng Total segment EBIT, we exclude from our Income (loss) from operatons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GAAP basis and also facilitates an evaluaton of our operatng performance without the impact of these costs or benefts. The items of income and expense that we have excluded from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9" w:name="page20"/>
    <w:bookmarkEnd w:id="19"/>
    <w:p>
      <w:pPr>
        <w:ind w:right="200"/>
        <w:spacing w:after="0" w:line="235" w:lineRule="auto"/>
        <w:rPr>
          <w:sz w:val="20"/>
          <w:szCs w:val="20"/>
          <w:color w:val="auto"/>
        </w:rPr>
      </w:pPr>
      <w:r>
        <w:rPr>
          <w:rFonts w:ascii="Calibri" w:cs="Calibri" w:eastAsia="Calibri" w:hAnsi="Calibri"/>
          <w:sz w:val="18"/>
          <w:szCs w:val="18"/>
          <w:color w:val="auto"/>
        </w:rPr>
        <w:t>Total segment EBIT, as applicable, but that are included in our GAAP Income (loss) from operatons before income taxes and equity in earnings of afliated companies, as applicable, are described below.</w:t>
      </w:r>
    </w:p>
    <w:p>
      <w:pPr>
        <w:spacing w:after="0" w:line="96" w:lineRule="exact"/>
        <w:rPr>
          <w:sz w:val="20"/>
          <w:szCs w:val="20"/>
          <w:color w:val="auto"/>
        </w:rPr>
      </w:pPr>
    </w:p>
    <w:p>
      <w:pPr>
        <w:ind w:left="1020" w:right="6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Argentna controlled currency devaluaton loss related to the foreign exchange loss from government-controlled currency devaluatons on our net monetary assets denominated in the Argentne peso and investment losses related to the utlizaton of government bond programs established for the setlement of certain foreign payables.</w:t>
      </w:r>
    </w:p>
    <w:p>
      <w:pPr>
        <w:spacing w:after="0" w:line="97" w:lineRule="exact"/>
        <w:rPr>
          <w:rFonts w:ascii="Times New Roman" w:cs="Times New Roman" w:eastAsia="Times New Roman" w:hAnsi="Times New Roman"/>
          <w:sz w:val="18"/>
          <w:szCs w:val="18"/>
          <w:color w:val="auto"/>
        </w:rPr>
      </w:pPr>
    </w:p>
    <w:p>
      <w:pPr>
        <w:ind w:left="1020" w:right="38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maters and reserves,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1020" w:right="26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6"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5" w:lineRule="exact"/>
        <w:rPr>
          <w:rFonts w:ascii="Times New Roman" w:cs="Times New Roman" w:eastAsia="Times New Roman" w:hAnsi="Times New Roman"/>
          <w:sz w:val="18"/>
          <w:szCs w:val="18"/>
          <w:color w:val="auto"/>
        </w:rPr>
      </w:pPr>
    </w:p>
    <w:p>
      <w:pPr>
        <w:ind w:left="1020" w:right="56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beneft plan setlements, which consist of either charges or benefts associated with the terminaton of a pension plan or the transfer of a pension plan to a mult-employer plan.</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firstLine="494"/>
        <w:spacing w:after="0" w:line="235" w:lineRule="auto"/>
        <w:rPr>
          <w:sz w:val="20"/>
          <w:szCs w:val="20"/>
          <w:color w:val="auto"/>
        </w:rPr>
      </w:pPr>
      <w:r>
        <w:rPr>
          <w:rFonts w:ascii="Calibri" w:cs="Calibri" w:eastAsia="Calibri" w:hAnsi="Calibri"/>
          <w:sz w:val="18"/>
          <w:szCs w:val="18"/>
          <w:color w:val="auto"/>
        </w:rPr>
        <w:t>During the frst quarter of fscal 2025, Income (loss) before income taxes and equity in earnings of afliated companies increased compared to the frst quarter of fscal 2024. The increase was driven by lower foreign currency exchange losses primarily in Argentna and higher earnings in both our Reinforcement Materials and Performance Chemicals segments.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First quarter of Fiscal 2025 versus First quarter of Fiscal 2024—Consolidated</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ind w:left="30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173"/>
        </w:trPr>
        <w:tc>
          <w:tcPr>
            <w:tcW w:w="54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81"/>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left="861"/>
              <w:spacing w:after="0" w:line="169"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220"/>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4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Net sales and other operatng revenues</w:t>
            </w:r>
          </w:p>
        </w:tc>
        <w:tc>
          <w:tcPr>
            <w:tcW w:w="360" w:type="dxa"/>
            <w:vAlign w:val="bottom"/>
            <w:shd w:val="clear" w:color="auto" w:fill="CFF0FC"/>
          </w:tcPr>
          <w:p>
            <w:pPr>
              <w:jc w:val="right"/>
              <w:ind w:right="170"/>
              <w:spacing w:after="0" w:line="217"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center"/>
              <w:ind w:left="841"/>
              <w:spacing w:after="0" w:line="217" w:lineRule="exact"/>
              <w:rPr>
                <w:sz w:val="20"/>
                <w:szCs w:val="20"/>
                <w:color w:val="auto"/>
              </w:rPr>
            </w:pPr>
            <w:r>
              <w:rPr>
                <w:rFonts w:ascii="Calibri" w:cs="Calibri" w:eastAsia="Calibri" w:hAnsi="Calibri"/>
                <w:sz w:val="18"/>
                <w:szCs w:val="18"/>
                <w:color w:val="auto"/>
                <w:w w:val="94"/>
              </w:rPr>
              <w:t>955</w:t>
            </w:r>
          </w:p>
        </w:tc>
        <w:tc>
          <w:tcPr>
            <w:tcW w:w="700" w:type="dxa"/>
            <w:vAlign w:val="bottom"/>
            <w:gridSpan w:val="2"/>
            <w:shd w:val="clear" w:color="auto" w:fill="CFF0FC"/>
          </w:tcPr>
          <w:p>
            <w:pPr>
              <w:jc w:val="right"/>
              <w:ind w:right="340"/>
              <w:spacing w:after="0" w:line="217"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958</w:t>
            </w:r>
          </w:p>
        </w:tc>
        <w:tc>
          <w:tcPr>
            <w:tcW w:w="8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center"/>
              <w:ind w:left="841"/>
              <w:spacing w:after="0" w:line="215" w:lineRule="exact"/>
              <w:rPr>
                <w:sz w:val="20"/>
                <w:szCs w:val="20"/>
                <w:color w:val="auto"/>
              </w:rPr>
            </w:pPr>
            <w:r>
              <w:rPr>
                <w:rFonts w:ascii="Calibri" w:cs="Calibri" w:eastAsia="Calibri" w:hAnsi="Calibri"/>
                <w:sz w:val="18"/>
                <w:szCs w:val="18"/>
                <w:color w:val="auto"/>
                <w:w w:val="94"/>
              </w:rPr>
              <w:t>235</w:t>
            </w:r>
          </w:p>
        </w:tc>
        <w:tc>
          <w:tcPr>
            <w:tcW w:w="7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218</w:t>
            </w:r>
          </w:p>
        </w:tc>
        <w:tc>
          <w:tcPr>
            <w:tcW w:w="80" w:type="dxa"/>
            <w:vAlign w:val="bottom"/>
          </w:tcPr>
          <w:p>
            <w:pPr>
              <w:spacing w:after="0"/>
              <w:rPr>
                <w:sz w:val="18"/>
                <w:szCs w:val="18"/>
                <w:color w:val="auto"/>
              </w:rPr>
            </w:pPr>
          </w:p>
        </w:tc>
      </w:tr>
    </w:tbl>
    <w:p>
      <w:pPr>
        <w:spacing w:after="0" w:line="16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$3 million decrease in Net sales and other operatng revenues in the frst quarter of fscal 2025 compared to the frst quarter of fscal 2024 was driven by less favorable pricing and product mix in both our Reinforcement Materials and Performance Chemicals segments ($40 million combined), partally ofset by higher volumes in both our Reinforcement Materials and Performance Chemical segments ($39 million combined). The less favorable pricing and product mix in both our Reinforcement Materials and Performance Chemical segments was primarily due to lower raw material costs that are generally passed through to our customers. The higher volumes was due to higher volumes in Asia Pacifc and EMEA in Reinforcement Materials and higher volumes in Performance Chemicals as volumes reconnected to underlying demand drivers in key end markets.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three months ended December 31, 2024, gross proft increased by $17 million compared to the same period of fscal 2024. The increase in Gross proft in the frst quarter of fscal 2025 compared to the frst quarter of fscal 2024 was driven primarily by higher volumes in both our Reinforcement Materials and Performance Chemicals segments ($22 million combined). The higher volumes in the Reinforcement Materials segment was primarily in Asia Pacifc and EMEA and the higher volumes in the Performance Chemicals segment was primarily due to volumes reconnectng to underlying demand drivers in key end markets.</w:t>
      </w:r>
    </w:p>
    <w:p>
      <w:pPr>
        <w:spacing w:after="0" w:line="80"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116" w:lineRule="exact"/>
        <w:rPr>
          <w:sz w:val="20"/>
          <w:szCs w:val="20"/>
          <w:color w:val="auto"/>
        </w:rPr>
      </w:pPr>
    </w:p>
    <w:p>
      <w:pPr>
        <w:ind w:left="726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18" w:lineRule="exact"/>
        <w:rPr>
          <w:sz w:val="20"/>
          <w:szCs w:val="20"/>
          <w:color w:val="auto"/>
        </w:rPr>
      </w:pPr>
    </w:p>
    <w:p>
      <w:pPr>
        <w:ind w:left="7240"/>
        <w:spacing w:after="0"/>
        <w:tabs>
          <w:tab w:leader="none" w:pos="90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-106680</wp:posOffset>
            </wp:positionV>
            <wp:extent cx="21856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ind w:left="796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-106680</wp:posOffset>
            </wp:positionV>
            <wp:extent cx="21856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ind w:left="1140"/>
        <w:spacing w:after="0"/>
        <w:tabs>
          <w:tab w:leader="none" w:pos="6580" w:val="left"/>
          <w:tab w:leader="none" w:pos="7960" w:val="left"/>
          <w:tab w:leader="none" w:pos="8440" w:val="left"/>
          <w:tab w:leader="none" w:pos="9800" w:val="left"/>
        </w:tabs>
        <w:rPr>
          <w:sz w:val="20"/>
          <w:szCs w:val="20"/>
          <w:color w:val="auto"/>
        </w:rPr>
      </w:pPr>
      <w:r>
        <w:rPr>
          <w:rFonts w:ascii="Calibri" w:cs="Calibri" w:eastAsia="Calibri" w:hAnsi="Calibri"/>
          <w:sz w:val="18"/>
          <w:szCs w:val="18"/>
          <w:color w:val="auto"/>
        </w:rPr>
        <w:t>Selling and administratve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66</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65" w:lineRule="exact"/>
        <w:rPr>
          <w:sz w:val="20"/>
          <w:szCs w:val="20"/>
          <w:color w:val="auto"/>
        </w:rPr>
      </w:pPr>
    </w:p>
    <w:p>
      <w:pPr>
        <w:jc w:val="center"/>
        <w:ind w:right="420"/>
        <w:spacing w:after="0"/>
        <w:rPr>
          <w:sz w:val="20"/>
          <w:szCs w:val="20"/>
          <w:color w:val="auto"/>
        </w:rPr>
      </w:pPr>
      <w:r>
        <w:rPr>
          <w:rFonts w:ascii="Calibri" w:cs="Calibri" w:eastAsia="Calibri" w:hAnsi="Calibri"/>
          <w:sz w:val="18"/>
          <w:szCs w:val="18"/>
          <w:color w:val="auto"/>
        </w:rPr>
        <w:t>Selling and administratve expenses decreased by $1 million in the frst quarter of fscal 2025 compared to the same period of fscal 2024.</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20" w:name="page21"/>
    <w:bookmarkEnd w:id="20"/>
    <w:p>
      <w:pPr>
        <w:ind w:left="48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116" w:lineRule="exact"/>
        <w:rPr>
          <w:sz w:val="20"/>
          <w:szCs w:val="20"/>
          <w:color w:val="auto"/>
        </w:rPr>
      </w:pPr>
    </w:p>
    <w:p>
      <w:pPr>
        <w:ind w:left="7260"/>
        <w:spacing w:after="0"/>
        <w:rPr>
          <w:sz w:val="20"/>
          <w:szCs w:val="20"/>
          <w:color w:val="auto"/>
        </w:rPr>
      </w:pPr>
      <w:r>
        <w:rPr>
          <w:rFonts w:ascii="Calibri" w:cs="Calibri" w:eastAsia="Calibri" w:hAnsi="Calibri"/>
          <w:sz w:val="14"/>
          <w:szCs w:val="14"/>
          <w:b w:val="1"/>
          <w:bCs w:val="1"/>
          <w:color w:val="auto"/>
        </w:rPr>
        <w:t>Three Months Ended December 31</w:t>
      </w:r>
    </w:p>
    <w:p>
      <w:pPr>
        <w:spacing w:after="0" w:line="18" w:lineRule="exact"/>
        <w:rPr>
          <w:sz w:val="20"/>
          <w:szCs w:val="20"/>
          <w:color w:val="auto"/>
        </w:rPr>
      </w:pPr>
    </w:p>
    <w:p>
      <w:pPr>
        <w:ind w:left="7240"/>
        <w:spacing w:after="0"/>
        <w:tabs>
          <w:tab w:leader="none" w:pos="9060" w:val="left"/>
        </w:tabs>
        <w:rPr>
          <w:sz w:val="20"/>
          <w:szCs w:val="20"/>
          <w:color w:val="auto"/>
        </w:rPr>
      </w:pPr>
      <w:r>
        <w:rPr>
          <w:rFonts w:ascii="Calibri" w:cs="Calibri" w:eastAsia="Calibri" w:hAnsi="Calibri"/>
          <w:sz w:val="14"/>
          <w:szCs w:val="14"/>
          <w:b w:val="1"/>
          <w:bCs w:val="1"/>
          <w:color w:val="auto"/>
        </w:rPr>
        <w:t>2024</w:t>
      </w:r>
      <w:r>
        <w:rPr>
          <w:sz w:val="20"/>
          <w:szCs w:val="20"/>
          <w:color w:val="auto"/>
        </w:rPr>
        <w:tab/>
      </w:r>
      <w:r>
        <w:rPr>
          <w:rFonts w:ascii="Calibri" w:cs="Calibri" w:eastAsia="Calibri" w:hAnsi="Calibri"/>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-106680</wp:posOffset>
            </wp:positionV>
            <wp:extent cx="21856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ind w:left="796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-106680</wp:posOffset>
            </wp:positionV>
            <wp:extent cx="21856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ind w:left="1140"/>
        <w:spacing w:after="0"/>
        <w:tabs>
          <w:tab w:leader="none" w:pos="6580" w:val="left"/>
          <w:tab w:leader="none" w:pos="7960" w:val="left"/>
          <w:tab w:leader="none" w:pos="8440" w:val="left"/>
          <w:tab w:leader="none" w:pos="9800" w:val="left"/>
        </w:tabs>
        <w:rPr>
          <w:sz w:val="20"/>
          <w:szCs w:val="20"/>
          <w:color w:val="auto"/>
        </w:rPr>
      </w:pPr>
      <w:r>
        <w:rPr>
          <w:rFonts w:ascii="Calibri" w:cs="Calibri" w:eastAsia="Calibri" w:hAnsi="Calibri"/>
          <w:sz w:val="18"/>
          <w:szCs w:val="18"/>
          <w:color w:val="auto"/>
        </w:rPr>
        <w:t>Research and technical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14</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-121285</wp:posOffset>
            </wp:positionV>
            <wp:extent cx="570039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30" w:lineRule="exact"/>
        <w:rPr>
          <w:sz w:val="20"/>
          <w:szCs w:val="20"/>
          <w:color w:val="auto"/>
        </w:rPr>
      </w:pPr>
    </w:p>
    <w:p>
      <w:pPr>
        <w:ind w:left="480" w:right="1140" w:hanging="4"/>
        <w:spacing w:after="0" w:line="319" w:lineRule="auto"/>
        <w:rPr>
          <w:sz w:val="20"/>
          <w:szCs w:val="20"/>
          <w:color w:val="auto"/>
        </w:rPr>
      </w:pPr>
      <w:r>
        <w:rPr>
          <w:rFonts w:ascii="Calibri" w:cs="Calibri" w:eastAsia="Calibri" w:hAnsi="Calibri"/>
          <w:sz w:val="18"/>
          <w:szCs w:val="18"/>
          <w:color w:val="auto"/>
        </w:rPr>
        <w:t xml:space="preserve">Research and technical expenses decreased by $1 million in the frst quarter of fscal 2025, compared to the same period of fscal 2024. </w:t>
      </w:r>
      <w:r>
        <w:rPr>
          <w:rFonts w:ascii="Calibri" w:cs="Calibri" w:eastAsia="Calibri" w:hAnsi="Calibri"/>
          <w:sz w:val="18"/>
          <w:szCs w:val="18"/>
          <w:i w:val="1"/>
          <w:iCs w:val="1"/>
          <w:color w:val="auto"/>
        </w:rPr>
        <w:t>Interest and Dividend Income, Interest Expense and Other Income (Expense)</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55"/>
              <w:spacing w:after="0"/>
              <w:rPr>
                <w:sz w:val="20"/>
                <w:szCs w:val="20"/>
                <w:color w:val="auto"/>
              </w:rPr>
            </w:pPr>
            <w:r>
              <w:rPr>
                <w:rFonts w:ascii="Calibri" w:cs="Calibri" w:eastAsia="Calibri" w:hAnsi="Calibri"/>
                <w:sz w:val="14"/>
                <w:szCs w:val="14"/>
                <w:b w:val="1"/>
                <w:bCs w:val="1"/>
                <w:color w:val="auto"/>
              </w:rPr>
              <w:t>Three Months Ended December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5460" w:type="dxa"/>
            <w:vAlign w:val="bottom"/>
          </w:tcPr>
          <w:p>
            <w:pPr>
              <w:spacing w:after="0"/>
              <w:rPr>
                <w:sz w:val="15"/>
                <w:szCs w:val="15"/>
                <w:color w:val="auto"/>
              </w:rPr>
            </w:pPr>
          </w:p>
        </w:tc>
        <w:tc>
          <w:tcPr>
            <w:tcW w:w="1120" w:type="dxa"/>
            <w:vAlign w:val="bottom"/>
            <w:tcBorders>
              <w:bottom w:val="single" w:sz="8" w:color="auto"/>
            </w:tcBorders>
          </w:tcPr>
          <w:p>
            <w:pPr>
              <w:jc w:val="right"/>
              <w:ind w:right="117"/>
              <w:spacing w:after="0"/>
              <w:rPr>
                <w:sz w:val="20"/>
                <w:szCs w:val="20"/>
                <w:color w:val="auto"/>
              </w:rPr>
            </w:pPr>
            <w:r>
              <w:rPr>
                <w:rFonts w:ascii="Calibri" w:cs="Calibri" w:eastAsia="Calibri" w:hAnsi="Calibri"/>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bottom w:val="single" w:sz="8" w:color="auto"/>
            </w:tcBorders>
          </w:tcPr>
          <w:p>
            <w:pPr>
              <w:jc w:val="right"/>
              <w:ind w:right="115"/>
              <w:spacing w:after="0"/>
              <w:rPr>
                <w:sz w:val="20"/>
                <w:szCs w:val="20"/>
                <w:color w:val="auto"/>
              </w:rPr>
            </w:pPr>
            <w:r>
              <w:rPr>
                <w:rFonts w:ascii="Calibri" w:cs="Calibri" w:eastAsia="Calibri" w:hAnsi="Calibri"/>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1400" w:type="dxa"/>
            <w:vAlign w:val="bottom"/>
            <w:gridSpan w:val="2"/>
          </w:tcPr>
          <w:p>
            <w:pPr>
              <w:jc w:val="right"/>
              <w:ind w:right="835"/>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4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Interest and dividend income</w:t>
            </w:r>
          </w:p>
        </w:tc>
        <w:tc>
          <w:tcPr>
            <w:tcW w:w="1120" w:type="dxa"/>
            <w:vAlign w:val="bottom"/>
            <w:shd w:val="clear" w:color="auto" w:fill="CFF0FC"/>
          </w:tcPr>
          <w:p>
            <w:pPr>
              <w:jc w:val="right"/>
              <w:ind w:right="937"/>
              <w:spacing w:after="0" w:line="217"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6</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5"/>
              <w:spacing w:after="0" w:line="217"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9</w:t>
            </w:r>
          </w:p>
        </w:tc>
        <w:tc>
          <w:tcPr>
            <w:tcW w:w="8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line="215" w:lineRule="exact"/>
              <w:rPr>
                <w:sz w:val="20"/>
                <w:szCs w:val="20"/>
                <w:color w:val="auto"/>
              </w:rPr>
            </w:pPr>
            <w:r>
              <w:rPr>
                <w:rFonts w:ascii="Calibri" w:cs="Calibri" w:eastAsia="Calibri" w:hAnsi="Calibri"/>
                <w:sz w:val="18"/>
                <w:szCs w:val="18"/>
                <w:color w:val="auto"/>
              </w:rPr>
              <w:t>Interest expense</w:t>
            </w:r>
          </w:p>
        </w:tc>
        <w:tc>
          <w:tcPr>
            <w:tcW w:w="1120" w:type="dxa"/>
            <w:vAlign w:val="bottom"/>
          </w:tcPr>
          <w:p>
            <w:pPr>
              <w:jc w:val="right"/>
              <w:ind w:right="937"/>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(18 )</w:t>
            </w:r>
          </w:p>
        </w:tc>
        <w:tc>
          <w:tcPr>
            <w:tcW w:w="1140" w:type="dxa"/>
            <w:vAlign w:val="bottom"/>
          </w:tcPr>
          <w:p>
            <w:pPr>
              <w:jc w:val="right"/>
              <w:ind w:right="955"/>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(22 )</w:t>
            </w:r>
          </w:p>
        </w:tc>
      </w:tr>
      <w:tr>
        <w:trPr>
          <w:trHeight w:val="217"/>
        </w:trPr>
        <w:tc>
          <w:tcPr>
            <w:tcW w:w="546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Other income (expense)</w:t>
            </w:r>
          </w:p>
        </w:tc>
        <w:tc>
          <w:tcPr>
            <w:tcW w:w="1120" w:type="dxa"/>
            <w:vAlign w:val="bottom"/>
            <w:shd w:val="clear" w:color="auto" w:fill="CFF0FC"/>
          </w:tcPr>
          <w:p>
            <w:pPr>
              <w:jc w:val="right"/>
              <w:ind w:right="937"/>
              <w:spacing w:after="0" w:line="216"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5"/>
              <w:spacing w:after="0" w:line="216" w:lineRule="exact"/>
              <w:rPr>
                <w:sz w:val="20"/>
                <w:szCs w:val="20"/>
                <w:color w:val="auto"/>
              </w:rPr>
            </w:pPr>
            <w:r>
              <w:rPr>
                <w:rFonts w:ascii="Calibri" w:cs="Calibri" w:eastAsia="Calibri" w:hAnsi="Calibri"/>
                <w:sz w:val="18"/>
                <w:szCs w:val="18"/>
                <w:color w:val="auto"/>
                <w:w w:val="87"/>
              </w:rPr>
              <w:t>$</w:t>
            </w:r>
          </w:p>
        </w:tc>
        <w:tc>
          <w:tcPr>
            <w:tcW w:w="5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(29 )</w:t>
            </w:r>
          </w:p>
        </w:tc>
      </w:tr>
    </w:tbl>
    <w:p>
      <w:pPr>
        <w:spacing w:after="0" w:line="16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Interest and dividend income decreased by $3 million in the frst quarter of fscal 2025 compared to the same period of fscal 2024, primarily due to lower interest rates and lower average cash balances.</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Interest expense decreased by $4 million in the frst quarter of fscal 2025 compared to the same period of fscal 2024, due to lower average short-term borrowings and lower interest rates.</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Other income increased by $30 million in the frst quarter of fscal 2025 compared to the same period of fscal 2024, primarily due to lower foreign exchange losses primarily in Argentna.</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(Provision) Beneft for Income Taxes and Reconciliaton of Efectve Tax Rate to Operatng Tax Rate</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480"/>
              <w:spacing w:after="0"/>
              <w:rPr>
                <w:sz w:val="20"/>
                <w:szCs w:val="20"/>
                <w:color w:val="auto"/>
              </w:rPr>
            </w:pPr>
            <w:r>
              <w:rPr>
                <w:rFonts w:ascii="Calibri" w:cs="Calibri" w:eastAsia="Calibri" w:hAnsi="Calibri"/>
                <w:sz w:val="14"/>
                <w:szCs w:val="14"/>
                <w:b w:val="1"/>
                <w:bCs w:val="1"/>
                <w:color w:val="auto"/>
              </w:rPr>
              <w:t>Three Months Ended December 31</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3"/>
        </w:trPr>
        <w:tc>
          <w:tcPr>
            <w:tcW w:w="4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Calibri" w:cs="Calibri" w:eastAsia="Calibri" w:hAnsi="Calibri"/>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7"/>
        </w:trPr>
        <w:tc>
          <w:tcPr>
            <w:tcW w:w="4440" w:type="dxa"/>
            <w:vAlign w:val="bottom"/>
          </w:tcPr>
          <w:p>
            <w:pPr>
              <w:spacing w:after="0"/>
              <w:rPr>
                <w:sz w:val="13"/>
                <w:szCs w:val="13"/>
                <w:color w:val="auto"/>
              </w:rPr>
            </w:pPr>
          </w:p>
        </w:tc>
        <w:tc>
          <w:tcPr>
            <w:tcW w:w="1240" w:type="dxa"/>
            <w:vAlign w:val="bottom"/>
            <w:gridSpan w:val="4"/>
          </w:tcPr>
          <w:p>
            <w:pPr>
              <w:jc w:val="center"/>
              <w:ind w:right="300"/>
              <w:spacing w:after="0" w:line="157" w:lineRule="exact"/>
              <w:rPr>
                <w:sz w:val="20"/>
                <w:szCs w:val="20"/>
                <w:color w:val="auto"/>
              </w:rPr>
            </w:pPr>
            <w:r>
              <w:rPr>
                <w:rFonts w:ascii="Calibri" w:cs="Calibri" w:eastAsia="Calibri" w:hAnsi="Calibri"/>
                <w:sz w:val="14"/>
                <w:szCs w:val="14"/>
                <w:b w:val="1"/>
                <w:bCs w:val="1"/>
                <w:color w:val="auto"/>
              </w:rPr>
              <w:t>(Provision) /</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520"/>
              <w:spacing w:after="0" w:line="157" w:lineRule="exact"/>
              <w:rPr>
                <w:sz w:val="20"/>
                <w:szCs w:val="20"/>
                <w:color w:val="auto"/>
              </w:rPr>
            </w:pPr>
            <w:r>
              <w:rPr>
                <w:rFonts w:ascii="Calibri" w:cs="Calibri" w:eastAsia="Calibri" w:hAnsi="Calibri"/>
                <w:sz w:val="14"/>
                <w:szCs w:val="14"/>
                <w:b w:val="1"/>
                <w:bCs w:val="1"/>
                <w:color w:val="auto"/>
              </w:rPr>
              <w:t>(Provision) /</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Calibri" w:cs="Calibri" w:eastAsia="Calibri" w:hAnsi="Calibri"/>
                <w:sz w:val="14"/>
                <w:szCs w:val="14"/>
                <w:b w:val="1"/>
                <w:bCs w:val="1"/>
                <w:color w:val="auto"/>
              </w:rPr>
              <w:t>Beneft for</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Calibri" w:cs="Calibri" w:eastAsia="Calibri" w:hAnsi="Calibri"/>
                <w:sz w:val="14"/>
                <w:szCs w:val="14"/>
                <w:b w:val="1"/>
                <w:bCs w:val="1"/>
                <w:color w:val="auto"/>
              </w:rPr>
              <w:t>Beneft for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4440" w:type="dxa"/>
            <w:vAlign w:val="bottom"/>
          </w:tcPr>
          <w:p>
            <w:pPr>
              <w:spacing w:after="0"/>
              <w:rPr>
                <w:sz w:val="16"/>
                <w:szCs w:val="16"/>
                <w:color w:val="auto"/>
              </w:rPr>
            </w:pPr>
          </w:p>
        </w:tc>
        <w:tc>
          <w:tcPr>
            <w:tcW w:w="1240" w:type="dxa"/>
            <w:vAlign w:val="bottom"/>
            <w:gridSpan w:val="4"/>
          </w:tcPr>
          <w:p>
            <w:pPr>
              <w:jc w:val="center"/>
              <w:ind w:right="260"/>
              <w:spacing w:after="0"/>
              <w:rPr>
                <w:sz w:val="20"/>
                <w:szCs w:val="20"/>
                <w:color w:val="auto"/>
              </w:rPr>
            </w:pPr>
            <w:r>
              <w:rPr>
                <w:rFonts w:ascii="Calibri" w:cs="Calibri" w:eastAsia="Calibri" w:hAnsi="Calibri"/>
                <w:sz w:val="14"/>
                <w:szCs w:val="14"/>
                <w:b w:val="1"/>
                <w:bCs w:val="1"/>
                <w:color w:val="auto"/>
              </w:rPr>
              <w:t>Income Taxes</w:t>
            </w:r>
          </w:p>
        </w:tc>
        <w:tc>
          <w:tcPr>
            <w:tcW w:w="1200" w:type="dxa"/>
            <w:vAlign w:val="bottom"/>
            <w:gridSpan w:val="2"/>
          </w:tcPr>
          <w:p>
            <w:pPr>
              <w:jc w:val="right"/>
              <w:ind w:right="660"/>
              <w:spacing w:after="0"/>
              <w:rPr>
                <w:sz w:val="20"/>
                <w:szCs w:val="20"/>
                <w:color w:val="auto"/>
              </w:rPr>
            </w:pPr>
            <w:r>
              <w:rPr>
                <w:rFonts w:ascii="Calibri" w:cs="Calibri" w:eastAsia="Calibri" w:hAnsi="Calibri"/>
                <w:sz w:val="14"/>
                <w:szCs w:val="14"/>
                <w:b w:val="1"/>
                <w:bCs w:val="1"/>
                <w:color w:val="auto"/>
              </w:rPr>
              <w:t>Rate</w:t>
            </w:r>
          </w:p>
        </w:tc>
        <w:tc>
          <w:tcPr>
            <w:tcW w:w="1380" w:type="dxa"/>
            <w:vAlign w:val="bottom"/>
            <w:gridSpan w:val="4"/>
          </w:tcPr>
          <w:p>
            <w:pPr>
              <w:jc w:val="center"/>
              <w:ind w:right="380"/>
              <w:spacing w:after="0"/>
              <w:rPr>
                <w:sz w:val="20"/>
                <w:szCs w:val="20"/>
                <w:color w:val="auto"/>
              </w:rPr>
            </w:pPr>
            <w:r>
              <w:rPr>
                <w:rFonts w:ascii="Calibri" w:cs="Calibri" w:eastAsia="Calibri" w:hAnsi="Calibri"/>
                <w:sz w:val="14"/>
                <w:szCs w:val="14"/>
                <w:b w:val="1"/>
                <w:bCs w:val="1"/>
                <w:color w:val="auto"/>
              </w:rPr>
              <w:t>Income Taxes</w:t>
            </w:r>
          </w:p>
        </w:tc>
        <w:tc>
          <w:tcPr>
            <w:tcW w:w="940" w:type="dxa"/>
            <w:vAlign w:val="bottom"/>
            <w:gridSpan w:val="2"/>
          </w:tcPr>
          <w:p>
            <w:pPr>
              <w:jc w:val="right"/>
              <w:ind w:right="520"/>
              <w:spacing w:after="0"/>
              <w:rPr>
                <w:sz w:val="20"/>
                <w:szCs w:val="20"/>
                <w:color w:val="auto"/>
              </w:rPr>
            </w:pPr>
            <w:r>
              <w:rPr>
                <w:rFonts w:ascii="Calibri" w:cs="Calibri" w:eastAsia="Calibri" w:hAnsi="Calibri"/>
                <w:sz w:val="14"/>
                <w:szCs w:val="14"/>
                <w:b w:val="1"/>
                <w:bCs w:val="1"/>
                <w:color w:val="auto"/>
              </w:rPr>
              <w:t>Rate</w:t>
            </w:r>
          </w:p>
        </w:tc>
      </w:tr>
      <w:tr>
        <w:trPr>
          <w:trHeight w:val="155"/>
        </w:trPr>
        <w:tc>
          <w:tcPr>
            <w:tcW w:w="4440" w:type="dxa"/>
            <w:vAlign w:val="bottom"/>
          </w:tcPr>
          <w:p>
            <w:pPr>
              <w:ind w:left="20"/>
              <w:spacing w:after="0" w:line="156" w:lineRule="exact"/>
              <w:rPr>
                <w:sz w:val="20"/>
                <w:szCs w:val="20"/>
                <w:color w:val="auto"/>
              </w:rPr>
            </w:pPr>
            <w:r>
              <w:rPr>
                <w:rFonts w:ascii="Calibri" w:cs="Calibri" w:eastAsia="Calibri" w:hAnsi="Calibri"/>
                <w:sz w:val="14"/>
                <w:szCs w:val="14"/>
                <w:b w:val="1"/>
                <w:bCs w:val="1"/>
                <w:color w:val="auto"/>
              </w:rPr>
              <w:t>Dollars in millions</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4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Efectve tax rate</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(41 )</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28 %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(34 )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36 %</w:t>
            </w:r>
          </w:p>
        </w:tc>
      </w:tr>
      <w:tr>
        <w:trPr>
          <w:trHeight w:val="216"/>
        </w:trPr>
        <w:tc>
          <w:tcPr>
            <w:tcW w:w="4440" w:type="dxa"/>
            <w:vAlign w:val="bottom"/>
          </w:tcPr>
          <w:p>
            <w:pPr>
              <w:ind w:left="20"/>
              <w:spacing w:after="0" w:line="216" w:lineRule="exact"/>
              <w:rPr>
                <w:sz w:val="20"/>
                <w:szCs w:val="20"/>
                <w:color w:val="auto"/>
              </w:rPr>
            </w:pPr>
            <w:r>
              <w:rPr>
                <w:rFonts w:ascii="Calibri" w:cs="Calibri" w:eastAsia="Calibri" w:hAnsi="Calibri"/>
                <w:sz w:val="17"/>
                <w:szCs w:val="17"/>
                <w:color w:val="auto"/>
              </w:rPr>
              <w:t>Less: Non-GAAP tax adjustments</w:t>
            </w:r>
            <w:r>
              <w:rPr>
                <w:rFonts w:ascii="Calibri" w:cs="Calibri" w:eastAsia="Calibri" w:hAnsi="Calibri"/>
                <w:sz w:val="23"/>
                <w:szCs w:val="23"/>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Operatng tax rate</w:t>
            </w:r>
          </w:p>
        </w:tc>
        <w:tc>
          <w:tcPr>
            <w:tcW w:w="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ind w:right="100"/>
              <w:spacing w:after="0" w:line="209" w:lineRule="exact"/>
              <w:rPr>
                <w:sz w:val="20"/>
                <w:szCs w:val="20"/>
                <w:color w:val="auto"/>
              </w:rPr>
            </w:pPr>
            <w:r>
              <w:rPr>
                <w:rFonts w:ascii="Calibri" w:cs="Calibri" w:eastAsia="Calibri" w:hAnsi="Calibri"/>
                <w:sz w:val="18"/>
                <w:szCs w:val="18"/>
                <w:color w:val="auto"/>
              </w:rPr>
              <w:t>(42 )</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28 %</w:t>
            </w:r>
          </w:p>
        </w:tc>
        <w:tc>
          <w:tcPr>
            <w:tcW w:w="1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060" w:type="dxa"/>
            <w:vAlign w:val="bottom"/>
            <w:gridSpan w:val="2"/>
            <w:shd w:val="clear" w:color="auto" w:fill="CFF0FC"/>
          </w:tcPr>
          <w:p>
            <w:pPr>
              <w:jc w:val="right"/>
              <w:ind w:right="100"/>
              <w:spacing w:after="0" w:line="209" w:lineRule="exact"/>
              <w:rPr>
                <w:sz w:val="20"/>
                <w:szCs w:val="20"/>
                <w:color w:val="auto"/>
              </w:rPr>
            </w:pPr>
            <w:r>
              <w:rPr>
                <w:rFonts w:ascii="Calibri" w:cs="Calibri" w:eastAsia="Calibri" w:hAnsi="Calibri"/>
                <w:sz w:val="18"/>
                <w:szCs w:val="18"/>
                <w:color w:val="auto"/>
              </w:rPr>
              <w:t>(38 )</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28 %</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102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6" w:lineRule="exact"/>
        <w:rPr>
          <w:sz w:val="20"/>
          <w:szCs w:val="20"/>
          <w:color w:val="auto"/>
        </w:rPr>
      </w:pPr>
    </w:p>
    <w:p>
      <w:pPr>
        <w:ind w:left="1540" w:right="180" w:hanging="520"/>
        <w:spacing w:after="0" w:line="211" w:lineRule="auto"/>
        <w:tabs>
          <w:tab w:leader="none" w:pos="1540" w:val="left"/>
        </w:tabs>
        <w:numPr>
          <w:ilvl w:val="0"/>
          <w:numId w:val="12"/>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discrete tax items, and, on a quarterly basis, the tming of losses in certain jurisdictons, as further described above under the heading “Defniton of Terms and Non-GAAP Financial Measures”.</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For the three months ended December 31, 2024, the (Provision) beneft for income taxes was a provision of $41 million compared to a $34 million provision for the same period in fscal 2024, with the change primarily due to higher earnings in the current period. Our income taxes are afected by the mix of earnings in the tax jurisdictons in which we operate, and by the presence of valuaton allowances in certain tax jurisdictons.</w:t>
      </w:r>
    </w:p>
    <w:p>
      <w:pPr>
        <w:spacing w:after="0" w:line="84" w:lineRule="exact"/>
        <w:rPr>
          <w:sz w:val="20"/>
          <w:szCs w:val="20"/>
          <w:color w:val="auto"/>
        </w:rPr>
      </w:pPr>
    </w:p>
    <w:p>
      <w:pPr>
        <w:ind w:right="200" w:firstLine="509"/>
        <w:spacing w:after="0" w:line="252" w:lineRule="auto"/>
        <w:rPr>
          <w:sz w:val="20"/>
          <w:szCs w:val="20"/>
          <w:color w:val="auto"/>
        </w:rPr>
      </w:pPr>
      <w:r>
        <w:rPr>
          <w:rFonts w:ascii="Calibri" w:cs="Calibri" w:eastAsia="Calibri" w:hAnsi="Calibri"/>
          <w:sz w:val="17"/>
          <w:szCs w:val="17"/>
          <w:color w:val="auto"/>
        </w:rPr>
        <w:t>For fscal 2025, we expect the Operatng tax rate to be in the range of 27% to 29%.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69"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Net Income (Loss) Atributable to Noncontrolling Interests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88"/>
              <w:spacing w:after="0"/>
              <w:rPr>
                <w:sz w:val="20"/>
                <w:szCs w:val="20"/>
                <w:color w:val="auto"/>
              </w:rPr>
            </w:pPr>
            <w:r>
              <w:rPr>
                <w:rFonts w:ascii="Calibri" w:cs="Calibri" w:eastAsia="Calibri" w:hAnsi="Calibri"/>
                <w:sz w:val="14"/>
                <w:szCs w:val="14"/>
                <w:b w:val="1"/>
                <w:bCs w:val="1"/>
                <w:color w:val="auto"/>
              </w:rPr>
              <w:t>Three Months Ended December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3"/>
        </w:trPr>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1420" w:type="dxa"/>
            <w:vAlign w:val="bottom"/>
            <w:gridSpan w:val="2"/>
          </w:tcPr>
          <w:p>
            <w:pPr>
              <w:jc w:val="right"/>
              <w:ind w:right="868"/>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700" w:type="dxa"/>
            <w:vAlign w:val="bottom"/>
            <w:shd w:val="clear" w:color="auto" w:fill="CFF0FC"/>
          </w:tcPr>
          <w:p>
            <w:pPr>
              <w:spacing w:after="0" w:line="196" w:lineRule="exact"/>
              <w:rPr>
                <w:sz w:val="20"/>
                <w:szCs w:val="20"/>
                <w:color w:val="auto"/>
              </w:rPr>
            </w:pPr>
            <w:r>
              <w:rPr>
                <w:rFonts w:ascii="Calibri" w:cs="Calibri" w:eastAsia="Calibri" w:hAnsi="Calibri"/>
                <w:sz w:val="18"/>
                <w:szCs w:val="18"/>
                <w:color w:val="auto"/>
              </w:rPr>
              <w:t>Equity in earnings of afliated companies,</w:t>
            </w:r>
          </w:p>
        </w:tc>
        <w:tc>
          <w:tcPr>
            <w:tcW w:w="17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2900" w:type="dxa"/>
            <w:vAlign w:val="bottom"/>
            <w:tcBorders>
              <w:bottom w:val="single" w:sz="8" w:color="CFF0FC"/>
            </w:tcBorders>
            <w:gridSpan w:val="2"/>
            <w:shd w:val="clear" w:color="auto" w:fill="CFF0FC"/>
          </w:tcPr>
          <w:p>
            <w:pPr>
              <w:jc w:val="right"/>
              <w:ind w:right="96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420" w:type="dxa"/>
            <w:vAlign w:val="bottom"/>
            <w:tcBorders>
              <w:bottom w:val="single" w:sz="8" w:color="CFF0FC"/>
            </w:tcBorders>
            <w:gridSpan w:val="2"/>
            <w:shd w:val="clear" w:color="auto" w:fill="CFF0FC"/>
          </w:tcPr>
          <w:p>
            <w:pPr>
              <w:jc w:val="right"/>
              <w:ind w:right="98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3700" w:type="dxa"/>
            <w:vAlign w:val="bottom"/>
          </w:tcPr>
          <w:p>
            <w:pPr>
              <w:spacing w:after="0" w:line="194" w:lineRule="exact"/>
              <w:rPr>
                <w:sz w:val="20"/>
                <w:szCs w:val="20"/>
                <w:color w:val="auto"/>
              </w:rPr>
            </w:pPr>
            <w:r>
              <w:rPr>
                <w:rFonts w:ascii="Calibri" w:cs="Calibri" w:eastAsia="Calibri" w:hAnsi="Calibri"/>
                <w:sz w:val="18"/>
                <w:szCs w:val="18"/>
                <w:color w:val="auto"/>
              </w:rPr>
              <w:t>Net income (loss) atributable to</w:t>
            </w:r>
          </w:p>
        </w:tc>
        <w:tc>
          <w:tcPr>
            <w:tcW w:w="1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70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 net of tax</w:t>
            </w:r>
          </w:p>
        </w:tc>
        <w:tc>
          <w:tcPr>
            <w:tcW w:w="2900" w:type="dxa"/>
            <w:vAlign w:val="bottom"/>
            <w:gridSpan w:val="2"/>
          </w:tcPr>
          <w:p>
            <w:pPr>
              <w:jc w:val="right"/>
              <w:ind w:right="96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420" w:type="dxa"/>
            <w:vAlign w:val="bottom"/>
            <w:gridSpan w:val="2"/>
          </w:tcPr>
          <w:p>
            <w:pPr>
              <w:jc w:val="right"/>
              <w:ind w:right="98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3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ind w:left="520"/>
        <w:spacing w:after="0"/>
        <w:rPr>
          <w:sz w:val="20"/>
          <w:szCs w:val="20"/>
          <w:color w:val="auto"/>
        </w:rPr>
      </w:pPr>
      <w:r>
        <w:rPr>
          <w:rFonts w:ascii="Calibri" w:cs="Calibri" w:eastAsia="Calibri" w:hAnsi="Calibri"/>
          <w:sz w:val="18"/>
          <w:szCs w:val="18"/>
          <w:color w:val="auto"/>
        </w:rPr>
        <w:t>Equity in earnings of afliated companies, net of tax, remained fat in the frst quarter of fscal 2025, compared to the same period of fscal 2024.</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remained fat in the frst quarter of fscal 2025, compared to the same period of fscal 2024.</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Income Atributable to Cabot Corporaton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frst quarter of fscal 2025 and fscal 2024, we reported Net income (loss) atributable to Cabot Corporaton of $93 million ($1.67 per diluted common share) and $50 million ($0.88 per diluton common share), respectvely. The higher net income in the frst quarter of fscal 2025 compared with the same period in fscal 2024 is primarily due to lower Argentna controlled currency devaluaton and other losses ($33 million) and higher Total segment EBIT ($12 million).</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First quarter of Fiscal 2025 versus First quarter of Fiscal 2024—By Business Segment</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Income (loss) before income taxes and equity in earnings of afliated companies, Certain items, Other unallocated items and Total segment EBIT for the three months ended December 31, 2024 and 2023 are included in the following table, and details of each item is set forth in the sectons below.</w:t>
      </w:r>
    </w:p>
    <w:p>
      <w:pPr>
        <w:spacing w:after="0" w:line="11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76"/>
              <w:spacing w:after="0"/>
              <w:rPr>
                <w:sz w:val="20"/>
                <w:szCs w:val="20"/>
                <w:color w:val="auto"/>
              </w:rPr>
            </w:pPr>
            <w:r>
              <w:rPr>
                <w:rFonts w:ascii="Calibri" w:cs="Calibri" w:eastAsia="Calibri" w:hAnsi="Calibri"/>
                <w:sz w:val="14"/>
                <w:szCs w:val="14"/>
                <w:b w:val="1"/>
                <w:bCs w:val="1"/>
                <w:color w:val="auto"/>
              </w:rPr>
              <w:t>Three Months Ended December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5680" w:type="dxa"/>
            <w:vAlign w:val="bottom"/>
          </w:tcPr>
          <w:p>
            <w:pPr>
              <w:spacing w:after="0"/>
              <w:rPr>
                <w:sz w:val="15"/>
                <w:szCs w:val="15"/>
                <w:color w:val="auto"/>
              </w:rPr>
            </w:pPr>
          </w:p>
        </w:tc>
        <w:tc>
          <w:tcPr>
            <w:tcW w:w="1160" w:type="dxa"/>
            <w:vAlign w:val="bottom"/>
            <w:tcBorders>
              <w:bottom w:val="single" w:sz="8" w:color="auto"/>
            </w:tcBorders>
          </w:tcPr>
          <w:p>
            <w:pPr>
              <w:jc w:val="right"/>
              <w:ind w:right="99"/>
              <w:spacing w:after="0"/>
              <w:rPr>
                <w:sz w:val="20"/>
                <w:szCs w:val="20"/>
                <w:color w:val="auto"/>
              </w:rPr>
            </w:pPr>
            <w:r>
              <w:rPr>
                <w:rFonts w:ascii="Calibri" w:cs="Calibri" w:eastAsia="Calibri" w:hAnsi="Calibri"/>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right"/>
              <w:ind w:right="116"/>
              <w:spacing w:after="0"/>
              <w:rPr>
                <w:sz w:val="20"/>
                <w:szCs w:val="20"/>
                <w:color w:val="auto"/>
              </w:rPr>
            </w:pPr>
            <w:r>
              <w:rPr>
                <w:rFonts w:ascii="Calibri" w:cs="Calibri" w:eastAsia="Calibri" w:hAnsi="Calibri"/>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1420" w:type="dxa"/>
            <w:vAlign w:val="bottom"/>
            <w:gridSpan w:val="2"/>
          </w:tcPr>
          <w:p>
            <w:pPr>
              <w:jc w:val="right"/>
              <w:ind w:right="856"/>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568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Income (loss) before income taxes and</w:t>
            </w:r>
          </w:p>
        </w:tc>
        <w:tc>
          <w:tcPr>
            <w:tcW w:w="1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8"/>
        </w:trPr>
        <w:tc>
          <w:tcPr>
            <w:tcW w:w="568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1160" w:type="dxa"/>
            <w:vAlign w:val="bottom"/>
            <w:tcBorders>
              <w:bottom w:val="single" w:sz="8" w:color="CFF0FC"/>
            </w:tcBorders>
            <w:shd w:val="clear" w:color="auto" w:fill="CFF0FC"/>
          </w:tcPr>
          <w:p>
            <w:pPr>
              <w:jc w:val="right"/>
              <w:ind w:right="959"/>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144</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97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5"/>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Less: Certain items</w:t>
            </w:r>
          </w:p>
        </w:tc>
        <w:tc>
          <w:tcPr>
            <w:tcW w:w="1160" w:type="dxa"/>
            <w:vAlign w:val="bottom"/>
          </w:tcPr>
          <w:p>
            <w:pPr>
              <w:spacing w:after="0"/>
              <w:rPr>
                <w:sz w:val="18"/>
                <w:szCs w:val="18"/>
                <w:color w:val="auto"/>
              </w:rPr>
            </w:pPr>
          </w:p>
        </w:tc>
        <w:tc>
          <w:tcPr>
            <w:tcW w:w="76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(6 )</w:t>
            </w:r>
          </w:p>
        </w:tc>
        <w:tc>
          <w:tcPr>
            <w:tcW w:w="1160" w:type="dxa"/>
            <w:vAlign w:val="bottom"/>
          </w:tcPr>
          <w:p>
            <w:pPr>
              <w:spacing w:after="0"/>
              <w:rPr>
                <w:sz w:val="18"/>
                <w:szCs w:val="18"/>
                <w:color w:val="auto"/>
              </w:rPr>
            </w:pPr>
          </w:p>
        </w:tc>
        <w:tc>
          <w:tcPr>
            <w:tcW w:w="5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(42 )</w:t>
            </w:r>
          </w:p>
        </w:tc>
      </w:tr>
      <w:tr>
        <w:trPr>
          <w:trHeight w:val="216"/>
        </w:trPr>
        <w:tc>
          <w:tcPr>
            <w:tcW w:w="5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Other unallocated items</w:t>
            </w:r>
          </w:p>
        </w:tc>
        <w:tc>
          <w:tcPr>
            <w:tcW w:w="1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8"/>
              <w:spacing w:after="0" w:line="216" w:lineRule="exact"/>
              <w:rPr>
                <w:sz w:val="20"/>
                <w:szCs w:val="20"/>
                <w:color w:val="auto"/>
              </w:rPr>
            </w:pPr>
            <w:r>
              <w:rPr>
                <w:rFonts w:ascii="Calibri" w:cs="Calibri" w:eastAsia="Calibri" w:hAnsi="Calibri"/>
                <w:sz w:val="18"/>
                <w:szCs w:val="18"/>
                <w:color w:val="auto"/>
              </w:rPr>
              <w:t>(25 )</w:t>
            </w:r>
          </w:p>
        </w:tc>
        <w:tc>
          <w:tcPr>
            <w:tcW w:w="1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(27 )</w:t>
            </w:r>
          </w:p>
        </w:tc>
      </w:tr>
      <w:tr>
        <w:trPr>
          <w:trHeight w:val="210"/>
        </w:trPr>
        <w:tc>
          <w:tcPr>
            <w:tcW w:w="568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color w:val="auto"/>
              </w:rPr>
              <w:t>Total segment EBIT</w:t>
            </w:r>
          </w:p>
        </w:tc>
        <w:tc>
          <w:tcPr>
            <w:tcW w:w="1160" w:type="dxa"/>
            <w:vAlign w:val="bottom"/>
            <w:tcBorders>
              <w:top w:val="single" w:sz="8" w:color="auto"/>
              <w:bottom w:val="single" w:sz="8" w:color="auto"/>
            </w:tcBorders>
          </w:tcPr>
          <w:p>
            <w:pPr>
              <w:jc w:val="right"/>
              <w:ind w:right="959"/>
              <w:spacing w:after="0" w:line="210" w:lineRule="exact"/>
              <w:rPr>
                <w:sz w:val="20"/>
                <w:szCs w:val="20"/>
                <w:color w:val="auto"/>
              </w:rPr>
            </w:pPr>
            <w:r>
              <w:rPr>
                <w:rFonts w:ascii="Calibri" w:cs="Calibri" w:eastAsia="Calibri" w:hAnsi="Calibri"/>
                <w:sz w:val="18"/>
                <w:szCs w:val="18"/>
                <w:color w:val="auto"/>
              </w:rPr>
              <w:t>$</w:t>
            </w:r>
          </w:p>
        </w:tc>
        <w:tc>
          <w:tcPr>
            <w:tcW w:w="5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175</w:t>
            </w:r>
          </w:p>
        </w:tc>
        <w:tc>
          <w:tcPr>
            <w:tcW w:w="26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76"/>
              <w:spacing w:after="0" w:line="210" w:lineRule="exact"/>
              <w:rPr>
                <w:sz w:val="20"/>
                <w:szCs w:val="20"/>
                <w:color w:val="auto"/>
              </w:rPr>
            </w:pPr>
            <w:r>
              <w:rPr>
                <w:rFonts w:ascii="Calibri" w:cs="Calibri" w:eastAsia="Calibri" w:hAnsi="Calibri"/>
                <w:sz w:val="18"/>
                <w:szCs w:val="18"/>
                <w:color w:val="auto"/>
                <w:w w:val="87"/>
              </w:rPr>
              <w:t>$</w:t>
            </w:r>
          </w:p>
        </w:tc>
        <w:tc>
          <w:tcPr>
            <w:tcW w:w="4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163</w:t>
            </w:r>
          </w:p>
        </w:tc>
        <w:tc>
          <w:tcPr>
            <w:tcW w:w="80" w:type="dxa"/>
            <w:vAlign w:val="bottom"/>
            <w:tcBorders>
              <w:top w:val="single" w:sz="8" w:color="CFF0FC"/>
            </w:tcBorders>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the three months ended December 31, 2024 and 2023 are as follows: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60" w:type="dxa"/>
            <w:vAlign w:val="bottom"/>
            <w:gridSpan w:val="10"/>
          </w:tcPr>
          <w:p>
            <w:pPr>
              <w:jc w:val="right"/>
              <w:ind w:right="1100"/>
              <w:spacing w:after="0"/>
              <w:rPr>
                <w:sz w:val="20"/>
                <w:szCs w:val="20"/>
                <w:color w:val="auto"/>
              </w:rPr>
            </w:pPr>
            <w:r>
              <w:rPr>
                <w:rFonts w:ascii="Calibri" w:cs="Calibri" w:eastAsia="Calibri" w:hAnsi="Calibri"/>
                <w:sz w:val="14"/>
                <w:szCs w:val="14"/>
                <w:b w:val="1"/>
                <w:bCs w:val="1"/>
                <w:color w:val="auto"/>
              </w:rPr>
              <w:t>Three Months Ended December 31</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gridSpan w:val="2"/>
          </w:tcPr>
          <w:p>
            <w:pPr>
              <w:jc w:val="right"/>
              <w:ind w:right="60"/>
              <w:spacing w:after="0"/>
              <w:rPr>
                <w:sz w:val="20"/>
                <w:szCs w:val="20"/>
                <w:color w:val="auto"/>
              </w:rPr>
            </w:pPr>
            <w:r>
              <w:rPr>
                <w:rFonts w:ascii="Calibri" w:cs="Calibri" w:eastAsia="Calibri" w:hAnsi="Calibri"/>
                <w:sz w:val="14"/>
                <w:szCs w:val="14"/>
                <w:b w:val="1"/>
                <w:bCs w:val="1"/>
                <w:color w:val="auto"/>
              </w:rPr>
              <w:t>2023</w:t>
            </w:r>
          </w:p>
        </w:tc>
        <w:tc>
          <w:tcPr>
            <w:tcW w:w="7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900" w:type="dxa"/>
            <w:vAlign w:val="bottom"/>
            <w:gridSpan w:val="2"/>
          </w:tcPr>
          <w:p>
            <w:pPr>
              <w:jc w:val="right"/>
              <w:ind w:right="316"/>
              <w:spacing w:after="0" w:line="169" w:lineRule="exact"/>
              <w:rPr>
                <w:sz w:val="20"/>
                <w:szCs w:val="20"/>
                <w:color w:val="auto"/>
              </w:rPr>
            </w:pPr>
            <w:r>
              <w:rPr>
                <w:rFonts w:ascii="Calibri" w:cs="Calibri" w:eastAsia="Calibri" w:hAnsi="Calibri"/>
                <w:sz w:val="14"/>
                <w:szCs w:val="14"/>
                <w:b w:val="1"/>
                <w:bCs w:val="1"/>
                <w:color w:val="auto"/>
                <w:w w:val="95"/>
              </w:rPr>
              <w:t>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FF0FC"/>
          </w:tcPr>
          <w:p>
            <w:pPr>
              <w:ind w:left="100"/>
              <w:spacing w:after="0" w:line="217" w:lineRule="exact"/>
              <w:rPr>
                <w:sz w:val="20"/>
                <w:szCs w:val="20"/>
                <w:color w:val="auto"/>
              </w:rPr>
            </w:pPr>
            <w:r>
              <w:rPr>
                <w:rFonts w:ascii="Calibri" w:cs="Calibri" w:eastAsia="Calibri" w:hAnsi="Calibri"/>
                <w:sz w:val="18"/>
                <w:szCs w:val="18"/>
                <w:color w:val="auto"/>
              </w:rPr>
              <w:t>Legal and environmental maters and reserve</w:t>
            </w:r>
          </w:p>
        </w:tc>
        <w:tc>
          <w:tcPr>
            <w:tcW w:w="1300" w:type="dxa"/>
            <w:vAlign w:val="bottom"/>
            <w:gridSpan w:val="2"/>
            <w:shd w:val="clear" w:color="auto" w:fill="CFF0FC"/>
          </w:tcPr>
          <w:p>
            <w:pPr>
              <w:jc w:val="right"/>
              <w:ind w:right="924"/>
              <w:spacing w:after="0" w:line="217"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8"/>
              <w:spacing w:after="0" w:line="217" w:lineRule="exact"/>
              <w:rPr>
                <w:sz w:val="20"/>
                <w:szCs w:val="20"/>
                <w:color w:val="auto"/>
              </w:rPr>
            </w:pPr>
            <w:r>
              <w:rPr>
                <w:rFonts w:ascii="Calibri" w:cs="Calibri" w:eastAsia="Calibri" w:hAnsi="Calibri"/>
                <w:sz w:val="18"/>
                <w:szCs w:val="18"/>
                <w:color w:val="auto"/>
              </w:rPr>
              <w:t>(5 )</w:t>
            </w:r>
          </w:p>
        </w:tc>
        <w:tc>
          <w:tcPr>
            <w:tcW w:w="600" w:type="dxa"/>
            <w:vAlign w:val="bottom"/>
            <w:shd w:val="clear" w:color="auto" w:fill="CFF0FC"/>
          </w:tcPr>
          <w:p>
            <w:pPr>
              <w:jc w:val="right"/>
              <w:ind w:right="396"/>
              <w:spacing w:after="0" w:line="217"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line="217"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3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and other losses (Note 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248"/>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spacing w:after="0"/>
              <w:rPr>
                <w:sz w:val="18"/>
                <w:szCs w:val="18"/>
                <w:color w:val="auto"/>
              </w:rPr>
            </w:pPr>
          </w:p>
        </w:tc>
        <w:tc>
          <w:tcPr>
            <w:tcW w:w="1380" w:type="dxa"/>
            <w:vAlign w:val="bottom"/>
            <w:gridSpan w:val="4"/>
          </w:tcPr>
          <w:p>
            <w:pPr>
              <w:jc w:val="right"/>
              <w:ind w:right="20"/>
              <w:spacing w:after="0" w:line="215" w:lineRule="exact"/>
              <w:rPr>
                <w:sz w:val="20"/>
                <w:szCs w:val="20"/>
                <w:color w:val="auto"/>
              </w:rPr>
            </w:pPr>
            <w:r>
              <w:rPr>
                <w:rFonts w:ascii="Calibri" w:cs="Calibri" w:eastAsia="Calibri" w:hAnsi="Calibri"/>
                <w:sz w:val="18"/>
                <w:szCs w:val="18"/>
                <w:color w:val="auto"/>
              </w:rPr>
              <w:t>(33 )</w:t>
            </w:r>
          </w:p>
        </w:tc>
        <w:tc>
          <w:tcPr>
            <w:tcW w:w="0" w:type="dxa"/>
            <w:vAlign w:val="bottom"/>
          </w:tcPr>
          <w:p>
            <w:pPr>
              <w:spacing w:after="0"/>
              <w:rPr>
                <w:sz w:val="1"/>
                <w:szCs w:val="1"/>
                <w:color w:val="auto"/>
              </w:rPr>
            </w:pPr>
          </w:p>
        </w:tc>
      </w:tr>
      <w:tr>
        <w:trPr>
          <w:trHeight w:val="217"/>
        </w:trPr>
        <w:tc>
          <w:tcPr>
            <w:tcW w:w="6300" w:type="dxa"/>
            <w:vAlign w:val="bottom"/>
            <w:gridSpan w:val="2"/>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Global restructuring actvites</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48"/>
              <w:spacing w:after="0" w:line="216"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15"/>
        </w:trPr>
        <w:tc>
          <w:tcPr>
            <w:tcW w:w="63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Other certain items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(1 )</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gridSpan w:val="2"/>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 certain items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24"/>
              <w:spacing w:after="0" w:line="210"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48"/>
              <w:spacing w:after="0" w:line="210" w:lineRule="exact"/>
              <w:rPr>
                <w:sz w:val="20"/>
                <w:szCs w:val="20"/>
                <w:color w:val="auto"/>
              </w:rPr>
            </w:pPr>
            <w:r>
              <w:rPr>
                <w:rFonts w:ascii="Calibri" w:cs="Calibri" w:eastAsia="Calibri" w:hAnsi="Calibri"/>
                <w:sz w:val="18"/>
                <w:szCs w:val="18"/>
                <w:color w:val="auto"/>
              </w:rPr>
              <w:t>(6 )</w:t>
            </w:r>
          </w:p>
        </w:tc>
        <w:tc>
          <w:tcPr>
            <w:tcW w:w="600" w:type="dxa"/>
            <w:vAlign w:val="bottom"/>
            <w:shd w:val="clear" w:color="auto" w:fill="CFF0FC"/>
          </w:tcPr>
          <w:p>
            <w:pPr>
              <w:jc w:val="right"/>
              <w:ind w:right="396"/>
              <w:spacing w:after="0" w:line="210" w:lineRule="exact"/>
              <w:rPr>
                <w:sz w:val="20"/>
                <w:szCs w:val="20"/>
                <w:color w:val="auto"/>
              </w:rPr>
            </w:pPr>
            <w:r>
              <w:rPr>
                <w:rFonts w:ascii="Calibri" w:cs="Calibri" w:eastAsia="Calibri" w:hAnsi="Calibri"/>
                <w:sz w:val="18"/>
                <w:szCs w:val="18"/>
                <w:color w:val="auto"/>
              </w:rPr>
              <w:t>$</w:t>
            </w:r>
          </w:p>
        </w:tc>
        <w:tc>
          <w:tcPr>
            <w:tcW w:w="1380" w:type="dxa"/>
            <w:vAlign w:val="bottom"/>
            <w:gridSpan w:val="4"/>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(42 )</w:t>
            </w:r>
          </w:p>
        </w:tc>
        <w:tc>
          <w:tcPr>
            <w:tcW w:w="0" w:type="dxa"/>
            <w:vAlign w:val="bottom"/>
          </w:tcPr>
          <w:p>
            <w:pPr>
              <w:spacing w:after="0"/>
              <w:rPr>
                <w:sz w:val="1"/>
                <w:szCs w:val="1"/>
                <w:color w:val="auto"/>
              </w:rPr>
            </w:pPr>
          </w:p>
        </w:tc>
      </w:tr>
      <w:tr>
        <w:trPr>
          <w:trHeight w:val="254"/>
        </w:trPr>
        <w:tc>
          <w:tcPr>
            <w:tcW w:w="6300" w:type="dxa"/>
            <w:vAlign w:val="bottom"/>
            <w:tcBorders>
              <w:top w:val="single" w:sz="8" w:color="CFF0FC"/>
            </w:tcBorders>
            <w:gridSpan w:val="2"/>
          </w:tcPr>
          <w:p>
            <w:pPr>
              <w:ind w:left="180"/>
              <w:spacing w:after="0"/>
              <w:rPr>
                <w:sz w:val="20"/>
                <w:szCs w:val="20"/>
                <w:color w:val="auto"/>
              </w:rPr>
            </w:pPr>
            <w:r>
              <w:rPr>
                <w:rFonts w:ascii="Calibri" w:cs="Calibri" w:eastAsia="Calibri" w:hAnsi="Calibri"/>
                <w:sz w:val="18"/>
                <w:szCs w:val="18"/>
                <w:i w:val="1"/>
                <w:iCs w:val="1"/>
                <w:color w:val="auto"/>
              </w:rPr>
              <w:t>Other Unallocated Items</w:t>
            </w:r>
          </w:p>
        </w:tc>
        <w:tc>
          <w:tcPr>
            <w:tcW w:w="200" w:type="dxa"/>
            <w:vAlign w:val="bottom"/>
            <w:tcBorders>
              <w:top w:val="single" w:sz="8" w:color="CFF0FC"/>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00" w:type="dxa"/>
            <w:vAlign w:val="bottom"/>
            <w:tcBorders>
              <w:top w:val="single" w:sz="8" w:color="CFF0FC"/>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56"/>
              <w:spacing w:after="0"/>
              <w:rPr>
                <w:sz w:val="20"/>
                <w:szCs w:val="20"/>
                <w:color w:val="auto"/>
              </w:rPr>
            </w:pPr>
            <w:r>
              <w:rPr>
                <w:rFonts w:ascii="Calibri" w:cs="Calibri" w:eastAsia="Calibri" w:hAnsi="Calibri"/>
                <w:sz w:val="14"/>
                <w:szCs w:val="14"/>
                <w:b w:val="1"/>
                <w:bCs w:val="1"/>
                <w:color w:val="auto"/>
              </w:rPr>
              <w:t>Three Months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304"/>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Calibri" w:cs="Calibri" w:eastAsia="Calibri" w:hAnsi="Calibri"/>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800" w:type="dxa"/>
            <w:vAlign w:val="bottom"/>
            <w:gridSpan w:val="3"/>
          </w:tcPr>
          <w:p>
            <w:pPr>
              <w:jc w:val="right"/>
              <w:ind w:right="248"/>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0" w:type="dxa"/>
            <w:vAlign w:val="bottom"/>
          </w:tcPr>
          <w:p>
            <w:pPr>
              <w:spacing w:after="0"/>
              <w:rPr>
                <w:sz w:val="19"/>
                <w:szCs w:val="19"/>
                <w:color w:val="auto"/>
              </w:rPr>
            </w:pPr>
          </w:p>
        </w:tc>
        <w:tc>
          <w:tcPr>
            <w:tcW w:w="54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Interest expense</w:t>
            </w:r>
          </w:p>
        </w:tc>
        <w:tc>
          <w:tcPr>
            <w:tcW w:w="200" w:type="dxa"/>
            <w:vAlign w:val="bottom"/>
            <w:shd w:val="clear" w:color="auto" w:fill="CFF0FC"/>
          </w:tcPr>
          <w:p>
            <w:pPr>
              <w:jc w:val="right"/>
              <w:ind w:right="15"/>
              <w:spacing w:after="0" w:line="217"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8"/>
              <w:spacing w:after="0" w:line="217" w:lineRule="exact"/>
              <w:rPr>
                <w:sz w:val="20"/>
                <w:szCs w:val="20"/>
                <w:color w:val="auto"/>
              </w:rPr>
            </w:pPr>
            <w:r>
              <w:rPr>
                <w:rFonts w:ascii="Calibri" w:cs="Calibri" w:eastAsia="Calibri" w:hAnsi="Calibri"/>
                <w:sz w:val="18"/>
                <w:szCs w:val="18"/>
                <w:color w:val="auto"/>
              </w:rPr>
              <w:t>(18 )</w:t>
            </w:r>
          </w:p>
        </w:tc>
        <w:tc>
          <w:tcPr>
            <w:tcW w:w="240" w:type="dxa"/>
            <w:vAlign w:val="bottom"/>
            <w:shd w:val="clear" w:color="auto" w:fill="CFF0FC"/>
          </w:tcPr>
          <w:p>
            <w:pPr>
              <w:jc w:val="right"/>
              <w:ind w:right="52"/>
              <w:spacing w:after="0" w:line="217"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(22 )</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5460" w:type="dxa"/>
            <w:vAlign w:val="bottom"/>
          </w:tcPr>
          <w:p>
            <w:pPr>
              <w:spacing w:after="0" w:line="215" w:lineRule="exact"/>
              <w:rPr>
                <w:sz w:val="20"/>
                <w:szCs w:val="20"/>
                <w:color w:val="auto"/>
              </w:rPr>
            </w:pPr>
            <w:r>
              <w:rPr>
                <w:rFonts w:ascii="Calibri" w:cs="Calibri" w:eastAsia="Calibri" w:hAnsi="Calibri"/>
                <w:sz w:val="18"/>
                <w:szCs w:val="18"/>
                <w:color w:val="auto"/>
              </w:rPr>
              <w:t>Unallocated corporate costs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(13 )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(17 )</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546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General unallocated income (expense)</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80" w:type="dxa"/>
            <w:vAlign w:val="bottom"/>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5460" w:type="dxa"/>
            <w:vAlign w:val="bottom"/>
          </w:tcPr>
          <w:p>
            <w:pPr>
              <w:spacing w:after="0" w:line="194" w:lineRule="exact"/>
              <w:rPr>
                <w:sz w:val="20"/>
                <w:szCs w:val="20"/>
                <w:color w:val="auto"/>
              </w:rPr>
            </w:pPr>
            <w:r>
              <w:rPr>
                <w:rFonts w:ascii="Calibri" w:cs="Calibri" w:eastAsia="Calibri" w:hAnsi="Calibri"/>
                <w:sz w:val="18"/>
                <w:szCs w:val="18"/>
                <w:color w:val="auto"/>
              </w:rPr>
              <w:t>Less: Equity in earnings of afliated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5460" w:type="dxa"/>
            <w:vAlign w:val="bottom"/>
          </w:tcPr>
          <w:p>
            <w:pPr>
              <w:ind w:left="120"/>
              <w:spacing w:after="0" w:line="215" w:lineRule="exact"/>
              <w:rPr>
                <w:sz w:val="20"/>
                <w:szCs w:val="20"/>
                <w:color w:val="auto"/>
              </w:rPr>
            </w:pPr>
            <w:r>
              <w:rPr>
                <w:rFonts w:ascii="Calibri" w:cs="Calibri" w:eastAsia="Calibri" w:hAnsi="Calibri"/>
                <w:sz w:val="18"/>
                <w:szCs w:val="18"/>
                <w:color w:val="auto"/>
              </w:rPr>
              <w:t>companies, net of tax</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54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Total other unallocated items</w:t>
            </w:r>
          </w:p>
        </w:tc>
        <w:tc>
          <w:tcPr>
            <w:tcW w:w="200" w:type="dxa"/>
            <w:vAlign w:val="bottom"/>
            <w:shd w:val="clear" w:color="auto" w:fill="CFF0FC"/>
          </w:tcPr>
          <w:p>
            <w:pPr>
              <w:jc w:val="right"/>
              <w:ind w:right="15"/>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(25 )</w:t>
            </w:r>
          </w:p>
        </w:tc>
        <w:tc>
          <w:tcPr>
            <w:tcW w:w="240" w:type="dxa"/>
            <w:vAlign w:val="bottom"/>
            <w:shd w:val="clear" w:color="auto" w:fill="CFF0FC"/>
          </w:tcPr>
          <w:p>
            <w:pPr>
              <w:jc w:val="right"/>
              <w:ind w:right="52"/>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(27 )</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-1482090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-1464945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-1482090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-1464945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Total other unallocated items decreased by $2 million for the three months ended December 31, 2024, when compared to the same periods in fscal 2024, primarily due to lower Interest expense and lower Unallocated Corporate costs, partally ofset by lower General unallocated income.</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7" w:right="439" w:bottom="1440" w:gutter="0" w:footer="0" w:header="0"/>
        </w:sectPr>
      </w:pPr>
    </w:p>
    <w:bookmarkStart w:id="22" w:name="page23"/>
    <w:bookmarkEnd w:id="22"/>
    <w:p>
      <w:pPr>
        <w:ind w:right="120"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interest and dividend income, the proft or loss related to the corporate adjustment for unearned revenue and unrealized holding gains (losses) for investments. This does not include items of income or expense from the items that are separately treated as Certain items.</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the frst quarter of fscal 2025 and 2024 were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ind w:left="30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173"/>
        </w:trPr>
        <w:tc>
          <w:tcPr>
            <w:tcW w:w="54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81"/>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left="861"/>
              <w:spacing w:after="0" w:line="169"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220"/>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4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Reinforcement Materials Sales</w:t>
            </w:r>
          </w:p>
        </w:tc>
        <w:tc>
          <w:tcPr>
            <w:tcW w:w="360" w:type="dxa"/>
            <w:vAlign w:val="bottom"/>
            <w:shd w:val="clear" w:color="auto" w:fill="CFF0FC"/>
          </w:tcPr>
          <w:p>
            <w:pPr>
              <w:jc w:val="right"/>
              <w:ind w:right="170"/>
              <w:spacing w:after="0" w:line="217"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center"/>
              <w:ind w:left="841"/>
              <w:spacing w:after="0" w:line="217" w:lineRule="exact"/>
              <w:rPr>
                <w:sz w:val="20"/>
                <w:szCs w:val="20"/>
                <w:color w:val="auto"/>
              </w:rPr>
            </w:pPr>
            <w:r>
              <w:rPr>
                <w:rFonts w:ascii="Calibri" w:cs="Calibri" w:eastAsia="Calibri" w:hAnsi="Calibri"/>
                <w:sz w:val="18"/>
                <w:szCs w:val="18"/>
                <w:color w:val="auto"/>
                <w:w w:val="94"/>
              </w:rPr>
              <w:t>611</w:t>
            </w:r>
          </w:p>
        </w:tc>
        <w:tc>
          <w:tcPr>
            <w:tcW w:w="700" w:type="dxa"/>
            <w:vAlign w:val="bottom"/>
            <w:gridSpan w:val="2"/>
            <w:shd w:val="clear" w:color="auto" w:fill="CFF0FC"/>
          </w:tcPr>
          <w:p>
            <w:pPr>
              <w:jc w:val="right"/>
              <w:ind w:right="340"/>
              <w:spacing w:after="0" w:line="217"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641</w:t>
            </w:r>
          </w:p>
        </w:tc>
        <w:tc>
          <w:tcPr>
            <w:tcW w:w="8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center"/>
              <w:ind w:left="841"/>
              <w:spacing w:after="0" w:line="215" w:lineRule="exact"/>
              <w:rPr>
                <w:sz w:val="20"/>
                <w:szCs w:val="20"/>
                <w:color w:val="auto"/>
              </w:rPr>
            </w:pPr>
            <w:r>
              <w:rPr>
                <w:rFonts w:ascii="Calibri" w:cs="Calibri" w:eastAsia="Calibri" w:hAnsi="Calibri"/>
                <w:sz w:val="18"/>
                <w:szCs w:val="18"/>
                <w:color w:val="auto"/>
                <w:w w:val="94"/>
              </w:rPr>
              <w:t>130</w:t>
            </w:r>
          </w:p>
        </w:tc>
        <w:tc>
          <w:tcPr>
            <w:tcW w:w="7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129</w:t>
            </w:r>
          </w:p>
        </w:tc>
        <w:tc>
          <w:tcPr>
            <w:tcW w:w="80" w:type="dxa"/>
            <w:vAlign w:val="bottom"/>
          </w:tcPr>
          <w:p>
            <w:pPr>
              <w:spacing w:after="0"/>
              <w:rPr>
                <w:sz w:val="18"/>
                <w:szCs w:val="18"/>
                <w:color w:val="auto"/>
              </w:rPr>
            </w:pPr>
          </w:p>
        </w:tc>
      </w:tr>
    </w:tbl>
    <w:p>
      <w:pPr>
        <w:spacing w:after="0" w:line="12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Sales in Reinforcement Materials decreased by $30 million in the frst quarter of fscal 2025 compared to the same period of fscal 2024, primarily due to less favorable pricing and product mix ($28 million) and lower energy center revenue ($5 million), partally ofset by higher volumes primarily in Asia Pacifc and EMEA ($5 million). The less favorable pricing and product mix was primarily due to lower raw material costs that are generally passed through to our customers, partally ofset by higher pricing in our calendar year 2024 customer agreements.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EBIT in Reinforcement Materials in the frst quarter of fscal 2025 increased by $1 million compared to the same period of fscal 2024. The increase in EBIT was driven by volume growth of approximately 1% primarily in Asia Pacifc and EMEA ($2 million), partally ofset by lower gross proft per ton ($1 million). The lower gross proft per ton was primarily due to lower energy center revenue and a less favorable geographic mix, partally ofset with favorable pricing and product mix in our 2024 calendar year customer agreements.</w:t>
      </w:r>
    </w:p>
    <w:p>
      <w:pPr>
        <w:spacing w:after="0" w:line="300"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As we look to the second quarter of the fscal year, we expect the Reinforcement Materials segment EBIT to modestly improve sequentally from the frst quarter of fscal 2025 due to an antcipated favorable geographic mix. We antcipate relatvely fat volumes sequentally with seasonal improvement and calendar year 2025 customer agreement gains in EMEA, partally ofset with lower volumes in Asia Pacifc due to the Lunar New Year holiday.</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the frst quarter of fscal 2025 and 2024 were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ind w:left="300"/>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173"/>
        </w:trPr>
        <w:tc>
          <w:tcPr>
            <w:tcW w:w="54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81"/>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Calibri" w:cs="Calibri" w:eastAsia="Calibri" w:hAnsi="Calibri"/>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(In</w:t>
            </w:r>
          </w:p>
        </w:tc>
        <w:tc>
          <w:tcPr>
            <w:tcW w:w="700" w:type="dxa"/>
            <w:vAlign w:val="bottom"/>
            <w:gridSpan w:val="2"/>
          </w:tcPr>
          <w:p>
            <w:pPr>
              <w:jc w:val="right"/>
              <w:ind w:right="220"/>
              <w:spacing w:after="0" w:line="169" w:lineRule="exact"/>
              <w:rPr>
                <w:sz w:val="20"/>
                <w:szCs w:val="20"/>
                <w:color w:val="auto"/>
              </w:rPr>
            </w:pPr>
            <w:r>
              <w:rPr>
                <w:rFonts w:ascii="Calibri" w:cs="Calibri" w:eastAsia="Calibri" w:hAnsi="Calibri"/>
                <w:sz w:val="14"/>
                <w:szCs w:val="14"/>
                <w:b w:val="1"/>
                <w:bCs w:val="1"/>
                <w:color w:val="auto"/>
                <w:w w:val="91"/>
              </w:rPr>
              <w:t>millions)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4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Performance Chemicals Sales</w:t>
            </w:r>
          </w:p>
        </w:tc>
        <w:tc>
          <w:tcPr>
            <w:tcW w:w="360" w:type="dxa"/>
            <w:vAlign w:val="bottom"/>
            <w:shd w:val="clear" w:color="auto" w:fill="CFF0FC"/>
          </w:tcPr>
          <w:p>
            <w:pPr>
              <w:jc w:val="right"/>
              <w:ind w:right="170"/>
              <w:spacing w:after="0" w:line="217"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311</w:t>
            </w:r>
          </w:p>
        </w:tc>
        <w:tc>
          <w:tcPr>
            <w:tcW w:w="700" w:type="dxa"/>
            <w:vAlign w:val="bottom"/>
            <w:gridSpan w:val="2"/>
            <w:shd w:val="clear" w:color="auto" w:fill="CFF0FC"/>
          </w:tcPr>
          <w:p>
            <w:pPr>
              <w:jc w:val="right"/>
              <w:ind w:right="340"/>
              <w:spacing w:after="0" w:line="217"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285</w:t>
            </w:r>
          </w:p>
        </w:tc>
        <w:tc>
          <w:tcPr>
            <w:tcW w:w="8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line="215" w:lineRule="exact"/>
              <w:rPr>
                <w:sz w:val="20"/>
                <w:szCs w:val="20"/>
                <w:color w:val="auto"/>
              </w:rPr>
            </w:pPr>
            <w:r>
              <w:rPr>
                <w:rFonts w:ascii="Calibri" w:cs="Calibri" w:eastAsia="Calibri" w:hAnsi="Calibri"/>
                <w:sz w:val="18"/>
                <w:szCs w:val="18"/>
                <w:color w:val="auto"/>
              </w:rPr>
              <w:t>Performance Chemicals EBIT</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70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80" w:type="dxa"/>
            <w:vAlign w:val="bottom"/>
          </w:tcPr>
          <w:p>
            <w:pPr>
              <w:spacing w:after="0"/>
              <w:rPr>
                <w:sz w:val="18"/>
                <w:szCs w:val="18"/>
                <w:color w:val="auto"/>
              </w:rPr>
            </w:pPr>
          </w:p>
        </w:tc>
      </w:tr>
    </w:tbl>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Sales in Performance Chemicals increased by $26 million in the frst quarter of fscal 2025 compared to the same period of fscal 2024, primarily due to higher volumes ($34 million) and the favorable impact from foreign currency translaton ($3 million), partally ofset by less favorable pricing and product mix ($12 million). The higher volumes were primarily due to volumes reconnectng to underlying demand drivers in key end markets. The less favorable pricing and product mix was primarily due to lower raw material costs which, in certain instances, are passed through to our customers through formulas and other market-based adjustments.</w:t>
      </w:r>
    </w:p>
    <w:p>
      <w:pPr>
        <w:spacing w:after="0" w:line="8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EBIT in Performance Chemicals increased by $11 million in the frst quarter of fscal 2025 compared to the same period of fscal 2024 primarily due to 8% higher volumes ($20 million), partally ofset by lower gross proft per ton ($8 million). The higher volumes in the frst quarter of fscal 2025 was primarily due to volumes reconnectng to underlying demand drivers in key end markets. The lower gross proft per ton was primarily due to higher costs associated with maintenance spend and new assets.</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As we look to the second quarter of the fscal year, we expect the Performance Chemicals segment EBIT to modestly improve sequentally from the frst quarter of fscal 2025 due to antcipated higher volumes, primarily from higher seasonal demand in North America and Europe.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i w:val="1"/>
          <w:iCs w:val="1"/>
          <w:color w:val="auto"/>
        </w:rPr>
        <w:t>Tarifs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current outlook does not include any adverse impacts from tarifs announced in February 2025 between the United States and Mexico, Canada and China. Given the dynamic nature of the tarif announcements, related delays and ongoing negotatons between countries, we are assessing the potental impact. In China and Mexico, we expect minimal direct impact as our producton is sold mainly within the country. In Canada, a large porton of the producton at our Canadian plants is sold in Canada, but also there is producton sold to customers in the US. For reinforcing carbons and specialty carbons products, sales from our Canadian operatons to almost all of these customers are pursuant to agreements that allow Cabot to pass through taxes and similar charges, such as tarifs. We are also working with our customers on potental alternatve supply sources within our large plant network to minimize any negatve impact from tarifs, where it is feasible. However, in all cases, if these (or other) tarifs are implemented, there could be a downstream impact on our customer's businesses, and this could impact underlying demand levels for our products.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decreased by $118 million during the frst three months of fscal 2025, which was largely due to a higher outstanding commercial paper balance at the end of the period. As of December 31, 2024, we had cash and cash equivalents of $183 million and borrowing availability under our revolving credit agreements of $1.1 billion. We have access to borrowings under the following two credit agreements:</w:t>
      </w:r>
    </w:p>
    <w:p>
      <w:pPr>
        <w:spacing w:after="0" w:line="98" w:lineRule="exact"/>
        <w:rPr>
          <w:sz w:val="20"/>
          <w:szCs w:val="20"/>
          <w:color w:val="auto"/>
        </w:rPr>
      </w:pPr>
    </w:p>
    <w:p>
      <w:pPr>
        <w:ind w:left="1260" w:right="220" w:hanging="368"/>
        <w:spacing w:after="0" w:line="235" w:lineRule="auto"/>
        <w:tabs>
          <w:tab w:leader="none" w:pos="126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$1 billion unsecured revolving credit agreement (the “U.S. Credit Agreement”) with JPMorgan Chase Bank, N.A., as Administratve Agent, Citbank, N.A., as Syndicaton Agent, and the other lenders party thereto, which matures in August 2027. The U.S. Credit Agreement supports our issuance of commercial paper, and borrowings under it may be used for working capital, leters of credit and other general corporate purposes.</w:t>
      </w:r>
    </w:p>
    <w:p>
      <w:pPr>
        <w:spacing w:after="0" w:line="84" w:lineRule="exact"/>
        <w:rPr>
          <w:rFonts w:ascii="Times New Roman" w:cs="Times New Roman" w:eastAsia="Times New Roman" w:hAnsi="Times New Roman"/>
          <w:sz w:val="18"/>
          <w:szCs w:val="18"/>
          <w:color w:val="auto"/>
        </w:rPr>
      </w:pPr>
    </w:p>
    <w:p>
      <w:pPr>
        <w:ind w:left="1260" w:right="20" w:hanging="368"/>
        <w:spacing w:after="0" w:line="235" w:lineRule="auto"/>
        <w:tabs>
          <w:tab w:leader="none" w:pos="126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PNC Bank, Natonal Associaton, as Administratve Agent, and the other lenders party thereto, which matures in August 2027.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85"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As of December 31, 2024,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84"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including the utlizaton of customer supply chain fnancing programs, setlement of intercompany balances and short-term intercompany loans. If additonal funds are needed in the U.S., we expect to be able to repatriate cash, including cash from China, while paying any withholding or other taxes. Changes in regulatons and tax laws in the U.S. or foreign countries could restrict our ability to transfer funds or impose material costs on such transfers.</w:t>
      </w:r>
    </w:p>
    <w:p>
      <w:pPr>
        <w:spacing w:after="0" w:line="7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each of December 31, 2024 and September 30, 2024, we had $113 million of borrowings under the Euro Credit Agreement and no outstanding borrowings under the U.S. Credit Agreement. There was $100 million and $45 million of commercial paper outstanding as of December 31, 2024 and September 30, 2024, respectvely.</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both the next twelve months and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right="980" w:firstLine="509"/>
        <w:spacing w:after="0" w:line="319" w:lineRule="auto"/>
        <w:rPr>
          <w:sz w:val="20"/>
          <w:szCs w:val="20"/>
          <w:color w:val="auto"/>
        </w:rPr>
      </w:pPr>
      <w:r>
        <w:rPr>
          <w:rFonts w:ascii="Calibri" w:cs="Calibri" w:eastAsia="Calibri" w:hAnsi="Calibri"/>
          <w:sz w:val="18"/>
          <w:szCs w:val="18"/>
          <w:color w:val="auto"/>
        </w:rPr>
        <w:t xml:space="preserve">The following discussion of the changes in our cash balance refers to the various sectons of our Consolidated Statements of Cash Flows. </w:t>
      </w:r>
      <w:r>
        <w:rPr>
          <w:rFonts w:ascii="Calibri" w:cs="Calibri" w:eastAsia="Calibri" w:hAnsi="Calibri"/>
          <w:sz w:val="18"/>
          <w:szCs w:val="18"/>
          <w:b w:val="1"/>
          <w:bCs w:val="1"/>
          <w:i w:val="1"/>
          <w:iCs w:val="1"/>
          <w:color w:val="auto"/>
        </w:rPr>
        <w:t>Cash Flows from Operatng Actvites</w:t>
      </w:r>
    </w:p>
    <w:p>
      <w:pPr>
        <w:spacing w:after="0" w:line="10"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$124 million in the frst three months of fscal 2025 compared to $105 million of cash provided by operatng actvites during the same period of fscal 2024.</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Cash provided by operatng actvites in the frst three months of fscal 2025 was driven by business earnings excluding the non-cash impacts of depreciaton and amortzaton of $37 million and cash dividends received from one of our equity investments of $12 million, which was partally ofset by an increase in net working capital of $38 million. The increase in net working capital was largely driven by a decrease in Accounts Payable and accrued liabilites, and an increase in inventories, partally ofset by a decrease in Accounts and notes receivable.</w:t>
      </w:r>
    </w:p>
    <w:p>
      <w:pPr>
        <w:spacing w:after="0" w:line="30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Cash provided by operatng actvites in the frst three months of fscal 2024 was driven by business earnings excluding the non-cash impacts of depreciaton and amortzaton of $41 million and foreign exchange losses of $34 million, primarily related to devaluaton of the Argentne peso, which was partally ofset by an increase in net working capital of $46 million. The increase in net working capital was largely driven by a decrease in Accounts payable and accrued expenses and an increase in Inventories and Accounts and notes receivable.</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Investng actvites consumed $104 million of cash in the frst three months of fscal 2025 compared to $54 million of cash consumed in the frst three months of fscal 2024.</w:t>
      </w:r>
    </w:p>
    <w:p>
      <w:pPr>
        <w:spacing w:after="0" w:line="83" w:lineRule="exact"/>
        <w:rPr>
          <w:sz w:val="20"/>
          <w:szCs w:val="20"/>
          <w:color w:val="auto"/>
        </w:rPr>
      </w:pPr>
    </w:p>
    <w:p>
      <w:pPr>
        <w:jc w:val="both"/>
        <w:ind w:right="300" w:firstLine="509"/>
        <w:spacing w:after="0" w:line="254" w:lineRule="auto"/>
        <w:rPr>
          <w:sz w:val="20"/>
          <w:szCs w:val="20"/>
          <w:color w:val="auto"/>
        </w:rPr>
      </w:pPr>
      <w:r>
        <w:rPr>
          <w:rFonts w:ascii="Calibri" w:cs="Calibri" w:eastAsia="Calibri" w:hAnsi="Calibri"/>
          <w:sz w:val="17"/>
          <w:szCs w:val="17"/>
          <w:color w:val="auto"/>
        </w:rPr>
        <w:t>In the frst three months of fscal 2025 and 2024, investng actvites included $77 million and $54 million, respectvely, of capital expenditures for sustaining and compliance capital projects at our operatng facilites as well as growth-related capital. In additon, in the frst three months of fscal 2025, investng actvites included $27 million for cash paid for the asset acquisiton described in Note C of our Notes to the Consolidated Financial Statements.</w:t>
      </w:r>
    </w:p>
    <w:p>
      <w:pPr>
        <w:spacing w:after="0" w:line="7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Capital expenditures for fscal 2025 are expected to be between $250 million and $300 million. Our planned capital spending program for fscal 2025 is for sustaining, compliance and improvement capital projects at our operatng facilites as well as capacity expansion capital expenditures.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Province of Ontario Regulaton 419 Update</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described in Part 1, Item 1 of the 2024 10-K under the heading “Safety, Health, Environment, and Sustainability”, under the Province of Ontario Ministry of Environment, Conservaton and Parks’ (“MECP”) Regulaton 419, a new requirement for sulfur dioxide (“SO2”) emissions went into efect on July 1, 2023 for our reinforcing carbons plant in Sarnia, Ontario. We are out of compliance with this new air standard. MECP has approved our proposed abatement plan, which requires us to install air polluton controls at the plant by July 1, 2028. As part of our abatement plan, we will contnue to engage with MECP and other stakeholders. To date, our operatons in Sarnia have not been restricted because of this mater. We antcipate that we will need to incur signifcant capital costs for the installaton of these new SO2 emissions controls, partcularly during the 24-month period prior to the date of installaton.</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Financing actvites consumed $24 million of cash in the frst three months of fscal 2025 compared to $29 million of cash consumed during the same period of fscal 2024.</w:t>
      </w:r>
    </w:p>
    <w:p>
      <w:pPr>
        <w:spacing w:after="0" w:line="83"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In the frst three months of fscal 2025, fnancing actvites primarily consisted of share repurchases of $42 million, dividend payments to stockholders of $24 million, and cash dividends paid to noncontrolling interests of $20 million. These payments were partally ofset by net proceeds from the issuance of commercial paper of $55 million and proceeds from long-term debt of $6 million under our Euro Credit Agreement.</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the frst three months of fscal 2024, fnancing actvites primarily consisted of share repurchases of $33 million, dividend payments to stockholders of $22 million, and cash dividends paid to noncontrolling interests of $12 million. These payments were partally ofset by net proceeds from commercial paper of $32 million and proceeds from sales of common stock of $7 million from stock opton exercises.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color w:val="auto"/>
        </w:rPr>
        <w:t>Forward-Looking Informaton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This report on Form 10-Q contains “forward-looking statements” under the Federal securites laws. These forward-looking statements address expectatons or projectons about the future, including our expectatons regarding our future business performance and overall prospects, including for earnings, geographic mix and volumes in our Reinforcement Materials segment in the second quarter of fscal 2025, and for earnings and volumes in our Performance Chemicals segment in the second quarter of fscal 2025, and the principal assumptons underlying these expectatons; the possible impact of recently announced trade tarifs between the United States and Mexico, Canada, and China on our operatons, results of operatons, and demand for our products, the sufciency of our cash on hand, cash provided from operatons and cash available under our credit and commercial paper facilites to fund our cash requirements in both the next twelve months and the foreseeable future; antcipated capital spending; regulatory developments, including regulatory compliance costs and potental impact on our operatons; cash requirements and uses of available cash, including future cash outlays associated with respirator liabilites and the tming of such outlays; amortzaton expenses; our operatng tax rate; and the possible outcome of legal and environmental proceedings. From tme to tme, we also provide forward-looking statements in other materials we release to the public and in oral statements made by authorized ofcers.</w:t>
      </w:r>
    </w:p>
    <w:p>
      <w:pPr>
        <w:spacing w:after="0" w:line="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those expressed in the forward-looking statements.</w:t>
      </w:r>
    </w:p>
    <w:p>
      <w:pPr>
        <w:spacing w:after="0" w:line="84" w:lineRule="exact"/>
        <w:rPr>
          <w:sz w:val="20"/>
          <w:szCs w:val="20"/>
          <w:color w:val="auto"/>
        </w:rPr>
      </w:pPr>
    </w:p>
    <w:p>
      <w:pPr>
        <w:ind w:firstLine="749"/>
        <w:spacing w:after="0" w:line="250" w:lineRule="auto"/>
        <w:rPr>
          <w:sz w:val="20"/>
          <w:szCs w:val="20"/>
          <w:color w:val="auto"/>
        </w:rPr>
      </w:pPr>
      <w:r>
        <w:rPr>
          <w:rFonts w:ascii="Calibri" w:cs="Calibri" w:eastAsia="Calibri" w:hAnsi="Calibri"/>
          <w:sz w:val="17"/>
          <w:szCs w:val="17"/>
          <w:color w:val="auto"/>
        </w:rPr>
        <w:t>In additon to factors described elsewhere in this report, the following are some of the factors that could cause our actual results to difer materially from those expressed in our forward-looking statements: industry capacity utlizaton and competton from other specialty chemical companies; safety, health and environmental requirements and related constraints imposed on our business; regulatory and fnancial risks related to climate change developments; volatlity in the price and availability of energy and raw materials, including with respect to the Russian invasion of Ukraine and the U.S.-China trade relatonship; a signifcant adverse change in a customer or joint venture relatonship or the failure of a customer or joint venture partner to perform its obligatons under agreements with us; failure to achieve growth expectatons from new products, applicatons and technology developments; failure to realize benefts from acquisitons, alliances, or joint ventures or achieve our portolio management objectves; negatve or uncertain worldwide or regional economic conditons and market opportunites, including from trade relatons, global health maters or geo-politcal conficts; litgaton or legal proceedings; interest rates, tax rates, currency exchange controls, and fuctuatons in foreign currency, such as the recent currency movements in Argentna; our inability to complete capacity expansions or other development projects; and the accuracy of the assumptons we used in establishing reserves for our share of liability for respirator claims. These other factors and risks are discussed more fully in our 2024 10-K and in our subsequent SEC flings.</w:t>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3.  Quanttatve and Qualitatve Disclosures About Market Risk</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Informaton about market risks for the period ended December 31, 2024 does not difer materially from that discussed under Item 7A of our 2024 10-</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4.  Controls and Procedures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of December 31, 2024, we carried out an evaluaton, under the supervision and with the partcipaton of our management, including our principal executve ofcer and our principal fnancial ofcer, of the efectveness of our disclosure controls and procedures pursuant to Rule 13a-15 under the Securites Exchange Act of 1934, as amended. Based upon that evaluaton, our principal executve ofcer and our principal fnancial ofcer concluded that our disclosure controls and procedures were efectve as of that date.</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There were no changes in our internal controls over fnancial reportng that occurred during our fscal quarter ended December 31, 2024 that have materially afected, or are reasonably likely to materially afect, our internal control over fnancial reportng.</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i w:val="1"/>
          <w:iCs w:val="1"/>
          <w:color w:val="auto"/>
        </w:rPr>
        <w:t>Part II. Other Informaton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2.  Unregistered Sales of Equity Securites and Use of Proceeds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December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Maximum Number (or</w:t>
            </w: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Approximate Dollar</w:t>
            </w:r>
          </w:p>
        </w:tc>
      </w:t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Value) of Shares that</w:t>
            </w: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May Yet Be Purchased</w:t>
            </w:r>
          </w:p>
        </w:tc>
      </w:tr>
      <w:tr>
        <w:trPr>
          <w:trHeight w:val="15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w w:val="98"/>
              </w:rPr>
              <w:t>Shares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42"/>
              <w:spacing w:after="0" w:line="159" w:lineRule="exact"/>
              <w:rPr>
                <w:sz w:val="20"/>
                <w:szCs w:val="20"/>
                <w:color w:val="auto"/>
              </w:rPr>
            </w:pPr>
            <w:r>
              <w:rPr>
                <w:rFonts w:ascii="Calibri" w:cs="Calibri" w:eastAsia="Calibri" w:hAnsi="Calibri"/>
                <w:sz w:val="14"/>
                <w:szCs w:val="14"/>
                <w:b w:val="1"/>
                <w:bCs w:val="1"/>
                <w:color w:val="auto"/>
              </w:rPr>
              <w:t>Average Price</w:t>
            </w:r>
          </w:p>
        </w:tc>
        <w:tc>
          <w:tcPr>
            <w:tcW w:w="2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 or</w:t>
            </w:r>
          </w:p>
        </w:tc>
        <w:tc>
          <w:tcPr>
            <w:tcW w:w="220" w:type="dxa"/>
            <w:vAlign w:val="bottom"/>
          </w:tcPr>
          <w:p>
            <w:pPr>
              <w:spacing w:after="0"/>
              <w:rPr>
                <w:sz w:val="13"/>
                <w:szCs w:val="13"/>
                <w:color w:val="auto"/>
              </w:rPr>
            </w:pPr>
          </w:p>
        </w:tc>
        <w:tc>
          <w:tcPr>
            <w:tcW w:w="1680" w:type="dxa"/>
            <w:vAlign w:val="bottom"/>
            <w:gridSpan w:val="2"/>
          </w:tcPr>
          <w:p>
            <w:pPr>
              <w:jc w:val="center"/>
              <w:ind w:right="120"/>
              <w:spacing w:after="0" w:line="159" w:lineRule="exact"/>
              <w:rPr>
                <w:sz w:val="20"/>
                <w:szCs w:val="20"/>
                <w:color w:val="auto"/>
              </w:rPr>
            </w:pPr>
            <w:r>
              <w:rPr>
                <w:rFonts w:ascii="Calibri" w:cs="Calibri" w:eastAsia="Calibri" w:hAnsi="Calibri"/>
                <w:sz w:val="14"/>
                <w:szCs w:val="14"/>
                <w:b w:val="1"/>
                <w:bCs w:val="1"/>
                <w:color w:val="auto"/>
              </w:rPr>
              <w:t>Under the Plans or</w:t>
            </w:r>
          </w:p>
        </w:tc>
      </w:tr>
      <w:tr>
        <w:trPr>
          <w:trHeight w:val="185"/>
        </w:trPr>
        <w:tc>
          <w:tcPr>
            <w:tcW w:w="418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Period</w:t>
            </w:r>
          </w:p>
        </w:tc>
        <w:tc>
          <w:tcPr>
            <w:tcW w:w="16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2"/>
              </w:rPr>
              <w:t>Purchased</w:t>
            </w:r>
            <w:r>
              <w:rPr>
                <w:rFonts w:ascii="Calibri" w:cs="Calibri" w:eastAsia="Calibri" w:hAnsi="Calibri"/>
                <w:sz w:val="19"/>
                <w:szCs w:val="19"/>
                <w:b w:val="1"/>
                <w:bCs w:val="1"/>
                <w:color w:val="auto"/>
                <w:w w:val="92"/>
                <w:vertAlign w:val="superscript"/>
              </w:rPr>
              <w:t>(1)(2)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42"/>
              <w:spacing w:after="0"/>
              <w:rPr>
                <w:sz w:val="20"/>
                <w:szCs w:val="20"/>
                <w:color w:val="auto"/>
              </w:rPr>
            </w:pPr>
            <w:r>
              <w:rPr>
                <w:rFonts w:ascii="Calibri" w:cs="Calibri" w:eastAsia="Calibri" w:hAnsi="Calibri"/>
                <w:sz w:val="14"/>
                <w:szCs w:val="14"/>
                <w:b w:val="1"/>
                <w:bCs w:val="1"/>
                <w:color w:val="auto"/>
              </w:rPr>
              <w:t>Paid per Share</w:t>
            </w:r>
          </w:p>
        </w:tc>
        <w:tc>
          <w:tcPr>
            <w:tcW w:w="220" w:type="dxa"/>
            <w:vAlign w:val="bottom"/>
          </w:tcPr>
          <w:p>
            <w:pPr>
              <w:spacing w:after="0"/>
              <w:rPr>
                <w:sz w:val="16"/>
                <w:szCs w:val="16"/>
                <w:color w:val="auto"/>
              </w:rPr>
            </w:pPr>
          </w:p>
        </w:tc>
        <w:tc>
          <w:tcPr>
            <w:tcW w:w="154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220" w:type="dxa"/>
            <w:vAlign w:val="bottom"/>
          </w:tcPr>
          <w:p>
            <w:pPr>
              <w:spacing w:after="0"/>
              <w:rPr>
                <w:sz w:val="16"/>
                <w:szCs w:val="16"/>
                <w:color w:val="auto"/>
              </w:rPr>
            </w:pPr>
          </w:p>
        </w:tc>
        <w:tc>
          <w:tcPr>
            <w:tcW w:w="1680" w:type="dxa"/>
            <w:vAlign w:val="bottom"/>
            <w:gridSpan w:val="2"/>
          </w:tcPr>
          <w:p>
            <w:pPr>
              <w:jc w:val="center"/>
              <w:ind w:right="120"/>
              <w:spacing w:after="0" w:line="185"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80" w:type="dxa"/>
            <w:vAlign w:val="bottom"/>
            <w:gridSpan w:val="3"/>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October 1, 2024 - October 31, 2024</w:t>
            </w:r>
          </w:p>
        </w:tc>
        <w:tc>
          <w:tcPr>
            <w:tcW w:w="160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1800" w:type="dxa"/>
            <w:vAlign w:val="bottom"/>
            <w:gridSpan w:val="2"/>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1,300,971</w:t>
            </w:r>
          </w:p>
        </w:tc>
        <w:tc>
          <w:tcPr>
            <w:tcW w:w="100" w:type="dxa"/>
            <w:vAlign w:val="bottom"/>
            <w:shd w:val="clear" w:color="auto" w:fill="CFF0FC"/>
          </w:tcPr>
          <w:p>
            <w:pPr>
              <w:spacing w:after="0"/>
              <w:rPr>
                <w:sz w:val="17"/>
                <w:szCs w:val="17"/>
                <w:color w:val="auto"/>
              </w:rPr>
            </w:pPr>
          </w:p>
        </w:tc>
      </w:tr>
      <w:tr>
        <w:trPr>
          <w:trHeight w:val="215"/>
        </w:trPr>
        <w:tc>
          <w:tcPr>
            <w:tcW w:w="418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November 1, 2024 - November 30, 2024</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1,300,971</w:t>
            </w:r>
          </w:p>
        </w:tc>
        <w:tc>
          <w:tcPr>
            <w:tcW w:w="100" w:type="dxa"/>
            <w:vAlign w:val="bottom"/>
          </w:tcPr>
          <w:p>
            <w:pPr>
              <w:spacing w:after="0"/>
              <w:rPr>
                <w:sz w:val="18"/>
                <w:szCs w:val="18"/>
                <w:color w:val="auto"/>
              </w:rPr>
            </w:pPr>
          </w:p>
        </w:tc>
      </w:tr>
      <w:tr>
        <w:trPr>
          <w:trHeight w:val="216"/>
        </w:trPr>
        <w:tc>
          <w:tcPr>
            <w:tcW w:w="4180" w:type="dxa"/>
            <w:vAlign w:val="bottom"/>
            <w:tcBorders>
              <w:bottom w:val="single" w:sz="8" w:color="CFF0FC"/>
            </w:tcBorders>
            <w:gridSpan w:val="3"/>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December 1, 2024 - December 31, 2024</w:t>
            </w:r>
          </w:p>
        </w:tc>
        <w:tc>
          <w:tcPr>
            <w:tcW w:w="1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284,500</w:t>
            </w:r>
          </w:p>
        </w:tc>
        <w:tc>
          <w:tcPr>
            <w:tcW w:w="480" w:type="dxa"/>
            <w:vAlign w:val="bottom"/>
            <w:tcBorders>
              <w:bottom w:val="single" w:sz="8" w:color="CFF0FC"/>
            </w:tcBorders>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105.45</w:t>
            </w:r>
          </w:p>
        </w:tc>
        <w:tc>
          <w:tcPr>
            <w:tcW w:w="2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284,500</w:t>
            </w:r>
          </w:p>
        </w:tc>
        <w:tc>
          <w:tcPr>
            <w:tcW w:w="180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11,016,471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80" w:type="dxa"/>
            <w:vAlign w:val="bottom"/>
            <w:gridSpan w:val="3"/>
          </w:tcPr>
          <w:p>
            <w:pPr>
              <w:ind w:left="20"/>
              <w:spacing w:after="0" w:line="210" w:lineRule="exact"/>
              <w:rPr>
                <w:sz w:val="20"/>
                <w:szCs w:val="20"/>
                <w:color w:val="auto"/>
              </w:rPr>
            </w:pPr>
            <w:r>
              <w:rPr>
                <w:rFonts w:ascii="Calibri" w:cs="Calibri" w:eastAsia="Calibri" w:hAnsi="Calibri"/>
                <w:sz w:val="18"/>
                <w:szCs w:val="18"/>
                <w:color w:val="auto"/>
              </w:rPr>
              <w:t>Total</w:t>
            </w:r>
          </w:p>
        </w:tc>
        <w:tc>
          <w:tcPr>
            <w:tcW w:w="1600" w:type="dxa"/>
            <w:vAlign w:val="bottom"/>
          </w:tcPr>
          <w:p>
            <w:pPr>
              <w:jc w:val="right"/>
              <w:spacing w:after="0" w:line="210" w:lineRule="exact"/>
              <w:rPr>
                <w:sz w:val="20"/>
                <w:szCs w:val="20"/>
                <w:color w:val="auto"/>
              </w:rPr>
            </w:pPr>
            <w:r>
              <w:rPr>
                <w:rFonts w:ascii="Calibri" w:cs="Calibri" w:eastAsia="Calibri" w:hAnsi="Calibri"/>
                <w:sz w:val="18"/>
                <w:szCs w:val="18"/>
                <w:color w:val="auto"/>
              </w:rPr>
              <w:t>284,500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6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284,500</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60" w:hanging="512"/>
        <w:spacing w:after="0" w:line="223" w:lineRule="auto"/>
        <w:tabs>
          <w:tab w:leader="none" w:pos="520" w:val="left"/>
        </w:tabs>
        <w:numPr>
          <w:ilvl w:val="0"/>
          <w:numId w:val="14"/>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balance of shares then available for repurchase at that tme to approximately eleven million shares. More recently, on December 3, 2024, Cabot publicly announced that the Board of Directors authorized the Company to repurchase up to an additonal ten million shares of its common stock on the open market or in privately negotated transactons, increasing the balance of shares available for repurchase as of December 31, 2024 to approximately eleven million shares. Neither of these authorizatons has a set expiraton date.</w:t>
      </w:r>
    </w:p>
    <w:p>
      <w:pPr>
        <w:spacing w:after="0" w:line="29" w:lineRule="exact"/>
        <w:rPr>
          <w:rFonts w:ascii="Calibri" w:cs="Calibri" w:eastAsia="Calibri" w:hAnsi="Calibri"/>
          <w:sz w:val="24"/>
          <w:szCs w:val="24"/>
          <w:color w:val="auto"/>
          <w:vertAlign w:val="superscript"/>
        </w:rPr>
      </w:pPr>
    </w:p>
    <w:p>
      <w:pPr>
        <w:ind w:left="520" w:right="80" w:hanging="512"/>
        <w:spacing w:after="0" w:line="201" w:lineRule="auto"/>
        <w:tabs>
          <w:tab w:leader="none" w:pos="520" w:val="left"/>
        </w:tabs>
        <w:numPr>
          <w:ilvl w:val="0"/>
          <w:numId w:val="14"/>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104,437 shares withheld to pay taxes on the vestng of equity awards made under the Company's equity incentve plans or to pay the exercise price of optons exercised during the period.</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5.  Other Informaton</w:t>
      </w:r>
    </w:p>
    <w:p>
      <w:pPr>
        <w:spacing w:after="0" w:line="42"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During our fscal quarter ended December 31, 2024, none of our directors or ofcers (as defned in Rule 16a-1(f) under the Securites Exchange Act of 1934, as amended, entered into, modifed (as to amount, price or tming of trades) or terminated (i) contracts, instructons or writen plans for the purchase or sale of our securites that are intended to satsfy the conditons specifed in Rule 10b5-1(c) under the Exchange Act for an afrmatve defense against liability for trading in securites on the basis of material nonpublic informaton or (ii) non-Rule 10b5-1 trading arrangements (as defned in Item 408(c) of Regulaton S-K).</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6.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Borders>
              <w:bottom w:val="single" w:sz="8" w:color="auto"/>
            </w:tcBorders>
          </w:tcPr>
          <w:p>
            <w:pPr>
              <w:ind w:left="520"/>
              <w:spacing w:after="0"/>
              <w:rPr>
                <w:sz w:val="20"/>
                <w:szCs w:val="20"/>
                <w:color w:val="auto"/>
              </w:rPr>
            </w:pPr>
            <w:r>
              <w:rPr>
                <w:rFonts w:ascii="Calibri" w:cs="Calibri" w:eastAsia="Calibri" w:hAnsi="Calibri"/>
                <w:sz w:val="14"/>
                <w:szCs w:val="14"/>
                <w:b w:val="1"/>
                <w:bCs w:val="1"/>
                <w:color w:val="auto"/>
              </w:rPr>
              <w:t>Exhibit No.</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gridSpan w:val="10"/>
          </w:tcPr>
          <w:p>
            <w:pPr>
              <w:ind w:left="2220"/>
              <w:spacing w:after="0"/>
              <w:rPr>
                <w:sz w:val="20"/>
                <w:szCs w:val="20"/>
                <w:color w:val="auto"/>
              </w:rPr>
            </w:pPr>
            <w:r>
              <w:rPr>
                <w:rFonts w:ascii="Calibri" w:cs="Calibri" w:eastAsia="Calibri" w:hAnsi="Calibri"/>
                <w:sz w:val="14"/>
                <w:szCs w:val="14"/>
                <w:b w:val="1"/>
                <w:bCs w:val="1"/>
                <w:color w:val="auto"/>
              </w:rPr>
              <w:t>Descripton</w:t>
            </w:r>
          </w:p>
        </w:tc>
      </w:tr>
      <w:tr>
        <w:trPr>
          <w:trHeight w:val="297"/>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w:t>
            </w:r>
          </w:p>
        </w:tc>
        <w:tc>
          <w:tcPr>
            <w:tcW w:w="140" w:type="dxa"/>
            <w:vAlign w:val="bottom"/>
          </w:tcPr>
          <w:p>
            <w:pPr>
              <w:spacing w:after="0"/>
              <w:rPr>
                <w:sz w:val="24"/>
                <w:szCs w:val="24"/>
                <w:color w:val="auto"/>
              </w:rPr>
            </w:pPr>
          </w:p>
        </w:tc>
        <w:tc>
          <w:tcPr>
            <w:tcW w:w="9180" w:type="dxa"/>
            <w:vAlign w:val="bottom"/>
            <w:tcBorders>
              <w:bottom w:val="single" w:sz="8" w:color="0000FF"/>
            </w:tcBorders>
            <w:gridSpan w:val="11"/>
          </w:tcPr>
          <w:p>
            <w:pPr>
              <w:spacing w:after="0"/>
              <w:rPr>
                <w:rFonts w:ascii="Calibri" w:cs="Calibri" w:eastAsia="Calibri" w:hAnsi="Calibri"/>
                <w:sz w:val="18"/>
                <w:szCs w:val="18"/>
                <w:color w:val="0000FF"/>
              </w:rPr>
            </w:pPr>
            <w:hyperlink r:id="rId206">
              <w:r>
                <w:rPr>
                  <w:rFonts w:ascii="Calibri" w:cs="Calibri" w:eastAsia="Calibri" w:hAnsi="Calibri"/>
                  <w:sz w:val="18"/>
                  <w:szCs w:val="18"/>
                  <w:color w:val="0000FF"/>
                </w:rPr>
                <w:t>Restated Certfcate of Incorporaton of Cabot Corporaton efectve January 9, 2009 (incorporated herein by reference to Exhibit</w:t>
              </w:r>
            </w:hyperlink>
          </w:p>
        </w:tc>
        <w:tc>
          <w:tcPr>
            <w:tcW w:w="220" w:type="dxa"/>
            <w:vAlign w:val="bottom"/>
            <w:gridSpan w:val="2"/>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FF"/>
            </w:tcBorders>
            <w:gridSpan w:val="12"/>
          </w:tcPr>
          <w:p>
            <w:pPr>
              <w:spacing w:after="0" w:line="196" w:lineRule="exact"/>
              <w:rPr>
                <w:rFonts w:ascii="Calibri" w:cs="Calibri" w:eastAsia="Calibri" w:hAnsi="Calibri"/>
                <w:sz w:val="18"/>
                <w:szCs w:val="18"/>
                <w:color w:val="0000FF"/>
                <w:w w:val="98"/>
              </w:rPr>
            </w:pPr>
            <w:hyperlink r:id="rId206">
              <w:r>
                <w:rPr>
                  <w:rFonts w:ascii="Calibri" w:cs="Calibri" w:eastAsia="Calibri" w:hAnsi="Calibri"/>
                  <w:sz w:val="18"/>
                  <w:szCs w:val="18"/>
                  <w:color w:val="0000FF"/>
                  <w:w w:val="98"/>
                </w:rPr>
                <w:t>3.</w:t>
              </w:r>
              <w:r>
                <w:rPr>
                  <w:rFonts w:ascii="Calibri" w:cs="Calibri" w:eastAsia="Calibri" w:hAnsi="Calibri"/>
                  <w:sz w:val="18"/>
                  <w:szCs w:val="18"/>
                  <w:u w:val="single" w:color="auto"/>
                  <w:color w:val="0000FF"/>
                  <w:w w:val="98"/>
                </w:rPr>
                <w:t>1</w:t>
              </w:r>
              <w:r>
                <w:rPr>
                  <w:rFonts w:ascii="Calibri" w:cs="Calibri" w:eastAsia="Calibri" w:hAnsi="Calibri"/>
                  <w:sz w:val="18"/>
                  <w:szCs w:val="18"/>
                  <w:color w:val="0000FF"/>
                  <w:w w:val="98"/>
                </w:rPr>
                <w:t xml:space="preserve"> of Cabot’s Quarterly Report on Form 10-Q for the quarterly period ended December 31, 2008, fle reference 1-5667, fled with</w:t>
              </w:r>
            </w:hyperlink>
          </w:p>
        </w:tc>
        <w:tc>
          <w:tcPr>
            <w:tcW w:w="14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Calibri" w:cs="Calibri" w:eastAsia="Calibri" w:hAnsi="Calibri"/>
                <w:sz w:val="18"/>
                <w:szCs w:val="18"/>
                <w:color w:val="0000FF"/>
                <w:w w:val="96"/>
              </w:rPr>
            </w:pPr>
            <w:hyperlink r:id="rId206">
              <w:r>
                <w:rPr>
                  <w:rFonts w:ascii="Calibri" w:cs="Calibri" w:eastAsia="Calibri" w:hAnsi="Calibri"/>
                  <w:sz w:val="18"/>
                  <w:szCs w:val="18"/>
                  <w:color w:val="0000FF"/>
                  <w:w w:val="96"/>
                </w:rPr>
                <w:t>the SEC on February 9, 2009).</w:t>
              </w:r>
            </w:hyperlink>
          </w:p>
        </w:tc>
        <w:tc>
          <w:tcPr>
            <w:tcW w:w="20" w:type="dxa"/>
            <w:vAlign w:val="bottom"/>
            <w:tcBorders>
              <w:bottom w:val="single" w:sz="8" w:color="0000EE"/>
            </w:tcBorders>
          </w:tcPr>
          <w:p>
            <w:pPr>
              <w:spacing w:after="0"/>
              <w:rPr>
                <w:sz w:val="17"/>
                <w:szCs w:val="17"/>
                <w:color w:val="auto"/>
              </w:rPr>
            </w:pPr>
          </w:p>
        </w:tc>
        <w:tc>
          <w:tcPr>
            <w:tcW w:w="7280" w:type="dxa"/>
            <w:vAlign w:val="bottom"/>
            <w:gridSpan w:val="10"/>
          </w:tcPr>
          <w:p>
            <w:pPr>
              <w:spacing w:after="0"/>
              <w:rPr>
                <w:sz w:val="17"/>
                <w:szCs w:val="17"/>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440" w:type="dxa"/>
            <w:vAlign w:val="bottom"/>
            <w:tcBorders>
              <w:bottom w:val="single" w:sz="8" w:color="0000FF"/>
            </w:tcBorders>
            <w:gridSpan w:val="10"/>
          </w:tcPr>
          <w:p>
            <w:pPr>
              <w:spacing w:after="0"/>
              <w:rPr>
                <w:rFonts w:ascii="Calibri" w:cs="Calibri" w:eastAsia="Calibri" w:hAnsi="Calibri"/>
                <w:sz w:val="18"/>
                <w:szCs w:val="18"/>
                <w:color w:val="0000FF"/>
                <w:w w:val="98"/>
              </w:rPr>
            </w:pPr>
            <w:hyperlink r:id="rId207">
              <w:r>
                <w:rPr>
                  <w:rFonts w:ascii="Calibri" w:cs="Calibri" w:eastAsia="Calibri" w:hAnsi="Calibri"/>
                  <w:sz w:val="18"/>
                  <w:szCs w:val="18"/>
                  <w:color w:val="0000FF"/>
                  <w:w w:val="98"/>
                </w:rPr>
                <w:t>The By-laws of Cabot Corporaton as amended May 11, 2023 (incorporated herein by reference to Exhibit 3.1 of Cabot</w:t>
              </w:r>
            </w:hyperlink>
          </w:p>
        </w:tc>
        <w:tc>
          <w:tcPr>
            <w:tcW w:w="960" w:type="dxa"/>
            <w:vAlign w:val="bottom"/>
            <w:gridSpan w:val="3"/>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13"/>
          </w:tcPr>
          <w:p>
            <w:pPr>
              <w:spacing w:after="0" w:line="196" w:lineRule="exact"/>
              <w:rPr>
                <w:rFonts w:ascii="Calibri" w:cs="Calibri" w:eastAsia="Calibri" w:hAnsi="Calibri"/>
                <w:sz w:val="18"/>
                <w:szCs w:val="18"/>
                <w:color w:val="0000FF"/>
              </w:rPr>
            </w:pPr>
            <w:hyperlink r:id="rId207">
              <w:r>
                <w:rPr>
                  <w:rFonts w:ascii="Calibri" w:cs="Calibri" w:eastAsia="Calibri" w:hAnsi="Calibri"/>
                  <w:sz w:val="18"/>
                  <w:szCs w:val="18"/>
                  <w:color w:val="0000FF"/>
                </w:rPr>
                <w:t>Corporaton’s Current Report on Form 8-K, fle reference 1-5667, fled with the SEC on May 15, 2023).</w:t>
              </w:r>
            </w:hyperlink>
          </w:p>
        </w:tc>
      </w:tr>
      <w:tr>
        <w:trPr>
          <w:trHeight w:val="20"/>
        </w:trPr>
        <w:tc>
          <w:tcPr>
            <w:tcW w:w="1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4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31.1*</w:t>
            </w:r>
          </w:p>
        </w:tc>
        <w:tc>
          <w:tcPr>
            <w:tcW w:w="14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Calibri" w:cs="Calibri" w:eastAsia="Calibri" w:hAnsi="Calibri"/>
                <w:sz w:val="18"/>
                <w:szCs w:val="18"/>
                <w:color w:val="0000FF"/>
              </w:rPr>
              <w:t>Certfcaton of Principal Executve Ofcer required by Rule 13a-14(a) or Rule 15d-14(a) of the Exchange Act.</w:t>
            </w: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31.2*</w:t>
            </w:r>
          </w:p>
        </w:tc>
        <w:tc>
          <w:tcPr>
            <w:tcW w:w="140" w:type="dxa"/>
            <w:vAlign w:val="bottom"/>
          </w:tcPr>
          <w:p>
            <w:pPr>
              <w:spacing w:after="0"/>
              <w:rPr>
                <w:sz w:val="24"/>
                <w:szCs w:val="24"/>
                <w:color w:val="auto"/>
              </w:rPr>
            </w:pPr>
          </w:p>
        </w:tc>
        <w:tc>
          <w:tcPr>
            <w:tcW w:w="7620" w:type="dxa"/>
            <w:vAlign w:val="bottom"/>
            <w:tcBorders>
              <w:top w:val="single" w:sz="8" w:color="0000FF"/>
              <w:bottom w:val="single" w:sz="8" w:color="0000FF"/>
            </w:tcBorders>
            <w:gridSpan w:val="5"/>
          </w:tcPr>
          <w:p>
            <w:pPr>
              <w:spacing w:after="0"/>
              <w:rPr>
                <w:sz w:val="20"/>
                <w:szCs w:val="20"/>
                <w:color w:val="auto"/>
              </w:rPr>
            </w:pPr>
            <w:r>
              <w:rPr>
                <w:rFonts w:ascii="Calibri" w:cs="Calibri" w:eastAsia="Calibri" w:hAnsi="Calibri"/>
                <w:sz w:val="18"/>
                <w:szCs w:val="18"/>
                <w:color w:val="0000FF"/>
                <w:w w:val="99"/>
              </w:rPr>
              <w:t>Certfcaton of Principal Financial Ofcer required by Rule 13a-14(a) or Rule 15d-14(a) of the Exchange Act.</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740" w:type="dxa"/>
            <w:vAlign w:val="bottom"/>
            <w:gridSpan w:val="6"/>
          </w:tcPr>
          <w:p>
            <w:pPr>
              <w:spacing w:after="0"/>
              <w:rPr>
                <w:sz w:val="24"/>
                <w:szCs w:val="24"/>
                <w:color w:val="auto"/>
              </w:rPr>
            </w:pPr>
          </w:p>
        </w:tc>
      </w:tr>
      <w:tr>
        <w:trPr>
          <w:trHeight w:val="33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32**</w:t>
            </w:r>
          </w:p>
        </w:tc>
        <w:tc>
          <w:tcPr>
            <w:tcW w:w="140" w:type="dxa"/>
            <w:vAlign w:val="bottom"/>
          </w:tcPr>
          <w:p>
            <w:pPr>
              <w:spacing w:after="0"/>
              <w:rPr>
                <w:sz w:val="24"/>
                <w:szCs w:val="24"/>
                <w:color w:val="auto"/>
              </w:rPr>
            </w:pPr>
          </w:p>
        </w:tc>
        <w:tc>
          <w:tcPr>
            <w:tcW w:w="8280" w:type="dxa"/>
            <w:vAlign w:val="bottom"/>
            <w:tcBorders>
              <w:bottom w:val="single" w:sz="8" w:color="0000FF"/>
            </w:tcBorders>
            <w:gridSpan w:val="8"/>
          </w:tcPr>
          <w:p>
            <w:pPr>
              <w:spacing w:after="0"/>
              <w:rPr>
                <w:sz w:val="20"/>
                <w:szCs w:val="20"/>
                <w:color w:val="auto"/>
              </w:rPr>
            </w:pPr>
            <w:r>
              <w:rPr>
                <w:rFonts w:ascii="Calibri" w:cs="Calibri" w:eastAsia="Calibri" w:hAnsi="Calibri"/>
                <w:sz w:val="18"/>
                <w:szCs w:val="18"/>
                <w:color w:val="0000FF"/>
              </w:rPr>
              <w:t>Certfcatons of the Principal Executve Ofcer and the Principal Financial Ofcer pursuant to 18 U.S.C. Secton 1350.</w:t>
            </w:r>
          </w:p>
        </w:tc>
        <w:tc>
          <w:tcPr>
            <w:tcW w:w="20" w:type="dxa"/>
            <w:vAlign w:val="bottom"/>
            <w:tcBorders>
              <w:bottom w:val="single" w:sz="8" w:color="0000EE"/>
            </w:tcBorders>
          </w:tcPr>
          <w:p>
            <w:pPr>
              <w:spacing w:after="0"/>
              <w:rPr>
                <w:sz w:val="24"/>
                <w:szCs w:val="24"/>
                <w:color w:val="auto"/>
              </w:rPr>
            </w:pPr>
          </w:p>
        </w:tc>
        <w:tc>
          <w:tcPr>
            <w:tcW w:w="1100" w:type="dxa"/>
            <w:vAlign w:val="bottom"/>
            <w:gridSpan w:val="4"/>
          </w:tcPr>
          <w:p>
            <w:pPr>
              <w:spacing w:after="0"/>
              <w:rPr>
                <w:sz w:val="24"/>
                <w:szCs w:val="24"/>
                <w:color w:val="auto"/>
              </w:rPr>
            </w:pPr>
          </w:p>
        </w:tc>
      </w:tr>
      <w:tr>
        <w:trPr>
          <w:trHeight w:val="362"/>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101.INS*</w:t>
            </w:r>
          </w:p>
        </w:tc>
        <w:tc>
          <w:tcPr>
            <w:tcW w:w="14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its XBRL tags are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3"/>
          </w:tcPr>
          <w:p>
            <w:pPr>
              <w:spacing w:after="0" w:line="216" w:lineRule="exact"/>
              <w:rPr>
                <w:sz w:val="20"/>
                <w:szCs w:val="20"/>
                <w:color w:val="auto"/>
              </w:rPr>
            </w:pPr>
            <w:r>
              <w:rPr>
                <w:rFonts w:ascii="Calibri" w:cs="Calibri" w:eastAsia="Calibri" w:hAnsi="Calibri"/>
                <w:sz w:val="18"/>
                <w:szCs w:val="18"/>
                <w:color w:val="auto"/>
              </w:rPr>
              <w:t>embedded within the Inline XBRL document.</w:t>
            </w:r>
          </w:p>
        </w:tc>
      </w:tr>
      <w:tr>
        <w:trPr>
          <w:trHeight w:val="351"/>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101.SCH*</w:t>
            </w:r>
          </w:p>
        </w:tc>
        <w:tc>
          <w:tcPr>
            <w:tcW w:w="14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Calibri" w:cs="Calibri" w:eastAsia="Calibri" w:hAnsi="Calibri"/>
                <w:sz w:val="18"/>
                <w:szCs w:val="18"/>
                <w:color w:val="auto"/>
              </w:rPr>
              <w:t>Inline XBRL Taxonomy Extension Schema With Embedded Linkbase Document.</w:t>
            </w:r>
          </w:p>
        </w:tc>
      </w:tr>
      <w:tr>
        <w:trPr>
          <w:trHeight w:val="365"/>
        </w:trPr>
        <w:tc>
          <w:tcPr>
            <w:tcW w:w="1700" w:type="dxa"/>
            <w:vAlign w:val="bottom"/>
          </w:tcPr>
          <w:p>
            <w:pPr>
              <w:ind w:left="20"/>
              <w:spacing w:after="0"/>
              <w:rPr>
                <w:sz w:val="20"/>
                <w:szCs w:val="20"/>
                <w:color w:val="auto"/>
              </w:rPr>
            </w:pPr>
            <w:r>
              <w:rPr>
                <w:rFonts w:ascii="Calibri" w:cs="Calibri" w:eastAsia="Calibri" w:hAnsi="Calibri"/>
                <w:sz w:val="18"/>
                <w:szCs w:val="18"/>
                <w:color w:val="auto"/>
              </w:rPr>
              <w:t>Exhibit 104*</w:t>
            </w:r>
          </w:p>
        </w:tc>
        <w:tc>
          <w:tcPr>
            <w:tcW w:w="14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Calibri" w:cs="Calibri" w:eastAsia="Calibri" w:hAnsi="Calibri"/>
                <w:sz w:val="18"/>
                <w:szCs w:val="18"/>
                <w:color w:val="auto"/>
                <w:w w:val="98"/>
              </w:rPr>
              <w:t>The cover page from the Company’s Quarterly Report on Form 10-Q for the quarter ended December 31, 2024, formated in Inline</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gridSpan w:val="13"/>
          </w:tcPr>
          <w:p>
            <w:pPr>
              <w:spacing w:after="0" w:line="216" w:lineRule="exact"/>
              <w:rPr>
                <w:sz w:val="20"/>
                <w:szCs w:val="20"/>
                <w:color w:val="auto"/>
              </w:rPr>
            </w:pPr>
            <w:r>
              <w:rPr>
                <w:rFonts w:ascii="Calibri" w:cs="Calibri" w:eastAsia="Calibri" w:hAnsi="Calibri"/>
                <w:sz w:val="18"/>
                <w:szCs w:val="18"/>
                <w:color w:val="auto"/>
              </w:rPr>
              <w:t>XBRL (included in Exhibit 101).</w:t>
            </w:r>
          </w:p>
        </w:tc>
      </w:tr>
      <w:tr>
        <w:trPr>
          <w:trHeight w:val="159"/>
        </w:trPr>
        <w:tc>
          <w:tcPr>
            <w:tcW w:w="1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3"/>
        </w:trPr>
        <w:tc>
          <w:tcPr>
            <w:tcW w:w="1700" w:type="dxa"/>
            <w:vAlign w:val="bottom"/>
          </w:tcPr>
          <w:p>
            <w:pPr>
              <w:spacing w:after="0" w:line="213" w:lineRule="exact"/>
              <w:rPr>
                <w:sz w:val="20"/>
                <w:szCs w:val="20"/>
                <w:color w:val="auto"/>
              </w:rPr>
            </w:pPr>
            <w:r>
              <w:rPr>
                <w:rFonts w:ascii="Calibri" w:cs="Calibri" w:eastAsia="Calibri" w:hAnsi="Calibri"/>
                <w:sz w:val="18"/>
                <w:szCs w:val="18"/>
                <w:color w:val="auto"/>
              </w:rPr>
              <w:t>* Filed herewith.</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29"/>
        </w:trPr>
        <w:tc>
          <w:tcPr>
            <w:tcW w:w="1700" w:type="dxa"/>
            <w:vAlign w:val="bottom"/>
          </w:tcPr>
          <w:p>
            <w:pPr>
              <w:spacing w:after="0"/>
              <w:rPr>
                <w:sz w:val="24"/>
                <w:szCs w:val="24"/>
                <w:color w:val="auto"/>
              </w:rPr>
            </w:pPr>
          </w:p>
        </w:tc>
        <w:tc>
          <w:tcPr>
            <w:tcW w:w="7380" w:type="dxa"/>
            <w:vAlign w:val="bottom"/>
            <w:gridSpan w:val="5"/>
          </w:tcPr>
          <w:p>
            <w:pPr>
              <w:jc w:val="right"/>
              <w:ind w:right="3288"/>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color w:val="auto"/>
        </w:rPr>
        <w:t>** Furnished herewith.</w:t>
      </w:r>
    </w:p>
    <w:p>
      <w:pPr>
        <w:spacing w:after="0" w:line="18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7" w:right="1440" w:bottom="1440" w:gutter="0" w:footer="0" w:header="0"/>
        </w:sectPr>
      </w:pPr>
    </w:p>
    <w:bookmarkStart w:id="28" w:name="page29"/>
    <w:bookmarkEnd w:id="28"/>
    <w:p>
      <w:pPr>
        <w:jc w:val="center"/>
        <w:ind w:right="-25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CABOT CORPORATION</w:t>
      </w:r>
    </w:p>
    <w:p>
      <w:pPr>
        <w:spacing w:after="0" w:line="266" w:lineRule="exact"/>
        <w:rPr>
          <w:sz w:val="20"/>
          <w:szCs w:val="20"/>
          <w:color w:val="auto"/>
        </w:rPr>
      </w:pPr>
    </w:p>
    <w:p>
      <w:pPr>
        <w:ind w:left="20"/>
        <w:spacing w:after="0"/>
        <w:tabs>
          <w:tab w:leader="none" w:pos="6420" w:val="left"/>
          <w:tab w:leader="none" w:pos="8200" w:val="left"/>
        </w:tabs>
        <w:rPr>
          <w:sz w:val="20"/>
          <w:szCs w:val="20"/>
          <w:color w:val="auto"/>
        </w:rPr>
      </w:pPr>
      <w:r>
        <w:rPr>
          <w:rFonts w:ascii="Calibri" w:cs="Calibri" w:eastAsia="Calibri" w:hAnsi="Calibri"/>
          <w:sz w:val="18"/>
          <w:szCs w:val="18"/>
          <w:color w:val="auto"/>
        </w:rPr>
        <w:t>Date: February 6,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Erica McLaughlin</w:t>
      </w:r>
    </w:p>
    <w:p>
      <w:pPr>
        <w:spacing w:after="0" w:line="10"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-130175</wp:posOffset>
            </wp:positionV>
            <wp:extent cx="2837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line="235" w:lineRule="auto"/>
        <w:rPr>
          <w:sz w:val="20"/>
          <w:szCs w:val="20"/>
          <w:color w:val="auto"/>
        </w:rPr>
      </w:pPr>
      <w:r>
        <w:rPr>
          <w:rFonts w:ascii="Calibri" w:cs="Calibri" w:eastAsia="Calibri" w:hAnsi="Calibri"/>
          <w:sz w:val="18"/>
          <w:szCs w:val="18"/>
          <w:b w:val="1"/>
          <w:bCs w:val="1"/>
          <w:color w:val="auto"/>
        </w:rPr>
        <w:t>Executve Vice President and Chief Financial Ofcer</w:t>
      </w:r>
    </w:p>
    <w:p>
      <w:pPr>
        <w:jc w:val="center"/>
        <w:ind w:left="6760"/>
        <w:spacing w:after="0" w:line="236" w:lineRule="auto"/>
        <w:rPr>
          <w:sz w:val="20"/>
          <w:szCs w:val="20"/>
          <w:color w:val="auto"/>
        </w:rPr>
      </w:pPr>
      <w:r>
        <w:rPr>
          <w:rFonts w:ascii="Calibri" w:cs="Calibri" w:eastAsia="Calibri" w:hAnsi="Calibri"/>
          <w:sz w:val="18"/>
          <w:szCs w:val="18"/>
          <w:b w:val="1"/>
          <w:bCs w:val="1"/>
          <w:color w:val="auto"/>
        </w:rPr>
        <w:t>(duly authorized ofcer)</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6420" w:val="left"/>
          <w:tab w:leader="none" w:pos="8280" w:val="left"/>
        </w:tabs>
        <w:rPr>
          <w:sz w:val="20"/>
          <w:szCs w:val="20"/>
          <w:color w:val="auto"/>
        </w:rPr>
      </w:pPr>
      <w:r>
        <w:rPr>
          <w:rFonts w:ascii="Calibri" w:cs="Calibri" w:eastAsia="Calibri" w:hAnsi="Calibri"/>
          <w:sz w:val="18"/>
          <w:szCs w:val="18"/>
          <w:color w:val="auto"/>
        </w:rPr>
        <w:t>Date: February 6,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Lisa m. Dumont</w:t>
      </w:r>
    </w:p>
    <w:p>
      <w:pPr>
        <w:spacing w:after="0" w:line="10" w:lineRule="exact"/>
        <w:rPr>
          <w:sz w:val="20"/>
          <w:szCs w:val="20"/>
          <w:color w:val="auto"/>
        </w:rPr>
      </w:pPr>
    </w:p>
    <w:p>
      <w:pPr>
        <w:jc w:val="center"/>
        <w:ind w:left="6760"/>
        <w:spacing w:after="0"/>
        <w:rPr>
          <w:sz w:val="20"/>
          <w:szCs w:val="20"/>
          <w:color w:val="auto"/>
        </w:rPr>
      </w:pPr>
      <w:r>
        <w:rPr>
          <w:rFonts w:ascii="Calibri" w:cs="Calibri" w:eastAsia="Calibri" w:hAnsi="Calibri"/>
          <w:sz w:val="18"/>
          <w:szCs w:val="18"/>
          <w:b w:val="1"/>
          <w:bCs w:val="1"/>
          <w:color w:val="auto"/>
        </w:rPr>
        <w:t>Lisa M.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-130175</wp:posOffset>
            </wp:positionV>
            <wp:extent cx="2837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line="235" w:lineRule="auto"/>
        <w:rPr>
          <w:sz w:val="20"/>
          <w:szCs w:val="20"/>
          <w:color w:val="auto"/>
        </w:rPr>
      </w:pPr>
      <w:r>
        <w:rPr>
          <w:rFonts w:ascii="Calibri" w:cs="Calibri" w:eastAsia="Calibri" w:hAnsi="Calibri"/>
          <w:sz w:val="18"/>
          <w:szCs w:val="18"/>
          <w:b w:val="1"/>
          <w:bCs w:val="1"/>
          <w:color w:val="auto"/>
        </w:rPr>
        <w:t>Vice President, Chief Accountng Ofcer and Controller</w:t>
      </w:r>
    </w:p>
    <w:p>
      <w:pPr>
        <w:jc w:val="center"/>
        <w:ind w:left="6760"/>
        <w:spacing w:after="0" w:line="236" w:lineRule="auto"/>
        <w:rPr>
          <w:sz w:val="20"/>
          <w:szCs w:val="20"/>
          <w:color w:val="auto"/>
        </w:rPr>
      </w:pPr>
      <w:r>
        <w:rPr>
          <w:rFonts w:ascii="Calibri" w:cs="Calibri" w:eastAsia="Calibri" w:hAnsi="Calibri"/>
          <w:sz w:val="18"/>
          <w:szCs w:val="18"/>
          <w:b w:val="1"/>
          <w:bCs w:val="1"/>
          <w:color w:val="auto"/>
        </w:rPr>
        <w:t>(chief accountng ofcer)</w:t>
      </w:r>
    </w:p>
    <w:p>
      <w:pPr>
        <w:spacing w:after="0" w:line="3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76" w:right="57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104" w:lineRule="exact"/>
        <w:rPr>
          <w:sz w:val="20"/>
          <w:szCs w:val="20"/>
          <w:color w:val="auto"/>
        </w:rPr>
      </w:pPr>
    </w:p>
    <w:p>
      <w:pPr>
        <w:ind w:left="520" w:hanging="512"/>
        <w:spacing w:after="0"/>
        <w:tabs>
          <w:tab w:leader="none" w:pos="5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00" w:hanging="512"/>
        <w:spacing w:after="0" w:line="235" w:lineRule="auto"/>
        <w:tabs>
          <w:tab w:leader="none" w:pos="5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00" w:hanging="512"/>
        <w:spacing w:after="0" w:line="235" w:lineRule="auto"/>
        <w:tabs>
          <w:tab w:leader="none" w:pos="5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00" w:hanging="512"/>
        <w:spacing w:after="0" w:line="235" w:lineRule="auto"/>
        <w:tabs>
          <w:tab w:leader="none" w:pos="5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60" w:hanging="503"/>
        <w:spacing w:after="0" w:line="235" w:lineRule="auto"/>
        <w:tabs>
          <w:tab w:leader="none" w:pos="1020"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380" w:hanging="503"/>
        <w:spacing w:after="0" w:line="235" w:lineRule="auto"/>
        <w:tabs>
          <w:tab w:leader="none" w:pos="1020"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480" w:hanging="503"/>
        <w:spacing w:after="0" w:line="258" w:lineRule="auto"/>
        <w:tabs>
          <w:tab w:leader="none" w:pos="1020" w:val="left"/>
        </w:tabs>
        <w:numPr>
          <w:ilvl w:val="1"/>
          <w:numId w:val="15"/>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60" w:hanging="503"/>
        <w:spacing w:after="0" w:line="235" w:lineRule="auto"/>
        <w:tabs>
          <w:tab w:leader="none" w:pos="1020"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60" w:hanging="512"/>
        <w:spacing w:after="0" w:line="235" w:lineRule="auto"/>
        <w:tabs>
          <w:tab w:leader="none" w:pos="52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480" w:hanging="503"/>
        <w:spacing w:after="0" w:line="235" w:lineRule="auto"/>
        <w:tabs>
          <w:tab w:leader="none" w:pos="1020"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8340" w:val="left"/>
        </w:tabs>
        <w:rPr>
          <w:sz w:val="20"/>
          <w:szCs w:val="20"/>
          <w:color w:val="auto"/>
        </w:rPr>
      </w:pPr>
      <w:r>
        <w:rPr>
          <w:rFonts w:ascii="Calibri" w:cs="Calibri" w:eastAsia="Calibri" w:hAnsi="Calibri"/>
          <w:sz w:val="18"/>
          <w:szCs w:val="18"/>
          <w:color w:val="auto"/>
        </w:rPr>
        <w:t>Date: February 6, 2025</w:t>
      </w:r>
      <w:r>
        <w:rPr>
          <w:sz w:val="20"/>
          <w:szCs w:val="20"/>
          <w:color w:val="auto"/>
        </w:rPr>
        <w:tab/>
      </w:r>
      <w:r>
        <w:rPr>
          <w:rFonts w:ascii="Calibri" w:cs="Calibri" w:eastAsia="Calibri" w:hAnsi="Calibri"/>
          <w:sz w:val="17"/>
          <w:szCs w:val="17"/>
          <w:color w:val="auto"/>
        </w:rPr>
        <w:t>/s/ SEAN KEOHANE</w:t>
      </w:r>
    </w:p>
    <w:p>
      <w:pPr>
        <w:spacing w:after="0" w:line="10" w:lineRule="exact"/>
        <w:rPr>
          <w:sz w:val="20"/>
          <w:szCs w:val="20"/>
          <w:color w:val="auto"/>
        </w:rPr>
      </w:pPr>
    </w:p>
    <w:p>
      <w:pPr>
        <w:jc w:val="center"/>
        <w:ind w:left="6820"/>
        <w:spacing w:after="0"/>
        <w:rPr>
          <w:sz w:val="20"/>
          <w:szCs w:val="20"/>
          <w:color w:val="auto"/>
        </w:rPr>
      </w:pPr>
      <w:r>
        <w:rPr>
          <w:rFonts w:ascii="Calibri" w:cs="Calibri" w:eastAsia="Calibri" w:hAnsi="Calibri"/>
          <w:sz w:val="18"/>
          <w:szCs w:val="18"/>
          <w:b w:val="1"/>
          <w:bCs w:val="1"/>
          <w:color w:val="auto"/>
        </w:rPr>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27946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jc w:val="center"/>
        <w:ind w:left="6820"/>
        <w:spacing w:after="0" w:line="235" w:lineRule="auto"/>
        <w:rPr>
          <w:sz w:val="20"/>
          <w:szCs w:val="20"/>
          <w:color w:val="auto"/>
        </w:rPr>
      </w:pPr>
      <w:r>
        <w:rPr>
          <w:rFonts w:ascii="Calibri" w:cs="Calibri" w:eastAsia="Calibri" w:hAnsi="Calibri"/>
          <w:sz w:val="18"/>
          <w:szCs w:val="18"/>
          <w:b w:val="1"/>
          <w:bCs w:val="1"/>
          <w:color w:val="auto"/>
        </w:rPr>
        <w:t>President and</w:t>
      </w:r>
    </w:p>
    <w:p>
      <w:pPr>
        <w:jc w:val="center"/>
        <w:ind w:left="6820"/>
        <w:spacing w:after="0" w:line="236"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104" w:lineRule="exact"/>
        <w:rPr>
          <w:sz w:val="20"/>
          <w:szCs w:val="20"/>
          <w:color w:val="auto"/>
        </w:rPr>
      </w:pPr>
    </w:p>
    <w:p>
      <w:pPr>
        <w:ind w:left="520" w:hanging="512"/>
        <w:spacing w:after="0"/>
        <w:tabs>
          <w:tab w:leader="none" w:pos="52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Cabot Corporaton;</w:t>
      </w:r>
    </w:p>
    <w:p>
      <w:pPr>
        <w:spacing w:after="0" w:line="109" w:lineRule="exact"/>
        <w:rPr>
          <w:rFonts w:ascii="Calibri" w:cs="Calibri" w:eastAsia="Calibri" w:hAnsi="Calibri"/>
          <w:sz w:val="18"/>
          <w:szCs w:val="18"/>
          <w:color w:val="auto"/>
        </w:rPr>
      </w:pPr>
    </w:p>
    <w:p>
      <w:pPr>
        <w:jc w:val="both"/>
        <w:ind w:left="520" w:right="200" w:hanging="512"/>
        <w:spacing w:after="0" w:line="235" w:lineRule="auto"/>
        <w:tabs>
          <w:tab w:leader="none" w:pos="52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right="300" w:hanging="512"/>
        <w:spacing w:after="0" w:line="235" w:lineRule="auto"/>
        <w:tabs>
          <w:tab w:leader="none" w:pos="52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ind w:left="520" w:right="200" w:hanging="512"/>
        <w:spacing w:after="0" w:line="235" w:lineRule="auto"/>
        <w:tabs>
          <w:tab w:leader="none" w:pos="52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ind w:left="1020" w:right="60" w:hanging="503"/>
        <w:spacing w:after="0" w:line="235" w:lineRule="auto"/>
        <w:tabs>
          <w:tab w:leader="none" w:pos="10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ind w:left="1020" w:right="380" w:hanging="503"/>
        <w:spacing w:after="0" w:line="235" w:lineRule="auto"/>
        <w:tabs>
          <w:tab w:leader="none" w:pos="10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jc w:val="both"/>
        <w:ind w:left="1020" w:right="480" w:hanging="503"/>
        <w:spacing w:after="0" w:line="258" w:lineRule="auto"/>
        <w:tabs>
          <w:tab w:leader="none" w:pos="1020" w:val="left"/>
        </w:tabs>
        <w:numPr>
          <w:ilvl w:val="1"/>
          <w:numId w:val="16"/>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93" w:lineRule="exact"/>
        <w:rPr>
          <w:rFonts w:ascii="Calibri" w:cs="Calibri" w:eastAsia="Calibri" w:hAnsi="Calibri"/>
          <w:sz w:val="17"/>
          <w:szCs w:val="17"/>
          <w:color w:val="auto"/>
        </w:rPr>
      </w:pPr>
    </w:p>
    <w:p>
      <w:pPr>
        <w:ind w:left="1020" w:right="60" w:hanging="503"/>
        <w:spacing w:after="0" w:line="235" w:lineRule="auto"/>
        <w:tabs>
          <w:tab w:leader="none" w:pos="10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60" w:hanging="512"/>
        <w:spacing w:after="0" w:line="235" w:lineRule="auto"/>
        <w:tabs>
          <w:tab w:leader="none" w:pos="52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480" w:hanging="503"/>
        <w:spacing w:after="0" w:line="235" w:lineRule="auto"/>
        <w:tabs>
          <w:tab w:leader="none" w:pos="1020"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8240" w:val="left"/>
        </w:tabs>
        <w:rPr>
          <w:sz w:val="20"/>
          <w:szCs w:val="20"/>
          <w:color w:val="auto"/>
        </w:rPr>
      </w:pPr>
      <w:r>
        <w:rPr>
          <w:rFonts w:ascii="Calibri" w:cs="Calibri" w:eastAsia="Calibri" w:hAnsi="Calibri"/>
          <w:sz w:val="18"/>
          <w:szCs w:val="18"/>
          <w:color w:val="auto"/>
        </w:rPr>
        <w:t>Date: February 6, 2025</w:t>
      </w:r>
      <w:r>
        <w:rPr>
          <w:sz w:val="20"/>
          <w:szCs w:val="20"/>
          <w:color w:val="auto"/>
        </w:rPr>
        <w:tab/>
      </w:r>
      <w:r>
        <w:rPr>
          <w:rFonts w:ascii="Calibri" w:cs="Calibri" w:eastAsia="Calibri" w:hAnsi="Calibri"/>
          <w:sz w:val="18"/>
          <w:szCs w:val="18"/>
          <w:color w:val="auto"/>
        </w:rPr>
        <w:t>/s/ Erica McLaughlin</w:t>
      </w:r>
    </w:p>
    <w:p>
      <w:pPr>
        <w:spacing w:after="0" w:line="10" w:lineRule="exact"/>
        <w:rPr>
          <w:sz w:val="20"/>
          <w:szCs w:val="20"/>
          <w:color w:val="auto"/>
        </w:rPr>
      </w:pPr>
    </w:p>
    <w:p>
      <w:pPr>
        <w:jc w:val="center"/>
        <w:ind w:left="6820"/>
        <w:spacing w:after="0"/>
        <w:rPr>
          <w:sz w:val="20"/>
          <w:szCs w:val="20"/>
          <w:color w:val="auto"/>
        </w:rPr>
      </w:pPr>
      <w:r>
        <w:rPr>
          <w:rFonts w:ascii="Calibri" w:cs="Calibri" w:eastAsia="Calibri" w:hAnsi="Calibri"/>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27946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jc w:val="center"/>
        <w:ind w:left="6820"/>
        <w:spacing w:after="0" w:line="235" w:lineRule="auto"/>
        <w:rPr>
          <w:sz w:val="20"/>
          <w:szCs w:val="20"/>
          <w:color w:val="auto"/>
        </w:rPr>
      </w:pPr>
      <w:r>
        <w:rPr>
          <w:rFonts w:ascii="Calibri" w:cs="Calibri" w:eastAsia="Calibri" w:hAnsi="Calibri"/>
          <w:sz w:val="18"/>
          <w:szCs w:val="18"/>
          <w:b w:val="1"/>
          <w:bCs w:val="1"/>
          <w:color w:val="auto"/>
        </w:rPr>
        <w:t>Executve Vice President and</w:t>
      </w:r>
    </w:p>
    <w:p>
      <w:pPr>
        <w:jc w:val="center"/>
        <w:ind w:left="6820"/>
        <w:spacing w:after="0" w:line="236"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1" w:name="page32"/>
    <w:bookmarkEnd w:id="31"/>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21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connecton with the fling of the Quarterly Report on Form 10-Q for the quarter ended December 31, 2024 (the “Report”) by Cabot Corporaton (the “Company”), each of the undersigned hereby certfes pursuant to 18 U.S.C. Secton 1350, as adopted pursuant to Secton 906 of the Sarbanes-Oxley Act of 2002, that, to his knowledge:</w:t>
      </w:r>
    </w:p>
    <w:p>
      <w:pPr>
        <w:spacing w:after="0" w:line="106" w:lineRule="exact"/>
        <w:rPr>
          <w:sz w:val="20"/>
          <w:szCs w:val="20"/>
          <w:color w:val="auto"/>
        </w:rPr>
      </w:pPr>
    </w:p>
    <w:p>
      <w:pPr>
        <w:ind w:left="1020" w:hanging="503"/>
        <w:spacing w:after="0"/>
        <w:tabs>
          <w:tab w:leader="none" w:pos="102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109" w:lineRule="exact"/>
        <w:rPr>
          <w:rFonts w:ascii="Calibri" w:cs="Calibri" w:eastAsia="Calibri" w:hAnsi="Calibri"/>
          <w:sz w:val="18"/>
          <w:szCs w:val="18"/>
          <w:color w:val="auto"/>
        </w:rPr>
      </w:pPr>
    </w:p>
    <w:p>
      <w:pPr>
        <w:ind w:left="1020" w:right="620" w:hanging="503"/>
        <w:spacing w:after="0" w:line="235" w:lineRule="auto"/>
        <w:tabs>
          <w:tab w:leader="none" w:pos="102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3" w:lineRule="exact"/>
        <w:rPr>
          <w:sz w:val="20"/>
          <w:szCs w:val="20"/>
          <w:color w:val="auto"/>
        </w:rPr>
      </w:pPr>
    </w:p>
    <w:p>
      <w:pPr>
        <w:ind w:left="20"/>
        <w:spacing w:after="0"/>
        <w:tabs>
          <w:tab w:leader="none" w:pos="8260" w:val="left"/>
        </w:tabs>
        <w:rPr>
          <w:sz w:val="20"/>
          <w:szCs w:val="20"/>
          <w:color w:val="auto"/>
        </w:rPr>
      </w:pPr>
      <w:r>
        <w:rPr>
          <w:rFonts w:ascii="Calibri" w:cs="Calibri" w:eastAsia="Calibri" w:hAnsi="Calibri"/>
          <w:sz w:val="18"/>
          <w:szCs w:val="18"/>
          <w:color w:val="auto"/>
        </w:rPr>
        <w:t>Date: February 6, 2025</w:t>
      </w:r>
      <w:r>
        <w:rPr>
          <w:sz w:val="20"/>
          <w:szCs w:val="20"/>
          <w:color w:val="auto"/>
        </w:rPr>
        <w:tab/>
      </w:r>
      <w:r>
        <w:rPr>
          <w:rFonts w:ascii="Calibri" w:cs="Calibri" w:eastAsia="Calibri" w:hAnsi="Calibri"/>
          <w:sz w:val="17"/>
          <w:szCs w:val="17"/>
          <w:color w:val="auto"/>
        </w:rPr>
        <w:t>/s/ Sean D. Keohane</w:t>
      </w:r>
    </w:p>
    <w:p>
      <w:pPr>
        <w:spacing w:after="0" w:line="10"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left="6740"/>
        <w:spacing w:after="0" w:line="235" w:lineRule="auto"/>
        <w:rPr>
          <w:sz w:val="20"/>
          <w:szCs w:val="20"/>
          <w:color w:val="auto"/>
        </w:rPr>
      </w:pPr>
      <w:r>
        <w:rPr>
          <w:rFonts w:ascii="Calibri" w:cs="Calibri" w:eastAsia="Calibri" w:hAnsi="Calibri"/>
          <w:sz w:val="18"/>
          <w:szCs w:val="18"/>
          <w:b w:val="1"/>
          <w:bCs w:val="1"/>
          <w:color w:val="auto"/>
        </w:rPr>
        <w:t>President and Chief Executve Ofcer</w:t>
      </w:r>
    </w:p>
    <w:p>
      <w:pPr>
        <w:spacing w:after="0" w:line="267" w:lineRule="exact"/>
        <w:rPr>
          <w:sz w:val="20"/>
          <w:szCs w:val="20"/>
          <w:color w:val="auto"/>
        </w:rPr>
      </w:pPr>
    </w:p>
    <w:p>
      <w:pPr>
        <w:ind w:left="20"/>
        <w:spacing w:after="0"/>
        <w:tabs>
          <w:tab w:leader="none" w:pos="8200" w:val="left"/>
        </w:tabs>
        <w:rPr>
          <w:sz w:val="20"/>
          <w:szCs w:val="20"/>
          <w:color w:val="auto"/>
        </w:rPr>
      </w:pPr>
      <w:r>
        <w:rPr>
          <w:rFonts w:ascii="Calibri" w:cs="Calibri" w:eastAsia="Calibri" w:hAnsi="Calibri"/>
          <w:sz w:val="18"/>
          <w:szCs w:val="18"/>
          <w:color w:val="auto"/>
        </w:rPr>
        <w:t>Date: February 6, 2025</w:t>
      </w:r>
      <w:r>
        <w:rPr>
          <w:sz w:val="20"/>
          <w:szCs w:val="20"/>
          <w:color w:val="auto"/>
        </w:rPr>
        <w:tab/>
      </w:r>
      <w:r>
        <w:rPr>
          <w:rFonts w:ascii="Calibri" w:cs="Calibri" w:eastAsia="Calibri" w:hAnsi="Calibri"/>
          <w:sz w:val="18"/>
          <w:szCs w:val="18"/>
          <w:color w:val="auto"/>
        </w:rPr>
        <w:t>/s/ Erica McLaughlin</w:t>
      </w:r>
    </w:p>
    <w:p>
      <w:pPr>
        <w:spacing w:after="0" w:line="10" w:lineRule="exact"/>
        <w:rPr>
          <w:sz w:val="20"/>
          <w:szCs w:val="20"/>
          <w:color w:val="auto"/>
        </w:rPr>
      </w:pPr>
    </w:p>
    <w:p>
      <w:pPr>
        <w:jc w:val="center"/>
        <w:ind w:left="6740"/>
        <w:spacing w:after="0"/>
        <w:rPr>
          <w:sz w:val="20"/>
          <w:szCs w:val="20"/>
          <w:color w:val="auto"/>
        </w:rPr>
      </w:pPr>
      <w:r>
        <w:rPr>
          <w:rFonts w:ascii="Calibri" w:cs="Calibri" w:eastAsia="Calibri" w:hAnsi="Calibri"/>
          <w:sz w:val="18"/>
          <w:szCs w:val="18"/>
          <w:b w:val="1"/>
          <w:bCs w:val="1"/>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line="235" w:lineRule="auto"/>
        <w:rPr>
          <w:sz w:val="20"/>
          <w:szCs w:val="20"/>
          <w:color w:val="auto"/>
        </w:rPr>
      </w:pPr>
      <w:r>
        <w:rPr>
          <w:rFonts w:ascii="Calibri" w:cs="Calibri" w:eastAsia="Calibri" w:hAnsi="Calibri"/>
          <w:sz w:val="18"/>
          <w:szCs w:val="18"/>
          <w:b w:val="1"/>
          <w:bCs w:val="1"/>
          <w:color w:val="auto"/>
        </w:rPr>
        <w:t>Executve Vice President and</w:t>
      </w:r>
    </w:p>
    <w:p>
      <w:pPr>
        <w:jc w:val="center"/>
        <w:ind w:left="6740"/>
        <w:spacing w:after="0" w:line="236"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06" Type="http://schemas.openxmlformats.org/officeDocument/2006/relationships/hyperlink" Target="https://www.sec.gov/Archives/edgar/data/16040/000119312509022614/dex31.htm" TargetMode="External"/><Relationship Id="rId207" Type="http://schemas.openxmlformats.org/officeDocument/2006/relationships/hyperlink" Target="https://www.sec.gov/Archives/edgar/data/16040/000119312523145078/d51149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2025-02-06T16:15:58Z</dcterms:created>
  <dcterms:modified xsi:type="dcterms:W3CDTF">2025-02-06T16:15:58Z</dcterms:modified>
</cp:coreProperties>
</file>