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6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129540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5" w:lineRule="exact"/>
        <w:rPr>
          <w:sz w:val="24"/>
          <w:szCs w:val="24"/>
          <w:color w:val="auto"/>
        </w:rPr>
      </w:pPr>
    </w:p>
    <w:p>
      <w:pPr>
        <w:ind w:left="3940" w:right="2480" w:hanging="3273"/>
        <w:spacing w:after="0" w:line="396" w:lineRule="auto"/>
        <w:tabs>
          <w:tab w:leader="none" w:pos="1207"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2023</w:t>
      </w: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1220" w:hanging="553"/>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3"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260" w:type="dxa"/>
            <w:vAlign w:val="bottom"/>
          </w:tcPr>
          <w:p>
            <w:pPr>
              <w:spacing w:after="0"/>
              <w:rPr>
                <w:sz w:val="20"/>
                <w:szCs w:val="20"/>
                <w:color w:val="auto"/>
              </w:rPr>
            </w:pPr>
            <w:r>
              <w:rPr>
                <w:rFonts w:ascii="Arial" w:cs="Arial" w:eastAsia="Arial" w:hAnsi="Arial"/>
                <w:sz w:val="18"/>
                <w:szCs w:val="18"/>
                <w:b w:val="1"/>
                <w:bCs w:val="1"/>
                <w:color w:val="auto"/>
                <w:w w:val="90"/>
              </w:rPr>
              <w:t>For the transiton period from</w:t>
            </w:r>
          </w:p>
        </w:tc>
        <w:tc>
          <w:tcPr>
            <w:tcW w:w="82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12"/>
        </w:trPr>
        <w:tc>
          <w:tcPr>
            <w:tcW w:w="3280" w:type="dxa"/>
            <w:vAlign w:val="bottom"/>
            <w:gridSpan w:val="3"/>
          </w:tcPr>
          <w:p>
            <w:pPr>
              <w:ind w:left="880"/>
              <w:spacing w:after="0"/>
              <w:rPr>
                <w:sz w:val="20"/>
                <w:szCs w:val="20"/>
                <w:color w:val="auto"/>
              </w:rPr>
            </w:pPr>
            <w:r>
              <w:rPr>
                <w:rFonts w:ascii="Arial" w:cs="Arial" w:eastAsia="Arial" w:hAnsi="Arial"/>
                <w:sz w:val="18"/>
                <w:szCs w:val="18"/>
                <w:b w:val="1"/>
                <w:bCs w:val="1"/>
                <w:color w:val="auto"/>
                <w:w w:val="89"/>
              </w:rPr>
              <w:t>Commission fle number 1-5667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tbl>
      <w:tblPr>
        <w:tblLayout w:type="fixed"/>
        <w:tblInd w:w="1660" w:type="dxa"/>
        <w:tblCellMar>
          <w:top w:w="0" w:type="dxa"/>
          <w:left w:w="0" w:type="dxa"/>
          <w:bottom w:w="0" w:type="dxa"/>
          <w:right w:w="0" w:type="dxa"/>
        </w:tblCellMar>
      </w:tblPr>
      <w:tr>
        <w:trPr>
          <w:trHeight w:val="556"/>
        </w:trPr>
        <w:tc>
          <w:tcPr>
            <w:tcW w:w="6060" w:type="dxa"/>
            <w:vAlign w:val="bottom"/>
            <w:gridSpan w:val="3"/>
          </w:tcPr>
          <w:p>
            <w:pPr>
              <w:jc w:val="center"/>
              <w:ind w:left="1781"/>
              <w:spacing w:after="0"/>
              <w:rPr>
                <w:sz w:val="20"/>
                <w:szCs w:val="20"/>
                <w:color w:val="auto"/>
              </w:rPr>
            </w:pPr>
            <w:r>
              <w:rPr>
                <w:rFonts w:ascii="Arial" w:cs="Arial" w:eastAsia="Arial" w:hAnsi="Arial"/>
                <w:sz w:val="43"/>
                <w:szCs w:val="43"/>
                <w:b w:val="1"/>
                <w:bCs w:val="1"/>
                <w:color w:val="auto"/>
                <w:w w:val="89"/>
              </w:rPr>
              <w:t>Cabot Corporaton</w:t>
            </w:r>
          </w:p>
        </w:tc>
        <w:tc>
          <w:tcPr>
            <w:tcW w:w="1260" w:type="dxa"/>
            <w:vAlign w:val="bottom"/>
          </w:tcPr>
          <w:p>
            <w:pPr>
              <w:spacing w:after="0"/>
              <w:rPr>
                <w:sz w:val="24"/>
                <w:szCs w:val="24"/>
                <w:color w:val="auto"/>
              </w:rPr>
            </w:pPr>
          </w:p>
        </w:tc>
      </w:tr>
      <w:tr>
        <w:trPr>
          <w:trHeight w:val="243"/>
        </w:trPr>
        <w:tc>
          <w:tcPr>
            <w:tcW w:w="6060" w:type="dxa"/>
            <w:vAlign w:val="bottom"/>
            <w:gridSpan w:val="3"/>
          </w:tcPr>
          <w:p>
            <w:pPr>
              <w:jc w:val="center"/>
              <w:ind w:left="1781"/>
              <w:spacing w:after="0"/>
              <w:rPr>
                <w:sz w:val="20"/>
                <w:szCs w:val="20"/>
                <w:color w:val="auto"/>
              </w:rPr>
            </w:pPr>
            <w:r>
              <w:rPr>
                <w:rFonts w:ascii="Arial" w:cs="Arial" w:eastAsia="Arial" w:hAnsi="Arial"/>
                <w:sz w:val="18"/>
                <w:szCs w:val="18"/>
                <w:b w:val="1"/>
                <w:bCs w:val="1"/>
                <w:color w:val="auto"/>
                <w:w w:val="87"/>
              </w:rPr>
              <w:t>(Exact name of registrant as specifed in its charter)</w:t>
            </w:r>
          </w:p>
        </w:tc>
        <w:tc>
          <w:tcPr>
            <w:tcW w:w="1260" w:type="dxa"/>
            <w:vAlign w:val="bottom"/>
          </w:tcPr>
          <w:p>
            <w:pPr>
              <w:spacing w:after="0"/>
              <w:rPr>
                <w:sz w:val="21"/>
                <w:szCs w:val="21"/>
                <w:color w:val="auto"/>
              </w:rPr>
            </w:pPr>
          </w:p>
        </w:tc>
      </w:tr>
      <w:tr>
        <w:trPr>
          <w:trHeight w:val="141"/>
        </w:trPr>
        <w:tc>
          <w:tcPr>
            <w:tcW w:w="284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447"/>
        </w:trPr>
        <w:tc>
          <w:tcPr>
            <w:tcW w:w="60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91"/>
              </w:rPr>
              <w:t>Delaware</w:t>
            </w:r>
          </w:p>
        </w:tc>
        <w:tc>
          <w:tcPr>
            <w:tcW w:w="1260" w:type="dxa"/>
            <w:vAlign w:val="bottom"/>
          </w:tcPr>
          <w:p>
            <w:pPr>
              <w:jc w:val="center"/>
              <w:ind w:left="81"/>
              <w:spacing w:after="0"/>
              <w:rPr>
                <w:sz w:val="20"/>
                <w:szCs w:val="20"/>
                <w:color w:val="auto"/>
              </w:rPr>
            </w:pPr>
            <w:r>
              <w:rPr>
                <w:rFonts w:ascii="Arial" w:cs="Arial" w:eastAsia="Arial" w:hAnsi="Arial"/>
                <w:sz w:val="18"/>
                <w:szCs w:val="18"/>
                <w:b w:val="1"/>
                <w:bCs w:val="1"/>
                <w:color w:val="auto"/>
                <w:w w:val="89"/>
              </w:rPr>
              <w:t>04-2271897</w:t>
            </w:r>
          </w:p>
        </w:tc>
      </w:tr>
      <w:tr>
        <w:trPr>
          <w:trHeight w:val="198"/>
        </w:trPr>
        <w:tc>
          <w:tcPr>
            <w:tcW w:w="60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91"/>
              </w:rPr>
              <w:t>(State or other jurisdicton of</w:t>
            </w:r>
          </w:p>
        </w:tc>
        <w:tc>
          <w:tcPr>
            <w:tcW w:w="1260" w:type="dxa"/>
            <w:vAlign w:val="bottom"/>
          </w:tcPr>
          <w:p>
            <w:pPr>
              <w:jc w:val="center"/>
              <w:ind w:left="81"/>
              <w:spacing w:after="0"/>
              <w:rPr>
                <w:sz w:val="20"/>
                <w:szCs w:val="20"/>
                <w:color w:val="auto"/>
              </w:rPr>
            </w:pPr>
            <w:r>
              <w:rPr>
                <w:rFonts w:ascii="Arial" w:cs="Arial" w:eastAsia="Arial" w:hAnsi="Arial"/>
                <w:sz w:val="14"/>
                <w:szCs w:val="14"/>
                <w:b w:val="1"/>
                <w:bCs w:val="1"/>
                <w:color w:val="auto"/>
                <w:w w:val="87"/>
              </w:rPr>
              <w:t>(I.R.S. Employer</w:t>
            </w:r>
          </w:p>
        </w:tc>
      </w:tr>
      <w:tr>
        <w:trPr>
          <w:trHeight w:val="184"/>
        </w:trPr>
        <w:tc>
          <w:tcPr>
            <w:tcW w:w="60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93"/>
              </w:rPr>
              <w:t>incorporaton or organizaton)</w:t>
            </w:r>
          </w:p>
        </w:tc>
        <w:tc>
          <w:tcPr>
            <w:tcW w:w="1260" w:type="dxa"/>
            <w:vAlign w:val="bottom"/>
          </w:tcPr>
          <w:p>
            <w:pPr>
              <w:jc w:val="center"/>
              <w:ind w:left="101"/>
              <w:spacing w:after="0"/>
              <w:rPr>
                <w:sz w:val="20"/>
                <w:szCs w:val="20"/>
                <w:color w:val="auto"/>
              </w:rPr>
            </w:pPr>
            <w:r>
              <w:rPr>
                <w:rFonts w:ascii="Arial" w:cs="Arial" w:eastAsia="Arial" w:hAnsi="Arial"/>
                <w:sz w:val="14"/>
                <w:szCs w:val="14"/>
                <w:b w:val="1"/>
                <w:bCs w:val="1"/>
                <w:color w:val="auto"/>
              </w:rPr>
              <w:t>Identfcaton No.)</w:t>
            </w:r>
          </w:p>
        </w:tc>
      </w:tr>
      <w:tr>
        <w:trPr>
          <w:trHeight w:val="360"/>
        </w:trPr>
        <w:tc>
          <w:tcPr>
            <w:tcW w:w="60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5"/>
              </w:rPr>
              <w:t>Two Seaport Lane</w:t>
            </w:r>
          </w:p>
        </w:tc>
        <w:tc>
          <w:tcPr>
            <w:tcW w:w="1260" w:type="dxa"/>
            <w:vAlign w:val="bottom"/>
          </w:tcPr>
          <w:p>
            <w:pPr>
              <w:spacing w:after="0"/>
              <w:rPr>
                <w:sz w:val="24"/>
                <w:szCs w:val="24"/>
                <w:color w:val="auto"/>
              </w:rPr>
            </w:pPr>
          </w:p>
        </w:tc>
      </w:tr>
      <w:tr>
        <w:trPr>
          <w:trHeight w:val="231"/>
        </w:trPr>
        <w:tc>
          <w:tcPr>
            <w:tcW w:w="606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87"/>
              </w:rPr>
              <w:t>Boston, Massachusets</w:t>
            </w:r>
          </w:p>
        </w:tc>
        <w:tc>
          <w:tcPr>
            <w:tcW w:w="1260" w:type="dxa"/>
            <w:vAlign w:val="bottom"/>
          </w:tcPr>
          <w:p>
            <w:pPr>
              <w:jc w:val="center"/>
              <w:ind w:left="81"/>
              <w:spacing w:after="0"/>
              <w:rPr>
                <w:sz w:val="20"/>
                <w:szCs w:val="20"/>
                <w:color w:val="auto"/>
              </w:rPr>
            </w:pPr>
            <w:r>
              <w:rPr>
                <w:rFonts w:ascii="Arial" w:cs="Arial" w:eastAsia="Arial" w:hAnsi="Arial"/>
                <w:sz w:val="18"/>
                <w:szCs w:val="18"/>
                <w:b w:val="1"/>
                <w:bCs w:val="1"/>
                <w:color w:val="auto"/>
                <w:w w:val="89"/>
              </w:rPr>
              <w:t>02210-2019</w:t>
            </w:r>
          </w:p>
        </w:tc>
      </w:tr>
      <w:tr>
        <w:trPr>
          <w:trHeight w:val="206"/>
        </w:trPr>
        <w:tc>
          <w:tcPr>
            <w:tcW w:w="606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92"/>
              </w:rPr>
              <w:t>(Address of principal executve ofces)</w:t>
            </w:r>
          </w:p>
        </w:tc>
        <w:tc>
          <w:tcPr>
            <w:tcW w:w="1260" w:type="dxa"/>
            <w:vAlign w:val="bottom"/>
          </w:tcPr>
          <w:p>
            <w:pPr>
              <w:jc w:val="center"/>
              <w:ind w:left="81"/>
              <w:spacing w:after="0"/>
              <w:rPr>
                <w:sz w:val="20"/>
                <w:szCs w:val="20"/>
                <w:color w:val="auto"/>
              </w:rPr>
            </w:pPr>
            <w:r>
              <w:rPr>
                <w:rFonts w:ascii="Arial" w:cs="Arial" w:eastAsia="Arial" w:hAnsi="Arial"/>
                <w:sz w:val="14"/>
                <w:szCs w:val="14"/>
                <w:b w:val="1"/>
                <w:bCs w:val="1"/>
                <w:color w:val="auto"/>
                <w:w w:val="89"/>
              </w:rPr>
              <w:t>(Zip Code)</w:t>
            </w:r>
          </w:p>
        </w:tc>
      </w:tr>
    </w:tbl>
    <w:p>
      <w:pPr>
        <w:spacing w:after="0" w:line="7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(617) 345-0100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ind w:left="520"/>
        <w:spacing w:after="0"/>
        <w:rPr>
          <w:sz w:val="20"/>
          <w:szCs w:val="20"/>
          <w:color w:val="auto"/>
        </w:rPr>
      </w:pPr>
      <w:r>
        <w:rPr>
          <w:rFonts w:ascii="Arial" w:cs="Arial" w:eastAsia="Arial" w:hAnsi="Arial"/>
          <w:sz w:val="17"/>
          <w:szCs w:val="17"/>
          <w:color w:val="auto"/>
        </w:rPr>
        <w:t>Securites registered pursuant to Secton 12(b) of the Securites Exchange Act of 1934:</w:t>
      </w:r>
    </w:p>
    <w:p>
      <w:pPr>
        <w:spacing w:after="0" w:line="129" w:lineRule="exact"/>
        <w:rPr>
          <w:sz w:val="24"/>
          <w:szCs w:val="24"/>
          <w:color w:val="auto"/>
        </w:rPr>
      </w:pPr>
    </w:p>
    <w:tbl>
      <w:tblPr>
        <w:tblLayout w:type="fixed"/>
        <w:tblInd w:w="590" w:type="dxa"/>
        <w:tblCellMar>
          <w:top w:w="0" w:type="dxa"/>
          <w:left w:w="0" w:type="dxa"/>
          <w:bottom w:w="0" w:type="dxa"/>
          <w:right w:w="0" w:type="dxa"/>
        </w:tblCellMar>
      </w:tblPr>
      <w:tr>
        <w:trPr>
          <w:trHeight w:val="232"/>
        </w:trPr>
        <w:tc>
          <w:tcPr>
            <w:tcW w:w="36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4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71"/>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4260" w:type="dxa"/>
            <w:vAlign w:val="bottom"/>
            <w:tcBorders>
              <w:bottom w:val="single" w:sz="8" w:color="auto"/>
              <w:right w:val="single" w:sz="8" w:color="auto"/>
            </w:tcBorders>
          </w:tcPr>
          <w:p>
            <w:pPr>
              <w:spacing w:after="0"/>
              <w:rPr>
                <w:sz w:val="6"/>
                <w:szCs w:val="6"/>
                <w:color w:val="auto"/>
              </w:rPr>
            </w:pPr>
          </w:p>
        </w:tc>
      </w:tr>
      <w:tr>
        <w:trPr>
          <w:trHeight w:val="183"/>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$1 par value per share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4"/>
              </w:rPr>
              <w:t>CBT</w:t>
            </w:r>
          </w:p>
        </w:tc>
        <w:tc>
          <w:tcPr>
            <w:tcW w:w="4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The New York Stock Exchange</w:t>
            </w:r>
          </w:p>
        </w:tc>
      </w:tr>
      <w:tr>
        <w:trPr>
          <w:trHeight w:val="23"/>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r>
    </w:tbl>
    <w:p>
      <w:pPr>
        <w:spacing w:after="0" w:line="44" w:lineRule="exact"/>
        <w:rPr>
          <w:sz w:val="24"/>
          <w:szCs w:val="24"/>
          <w:color w:val="auto"/>
        </w:rPr>
      </w:pPr>
    </w:p>
    <w:p>
      <w:pPr>
        <w:ind w:right="260" w:firstLine="562"/>
        <w:spacing w:after="0" w:line="228" w:lineRule="exact"/>
        <w:rPr>
          <w:sz w:val="20"/>
          <w:szCs w:val="20"/>
          <w:color w:val="auto"/>
        </w:rPr>
      </w:pPr>
      <w:r>
        <w:rPr>
          <w:rFonts w:ascii="Arial" w:cs="Arial" w:eastAsia="Arial" w:hAnsi="Arial"/>
          <w:sz w:val="17"/>
          <w:szCs w:val="17"/>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ind w:firstLine="562"/>
        <w:spacing w:after="0" w:line="237" w:lineRule="exact"/>
        <w:rPr>
          <w:sz w:val="20"/>
          <w:szCs w:val="20"/>
          <w:color w:val="auto"/>
        </w:rPr>
      </w:pPr>
      <w:r>
        <w:rPr>
          <w:rFonts w:ascii="Arial" w:cs="Arial" w:eastAsia="Arial" w:hAnsi="Arial"/>
          <w:sz w:val="17"/>
          <w:szCs w:val="17"/>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ind w:right="240" w:firstLine="469"/>
        <w:spacing w:after="0" w:line="260" w:lineRule="auto"/>
        <w:rPr>
          <w:sz w:val="20"/>
          <w:szCs w:val="20"/>
          <w:color w:val="auto"/>
        </w:rPr>
      </w:pPr>
      <w:r>
        <w:rPr>
          <w:rFonts w:ascii="Arial" w:cs="Arial" w:eastAsia="Arial" w:hAnsi="Arial"/>
          <w:sz w:val="17"/>
          <w:szCs w:val="17"/>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2200" w:type="dxa"/>
            <w:vAlign w:val="bottom"/>
          </w:tcPr>
          <w:p>
            <w:pPr>
              <w:spacing w:after="0"/>
              <w:rPr>
                <w:sz w:val="20"/>
                <w:szCs w:val="20"/>
                <w:color w:val="auto"/>
              </w:rPr>
            </w:pPr>
            <w:r>
              <w:rPr>
                <w:rFonts w:ascii="Arial" w:cs="Arial" w:eastAsia="Arial" w:hAnsi="Arial"/>
                <w:sz w:val="17"/>
                <w:szCs w:val="17"/>
                <w:color w:val="auto"/>
              </w:rPr>
              <w:t>Large accelerated fler</w:t>
            </w:r>
          </w:p>
        </w:tc>
        <w:tc>
          <w:tcPr>
            <w:tcW w:w="328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5040" w:type="dxa"/>
            <w:vAlign w:val="bottom"/>
          </w:tcPr>
          <w:p>
            <w:pPr>
              <w:ind w:left="2820"/>
              <w:spacing w:after="0"/>
              <w:rPr>
                <w:sz w:val="20"/>
                <w:szCs w:val="20"/>
                <w:color w:val="auto"/>
              </w:rPr>
            </w:pPr>
            <w:r>
              <w:rPr>
                <w:rFonts w:ascii="Arial" w:cs="Arial" w:eastAsia="Arial" w:hAnsi="Arial"/>
                <w:sz w:val="17"/>
                <w:szCs w:val="17"/>
                <w:color w:val="auto"/>
              </w:rPr>
              <w:t>Accelerated fler</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91"/>
        </w:trPr>
        <w:tc>
          <w:tcPr>
            <w:tcW w:w="2200" w:type="dxa"/>
            <w:vAlign w:val="bottom"/>
          </w:tcPr>
          <w:p>
            <w:pPr>
              <w:spacing w:after="0"/>
              <w:rPr>
                <w:sz w:val="20"/>
                <w:szCs w:val="20"/>
                <w:color w:val="auto"/>
              </w:rPr>
            </w:pPr>
            <w:r>
              <w:rPr>
                <w:rFonts w:ascii="Arial" w:cs="Arial" w:eastAsia="Arial" w:hAnsi="Arial"/>
                <w:sz w:val="17"/>
                <w:szCs w:val="17"/>
                <w:color w:val="auto"/>
              </w:rPr>
              <w:t>Non-accelerated fler</w:t>
            </w:r>
          </w:p>
        </w:tc>
        <w:tc>
          <w:tcPr>
            <w:tcW w:w="328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5040" w:type="dxa"/>
            <w:vAlign w:val="bottom"/>
          </w:tcPr>
          <w:p>
            <w:pPr>
              <w:ind w:left="2820"/>
              <w:spacing w:after="0"/>
              <w:rPr>
                <w:sz w:val="20"/>
                <w:szCs w:val="20"/>
                <w:color w:val="auto"/>
              </w:rPr>
            </w:pPr>
            <w:r>
              <w:rPr>
                <w:rFonts w:ascii="Arial" w:cs="Arial" w:eastAsia="Arial" w:hAnsi="Arial"/>
                <w:sz w:val="17"/>
                <w:szCs w:val="17"/>
                <w:color w:val="auto"/>
              </w:rPr>
              <w:t>Smaller reportng company</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65"/>
        </w:trPr>
        <w:tc>
          <w:tcPr>
            <w:tcW w:w="22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28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50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 w:lineRule="exact"/>
        <w:rPr>
          <w:sz w:val="24"/>
          <w:szCs w:val="24"/>
          <w:color w:val="auto"/>
        </w:rPr>
      </w:pPr>
    </w:p>
    <w:p>
      <w:pPr>
        <w:ind w:right="60" w:firstLine="509"/>
        <w:spacing w:after="0" w:line="24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7"/>
          <w:szCs w:val="17"/>
          <w:color w:val="auto"/>
        </w:rPr>
        <w:t>☐</w:t>
      </w:r>
    </w:p>
    <w:p>
      <w:pPr>
        <w:spacing w:after="0" w:line="25" w:lineRule="exact"/>
        <w:rPr>
          <w:sz w:val="24"/>
          <w:szCs w:val="24"/>
          <w:color w:val="auto"/>
        </w:rPr>
      </w:pPr>
    </w:p>
    <w:p>
      <w:pPr>
        <w:ind w:left="520" w:right="176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Company had 55,936,984 shares of common stock, $1.00 par value per share, outstanding as of August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424180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20" w:type="dxa"/>
            <w:vAlign w:val="bottom"/>
            <w:gridSpan w:val="4"/>
          </w:tcPr>
          <w:p>
            <w:pPr>
              <w:jc w:val="center"/>
              <w:ind w:right="1700"/>
              <w:spacing w:after="0"/>
              <w:rPr>
                <w:sz w:val="20"/>
                <w:szCs w:val="20"/>
                <w:color w:val="auto"/>
              </w:rPr>
            </w:pPr>
            <w:r>
              <w:rPr>
                <w:rFonts w:ascii="Arial" w:cs="Arial" w:eastAsia="Arial" w:hAnsi="Arial"/>
                <w:sz w:val="18"/>
                <w:szCs w:val="18"/>
                <w:b w:val="1"/>
                <w:bCs w:val="1"/>
                <w:color w:val="auto"/>
                <w:w w:val="83"/>
              </w:rPr>
              <w:t>INDEX</w:t>
            </w:r>
          </w:p>
        </w:tc>
        <w:tc>
          <w:tcPr>
            <w:tcW w:w="3300" w:type="dxa"/>
            <w:vAlign w:val="bottom"/>
          </w:tcPr>
          <w:p>
            <w:pPr>
              <w:spacing w:after="0"/>
              <w:rPr>
                <w:sz w:val="20"/>
                <w:szCs w:val="20"/>
                <w:color w:val="auto"/>
              </w:rPr>
            </w:pPr>
          </w:p>
        </w:tc>
      </w:tr>
      <w:tr>
        <w:trPr>
          <w:trHeight w:val="438"/>
        </w:trPr>
        <w:tc>
          <w:tcPr>
            <w:tcW w:w="660" w:type="dxa"/>
            <w:vAlign w:val="bottom"/>
          </w:tcPr>
          <w:p>
            <w:pPr>
              <w:ind w:left="20"/>
              <w:spacing w:after="0"/>
              <w:rPr>
                <w:sz w:val="20"/>
                <w:szCs w:val="20"/>
                <w:color w:val="auto"/>
              </w:rPr>
            </w:pPr>
            <w:r>
              <w:rPr>
                <w:rFonts w:ascii="Arial" w:cs="Arial" w:eastAsia="Arial" w:hAnsi="Arial"/>
                <w:sz w:val="18"/>
                <w:szCs w:val="18"/>
                <w:color w:val="auto"/>
              </w:rPr>
              <w:t>Part I.</w:t>
            </w:r>
          </w:p>
        </w:tc>
        <w:tc>
          <w:tcPr>
            <w:tcW w:w="7280" w:type="dxa"/>
            <w:vAlign w:val="bottom"/>
            <w:gridSpan w:val="15"/>
          </w:tcPr>
          <w:p>
            <w:pPr>
              <w:spacing w:after="0"/>
              <w:rPr>
                <w:sz w:val="20"/>
                <w:szCs w:val="20"/>
                <w:color w:val="auto"/>
              </w:rPr>
            </w:pPr>
            <w:r>
              <w:rPr>
                <w:rFonts w:ascii="Arial" w:cs="Arial" w:eastAsia="Arial" w:hAnsi="Arial"/>
                <w:sz w:val="18"/>
                <w:szCs w:val="18"/>
                <w:color w:val="0000FF"/>
              </w:rPr>
              <w:t>Financial Informaton</w:t>
            </w:r>
          </w:p>
        </w:tc>
        <w:tc>
          <w:tcPr>
            <w:tcW w:w="33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360" w:type="dxa"/>
            <w:vAlign w:val="bottom"/>
            <w:gridSpan w:val="14"/>
          </w:tcPr>
          <w:p>
            <w:pPr>
              <w:spacing w:after="0"/>
              <w:rPr>
                <w:sz w:val="20"/>
                <w:szCs w:val="20"/>
                <w:color w:val="auto"/>
              </w:rPr>
            </w:pPr>
            <w:r>
              <w:rPr>
                <w:rFonts w:ascii="Arial" w:cs="Arial" w:eastAsia="Arial" w:hAnsi="Arial"/>
                <w:sz w:val="18"/>
                <w:szCs w:val="18"/>
                <w:color w:val="0000FF"/>
              </w:rPr>
              <w:t>Financial Statements (unaudited)</w:t>
            </w:r>
          </w:p>
        </w:tc>
        <w:tc>
          <w:tcPr>
            <w:tcW w:w="33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360" w:type="dxa"/>
            <w:vAlign w:val="bottom"/>
            <w:gridSpan w:val="14"/>
          </w:tcPr>
          <w:p>
            <w:pPr>
              <w:spacing w:after="0"/>
              <w:rPr>
                <w:sz w:val="20"/>
                <w:szCs w:val="20"/>
                <w:color w:val="auto"/>
              </w:rPr>
            </w:pPr>
            <w:r>
              <w:rPr>
                <w:rFonts w:ascii="Arial" w:cs="Arial" w:eastAsia="Arial" w:hAnsi="Arial"/>
                <w:sz w:val="18"/>
                <w:szCs w:val="18"/>
                <w:color w:val="0000FF"/>
              </w:rPr>
              <w:t>Consolidated Statements of Operatons</w:t>
            </w:r>
          </w:p>
        </w:tc>
        <w:tc>
          <w:tcPr>
            <w:tcW w:w="3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360" w:type="dxa"/>
            <w:vAlign w:val="bottom"/>
            <w:gridSpan w:val="14"/>
          </w:tcPr>
          <w:p>
            <w:pPr>
              <w:spacing w:after="0"/>
              <w:rPr>
                <w:sz w:val="20"/>
                <w:szCs w:val="20"/>
                <w:color w:val="auto"/>
              </w:rPr>
            </w:pPr>
            <w:r>
              <w:rPr>
                <w:rFonts w:ascii="Arial" w:cs="Arial" w:eastAsia="Arial" w:hAnsi="Arial"/>
                <w:sz w:val="18"/>
                <w:szCs w:val="18"/>
                <w:color w:val="0000FF"/>
              </w:rPr>
              <w:t>Consolidated Statements of Comprehensive Income (Loss)</w:t>
            </w:r>
          </w:p>
        </w:tc>
        <w:tc>
          <w:tcPr>
            <w:tcW w:w="3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6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360" w:type="dxa"/>
            <w:vAlign w:val="bottom"/>
            <w:gridSpan w:val="14"/>
          </w:tcPr>
          <w:p>
            <w:pPr>
              <w:spacing w:after="0"/>
              <w:rPr>
                <w:sz w:val="20"/>
                <w:szCs w:val="20"/>
                <w:color w:val="auto"/>
              </w:rPr>
            </w:pPr>
            <w:r>
              <w:rPr>
                <w:rFonts w:ascii="Arial" w:cs="Arial" w:eastAsia="Arial" w:hAnsi="Arial"/>
                <w:sz w:val="18"/>
                <w:szCs w:val="18"/>
                <w:color w:val="0000FF"/>
              </w:rPr>
              <w:t>Consolidated Balance Sheets</w:t>
            </w:r>
          </w:p>
        </w:tc>
        <w:tc>
          <w:tcPr>
            <w:tcW w:w="3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6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360" w:type="dxa"/>
            <w:vAlign w:val="bottom"/>
            <w:gridSpan w:val="14"/>
          </w:tcPr>
          <w:p>
            <w:pPr>
              <w:spacing w:after="0"/>
              <w:rPr>
                <w:sz w:val="20"/>
                <w:szCs w:val="20"/>
                <w:color w:val="auto"/>
              </w:rPr>
            </w:pPr>
            <w:r>
              <w:rPr>
                <w:rFonts w:ascii="Arial" w:cs="Arial" w:eastAsia="Arial" w:hAnsi="Arial"/>
                <w:sz w:val="18"/>
                <w:szCs w:val="18"/>
                <w:color w:val="0000FF"/>
              </w:rPr>
              <w:t>Consolidated Statements of Cash Flows</w:t>
            </w:r>
          </w:p>
        </w:tc>
        <w:tc>
          <w:tcPr>
            <w:tcW w:w="3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66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360" w:type="dxa"/>
            <w:vAlign w:val="bottom"/>
            <w:gridSpan w:val="14"/>
          </w:tcPr>
          <w:p>
            <w:pPr>
              <w:spacing w:after="0"/>
              <w:rPr>
                <w:sz w:val="20"/>
                <w:szCs w:val="20"/>
                <w:color w:val="auto"/>
              </w:rPr>
            </w:pPr>
            <w:r>
              <w:rPr>
                <w:rFonts w:ascii="Arial" w:cs="Arial" w:eastAsia="Arial" w:hAnsi="Arial"/>
                <w:sz w:val="18"/>
                <w:szCs w:val="18"/>
                <w:color w:val="0000FF"/>
              </w:rPr>
              <w:t>Consolidated Statements of Changes in Stockholders’ Equity</w:t>
            </w:r>
          </w:p>
        </w:tc>
        <w:tc>
          <w:tcPr>
            <w:tcW w:w="3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6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tcBorders>
              <w:left w:val="single" w:sz="8" w:color="0000FF"/>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360" w:type="dxa"/>
            <w:vAlign w:val="bottom"/>
            <w:gridSpan w:val="14"/>
          </w:tcPr>
          <w:p>
            <w:pPr>
              <w:spacing w:after="0"/>
              <w:rPr>
                <w:sz w:val="20"/>
                <w:szCs w:val="20"/>
                <w:color w:val="auto"/>
              </w:rPr>
            </w:pPr>
            <w:r>
              <w:rPr>
                <w:rFonts w:ascii="Arial" w:cs="Arial" w:eastAsia="Arial" w:hAnsi="Arial"/>
                <w:sz w:val="18"/>
                <w:szCs w:val="18"/>
                <w:color w:val="0000FF"/>
              </w:rPr>
              <w:t>Notes to the Consolidated Financial Statements</w:t>
            </w:r>
          </w:p>
        </w:tc>
        <w:tc>
          <w:tcPr>
            <w:tcW w:w="3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6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360" w:type="dxa"/>
            <w:vAlign w:val="bottom"/>
            <w:gridSpan w:val="14"/>
          </w:tcPr>
          <w:p>
            <w:pPr>
              <w:spacing w:after="0"/>
              <w:rPr>
                <w:sz w:val="20"/>
                <w:szCs w:val="20"/>
                <w:color w:val="auto"/>
              </w:rPr>
            </w:pPr>
            <w:r>
              <w:rPr>
                <w:rFonts w:ascii="Arial" w:cs="Arial" w:eastAsia="Arial" w:hAnsi="Arial"/>
                <w:sz w:val="18"/>
                <w:szCs w:val="18"/>
                <w:color w:val="0000FF"/>
                <w:w w:val="90"/>
              </w:rPr>
              <w:t>Management’s Discussion and Analysis of Financial Conditon and Results of Operatons</w:t>
            </w:r>
          </w:p>
        </w:tc>
        <w:tc>
          <w:tcPr>
            <w:tcW w:w="3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66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5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tcBorders>
              <w:left w:val="single" w:sz="8" w:color="0000FF"/>
            </w:tcBorders>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360" w:type="dxa"/>
            <w:vAlign w:val="bottom"/>
            <w:gridSpan w:val="14"/>
          </w:tcPr>
          <w:p>
            <w:pPr>
              <w:spacing w:after="0"/>
              <w:rPr>
                <w:sz w:val="20"/>
                <w:szCs w:val="20"/>
                <w:color w:val="auto"/>
              </w:rPr>
            </w:pPr>
            <w:r>
              <w:rPr>
                <w:rFonts w:ascii="Arial" w:cs="Arial" w:eastAsia="Arial" w:hAnsi="Arial"/>
                <w:sz w:val="18"/>
                <w:szCs w:val="18"/>
                <w:color w:val="0000FF"/>
              </w:rPr>
              <w:t>Quanttatve and Qualitatve Disclosures About Market Risk</w:t>
            </w:r>
          </w:p>
        </w:tc>
        <w:tc>
          <w:tcPr>
            <w:tcW w:w="3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6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52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636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3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6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85"/>
        </w:trPr>
        <w:tc>
          <w:tcPr>
            <w:tcW w:w="660" w:type="dxa"/>
            <w:vAlign w:val="bottom"/>
          </w:tcPr>
          <w:p>
            <w:pPr>
              <w:ind w:left="20"/>
              <w:spacing w:after="0"/>
              <w:rPr>
                <w:sz w:val="20"/>
                <w:szCs w:val="20"/>
                <w:color w:val="auto"/>
              </w:rPr>
            </w:pPr>
            <w:r>
              <w:rPr>
                <w:rFonts w:ascii="Arial" w:cs="Arial" w:eastAsia="Arial" w:hAnsi="Arial"/>
                <w:sz w:val="18"/>
                <w:szCs w:val="18"/>
                <w:color w:val="auto"/>
              </w:rPr>
              <w:t>Part II.</w:t>
            </w:r>
          </w:p>
        </w:tc>
        <w:tc>
          <w:tcPr>
            <w:tcW w:w="7280" w:type="dxa"/>
            <w:vAlign w:val="bottom"/>
            <w:gridSpan w:val="15"/>
          </w:tcPr>
          <w:p>
            <w:pPr>
              <w:spacing w:after="0"/>
              <w:rPr>
                <w:sz w:val="20"/>
                <w:szCs w:val="20"/>
                <w:color w:val="auto"/>
              </w:rPr>
            </w:pPr>
            <w:r>
              <w:rPr>
                <w:rFonts w:ascii="Arial" w:cs="Arial" w:eastAsia="Arial" w:hAnsi="Arial"/>
                <w:sz w:val="18"/>
                <w:szCs w:val="18"/>
                <w:color w:val="0000FF"/>
              </w:rPr>
              <w:t>Other Informaton</w:t>
            </w:r>
          </w:p>
        </w:tc>
        <w:tc>
          <w:tcPr>
            <w:tcW w:w="33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360" w:type="dxa"/>
            <w:vAlign w:val="bottom"/>
            <w:gridSpan w:val="14"/>
          </w:tcPr>
          <w:p>
            <w:pPr>
              <w:spacing w:after="0"/>
              <w:rPr>
                <w:sz w:val="20"/>
                <w:szCs w:val="20"/>
                <w:color w:val="auto"/>
              </w:rPr>
            </w:pPr>
            <w:r>
              <w:rPr>
                <w:rFonts w:ascii="Arial" w:cs="Arial" w:eastAsia="Arial" w:hAnsi="Arial"/>
                <w:sz w:val="18"/>
                <w:szCs w:val="18"/>
                <w:color w:val="0000FF"/>
              </w:rPr>
              <w:t>Unregistered Sales of Equity Securites and Use of Proceeds</w:t>
            </w:r>
          </w:p>
        </w:tc>
        <w:tc>
          <w:tcPr>
            <w:tcW w:w="3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6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00" w:type="dxa"/>
            <w:vAlign w:val="bottom"/>
            <w:gridSpan w:val="8"/>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6360" w:type="dxa"/>
            <w:vAlign w:val="bottom"/>
            <w:gridSpan w:val="14"/>
          </w:tcPr>
          <w:p>
            <w:pPr>
              <w:spacing w:after="0"/>
              <w:rPr>
                <w:sz w:val="20"/>
                <w:szCs w:val="20"/>
                <w:color w:val="auto"/>
              </w:rPr>
            </w:pPr>
            <w:r>
              <w:rPr>
                <w:rFonts w:ascii="Arial" w:cs="Arial" w:eastAsia="Arial" w:hAnsi="Arial"/>
                <w:sz w:val="18"/>
                <w:szCs w:val="18"/>
                <w:color w:val="0000FF"/>
              </w:rPr>
              <w:t>Other Informaton</w:t>
            </w:r>
          </w:p>
        </w:tc>
        <w:tc>
          <w:tcPr>
            <w:tcW w:w="3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6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360" w:type="dxa"/>
            <w:vAlign w:val="bottom"/>
            <w:gridSpan w:val="14"/>
          </w:tcPr>
          <w:p>
            <w:pPr>
              <w:spacing w:after="0"/>
              <w:rPr>
                <w:sz w:val="20"/>
                <w:szCs w:val="20"/>
                <w:color w:val="auto"/>
              </w:rPr>
            </w:pPr>
            <w:r>
              <w:rPr>
                <w:rFonts w:ascii="Arial" w:cs="Arial" w:eastAsia="Arial" w:hAnsi="Arial"/>
                <w:sz w:val="18"/>
                <w:szCs w:val="18"/>
                <w:color w:val="0000FF"/>
              </w:rPr>
              <w:t>Exhibits</w:t>
            </w:r>
          </w:p>
        </w:tc>
        <w:tc>
          <w:tcPr>
            <w:tcW w:w="3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633"/>
        </w:trPr>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Borders>
              <w:top w:val="single" w:sz="8" w:color="0000FF"/>
            </w:tcBorders>
            <w:gridSpan w:val="3"/>
          </w:tcPr>
          <w:p>
            <w:pPr>
              <w:spacing w:after="0"/>
              <w:rPr>
                <w:sz w:val="24"/>
                <w:szCs w:val="24"/>
                <w:color w:val="auto"/>
              </w:rPr>
            </w:pPr>
          </w:p>
        </w:tc>
        <w:tc>
          <w:tcPr>
            <w:tcW w:w="3680" w:type="dxa"/>
            <w:vAlign w:val="bottom"/>
            <w:gridSpan w:val="8"/>
          </w:tcPr>
          <w:p>
            <w:pPr>
              <w:jc w:val="right"/>
              <w:ind w:right="5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37"/>
        </w:trPr>
        <w:tc>
          <w:tcPr>
            <w:tcW w:w="66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60" w:type="dxa"/>
            <w:vAlign w:val="bottom"/>
            <w:tcBorders>
              <w:bottom w:val="single" w:sz="8" w:color="9A9A9A"/>
            </w:tcBorders>
          </w:tcPr>
          <w:p>
            <w:pPr>
              <w:spacing w:after="0"/>
              <w:rPr>
                <w:sz w:val="11"/>
                <w:szCs w:val="11"/>
                <w:color w:val="auto"/>
              </w:rPr>
            </w:pPr>
          </w:p>
        </w:tc>
        <w:tc>
          <w:tcPr>
            <w:tcW w:w="33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1"/>
        </w:trPr>
        <w:tc>
          <w:tcPr>
            <w:tcW w:w="4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Part I. Financial Informaton</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35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Financial Statements</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74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81"/>
              </w:rPr>
              <w:t>CABOT CORPORATION</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320" w:type="dxa"/>
            <w:vAlign w:val="bottom"/>
            <w:gridSpan w:val="5"/>
          </w:tcPr>
          <w:p>
            <w:pPr>
              <w:jc w:val="center"/>
              <w:ind w:left="2650"/>
              <w:spacing w:after="0"/>
              <w:rPr>
                <w:sz w:val="20"/>
                <w:szCs w:val="20"/>
                <w:color w:val="auto"/>
              </w:rPr>
            </w:pPr>
            <w:r>
              <w:rPr>
                <w:rFonts w:ascii="Arial" w:cs="Arial" w:eastAsia="Arial" w:hAnsi="Arial"/>
                <w:sz w:val="18"/>
                <w:szCs w:val="18"/>
                <w:b w:val="1"/>
                <w:bCs w:val="1"/>
                <w:color w:val="auto"/>
                <w:w w:val="80"/>
              </w:rPr>
              <w:t>CONSOLIDATED STATEMENTS OF OPERATIONS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86"/>
              </w:rPr>
              <w:t>UNAUDITED</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2"/>
              </w:rPr>
              <w:t>Three Months Ended June 30</w:t>
            </w:r>
          </w:p>
        </w:tc>
        <w:tc>
          <w:tcPr>
            <w:tcW w:w="220" w:type="dxa"/>
            <w:vAlign w:val="bottom"/>
          </w:tcPr>
          <w:p>
            <w:pPr>
              <w:spacing w:after="0"/>
              <w:rPr>
                <w:sz w:val="24"/>
                <w:szCs w:val="24"/>
                <w:color w:val="auto"/>
              </w:rPr>
            </w:pPr>
          </w:p>
        </w:tc>
        <w:tc>
          <w:tcPr>
            <w:tcW w:w="22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4"/>
              </w:rPr>
              <w:t>Nine Months Ended June 30</w:t>
            </w:r>
          </w:p>
        </w:tc>
        <w:tc>
          <w:tcPr>
            <w:tcW w:w="0" w:type="dxa"/>
            <w:vAlign w:val="bottom"/>
          </w:tcPr>
          <w:p>
            <w:pPr>
              <w:spacing w:after="0"/>
              <w:rPr>
                <w:sz w:val="1"/>
                <w:szCs w:val="1"/>
                <w:color w:val="auto"/>
              </w:rPr>
            </w:pPr>
          </w:p>
        </w:tc>
      </w:tr>
      <w:tr>
        <w:trPr>
          <w:trHeight w:val="29"/>
        </w:trPr>
        <w:tc>
          <w:tcPr>
            <w:tcW w:w="11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6"/>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sales and other operatng revenues</w:t>
            </w:r>
          </w:p>
        </w:tc>
        <w:tc>
          <w:tcPr>
            <w:tcW w:w="16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Gross proft</w:t>
            </w:r>
          </w:p>
        </w:tc>
        <w:tc>
          <w:tcPr>
            <w:tcW w:w="35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Selling and administratve expenses</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Research and technical expenses</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680" w:type="dxa"/>
            <w:vAlign w:val="bottom"/>
            <w:gridSpan w:val="2"/>
          </w:tcPr>
          <w:p>
            <w:pPr>
              <w:ind w:left="20"/>
              <w:spacing w:after="0"/>
              <w:rPr>
                <w:sz w:val="20"/>
                <w:szCs w:val="20"/>
                <w:color w:val="auto"/>
              </w:rPr>
            </w:pPr>
            <w:r>
              <w:rPr>
                <w:rFonts w:ascii="Arial" w:cs="Arial" w:eastAsia="Arial" w:hAnsi="Arial"/>
                <w:sz w:val="18"/>
                <w:szCs w:val="18"/>
                <w:color w:val="auto"/>
                <w:w w:val="91"/>
              </w:rPr>
              <w:t>Loss on sale of business and asset impairment charge (Note D)</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Gain on bargain purchase of a business (Note C)</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5"/>
        </w:trPr>
        <w:tc>
          <w:tcPr>
            <w:tcW w:w="4680" w:type="dxa"/>
            <w:vAlign w:val="bottom"/>
            <w:tcBorders>
              <w:top w:val="single" w:sz="8" w:color="CFF0FC"/>
            </w:tcBorders>
            <w:gridSpan w:val="2"/>
          </w:tcPr>
          <w:p>
            <w:pPr>
              <w:ind w:left="200"/>
              <w:spacing w:after="0"/>
              <w:rPr>
                <w:sz w:val="20"/>
                <w:szCs w:val="20"/>
                <w:color w:val="auto"/>
              </w:rPr>
            </w:pPr>
            <w:r>
              <w:rPr>
                <w:rFonts w:ascii="Arial" w:cs="Arial" w:eastAsia="Arial" w:hAnsi="Arial"/>
                <w:sz w:val="18"/>
                <w:szCs w:val="18"/>
                <w:color w:val="auto"/>
              </w:rPr>
              <w:t>Income (loss) from operatons</w:t>
            </w:r>
          </w:p>
        </w:tc>
        <w:tc>
          <w:tcPr>
            <w:tcW w:w="14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3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3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and dividend income</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(24 )</w:t>
            </w:r>
          </w:p>
        </w:tc>
        <w:tc>
          <w:tcPr>
            <w:tcW w:w="2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(15 )</w:t>
            </w: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(69 )</w:t>
            </w:r>
          </w:p>
        </w:tc>
        <w:tc>
          <w:tcPr>
            <w:tcW w:w="2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45"/>
        </w:trPr>
        <w:tc>
          <w:tcPr>
            <w:tcW w:w="4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(3 )</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(1 )</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(13 )</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gridSpan w:val="2"/>
          </w:tcPr>
          <w:p>
            <w:pPr>
              <w:ind w:left="200"/>
              <w:spacing w:after="0" w:line="197" w:lineRule="exact"/>
              <w:rPr>
                <w:sz w:val="20"/>
                <w:szCs w:val="20"/>
                <w:color w:val="auto"/>
              </w:rPr>
            </w:pPr>
            <w:r>
              <w:rPr>
                <w:rFonts w:ascii="Arial" w:cs="Arial" w:eastAsia="Arial" w:hAnsi="Arial"/>
                <w:sz w:val="18"/>
                <w:szCs w:val="18"/>
                <w:color w:val="auto"/>
              </w:rPr>
              <w:t>Income (loss) before income taxes</w:t>
            </w:r>
          </w:p>
        </w:tc>
        <w:tc>
          <w:tcPr>
            <w:tcW w:w="14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80" w:type="dxa"/>
            <w:vAlign w:val="bottom"/>
            <w:gridSpan w:val="2"/>
          </w:tcPr>
          <w:p>
            <w:pPr>
              <w:ind w:left="320"/>
              <w:spacing w:after="0"/>
              <w:rPr>
                <w:sz w:val="20"/>
                <w:szCs w:val="20"/>
                <w:color w:val="auto"/>
              </w:rPr>
            </w:pPr>
            <w:r>
              <w:rPr>
                <w:rFonts w:ascii="Arial" w:cs="Arial" w:eastAsia="Arial" w:hAnsi="Arial"/>
                <w:sz w:val="18"/>
                <w:szCs w:val="18"/>
                <w:color w:val="auto"/>
              </w:rPr>
              <w:t>and equity in earnings of afliated companies</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4680" w:type="dxa"/>
            <w:vAlign w:val="bottom"/>
            <w:gridSpan w:val="2"/>
          </w:tcPr>
          <w:p>
            <w:pPr>
              <w:spacing w:after="0"/>
              <w:rPr>
                <w:sz w:val="3"/>
                <w:szCs w:val="3"/>
                <w:color w:val="auto"/>
              </w:rPr>
            </w:pPr>
          </w:p>
        </w:tc>
        <w:tc>
          <w:tcPr>
            <w:tcW w:w="1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(Provision) beneft for income taxes</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(41 )</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(49 )</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(90 )</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FF0FC"/>
            </w:tcBorders>
            <w:gridSpan w:val="2"/>
          </w:tcPr>
          <w:p>
            <w:pPr>
              <w:ind w:left="20"/>
              <w:spacing w:after="0"/>
              <w:rPr>
                <w:sz w:val="20"/>
                <w:szCs w:val="20"/>
                <w:color w:val="auto"/>
              </w:rPr>
            </w:pPr>
            <w:r>
              <w:rPr>
                <w:rFonts w:ascii="Arial" w:cs="Arial" w:eastAsia="Arial" w:hAnsi="Arial"/>
                <w:sz w:val="18"/>
                <w:szCs w:val="18"/>
                <w:color w:val="auto"/>
              </w:rPr>
              <w:t>Equity in earnings of afliated companies, net of tax</w:t>
            </w:r>
          </w:p>
        </w:tc>
        <w:tc>
          <w:tcPr>
            <w:tcW w:w="14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income (loss)</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gridSpan w:val="2"/>
          </w:tcPr>
          <w:p>
            <w:pPr>
              <w:ind w:left="20"/>
              <w:spacing w:after="0" w:line="197" w:lineRule="exact"/>
              <w:rPr>
                <w:sz w:val="20"/>
                <w:szCs w:val="20"/>
                <w:color w:val="auto"/>
              </w:rPr>
            </w:pPr>
            <w:r>
              <w:rPr>
                <w:rFonts w:ascii="Arial" w:cs="Arial" w:eastAsia="Arial" w:hAnsi="Arial"/>
                <w:sz w:val="18"/>
                <w:szCs w:val="18"/>
                <w:color w:val="auto"/>
                <w:w w:val="97"/>
              </w:rPr>
              <w:t>Net income (loss) atributable to noncontrolling interests, net</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100" w:type="dxa"/>
            <w:vAlign w:val="bottom"/>
          </w:tcPr>
          <w:p>
            <w:pPr>
              <w:ind w:left="140"/>
              <w:spacing w:after="0"/>
              <w:rPr>
                <w:sz w:val="20"/>
                <w:szCs w:val="20"/>
                <w:color w:val="auto"/>
              </w:rPr>
            </w:pPr>
            <w:r>
              <w:rPr>
                <w:rFonts w:ascii="Arial" w:cs="Arial" w:eastAsia="Arial" w:hAnsi="Arial"/>
                <w:sz w:val="18"/>
                <w:szCs w:val="18"/>
                <w:color w:val="auto"/>
              </w:rPr>
              <w:t>of tax</w:t>
            </w:r>
          </w:p>
        </w:tc>
        <w:tc>
          <w:tcPr>
            <w:tcW w:w="3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6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6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income (loss) atributable to Cabot Corporaton</w:t>
            </w:r>
          </w:p>
        </w:tc>
        <w:tc>
          <w:tcPr>
            <w:tcW w:w="14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3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3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680" w:type="dxa"/>
            <w:vAlign w:val="bottom"/>
            <w:gridSpan w:val="2"/>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100" w:type="dxa"/>
            <w:vAlign w:val="bottom"/>
          </w:tcPr>
          <w:p>
            <w:pPr>
              <w:ind w:left="200"/>
              <w:spacing w:after="0"/>
              <w:rPr>
                <w:sz w:val="20"/>
                <w:szCs w:val="20"/>
                <w:color w:val="auto"/>
              </w:rPr>
            </w:pPr>
            <w:r>
              <w:rPr>
                <w:rFonts w:ascii="Arial" w:cs="Arial" w:eastAsia="Arial" w:hAnsi="Arial"/>
                <w:sz w:val="18"/>
                <w:szCs w:val="18"/>
                <w:color w:val="auto"/>
              </w:rPr>
              <w:t>Basic</w:t>
            </w:r>
          </w:p>
        </w:tc>
        <w:tc>
          <w:tcPr>
            <w:tcW w:w="3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35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gridSpan w:val="2"/>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Earnings (loss) per common share:</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100" w:type="dxa"/>
            <w:vAlign w:val="bottom"/>
          </w:tcPr>
          <w:p>
            <w:pPr>
              <w:ind w:left="200"/>
              <w:spacing w:after="0"/>
              <w:rPr>
                <w:sz w:val="20"/>
                <w:szCs w:val="20"/>
                <w:color w:val="auto"/>
              </w:rPr>
            </w:pPr>
            <w:r>
              <w:rPr>
                <w:rFonts w:ascii="Arial" w:cs="Arial" w:eastAsia="Arial" w:hAnsi="Arial"/>
                <w:sz w:val="18"/>
                <w:szCs w:val="18"/>
                <w:color w:val="auto"/>
              </w:rPr>
              <w:t>Basic</w:t>
            </w:r>
          </w:p>
        </w:tc>
        <w:tc>
          <w:tcPr>
            <w:tcW w:w="3580" w:type="dxa"/>
            <w:vAlign w:val="bottom"/>
          </w:tcPr>
          <w:p>
            <w:pPr>
              <w:spacing w:after="0"/>
              <w:rPr>
                <w:sz w:val="20"/>
                <w:szCs w:val="20"/>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35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-3102610</wp:posOffset>
            </wp:positionV>
            <wp:extent cx="7747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-3102610</wp:posOffset>
            </wp:positionV>
            <wp:extent cx="8572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-3102610</wp:posOffset>
            </wp:positionV>
            <wp:extent cx="8572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-3102610</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-2477135</wp:posOffset>
            </wp:positionV>
            <wp:extent cx="7747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-2477135</wp:posOffset>
            </wp:positionV>
            <wp:extent cx="85725"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-2477135</wp:posOffset>
            </wp:positionV>
            <wp:extent cx="85725"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-2477135</wp:posOffset>
            </wp:positionV>
            <wp:extent cx="85725"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-1868170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-1868170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-1868170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-1868170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-1259205</wp:posOffset>
            </wp:positionV>
            <wp:extent cx="262318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23185" cy="17970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5"/>
                <w:szCs w:val="15"/>
                <w:color w:val="auto"/>
              </w:rPr>
            </w:pPr>
          </w:p>
        </w:tc>
        <w:tc>
          <w:tcPr>
            <w:tcW w:w="2620" w:type="dxa"/>
            <w:vAlign w:val="bottom"/>
            <w:gridSpan w:val="6"/>
          </w:tcPr>
          <w:p>
            <w:pPr>
              <w:jc w:val="right"/>
              <w:ind w:right="528"/>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5"/>
                <w:szCs w:val="15"/>
                <w:color w:val="auto"/>
              </w:rPr>
            </w:pPr>
          </w:p>
        </w:tc>
        <w:tc>
          <w:tcPr>
            <w:tcW w:w="21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2"/>
              </w:rPr>
              <w:t>Nine Months Ended June 30</w:t>
            </w:r>
          </w:p>
        </w:tc>
        <w:tc>
          <w:tcPr>
            <w:tcW w:w="0" w:type="dxa"/>
            <w:vAlign w:val="bottom"/>
          </w:tcPr>
          <w:p>
            <w:pPr>
              <w:spacing w:after="0"/>
              <w:rPr>
                <w:sz w:val="1"/>
                <w:szCs w:val="1"/>
                <w:color w:val="auto"/>
              </w:rPr>
            </w:pPr>
          </w:p>
        </w:tc>
      </w:tr>
      <w:tr>
        <w:trPr>
          <w:trHeight w:val="29"/>
        </w:trPr>
        <w:tc>
          <w:tcPr>
            <w:tcW w:w="6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millions)</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68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2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translaton adjustment, net of tax</w:t>
            </w:r>
          </w:p>
        </w:tc>
        <w:tc>
          <w:tcPr>
            <w:tcW w:w="68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7"/>
              </w:rPr>
              <w:t>(20 )</w:t>
            </w: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(102 )</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35"/>
        </w:trPr>
        <w:tc>
          <w:tcPr>
            <w:tcW w:w="6200" w:type="dxa"/>
            <w:vAlign w:val="bottom"/>
          </w:tcPr>
          <w:p>
            <w:pPr>
              <w:ind w:left="200"/>
              <w:spacing w:after="0"/>
              <w:rPr>
                <w:sz w:val="20"/>
                <w:szCs w:val="20"/>
                <w:color w:val="auto"/>
              </w:rPr>
            </w:pPr>
            <w:r>
              <w:rPr>
                <w:rFonts w:ascii="Arial" w:cs="Arial" w:eastAsia="Arial" w:hAnsi="Arial"/>
                <w:sz w:val="18"/>
                <w:szCs w:val="18"/>
                <w:color w:val="auto"/>
              </w:rPr>
              <w:t>Derivatves: net investment hedges</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(Gains) losses reclassifed to interest expense, net of tax</w:t>
            </w:r>
          </w:p>
        </w:tc>
        <w:tc>
          <w:tcPr>
            <w:tcW w:w="68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(1 )</w:t>
            </w: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(1 )</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(4 )</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97"/>
        </w:trPr>
        <w:tc>
          <w:tcPr>
            <w:tcW w:w="6200" w:type="dxa"/>
            <w:vAlign w:val="bottom"/>
          </w:tcPr>
          <w:p>
            <w:pPr>
              <w:ind w:left="380"/>
              <w:spacing w:after="0" w:line="197" w:lineRule="exact"/>
              <w:rPr>
                <w:sz w:val="20"/>
                <w:szCs w:val="20"/>
                <w:color w:val="auto"/>
              </w:rPr>
            </w:pPr>
            <w:r>
              <w:rPr>
                <w:rFonts w:ascii="Arial" w:cs="Arial" w:eastAsia="Arial" w:hAnsi="Arial"/>
                <w:sz w:val="18"/>
                <w:szCs w:val="18"/>
                <w:color w:val="auto"/>
              </w:rPr>
              <w:t>(Gains) losses excluded from efectveness testng and amortzed</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200" w:type="dxa"/>
            <w:vAlign w:val="bottom"/>
          </w:tcPr>
          <w:p>
            <w:pPr>
              <w:ind w:left="380"/>
              <w:spacing w:after="0"/>
              <w:rPr>
                <w:sz w:val="20"/>
                <w:szCs w:val="20"/>
                <w:color w:val="auto"/>
              </w:rPr>
            </w:pPr>
            <w:r>
              <w:rPr>
                <w:rFonts w:ascii="Arial" w:cs="Arial" w:eastAsia="Arial" w:hAnsi="Arial"/>
                <w:sz w:val="18"/>
                <w:szCs w:val="18"/>
                <w:color w:val="auto"/>
              </w:rPr>
              <w:t>to interest expense, net of tax</w:t>
            </w:r>
          </w:p>
        </w:tc>
        <w:tc>
          <w:tcPr>
            <w:tcW w:w="680" w:type="dxa"/>
            <w:vAlign w:val="bottom"/>
          </w:tcPr>
          <w:p>
            <w:pPr>
              <w:spacing w:after="0"/>
              <w:rPr>
                <w:sz w:val="19"/>
                <w:szCs w:val="19"/>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6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6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Pension and other postretrement beneft liability adjustments, net of tax</w:t>
            </w:r>
          </w:p>
        </w:tc>
        <w:tc>
          <w:tcPr>
            <w:tcW w:w="6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(1 )</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6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tcPr>
          <w:p>
            <w:pPr>
              <w:ind w:left="200"/>
              <w:spacing w:after="0"/>
              <w:rPr>
                <w:sz w:val="20"/>
                <w:szCs w:val="20"/>
                <w:color w:val="auto"/>
              </w:rPr>
            </w:pPr>
            <w:r>
              <w:rPr>
                <w:rFonts w:ascii="Arial" w:cs="Arial" w:eastAsia="Arial" w:hAnsi="Arial"/>
                <w:sz w:val="18"/>
                <w:szCs w:val="18"/>
                <w:color w:val="auto"/>
              </w:rPr>
              <w:t>Other comprehensive income (loss), net of tax of $—, $ —, $— and ($1)</w:t>
            </w:r>
          </w:p>
        </w:tc>
        <w:tc>
          <w:tcPr>
            <w:tcW w:w="68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(21 )</w:t>
            </w:r>
          </w:p>
        </w:tc>
        <w:tc>
          <w:tcPr>
            <w:tcW w:w="220" w:type="dxa"/>
            <w:vAlign w:val="bottom"/>
          </w:tcPr>
          <w:p>
            <w:pPr>
              <w:spacing w:after="0"/>
              <w:rPr>
                <w:sz w:val="20"/>
                <w:szCs w:val="20"/>
                <w:color w:val="auto"/>
              </w:rPr>
            </w:pPr>
          </w:p>
        </w:tc>
        <w:tc>
          <w:tcPr>
            <w:tcW w:w="1080" w:type="dxa"/>
            <w:vAlign w:val="bottom"/>
            <w:gridSpan w:val="2"/>
          </w:tcPr>
          <w:p>
            <w:pPr>
              <w:jc w:val="right"/>
              <w:ind w:right="188"/>
              <w:spacing w:after="0"/>
              <w:rPr>
                <w:sz w:val="20"/>
                <w:szCs w:val="20"/>
                <w:color w:val="auto"/>
              </w:rPr>
            </w:pPr>
            <w:r>
              <w:rPr>
                <w:rFonts w:ascii="Arial" w:cs="Arial" w:eastAsia="Arial" w:hAnsi="Arial"/>
                <w:sz w:val="18"/>
                <w:szCs w:val="18"/>
                <w:color w:val="auto"/>
              </w:rPr>
              <w:t>(103 )</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37"/>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(loss)</w:t>
            </w:r>
          </w:p>
        </w:tc>
        <w:tc>
          <w:tcPr>
            <w:tcW w:w="68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00" w:type="dxa"/>
            <w:vAlign w:val="bottom"/>
          </w:tcPr>
          <w:p>
            <w:pPr>
              <w:ind w:left="200"/>
              <w:spacing w:after="0" w:line="197" w:lineRule="exact"/>
              <w:rPr>
                <w:sz w:val="20"/>
                <w:szCs w:val="20"/>
                <w:color w:val="auto"/>
              </w:rPr>
            </w:pPr>
            <w:r>
              <w:rPr>
                <w:rFonts w:ascii="Arial" w:cs="Arial" w:eastAsia="Arial" w:hAnsi="Arial"/>
                <w:sz w:val="18"/>
                <w:szCs w:val="18"/>
                <w:color w:val="auto"/>
              </w:rPr>
              <w:t>Net income (loss) atributable to noncontrolling interests, net</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200" w:type="dxa"/>
            <w:vAlign w:val="bottom"/>
          </w:tcPr>
          <w:p>
            <w:pPr>
              <w:ind w:left="320"/>
              <w:spacing w:after="0"/>
              <w:rPr>
                <w:sz w:val="20"/>
                <w:szCs w:val="20"/>
                <w:color w:val="auto"/>
              </w:rPr>
            </w:pPr>
            <w:r>
              <w:rPr>
                <w:rFonts w:ascii="Arial" w:cs="Arial" w:eastAsia="Arial" w:hAnsi="Arial"/>
                <w:sz w:val="18"/>
                <w:szCs w:val="18"/>
                <w:color w:val="auto"/>
              </w:rPr>
              <w:t>of tax</w:t>
            </w:r>
          </w:p>
        </w:tc>
        <w:tc>
          <w:tcPr>
            <w:tcW w:w="6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6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shd w:val="clear" w:color="auto" w:fill="CFF0FC"/>
          </w:tcPr>
          <w:p>
            <w:pPr>
              <w:ind w:left="200"/>
              <w:spacing w:after="0" w:line="197" w:lineRule="exact"/>
              <w:rPr>
                <w:sz w:val="20"/>
                <w:szCs w:val="20"/>
                <w:color w:val="auto"/>
              </w:rPr>
            </w:pPr>
            <w:r>
              <w:rPr>
                <w:rFonts w:ascii="Arial" w:cs="Arial" w:eastAsia="Arial" w:hAnsi="Arial"/>
                <w:sz w:val="18"/>
                <w:szCs w:val="18"/>
                <w:color w:val="auto"/>
              </w:rPr>
              <w:t>Foreign currency translaton adjustment atributable to</w:t>
            </w:r>
          </w:p>
        </w:tc>
        <w:tc>
          <w:tcPr>
            <w:tcW w:w="680" w:type="dxa"/>
            <w:vAlign w:val="bottom"/>
            <w:shd w:val="clear" w:color="auto" w:fill="CFF0FC"/>
          </w:tcPr>
          <w:p>
            <w:pPr>
              <w:spacing w:after="0"/>
              <w:rPr>
                <w:sz w:val="17"/>
                <w:szCs w:val="17"/>
                <w:color w:val="auto"/>
              </w:rPr>
            </w:pPr>
          </w:p>
        </w:tc>
        <w:tc>
          <w:tcPr>
            <w:tcW w:w="64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(6 )</w:t>
            </w:r>
          </w:p>
        </w:tc>
        <w:tc>
          <w:tcPr>
            <w:tcW w:w="220" w:type="dxa"/>
            <w:vAlign w:val="bottom"/>
            <w:shd w:val="clear" w:color="auto" w:fill="CFF0FC"/>
          </w:tcPr>
          <w:p>
            <w:pPr>
              <w:spacing w:after="0"/>
              <w:rPr>
                <w:sz w:val="17"/>
                <w:szCs w:val="17"/>
                <w:color w:val="auto"/>
              </w:rPr>
            </w:pPr>
          </w:p>
        </w:tc>
        <w:tc>
          <w:tcPr>
            <w:tcW w:w="1080" w:type="dxa"/>
            <w:vAlign w:val="bottom"/>
            <w:gridSpan w:val="2"/>
            <w:vMerge w:val="restart"/>
            <w:shd w:val="clear" w:color="auto" w:fill="CFF0FC"/>
          </w:tcPr>
          <w:p>
            <w:pPr>
              <w:jc w:val="right"/>
              <w:ind w:right="188"/>
              <w:spacing w:after="0"/>
              <w:rPr>
                <w:sz w:val="20"/>
                <w:szCs w:val="20"/>
                <w:color w:val="auto"/>
              </w:rPr>
            </w:pPr>
            <w:r>
              <w:rPr>
                <w:rFonts w:ascii="Arial" w:cs="Arial" w:eastAsia="Arial" w:hAnsi="Arial"/>
                <w:sz w:val="18"/>
                <w:szCs w:val="18"/>
                <w:color w:val="auto"/>
              </w:rPr>
              <w:t>(9 )</w:t>
            </w:r>
          </w:p>
        </w:tc>
        <w:tc>
          <w:tcPr>
            <w:tcW w:w="24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noncontrolling interests, net of tax</w:t>
            </w:r>
          </w:p>
        </w:tc>
        <w:tc>
          <w:tcPr>
            <w:tcW w:w="6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gridSpan w:val="2"/>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gridSpan w:val="2"/>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gridSpan w:val="2"/>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Comprehensive income (loss) atributable to noncontrolling interests</w:t>
            </w:r>
          </w:p>
        </w:tc>
        <w:tc>
          <w:tcPr>
            <w:tcW w:w="6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(loss) atributable to Cabot Corporaton</w:t>
            </w:r>
          </w:p>
        </w:tc>
        <w:tc>
          <w:tcPr>
            <w:tcW w:w="680" w:type="dxa"/>
            <w:vAlign w:val="bottom"/>
            <w:tcBorders>
              <w:bottom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3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-1259205</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-1259205</wp:posOffset>
            </wp:positionV>
            <wp:extent cx="857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-1259205</wp:posOffset>
            </wp:positionV>
            <wp:extent cx="857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-1259205</wp:posOffset>
            </wp:positionV>
            <wp:extent cx="857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-934085</wp:posOffset>
            </wp:positionV>
            <wp:extent cx="85725"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-934085</wp:posOffset>
            </wp:positionV>
            <wp:extent cx="85725"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-934085</wp:posOffset>
            </wp:positionV>
            <wp:extent cx="85725"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-934085</wp:posOffset>
            </wp:positionV>
            <wp:extent cx="85725"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-350520</wp:posOffset>
            </wp:positionV>
            <wp:extent cx="8572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-350520</wp:posOffset>
            </wp:positionV>
            <wp:extent cx="8572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-350520</wp:posOffset>
            </wp:positionV>
            <wp:extent cx="8572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-350520</wp:posOffset>
            </wp:positionV>
            <wp:extent cx="8572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 2023</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91"/>
              <w:spacing w:after="0"/>
              <w:rPr>
                <w:sz w:val="20"/>
                <w:szCs w:val="20"/>
                <w:color w:val="auto"/>
              </w:rPr>
            </w:pPr>
            <w:r>
              <w:rPr>
                <w:rFonts w:ascii="Arial" w:cs="Arial" w:eastAsia="Arial" w:hAnsi="Arial"/>
                <w:sz w:val="14"/>
                <w:szCs w:val="14"/>
                <w:b w:val="1"/>
                <w:bCs w:val="1"/>
                <w:color w:val="auto"/>
                <w:w w:val="91"/>
              </w:rPr>
              <w:t>September 30, 2022</w:t>
            </w:r>
          </w:p>
        </w:tc>
        <w:tc>
          <w:tcPr>
            <w:tcW w:w="140" w:type="dxa"/>
            <w:vAlign w:val="bottom"/>
          </w:tcPr>
          <w:p>
            <w:pPr>
              <w:spacing w:after="0"/>
              <w:rPr>
                <w:sz w:val="15"/>
                <w:szCs w:val="15"/>
                <w:color w:val="auto"/>
              </w:rPr>
            </w:pPr>
          </w:p>
        </w:tc>
      </w:tr>
      <w:tr>
        <w:trPr>
          <w:trHeight w:val="29"/>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r>
      <w:tr>
        <w:trPr>
          <w:trHeight w:val="187"/>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880" w:type="dxa"/>
            <w:vAlign w:val="bottom"/>
            <w:gridSpan w:val="3"/>
          </w:tcPr>
          <w:p>
            <w:pPr>
              <w:jc w:val="right"/>
              <w:ind w:right="1271"/>
              <w:spacing w:after="0"/>
              <w:rPr>
                <w:sz w:val="20"/>
                <w:szCs w:val="20"/>
                <w:color w:val="auto"/>
              </w:rPr>
            </w:pPr>
            <w:r>
              <w:rPr>
                <w:rFonts w:ascii="Arial" w:cs="Arial" w:eastAsia="Arial" w:hAnsi="Arial"/>
                <w:sz w:val="14"/>
                <w:szCs w:val="14"/>
                <w:b w:val="1"/>
                <w:bCs w:val="1"/>
                <w:color w:val="auto"/>
                <w:w w:val="86"/>
              </w:rPr>
              <w:t>millions)</w:t>
            </w:r>
          </w:p>
        </w:tc>
        <w:tc>
          <w:tcPr>
            <w:tcW w:w="140" w:type="dxa"/>
            <w:vAlign w:val="bottom"/>
          </w:tcPr>
          <w:p>
            <w:pPr>
              <w:spacing w:after="0"/>
              <w:rPr>
                <w:sz w:val="16"/>
                <w:szCs w:val="16"/>
                <w:color w:val="auto"/>
              </w:rPr>
            </w:pPr>
          </w:p>
        </w:tc>
      </w:tr>
      <w:tr>
        <w:trPr>
          <w:trHeight w:val="252"/>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5"/>
        </w:trPr>
        <w:tc>
          <w:tcPr>
            <w:tcW w:w="76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220</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20"/>
                <w:szCs w:val="20"/>
                <w:color w:val="auto"/>
              </w:rPr>
            </w:pPr>
          </w:p>
        </w:tc>
      </w:tr>
      <w:tr>
        <w:trPr>
          <w:trHeight w:val="205"/>
        </w:trPr>
        <w:tc>
          <w:tcPr>
            <w:tcW w:w="7640" w:type="dxa"/>
            <w:vAlign w:val="bottom"/>
            <w:shd w:val="clear" w:color="auto" w:fill="CFF0FC"/>
          </w:tcPr>
          <w:p>
            <w:pPr>
              <w:ind w:left="200"/>
              <w:spacing w:after="0" w:line="205" w:lineRule="exact"/>
              <w:rPr>
                <w:sz w:val="20"/>
                <w:szCs w:val="20"/>
                <w:color w:val="auto"/>
              </w:rPr>
            </w:pPr>
            <w:r>
              <w:rPr>
                <w:rFonts w:ascii="Arial" w:cs="Arial" w:eastAsia="Arial" w:hAnsi="Arial"/>
                <w:sz w:val="18"/>
                <w:szCs w:val="18"/>
                <w:color w:val="auto"/>
              </w:rPr>
              <w:t>Accounts and notes receivable, net of reserve for doubtul</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42"/>
        </w:trPr>
        <w:tc>
          <w:tcPr>
            <w:tcW w:w="764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accounts of $2 and $3</w:t>
            </w:r>
          </w:p>
        </w:tc>
        <w:tc>
          <w:tcPr>
            <w:tcW w:w="2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5"/>
        </w:trPr>
        <w:tc>
          <w:tcPr>
            <w:tcW w:w="76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1"/>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FF0FC"/>
          </w:tcPr>
          <w:p>
            <w:pPr>
              <w:spacing w:after="0"/>
              <w:rPr>
                <w:sz w:val="21"/>
                <w:szCs w:val="21"/>
                <w:color w:val="auto"/>
              </w:rPr>
            </w:pPr>
          </w:p>
        </w:tc>
      </w:tr>
      <w:tr>
        <w:trPr>
          <w:trHeight w:val="235"/>
        </w:trPr>
        <w:tc>
          <w:tcPr>
            <w:tcW w:w="7640" w:type="dxa"/>
            <w:vAlign w:val="bottom"/>
          </w:tcPr>
          <w:p>
            <w:pPr>
              <w:ind w:left="38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51"/>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0"/>
                <w:szCs w:val="20"/>
                <w:color w:val="auto"/>
              </w:rPr>
            </w:pPr>
          </w:p>
        </w:tc>
      </w:tr>
      <w:tr>
        <w:trPr>
          <w:trHeight w:val="243"/>
        </w:trPr>
        <w:tc>
          <w:tcPr>
            <w:tcW w:w="76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inventories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0"/>
                <w:szCs w:val="20"/>
                <w:color w:val="auto"/>
              </w:rPr>
            </w:pPr>
          </w:p>
        </w:tc>
      </w:tr>
      <w:tr>
        <w:trPr>
          <w:trHeight w:val="243"/>
        </w:trPr>
        <w:tc>
          <w:tcPr>
            <w:tcW w:w="76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140" w:type="dxa"/>
            <w:vAlign w:val="bottom"/>
            <w:shd w:val="clear" w:color="auto" w:fill="CFF0FC"/>
          </w:tcPr>
          <w:p>
            <w:pPr>
              <w:spacing w:after="0"/>
              <w:rPr>
                <w:sz w:val="21"/>
                <w:szCs w:val="21"/>
                <w:color w:val="auto"/>
              </w:rPr>
            </w:pPr>
          </w:p>
        </w:tc>
      </w:tr>
      <w:tr>
        <w:trPr>
          <w:trHeight w:val="235"/>
        </w:trPr>
        <w:tc>
          <w:tcPr>
            <w:tcW w:w="76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1,270</w:t>
            </w:r>
          </w:p>
        </w:tc>
        <w:tc>
          <w:tcPr>
            <w:tcW w:w="140" w:type="dxa"/>
            <w:vAlign w:val="bottom"/>
          </w:tcPr>
          <w:p>
            <w:pPr>
              <w:spacing w:after="0"/>
              <w:rPr>
                <w:sz w:val="20"/>
                <w:szCs w:val="20"/>
                <w:color w:val="auto"/>
              </w:rPr>
            </w:pPr>
          </w:p>
        </w:tc>
      </w:tr>
      <w:tr>
        <w:trPr>
          <w:trHeight w:val="251"/>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FF0FC"/>
          </w:tcPr>
          <w:p>
            <w:pPr>
              <w:spacing w:after="0"/>
              <w:rPr>
                <w:sz w:val="21"/>
                <w:szCs w:val="21"/>
                <w:color w:val="auto"/>
              </w:rPr>
            </w:pPr>
          </w:p>
        </w:tc>
      </w:tr>
      <w:tr>
        <w:trPr>
          <w:trHeight w:val="235"/>
        </w:trPr>
        <w:tc>
          <w:tcPr>
            <w:tcW w:w="7640" w:type="dxa"/>
            <w:vAlign w:val="bottom"/>
          </w:tcPr>
          <w:p>
            <w:pPr>
              <w:ind w:left="20"/>
              <w:spacing w:after="0"/>
              <w:rPr>
                <w:sz w:val="20"/>
                <w:szCs w:val="20"/>
                <w:color w:val="auto"/>
              </w:rPr>
            </w:pPr>
            <w:r>
              <w:rPr>
                <w:rFonts w:ascii="Arial" w:cs="Arial" w:eastAsia="Arial" w:hAnsi="Arial"/>
                <w:sz w:val="18"/>
                <w:szCs w:val="18"/>
                <w:color w:val="auto"/>
              </w:rPr>
              <w:t>Equity afliates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r>
      <w:tr>
        <w:trPr>
          <w:trHeight w:val="251"/>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21"/>
                <w:szCs w:val="21"/>
                <w:color w:val="auto"/>
              </w:rPr>
            </w:pPr>
          </w:p>
        </w:tc>
      </w:tr>
      <w:tr>
        <w:trPr>
          <w:trHeight w:val="235"/>
        </w:trPr>
        <w:tc>
          <w:tcPr>
            <w:tcW w:w="76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0"/>
                <w:szCs w:val="20"/>
                <w:color w:val="auto"/>
              </w:rPr>
            </w:pPr>
          </w:p>
        </w:tc>
      </w:tr>
      <w:tr>
        <w:trPr>
          <w:trHeight w:val="245"/>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3,387</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3,525</w:t>
            </w:r>
          </w:p>
        </w:tc>
        <w:tc>
          <w:tcPr>
            <w:tcW w:w="14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-187960</wp:posOffset>
            </wp:positionV>
            <wp:extent cx="85725"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 2022</w:t>
            </w:r>
          </w:p>
        </w:tc>
      </w:tr>
      <w:tr>
        <w:trPr>
          <w:trHeight w:val="29"/>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r>
      <w:tr>
        <w:trPr>
          <w:trHeight w:val="177"/>
        </w:trPr>
        <w:tc>
          <w:tcPr>
            <w:tcW w:w="7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1880" w:type="dxa"/>
            <w:vAlign w:val="bottom"/>
            <w:gridSpan w:val="3"/>
          </w:tcPr>
          <w:p>
            <w:pPr>
              <w:jc w:val="right"/>
              <w:ind w:right="891"/>
              <w:spacing w:after="0"/>
              <w:rPr>
                <w:sz w:val="20"/>
                <w:szCs w:val="20"/>
                <w:color w:val="auto"/>
              </w:rPr>
            </w:pPr>
            <w:r>
              <w:rPr>
                <w:rFonts w:ascii="Arial" w:cs="Arial" w:eastAsia="Arial" w:hAnsi="Arial"/>
                <w:sz w:val="14"/>
                <w:szCs w:val="14"/>
                <w:b w:val="1"/>
                <w:bCs w:val="1"/>
                <w:color w:val="auto"/>
              </w:rPr>
              <w:t>except share</w:t>
            </w:r>
          </w:p>
        </w:tc>
        <w:tc>
          <w:tcPr>
            <w:tcW w:w="140" w:type="dxa"/>
            <w:vAlign w:val="bottom"/>
          </w:tcPr>
          <w:p>
            <w:pPr>
              <w:spacing w:after="0"/>
              <w:rPr>
                <w:sz w:val="15"/>
                <w:szCs w:val="15"/>
                <w:color w:val="auto"/>
              </w:rPr>
            </w:pPr>
          </w:p>
        </w:tc>
      </w:tr>
      <w:tr>
        <w:trPr>
          <w:trHeight w:val="192"/>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and per share amounts)</w:t>
            </w:r>
          </w:p>
        </w:tc>
      </w:tr>
      <w:tr>
        <w:trPr>
          <w:trHeight w:val="29"/>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5"/>
        </w:trPr>
        <w:tc>
          <w:tcPr>
            <w:tcW w:w="764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20"/>
                <w:szCs w:val="20"/>
                <w:color w:val="auto"/>
              </w:rPr>
            </w:pPr>
          </w:p>
        </w:tc>
      </w:tr>
      <w:tr>
        <w:trPr>
          <w:trHeight w:val="251"/>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 and accrued liabilites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40" w:type="dxa"/>
            <w:vAlign w:val="bottom"/>
            <w:shd w:val="clear" w:color="auto" w:fill="CFF0FC"/>
          </w:tcPr>
          <w:p>
            <w:pPr>
              <w:spacing w:after="0"/>
              <w:rPr>
                <w:sz w:val="21"/>
                <w:szCs w:val="21"/>
                <w:color w:val="auto"/>
              </w:rPr>
            </w:pPr>
          </w:p>
        </w:tc>
      </w:tr>
      <w:tr>
        <w:trPr>
          <w:trHeight w:val="235"/>
        </w:trPr>
        <w:tc>
          <w:tcPr>
            <w:tcW w:w="764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r>
      <w:tr>
        <w:trPr>
          <w:trHeight w:val="245"/>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Current porton of long-term debt</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Total current liabilites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40" w:type="dxa"/>
            <w:vAlign w:val="bottom"/>
          </w:tcPr>
          <w:p>
            <w:pPr>
              <w:spacing w:after="0"/>
              <w:rPr>
                <w:sz w:val="20"/>
                <w:szCs w:val="20"/>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140" w:type="dxa"/>
            <w:vAlign w:val="bottom"/>
            <w:shd w:val="clear" w:color="auto" w:fill="CFF0FC"/>
          </w:tcPr>
          <w:p>
            <w:pPr>
              <w:spacing w:after="0"/>
              <w:rPr>
                <w:sz w:val="21"/>
                <w:szCs w:val="21"/>
                <w:color w:val="auto"/>
              </w:rPr>
            </w:pPr>
          </w:p>
        </w:tc>
      </w:tr>
      <w:tr>
        <w:trPr>
          <w:trHeight w:val="235"/>
        </w:trPr>
        <w:tc>
          <w:tcPr>
            <w:tcW w:w="76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0"/>
                <w:szCs w:val="20"/>
                <w:color w:val="auto"/>
              </w:rPr>
            </w:pPr>
          </w:p>
        </w:tc>
      </w:tr>
      <w:tr>
        <w:trPr>
          <w:trHeight w:val="251"/>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FF0FC"/>
          </w:tcPr>
          <w:p>
            <w:pPr>
              <w:spacing w:after="0"/>
              <w:rPr>
                <w:sz w:val="21"/>
                <w:szCs w:val="21"/>
                <w:color w:val="auto"/>
              </w:rPr>
            </w:pPr>
          </w:p>
        </w:tc>
      </w:tr>
      <w:tr>
        <w:trPr>
          <w:trHeight w:val="235"/>
        </w:trPr>
        <w:tc>
          <w:tcPr>
            <w:tcW w:w="7640" w:type="dxa"/>
            <w:vAlign w:val="bottom"/>
          </w:tcPr>
          <w:p>
            <w:pPr>
              <w:ind w:left="20"/>
              <w:spacing w:after="0"/>
              <w:rPr>
                <w:sz w:val="20"/>
                <w:szCs w:val="20"/>
                <w:color w:val="auto"/>
              </w:rPr>
            </w:pPr>
            <w:r>
              <w:rPr>
                <w:rFonts w:ascii="Arial" w:cs="Arial" w:eastAsia="Arial" w:hAnsi="Arial"/>
                <w:sz w:val="18"/>
                <w:szCs w:val="18"/>
                <w:color w:val="auto"/>
              </w:rPr>
              <w:t>Contngencies (Note G)</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1"/>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5"/>
        </w:trPr>
        <w:tc>
          <w:tcPr>
            <w:tcW w:w="764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1"/>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2,000,000 shares of $1 par value, Issued and Outstanding: None and none</w:t>
            </w: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5"/>
        </w:trPr>
        <w:tc>
          <w:tcPr>
            <w:tcW w:w="76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5"/>
        </w:trPr>
        <w:tc>
          <w:tcPr>
            <w:tcW w:w="7640" w:type="dxa"/>
            <w:vAlign w:val="bottom"/>
            <w:shd w:val="clear" w:color="auto" w:fill="CFF0FC"/>
          </w:tcPr>
          <w:p>
            <w:pPr>
              <w:ind w:left="380"/>
              <w:spacing w:after="0" w:line="205" w:lineRule="exact"/>
              <w:rPr>
                <w:sz w:val="20"/>
                <w:szCs w:val="20"/>
                <w:color w:val="auto"/>
              </w:rPr>
            </w:pPr>
            <w:r>
              <w:rPr>
                <w:rFonts w:ascii="Arial" w:cs="Arial" w:eastAsia="Arial" w:hAnsi="Arial"/>
                <w:sz w:val="18"/>
                <w:szCs w:val="18"/>
                <w:color w:val="auto"/>
                <w:w w:val="98"/>
              </w:rPr>
              <w:t>Authorized: 200,000,000 shares of $1 par value, Issued: 56,072,816 and 56,385,963 shares,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42"/>
        </w:trPr>
        <w:tc>
          <w:tcPr>
            <w:tcW w:w="7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Outstanding: 55,936,984 and 56,248,559 shares</w:t>
            </w:r>
          </w:p>
        </w:tc>
        <w:tc>
          <w:tcPr>
            <w:tcW w:w="2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5"/>
        </w:trPr>
        <w:tc>
          <w:tcPr>
            <w:tcW w:w="7640" w:type="dxa"/>
            <w:vAlign w:val="bottom"/>
          </w:tcPr>
          <w:p>
            <w:pPr>
              <w:ind w:left="380"/>
              <w:spacing w:after="0"/>
              <w:rPr>
                <w:sz w:val="20"/>
                <w:szCs w:val="20"/>
                <w:color w:val="auto"/>
              </w:rPr>
            </w:pPr>
            <w:r>
              <w:rPr>
                <w:rFonts w:ascii="Arial" w:cs="Arial" w:eastAsia="Arial" w:hAnsi="Arial"/>
                <w:sz w:val="18"/>
                <w:szCs w:val="18"/>
                <w:color w:val="auto"/>
              </w:rPr>
              <w:t>Less cost of 135,832 and 137,404 shares of common treasury stock</w:t>
            </w:r>
          </w:p>
        </w:tc>
        <w:tc>
          <w:tcPr>
            <w:tcW w:w="260" w:type="dxa"/>
            <w:vAlign w:val="bottom"/>
          </w:tcPr>
          <w:p>
            <w:pPr>
              <w:spacing w:after="0"/>
              <w:rPr>
                <w:sz w:val="20"/>
                <w:szCs w:val="20"/>
                <w:color w:val="auto"/>
              </w:rPr>
            </w:pPr>
          </w:p>
        </w:tc>
        <w:tc>
          <w:tcPr>
            <w:tcW w:w="1660" w:type="dxa"/>
            <w:vAlign w:val="bottom"/>
            <w:gridSpan w:val="2"/>
          </w:tcPr>
          <w:p>
            <w:pPr>
              <w:jc w:val="right"/>
              <w:ind w:right="208"/>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r>
      <w:tr>
        <w:trPr>
          <w:trHeight w:val="251"/>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Additonal paid-in capital</w:t>
            </w: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r>
      <w:tr>
        <w:trPr>
          <w:trHeight w:val="235"/>
        </w:trPr>
        <w:tc>
          <w:tcPr>
            <w:tcW w:w="764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1,407</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1,284</w:t>
            </w:r>
          </w:p>
        </w:tc>
        <w:tc>
          <w:tcPr>
            <w:tcW w:w="140" w:type="dxa"/>
            <w:vAlign w:val="bottom"/>
          </w:tcPr>
          <w:p>
            <w:pPr>
              <w:spacing w:after="0"/>
              <w:rPr>
                <w:sz w:val="20"/>
                <w:szCs w:val="20"/>
                <w:color w:val="auto"/>
              </w:rPr>
            </w:pPr>
          </w:p>
        </w:tc>
      </w:tr>
      <w:tr>
        <w:trPr>
          <w:trHeight w:val="245"/>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(329 )</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(439 )</w:t>
            </w:r>
          </w:p>
        </w:tc>
      </w:tr>
      <w:tr>
        <w:trPr>
          <w:trHeight w:val="235"/>
        </w:trPr>
        <w:tc>
          <w:tcPr>
            <w:tcW w:w="76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Cabot Corporaton stockholders' equity</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3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40" w:type="dxa"/>
            <w:vAlign w:val="bottom"/>
            <w:tcBorders>
              <w:top w:val="single" w:sz="8" w:color="CFF0FC"/>
            </w:tcBorders>
          </w:tcPr>
          <w:p>
            <w:pPr>
              <w:spacing w:after="0"/>
              <w:rPr>
                <w:sz w:val="20"/>
                <w:szCs w:val="20"/>
                <w:color w:val="auto"/>
              </w:rPr>
            </w:pPr>
          </w:p>
        </w:tc>
      </w:tr>
      <w:tr>
        <w:trPr>
          <w:trHeight w:val="245"/>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0"/>
                <w:szCs w:val="20"/>
                <w:color w:val="auto"/>
              </w:rPr>
            </w:pPr>
          </w:p>
        </w:tc>
      </w:tr>
      <w:tr>
        <w:trPr>
          <w:trHeight w:val="276"/>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liabilites and stockholders' equity</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3,387</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-2982595</wp:posOffset>
            </wp:positionV>
            <wp:extent cx="8572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-2982595</wp:posOffset>
            </wp:positionV>
            <wp:extent cx="8572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-668020</wp:posOffset>
            </wp:positionV>
            <wp:extent cx="85725"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-668020</wp:posOffset>
            </wp:positionV>
            <wp:extent cx="85725"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-350520</wp:posOffset>
            </wp:positionV>
            <wp:extent cx="8572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-350520</wp:posOffset>
            </wp:positionV>
            <wp:extent cx="8572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CABOT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20" w:type="dxa"/>
            <w:vAlign w:val="bottom"/>
          </w:tcPr>
          <w:p>
            <w:pPr>
              <w:spacing w:after="0"/>
              <w:rPr>
                <w:sz w:val="16"/>
                <w:szCs w:val="16"/>
                <w:color w:val="auto"/>
              </w:rPr>
            </w:pPr>
          </w:p>
        </w:tc>
        <w:tc>
          <w:tcPr>
            <w:tcW w:w="3140" w:type="dxa"/>
            <w:vAlign w:val="bottom"/>
            <w:gridSpan w:val="4"/>
          </w:tcPr>
          <w:p>
            <w:pPr>
              <w:jc w:val="right"/>
              <w:ind w:right="424"/>
              <w:spacing w:after="0"/>
              <w:rPr>
                <w:sz w:val="20"/>
                <w:szCs w:val="20"/>
                <w:color w:val="auto"/>
              </w:rPr>
            </w:pPr>
            <w:r>
              <w:rPr>
                <w:rFonts w:ascii="Arial" w:cs="Arial" w:eastAsia="Arial" w:hAnsi="Arial"/>
                <w:sz w:val="15"/>
                <w:szCs w:val="15"/>
                <w:b w:val="1"/>
                <w:bCs w:val="1"/>
                <w:color w:val="auto"/>
              </w:rPr>
              <w:t>Nine Months Ended June 30</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1"/>
        </w:trPr>
        <w:tc>
          <w:tcPr>
            <w:tcW w:w="762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88"/>
        </w:trPr>
        <w:tc>
          <w:tcPr>
            <w:tcW w:w="7620" w:type="dxa"/>
            <w:vAlign w:val="bottom"/>
          </w:tcPr>
          <w:p>
            <w:pPr>
              <w:spacing w:after="0"/>
              <w:rPr>
                <w:sz w:val="16"/>
                <w:szCs w:val="16"/>
                <w:color w:val="auto"/>
              </w:rPr>
            </w:pPr>
          </w:p>
        </w:tc>
        <w:tc>
          <w:tcPr>
            <w:tcW w:w="1240" w:type="dxa"/>
            <w:vAlign w:val="bottom"/>
          </w:tcPr>
          <w:p>
            <w:pPr>
              <w:jc w:val="right"/>
              <w:ind w:right="224"/>
              <w:spacing w:after="0"/>
              <w:rPr>
                <w:sz w:val="20"/>
                <w:szCs w:val="20"/>
                <w:color w:val="auto"/>
              </w:rPr>
            </w:pPr>
            <w:r>
              <w:rPr>
                <w:rFonts w:ascii="Arial" w:cs="Arial" w:eastAsia="Arial" w:hAnsi="Arial"/>
                <w:sz w:val="15"/>
                <w:szCs w:val="15"/>
                <w:b w:val="1"/>
                <w:bCs w:val="1"/>
                <w:color w:val="auto"/>
              </w:rPr>
              <w:t>2023</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04"/>
              <w:spacing w:after="0"/>
              <w:rPr>
                <w:sz w:val="20"/>
                <w:szCs w:val="20"/>
                <w:color w:val="auto"/>
              </w:rPr>
            </w:pPr>
            <w:r>
              <w:rPr>
                <w:rFonts w:ascii="Arial" w:cs="Arial" w:eastAsia="Arial" w:hAnsi="Arial"/>
                <w:sz w:val="15"/>
                <w:szCs w:val="15"/>
                <w:b w:val="1"/>
                <w:bCs w:val="1"/>
                <w:color w:val="auto"/>
              </w:rPr>
              <w:t>2022</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
        </w:trPr>
        <w:tc>
          <w:tcPr>
            <w:tcW w:w="7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8"/>
        </w:trPr>
        <w:tc>
          <w:tcPr>
            <w:tcW w:w="7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(In</w:t>
            </w:r>
          </w:p>
        </w:tc>
        <w:tc>
          <w:tcPr>
            <w:tcW w:w="1580" w:type="dxa"/>
            <w:vAlign w:val="bottom"/>
            <w:gridSpan w:val="2"/>
          </w:tcPr>
          <w:p>
            <w:pPr>
              <w:jc w:val="right"/>
              <w:ind w:right="944"/>
              <w:spacing w:after="0"/>
              <w:rPr>
                <w:sz w:val="20"/>
                <w:szCs w:val="20"/>
                <w:color w:val="auto"/>
              </w:rPr>
            </w:pPr>
            <w:r>
              <w:rPr>
                <w:rFonts w:ascii="Arial" w:cs="Arial" w:eastAsia="Arial" w:hAnsi="Arial"/>
                <w:sz w:val="15"/>
                <w:szCs w:val="15"/>
                <w:b w:val="1"/>
                <w:bCs w:val="1"/>
                <w:color w:val="auto"/>
                <w:w w:val="87"/>
              </w:rPr>
              <w:t>millions)</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
        </w:trPr>
        <w:tc>
          <w:tcPr>
            <w:tcW w:w="7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Operatng Actvites:</w:t>
            </w:r>
          </w:p>
        </w:tc>
        <w:tc>
          <w:tcPr>
            <w:tcW w:w="1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r>
      <w:tr>
        <w:trPr>
          <w:trHeight w:val="193"/>
        </w:trPr>
        <w:tc>
          <w:tcPr>
            <w:tcW w:w="7620" w:type="dxa"/>
            <w:vAlign w:val="bottom"/>
          </w:tcPr>
          <w:p>
            <w:pPr>
              <w:ind w:left="160"/>
              <w:spacing w:after="0"/>
              <w:rPr>
                <w:sz w:val="20"/>
                <w:szCs w:val="20"/>
                <w:color w:val="auto"/>
              </w:rPr>
            </w:pPr>
            <w:r>
              <w:rPr>
                <w:rFonts w:ascii="Arial" w:cs="Arial" w:eastAsia="Arial" w:hAnsi="Arial"/>
                <w:sz w:val="15"/>
                <w:szCs w:val="15"/>
                <w:color w:val="auto"/>
              </w:rPr>
              <w:t>Net income (loss)</w:t>
            </w:r>
          </w:p>
        </w:tc>
        <w:tc>
          <w:tcPr>
            <w:tcW w:w="1240" w:type="dxa"/>
            <w:vAlign w:val="bottom"/>
          </w:tcPr>
          <w:p>
            <w:pPr>
              <w:jc w:val="right"/>
              <w:ind w:right="1064"/>
              <w:spacing w:after="0"/>
              <w:rPr>
                <w:sz w:val="20"/>
                <w:szCs w:val="20"/>
                <w:color w:val="auto"/>
              </w:rPr>
            </w:pPr>
            <w:r>
              <w:rPr>
                <w:rFonts w:ascii="Arial" w:cs="Arial" w:eastAsia="Arial" w:hAnsi="Arial"/>
                <w:sz w:val="15"/>
                <w:szCs w:val="15"/>
                <w:color w:val="auto"/>
                <w:w w:val="95"/>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238</w:t>
            </w:r>
          </w:p>
        </w:tc>
        <w:tc>
          <w:tcPr>
            <w:tcW w:w="360" w:type="dxa"/>
            <w:vAlign w:val="bottom"/>
          </w:tcPr>
          <w:p>
            <w:pPr>
              <w:spacing w:after="0"/>
              <w:rPr>
                <w:sz w:val="16"/>
                <w:szCs w:val="16"/>
                <w:color w:val="auto"/>
              </w:rPr>
            </w:pPr>
          </w:p>
        </w:tc>
        <w:tc>
          <w:tcPr>
            <w:tcW w:w="1220" w:type="dxa"/>
            <w:vAlign w:val="bottom"/>
          </w:tcPr>
          <w:p>
            <w:pPr>
              <w:jc w:val="right"/>
              <w:ind w:right="1064"/>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140</w:t>
            </w:r>
          </w:p>
        </w:tc>
        <w:tc>
          <w:tcPr>
            <w:tcW w:w="140" w:type="dxa"/>
            <w:vAlign w:val="bottom"/>
          </w:tcPr>
          <w:p>
            <w:pPr>
              <w:spacing w:after="0"/>
              <w:rPr>
                <w:sz w:val="16"/>
                <w:szCs w:val="16"/>
                <w:color w:val="auto"/>
              </w:rPr>
            </w:pPr>
          </w:p>
        </w:tc>
      </w:tr>
      <w:tr>
        <w:trPr>
          <w:trHeight w:val="23"/>
        </w:trPr>
        <w:tc>
          <w:tcPr>
            <w:tcW w:w="7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6"/>
        </w:trPr>
        <w:tc>
          <w:tcPr>
            <w:tcW w:w="7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5"/>
                <w:szCs w:val="15"/>
                <w:color w:val="auto"/>
              </w:rPr>
              <w:t>Adjustments to reconcile net income (loss) to cash provided (used) by operatng actvites:</w:t>
            </w:r>
          </w:p>
        </w:tc>
        <w:tc>
          <w:tcPr>
            <w:tcW w:w="1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r>
      <w:tr>
        <w:trPr>
          <w:trHeight w:val="193"/>
        </w:trPr>
        <w:tc>
          <w:tcPr>
            <w:tcW w:w="7620" w:type="dxa"/>
            <w:vAlign w:val="bottom"/>
          </w:tcPr>
          <w:p>
            <w:pPr>
              <w:ind w:left="300"/>
              <w:spacing w:after="0"/>
              <w:rPr>
                <w:sz w:val="20"/>
                <w:szCs w:val="20"/>
                <w:color w:val="auto"/>
              </w:rPr>
            </w:pPr>
            <w:r>
              <w:rPr>
                <w:rFonts w:ascii="Arial" w:cs="Arial" w:eastAsia="Arial" w:hAnsi="Arial"/>
                <w:sz w:val="15"/>
                <w:szCs w:val="15"/>
                <w:color w:val="auto"/>
              </w:rPr>
              <w:t>Depreciaton and amortzaton</w:t>
            </w:r>
          </w:p>
        </w:tc>
        <w:tc>
          <w:tcPr>
            <w:tcW w:w="1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107</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111</w:t>
            </w:r>
          </w:p>
        </w:tc>
        <w:tc>
          <w:tcPr>
            <w:tcW w:w="140" w:type="dxa"/>
            <w:vAlign w:val="bottom"/>
          </w:tcPr>
          <w:p>
            <w:pPr>
              <w:spacing w:after="0"/>
              <w:rPr>
                <w:sz w:val="16"/>
                <w:szCs w:val="16"/>
                <w:color w:val="auto"/>
              </w:rPr>
            </w:pPr>
          </w:p>
        </w:tc>
      </w:tr>
      <w:tr>
        <w:trPr>
          <w:trHeight w:val="23"/>
        </w:trPr>
        <w:tc>
          <w:tcPr>
            <w:tcW w:w="7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6"/>
        </w:trPr>
        <w:tc>
          <w:tcPr>
            <w:tcW w:w="7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5"/>
                <w:szCs w:val="15"/>
                <w:color w:val="auto"/>
              </w:rPr>
              <w:t>Loss on sale of business and asset impairment charge</w:t>
            </w:r>
          </w:p>
        </w:tc>
        <w:tc>
          <w:tcPr>
            <w:tcW w:w="1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206</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193"/>
        </w:trPr>
        <w:tc>
          <w:tcPr>
            <w:tcW w:w="7620" w:type="dxa"/>
            <w:vAlign w:val="bottom"/>
          </w:tcPr>
          <w:p>
            <w:pPr>
              <w:ind w:left="300"/>
              <w:spacing w:after="0"/>
              <w:rPr>
                <w:sz w:val="20"/>
                <w:szCs w:val="20"/>
                <w:color w:val="auto"/>
              </w:rPr>
            </w:pPr>
            <w:r>
              <w:rPr>
                <w:rFonts w:ascii="Arial" w:cs="Arial" w:eastAsia="Arial" w:hAnsi="Arial"/>
                <w:sz w:val="15"/>
                <w:szCs w:val="15"/>
                <w:color w:val="auto"/>
              </w:rPr>
              <w:t>Gain on sale of land</w:t>
            </w:r>
          </w:p>
        </w:tc>
        <w:tc>
          <w:tcPr>
            <w:tcW w:w="1240" w:type="dxa"/>
            <w:vAlign w:val="bottom"/>
          </w:tcPr>
          <w:p>
            <w:pPr>
              <w:spacing w:after="0"/>
              <w:rPr>
                <w:sz w:val="16"/>
                <w:szCs w:val="16"/>
                <w:color w:val="auto"/>
              </w:rPr>
            </w:pPr>
          </w:p>
        </w:tc>
        <w:tc>
          <w:tcPr>
            <w:tcW w:w="680" w:type="dxa"/>
            <w:vAlign w:val="bottom"/>
            <w:gridSpan w:val="2"/>
          </w:tcPr>
          <w:p>
            <w:pPr>
              <w:jc w:val="right"/>
              <w:ind w:right="204"/>
              <w:spacing w:after="0"/>
              <w:rPr>
                <w:sz w:val="20"/>
                <w:szCs w:val="20"/>
                <w:color w:val="auto"/>
              </w:rPr>
            </w:pPr>
            <w:r>
              <w:rPr>
                <w:rFonts w:ascii="Arial" w:cs="Arial" w:eastAsia="Arial" w:hAnsi="Arial"/>
                <w:sz w:val="15"/>
                <w:szCs w:val="15"/>
                <w:color w:val="auto"/>
              </w:rPr>
              <w:t>(1 )</w:t>
            </w:r>
          </w:p>
        </w:tc>
        <w:tc>
          <w:tcPr>
            <w:tcW w:w="1220" w:type="dxa"/>
            <w:vAlign w:val="bottom"/>
          </w:tcPr>
          <w:p>
            <w:pPr>
              <w:spacing w:after="0"/>
              <w:rPr>
                <w:sz w:val="16"/>
                <w:szCs w:val="16"/>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(17 )</w:t>
            </w:r>
          </w:p>
        </w:tc>
      </w:tr>
      <w:tr>
        <w:trPr>
          <w:trHeight w:val="23"/>
        </w:trPr>
        <w:tc>
          <w:tcPr>
            <w:tcW w:w="7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r>
      <w:tr>
        <w:trPr>
          <w:trHeight w:val="196"/>
        </w:trPr>
        <w:tc>
          <w:tcPr>
            <w:tcW w:w="7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5"/>
                <w:szCs w:val="15"/>
                <w:color w:val="auto"/>
              </w:rPr>
              <w:t>Gain on bargain purchase of a business</w:t>
            </w:r>
          </w:p>
        </w:tc>
        <w:tc>
          <w:tcPr>
            <w:tcW w:w="12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gridSpan w:val="2"/>
            <w:shd w:val="clear" w:color="auto" w:fill="CFF0FC"/>
          </w:tcPr>
          <w:p>
            <w:pPr>
              <w:jc w:val="right"/>
              <w:ind w:right="28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(24 )</w:t>
            </w:r>
          </w:p>
        </w:tc>
      </w:tr>
      <w:tr>
        <w:trPr>
          <w:trHeight w:val="193"/>
        </w:trPr>
        <w:tc>
          <w:tcPr>
            <w:tcW w:w="7620" w:type="dxa"/>
            <w:vAlign w:val="bottom"/>
          </w:tcPr>
          <w:p>
            <w:pPr>
              <w:ind w:left="300"/>
              <w:spacing w:after="0"/>
              <w:rPr>
                <w:sz w:val="20"/>
                <w:szCs w:val="20"/>
                <w:color w:val="auto"/>
              </w:rPr>
            </w:pPr>
            <w:r>
              <w:rPr>
                <w:rFonts w:ascii="Arial" w:cs="Arial" w:eastAsia="Arial" w:hAnsi="Arial"/>
                <w:sz w:val="15"/>
                <w:szCs w:val="15"/>
                <w:color w:val="auto"/>
              </w:rPr>
              <w:t>Deferred tax provision (beneft)</w:t>
            </w:r>
          </w:p>
        </w:tc>
        <w:tc>
          <w:tcPr>
            <w:tcW w:w="1240" w:type="dxa"/>
            <w:vAlign w:val="bottom"/>
          </w:tcPr>
          <w:p>
            <w:pPr>
              <w:spacing w:after="0"/>
              <w:rPr>
                <w:sz w:val="16"/>
                <w:szCs w:val="16"/>
                <w:color w:val="auto"/>
              </w:rPr>
            </w:pPr>
          </w:p>
        </w:tc>
        <w:tc>
          <w:tcPr>
            <w:tcW w:w="680" w:type="dxa"/>
            <w:vAlign w:val="bottom"/>
            <w:gridSpan w:val="2"/>
          </w:tcPr>
          <w:p>
            <w:pPr>
              <w:jc w:val="right"/>
              <w:ind w:right="204"/>
              <w:spacing w:after="0"/>
              <w:rPr>
                <w:sz w:val="20"/>
                <w:szCs w:val="20"/>
                <w:color w:val="auto"/>
              </w:rPr>
            </w:pPr>
            <w:r>
              <w:rPr>
                <w:rFonts w:ascii="Arial" w:cs="Arial" w:eastAsia="Arial" w:hAnsi="Arial"/>
                <w:sz w:val="15"/>
                <w:szCs w:val="15"/>
                <w:color w:val="auto"/>
              </w:rPr>
              <w:t>(1 )</w:t>
            </w:r>
          </w:p>
        </w:tc>
        <w:tc>
          <w:tcPr>
            <w:tcW w:w="1220" w:type="dxa"/>
            <w:vAlign w:val="bottom"/>
          </w:tcPr>
          <w:p>
            <w:pPr>
              <w:spacing w:after="0"/>
              <w:rPr>
                <w:sz w:val="16"/>
                <w:szCs w:val="16"/>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(39 )</w:t>
            </w:r>
          </w:p>
        </w:tc>
      </w:tr>
      <w:tr>
        <w:trPr>
          <w:trHeight w:val="23"/>
        </w:trPr>
        <w:tc>
          <w:tcPr>
            <w:tcW w:w="7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r>
      <w:tr>
        <w:trPr>
          <w:trHeight w:val="196"/>
        </w:trPr>
        <w:tc>
          <w:tcPr>
            <w:tcW w:w="7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5"/>
                <w:szCs w:val="15"/>
                <w:color w:val="auto"/>
              </w:rPr>
              <w:t>Equity in earnings of afliated companies</w:t>
            </w:r>
          </w:p>
        </w:tc>
        <w:tc>
          <w:tcPr>
            <w:tcW w:w="12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(4 )</w:t>
            </w:r>
          </w:p>
        </w:tc>
        <w:tc>
          <w:tcPr>
            <w:tcW w:w="1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(7 )</w:t>
            </w:r>
          </w:p>
        </w:tc>
      </w:tr>
      <w:tr>
        <w:trPr>
          <w:trHeight w:val="193"/>
        </w:trPr>
        <w:tc>
          <w:tcPr>
            <w:tcW w:w="7620" w:type="dxa"/>
            <w:vAlign w:val="bottom"/>
          </w:tcPr>
          <w:p>
            <w:pPr>
              <w:ind w:left="300"/>
              <w:spacing w:after="0"/>
              <w:rPr>
                <w:sz w:val="20"/>
                <w:szCs w:val="20"/>
                <w:color w:val="auto"/>
              </w:rPr>
            </w:pPr>
            <w:r>
              <w:rPr>
                <w:rFonts w:ascii="Arial" w:cs="Arial" w:eastAsia="Arial" w:hAnsi="Arial"/>
                <w:sz w:val="15"/>
                <w:szCs w:val="15"/>
                <w:color w:val="auto"/>
              </w:rPr>
              <w:t>Share-based compensaton</w:t>
            </w:r>
          </w:p>
        </w:tc>
        <w:tc>
          <w:tcPr>
            <w:tcW w:w="1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15</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17</w:t>
            </w:r>
          </w:p>
        </w:tc>
        <w:tc>
          <w:tcPr>
            <w:tcW w:w="140" w:type="dxa"/>
            <w:vAlign w:val="bottom"/>
          </w:tcPr>
          <w:p>
            <w:pPr>
              <w:spacing w:after="0"/>
              <w:rPr>
                <w:sz w:val="16"/>
                <w:szCs w:val="16"/>
                <w:color w:val="auto"/>
              </w:rPr>
            </w:pPr>
          </w:p>
        </w:tc>
      </w:tr>
      <w:tr>
        <w:trPr>
          <w:trHeight w:val="23"/>
        </w:trPr>
        <w:tc>
          <w:tcPr>
            <w:tcW w:w="7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6"/>
        </w:trPr>
        <w:tc>
          <w:tcPr>
            <w:tcW w:w="7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5"/>
                <w:szCs w:val="15"/>
                <w:color w:val="auto"/>
              </w:rPr>
              <w:t>Other non-cash (income) expense</w:t>
            </w:r>
          </w:p>
        </w:tc>
        <w:tc>
          <w:tcPr>
            <w:tcW w:w="1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15</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193"/>
        </w:trPr>
        <w:tc>
          <w:tcPr>
            <w:tcW w:w="7620" w:type="dxa"/>
            <w:vAlign w:val="bottom"/>
          </w:tcPr>
          <w:p>
            <w:pPr>
              <w:ind w:left="300"/>
              <w:spacing w:after="0"/>
              <w:rPr>
                <w:sz w:val="20"/>
                <w:szCs w:val="20"/>
                <w:color w:val="auto"/>
              </w:rPr>
            </w:pPr>
            <w:r>
              <w:rPr>
                <w:rFonts w:ascii="Arial" w:cs="Arial" w:eastAsia="Arial" w:hAnsi="Arial"/>
                <w:sz w:val="15"/>
                <w:szCs w:val="15"/>
                <w:color w:val="auto"/>
              </w:rPr>
              <w:t>Cash dividends received from equity afliates</w:t>
            </w:r>
          </w:p>
        </w:tc>
        <w:tc>
          <w:tcPr>
            <w:tcW w:w="1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6"/>
                <w:szCs w:val="16"/>
                <w:color w:val="auto"/>
              </w:rPr>
            </w:pPr>
          </w:p>
        </w:tc>
      </w:tr>
      <w:tr>
        <w:trPr>
          <w:trHeight w:val="23"/>
        </w:trPr>
        <w:tc>
          <w:tcPr>
            <w:tcW w:w="7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6"/>
        </w:trPr>
        <w:tc>
          <w:tcPr>
            <w:tcW w:w="7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5"/>
                <w:szCs w:val="15"/>
                <w:color w:val="auto"/>
              </w:rPr>
              <w:t>Changes in assets and liabilites:</w:t>
            </w:r>
          </w:p>
        </w:tc>
        <w:tc>
          <w:tcPr>
            <w:tcW w:w="1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r>
      <w:tr>
        <w:trPr>
          <w:trHeight w:val="193"/>
        </w:trPr>
        <w:tc>
          <w:tcPr>
            <w:tcW w:w="7620" w:type="dxa"/>
            <w:vAlign w:val="bottom"/>
          </w:tcPr>
          <w:p>
            <w:pPr>
              <w:ind w:left="460"/>
              <w:spacing w:after="0"/>
              <w:rPr>
                <w:sz w:val="20"/>
                <w:szCs w:val="20"/>
                <w:color w:val="auto"/>
              </w:rPr>
            </w:pPr>
            <w:r>
              <w:rPr>
                <w:rFonts w:ascii="Arial" w:cs="Arial" w:eastAsia="Arial" w:hAnsi="Arial"/>
                <w:sz w:val="15"/>
                <w:szCs w:val="15"/>
                <w:color w:val="auto"/>
              </w:rPr>
              <w:t>Accounts and notes receivable</w:t>
            </w:r>
          </w:p>
        </w:tc>
        <w:tc>
          <w:tcPr>
            <w:tcW w:w="1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173</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w w:val="96"/>
              </w:rPr>
              <w:t>(286 )</w:t>
            </w:r>
          </w:p>
        </w:tc>
      </w:tr>
      <w:tr>
        <w:trPr>
          <w:trHeight w:val="23"/>
        </w:trPr>
        <w:tc>
          <w:tcPr>
            <w:tcW w:w="7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r>
      <w:tr>
        <w:trPr>
          <w:trHeight w:val="196"/>
        </w:trPr>
        <w:tc>
          <w:tcPr>
            <w:tcW w:w="762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5"/>
                <w:szCs w:val="15"/>
                <w:color w:val="auto"/>
              </w:rPr>
              <w:t>Inventories</w:t>
            </w:r>
          </w:p>
        </w:tc>
        <w:tc>
          <w:tcPr>
            <w:tcW w:w="1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96"/>
              </w:rPr>
              <w:t>(231 )</w:t>
            </w:r>
          </w:p>
        </w:tc>
      </w:tr>
      <w:tr>
        <w:trPr>
          <w:trHeight w:val="193"/>
        </w:trPr>
        <w:tc>
          <w:tcPr>
            <w:tcW w:w="7620" w:type="dxa"/>
            <w:vAlign w:val="bottom"/>
          </w:tcPr>
          <w:p>
            <w:pPr>
              <w:ind w:left="460"/>
              <w:spacing w:after="0"/>
              <w:rPr>
                <w:sz w:val="20"/>
                <w:szCs w:val="20"/>
                <w:color w:val="auto"/>
              </w:rPr>
            </w:pPr>
            <w:r>
              <w:rPr>
                <w:rFonts w:ascii="Arial" w:cs="Arial" w:eastAsia="Arial" w:hAnsi="Arial"/>
                <w:sz w:val="15"/>
                <w:szCs w:val="15"/>
                <w:color w:val="auto"/>
              </w:rPr>
              <w:t>Prepaid expenses and other assets</w:t>
            </w:r>
          </w:p>
        </w:tc>
        <w:tc>
          <w:tcPr>
            <w:tcW w:w="1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17</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(35 )</w:t>
            </w:r>
          </w:p>
        </w:tc>
      </w:tr>
      <w:tr>
        <w:trPr>
          <w:trHeight w:val="23"/>
        </w:trPr>
        <w:tc>
          <w:tcPr>
            <w:tcW w:w="7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6"/>
        </w:trPr>
        <w:tc>
          <w:tcPr>
            <w:tcW w:w="762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5"/>
                <w:szCs w:val="15"/>
                <w:color w:val="auto"/>
              </w:rPr>
              <w:t>Accounts payable and accrued liabilites</w:t>
            </w:r>
          </w:p>
        </w:tc>
        <w:tc>
          <w:tcPr>
            <w:tcW w:w="12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gridSpan w:val="2"/>
            <w:shd w:val="clear" w:color="auto" w:fill="CFF0FC"/>
          </w:tcPr>
          <w:p>
            <w:pPr>
              <w:jc w:val="right"/>
              <w:ind w:right="204"/>
              <w:spacing w:after="0"/>
              <w:rPr>
                <w:sz w:val="20"/>
                <w:szCs w:val="20"/>
                <w:color w:val="auto"/>
              </w:rPr>
            </w:pPr>
            <w:r>
              <w:rPr>
                <w:rFonts w:ascii="Arial" w:cs="Arial" w:eastAsia="Arial" w:hAnsi="Arial"/>
                <w:sz w:val="15"/>
                <w:szCs w:val="15"/>
                <w:color w:val="auto"/>
                <w:w w:val="96"/>
              </w:rPr>
              <w:t>(177 )</w:t>
            </w:r>
          </w:p>
        </w:tc>
        <w:tc>
          <w:tcPr>
            <w:tcW w:w="1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127</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193"/>
        </w:trPr>
        <w:tc>
          <w:tcPr>
            <w:tcW w:w="7620" w:type="dxa"/>
            <w:vAlign w:val="bottom"/>
          </w:tcPr>
          <w:p>
            <w:pPr>
              <w:ind w:left="460"/>
              <w:spacing w:after="0"/>
              <w:rPr>
                <w:sz w:val="20"/>
                <w:szCs w:val="20"/>
                <w:color w:val="auto"/>
              </w:rPr>
            </w:pPr>
            <w:r>
              <w:rPr>
                <w:rFonts w:ascii="Arial" w:cs="Arial" w:eastAsia="Arial" w:hAnsi="Arial"/>
                <w:sz w:val="15"/>
                <w:szCs w:val="15"/>
                <w:color w:val="auto"/>
              </w:rPr>
              <w:t>Income taxes payable</w:t>
            </w:r>
          </w:p>
        </w:tc>
        <w:tc>
          <w:tcPr>
            <w:tcW w:w="1240" w:type="dxa"/>
            <w:vAlign w:val="bottom"/>
          </w:tcPr>
          <w:p>
            <w:pPr>
              <w:spacing w:after="0"/>
              <w:rPr>
                <w:sz w:val="16"/>
                <w:szCs w:val="16"/>
                <w:color w:val="auto"/>
              </w:rPr>
            </w:pPr>
          </w:p>
        </w:tc>
        <w:tc>
          <w:tcPr>
            <w:tcW w:w="680" w:type="dxa"/>
            <w:vAlign w:val="bottom"/>
            <w:gridSpan w:val="2"/>
          </w:tcPr>
          <w:p>
            <w:pPr>
              <w:jc w:val="right"/>
              <w:ind w:right="204"/>
              <w:spacing w:after="0"/>
              <w:rPr>
                <w:sz w:val="20"/>
                <w:szCs w:val="20"/>
                <w:color w:val="auto"/>
              </w:rPr>
            </w:pPr>
            <w:r>
              <w:rPr>
                <w:rFonts w:ascii="Arial" w:cs="Arial" w:eastAsia="Arial" w:hAnsi="Arial"/>
                <w:sz w:val="15"/>
                <w:szCs w:val="15"/>
                <w:color w:val="auto"/>
              </w:rPr>
              <w:t>(18 )</w:t>
            </w:r>
          </w:p>
        </w:tc>
        <w:tc>
          <w:tcPr>
            <w:tcW w:w="1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18</w:t>
            </w:r>
          </w:p>
        </w:tc>
        <w:tc>
          <w:tcPr>
            <w:tcW w:w="140" w:type="dxa"/>
            <w:vAlign w:val="bottom"/>
          </w:tcPr>
          <w:p>
            <w:pPr>
              <w:spacing w:after="0"/>
              <w:rPr>
                <w:sz w:val="16"/>
                <w:szCs w:val="16"/>
                <w:color w:val="auto"/>
              </w:rPr>
            </w:pPr>
          </w:p>
        </w:tc>
      </w:tr>
      <w:tr>
        <w:trPr>
          <w:trHeight w:val="23"/>
        </w:trPr>
        <w:tc>
          <w:tcPr>
            <w:tcW w:w="7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r>
      <w:tr>
        <w:trPr>
          <w:trHeight w:val="196"/>
        </w:trPr>
        <w:tc>
          <w:tcPr>
            <w:tcW w:w="762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5"/>
                <w:szCs w:val="15"/>
                <w:color w:val="auto"/>
              </w:rPr>
              <w:t>Other liabilites</w:t>
            </w:r>
          </w:p>
        </w:tc>
        <w:tc>
          <w:tcPr>
            <w:tcW w:w="1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(1 )</w:t>
            </w:r>
          </w:p>
        </w:tc>
      </w:tr>
      <w:tr>
        <w:trPr>
          <w:trHeight w:val="20"/>
        </w:trPr>
        <w:tc>
          <w:tcPr>
            <w:tcW w:w="76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86"/>
        </w:trPr>
        <w:tc>
          <w:tcPr>
            <w:tcW w:w="7620" w:type="dxa"/>
            <w:vAlign w:val="bottom"/>
          </w:tcPr>
          <w:p>
            <w:pPr>
              <w:ind w:left="600"/>
              <w:spacing w:after="0"/>
              <w:rPr>
                <w:sz w:val="20"/>
                <w:szCs w:val="20"/>
                <w:color w:val="auto"/>
              </w:rPr>
            </w:pPr>
            <w:r>
              <w:rPr>
                <w:rFonts w:ascii="Arial" w:cs="Arial" w:eastAsia="Arial" w:hAnsi="Arial"/>
                <w:sz w:val="15"/>
                <w:szCs w:val="15"/>
                <w:color w:val="auto"/>
              </w:rPr>
              <w:t>Cash provided (used) by operatng actvites</w:t>
            </w:r>
          </w:p>
        </w:tc>
        <w:tc>
          <w:tcPr>
            <w:tcW w:w="1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457</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(5 )</w:t>
            </w:r>
          </w:p>
        </w:tc>
      </w:tr>
      <w:tr>
        <w:trPr>
          <w:trHeight w:val="23"/>
        </w:trPr>
        <w:tc>
          <w:tcPr>
            <w:tcW w:w="76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Investng Actvites:</w:t>
            </w:r>
          </w:p>
        </w:tc>
        <w:tc>
          <w:tcPr>
            <w:tcW w:w="12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r>
      <w:tr>
        <w:trPr>
          <w:trHeight w:val="193"/>
        </w:trPr>
        <w:tc>
          <w:tcPr>
            <w:tcW w:w="7620" w:type="dxa"/>
            <w:vAlign w:val="bottom"/>
          </w:tcPr>
          <w:p>
            <w:pPr>
              <w:ind w:left="160"/>
              <w:spacing w:after="0"/>
              <w:rPr>
                <w:sz w:val="20"/>
                <w:szCs w:val="20"/>
                <w:color w:val="auto"/>
              </w:rPr>
            </w:pPr>
            <w:r>
              <w:rPr>
                <w:rFonts w:ascii="Arial" w:cs="Arial" w:eastAsia="Arial" w:hAnsi="Arial"/>
                <w:sz w:val="15"/>
                <w:szCs w:val="15"/>
                <w:color w:val="auto"/>
              </w:rPr>
              <w:t>Additons to property, plant and equipment</w:t>
            </w:r>
          </w:p>
        </w:tc>
        <w:tc>
          <w:tcPr>
            <w:tcW w:w="1240" w:type="dxa"/>
            <w:vAlign w:val="bottom"/>
          </w:tcPr>
          <w:p>
            <w:pPr>
              <w:spacing w:after="0"/>
              <w:rPr>
                <w:sz w:val="16"/>
                <w:szCs w:val="16"/>
                <w:color w:val="auto"/>
              </w:rPr>
            </w:pPr>
          </w:p>
        </w:tc>
        <w:tc>
          <w:tcPr>
            <w:tcW w:w="680" w:type="dxa"/>
            <w:vAlign w:val="bottom"/>
            <w:gridSpan w:val="2"/>
          </w:tcPr>
          <w:p>
            <w:pPr>
              <w:jc w:val="right"/>
              <w:ind w:right="204"/>
              <w:spacing w:after="0"/>
              <w:rPr>
                <w:sz w:val="20"/>
                <w:szCs w:val="20"/>
                <w:color w:val="auto"/>
              </w:rPr>
            </w:pPr>
            <w:r>
              <w:rPr>
                <w:rFonts w:ascii="Arial" w:cs="Arial" w:eastAsia="Arial" w:hAnsi="Arial"/>
                <w:sz w:val="15"/>
                <w:szCs w:val="15"/>
                <w:color w:val="auto"/>
                <w:w w:val="96"/>
              </w:rPr>
              <w:t>(166 )</w:t>
            </w:r>
          </w:p>
        </w:tc>
        <w:tc>
          <w:tcPr>
            <w:tcW w:w="1220" w:type="dxa"/>
            <w:vAlign w:val="bottom"/>
          </w:tcPr>
          <w:p>
            <w:pPr>
              <w:spacing w:after="0"/>
              <w:rPr>
                <w:sz w:val="16"/>
                <w:szCs w:val="16"/>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w w:val="96"/>
              </w:rPr>
              <w:t>(121 )</w:t>
            </w:r>
          </w:p>
        </w:tc>
      </w:tr>
      <w:tr>
        <w:trPr>
          <w:trHeight w:val="23"/>
        </w:trPr>
        <w:tc>
          <w:tcPr>
            <w:tcW w:w="7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6"/>
        </w:trPr>
        <w:tc>
          <w:tcPr>
            <w:tcW w:w="7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5"/>
                <w:szCs w:val="15"/>
                <w:color w:val="auto"/>
              </w:rPr>
              <w:t>Proceeds from sale of land</w:t>
            </w:r>
          </w:p>
        </w:tc>
        <w:tc>
          <w:tcPr>
            <w:tcW w:w="1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18</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193"/>
        </w:trPr>
        <w:tc>
          <w:tcPr>
            <w:tcW w:w="7620" w:type="dxa"/>
            <w:vAlign w:val="bottom"/>
          </w:tcPr>
          <w:p>
            <w:pPr>
              <w:ind w:left="160"/>
              <w:spacing w:after="0"/>
              <w:rPr>
                <w:sz w:val="20"/>
                <w:szCs w:val="20"/>
                <w:color w:val="auto"/>
              </w:rPr>
            </w:pPr>
            <w:r>
              <w:rPr>
                <w:rFonts w:ascii="Arial" w:cs="Arial" w:eastAsia="Arial" w:hAnsi="Arial"/>
                <w:sz w:val="15"/>
                <w:szCs w:val="15"/>
                <w:color w:val="auto"/>
              </w:rPr>
              <w:t>Proceeds from sale of business</w:t>
            </w:r>
          </w:p>
        </w:tc>
        <w:tc>
          <w:tcPr>
            <w:tcW w:w="1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6</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79</w:t>
            </w:r>
          </w:p>
        </w:tc>
        <w:tc>
          <w:tcPr>
            <w:tcW w:w="140" w:type="dxa"/>
            <w:vAlign w:val="bottom"/>
          </w:tcPr>
          <w:p>
            <w:pPr>
              <w:spacing w:after="0"/>
              <w:rPr>
                <w:sz w:val="16"/>
                <w:szCs w:val="16"/>
                <w:color w:val="auto"/>
              </w:rPr>
            </w:pPr>
          </w:p>
        </w:tc>
      </w:tr>
      <w:tr>
        <w:trPr>
          <w:trHeight w:val="23"/>
        </w:trPr>
        <w:tc>
          <w:tcPr>
            <w:tcW w:w="7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r>
      <w:tr>
        <w:trPr>
          <w:trHeight w:val="196"/>
        </w:trPr>
        <w:tc>
          <w:tcPr>
            <w:tcW w:w="7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5"/>
                <w:szCs w:val="15"/>
                <w:color w:val="auto"/>
              </w:rPr>
              <w:t>Cash paid for acquisiton of business, net of cash acquired of $— and $5</w:t>
            </w:r>
          </w:p>
        </w:tc>
        <w:tc>
          <w:tcPr>
            <w:tcW w:w="12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gridSpan w:val="2"/>
            <w:shd w:val="clear" w:color="auto" w:fill="CFF0FC"/>
          </w:tcPr>
          <w:p>
            <w:pPr>
              <w:jc w:val="right"/>
              <w:ind w:right="28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(9 )</w:t>
            </w:r>
          </w:p>
        </w:tc>
      </w:tr>
      <w:tr>
        <w:trPr>
          <w:trHeight w:val="193"/>
        </w:trPr>
        <w:tc>
          <w:tcPr>
            <w:tcW w:w="7620" w:type="dxa"/>
            <w:vAlign w:val="bottom"/>
          </w:tcPr>
          <w:p>
            <w:pPr>
              <w:ind w:left="160"/>
              <w:spacing w:after="0"/>
              <w:rPr>
                <w:sz w:val="20"/>
                <w:szCs w:val="20"/>
                <w:color w:val="auto"/>
              </w:rPr>
            </w:pPr>
            <w:r>
              <w:rPr>
                <w:rFonts w:ascii="Arial" w:cs="Arial" w:eastAsia="Arial" w:hAnsi="Arial"/>
                <w:sz w:val="15"/>
                <w:szCs w:val="15"/>
                <w:color w:val="auto"/>
              </w:rPr>
              <w:t>Proceeds from insurance setlements</w:t>
            </w:r>
          </w:p>
        </w:tc>
        <w:tc>
          <w:tcPr>
            <w:tcW w:w="1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12</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6"/>
                <w:szCs w:val="16"/>
                <w:color w:val="auto"/>
              </w:rPr>
            </w:pPr>
          </w:p>
        </w:tc>
      </w:tr>
      <w:tr>
        <w:trPr>
          <w:trHeight w:val="23"/>
        </w:trPr>
        <w:tc>
          <w:tcPr>
            <w:tcW w:w="7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6"/>
        </w:trPr>
        <w:tc>
          <w:tcPr>
            <w:tcW w:w="7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5"/>
                <w:szCs w:val="15"/>
                <w:color w:val="auto"/>
              </w:rPr>
              <w:t>Other</w:t>
            </w:r>
          </w:p>
        </w:tc>
        <w:tc>
          <w:tcPr>
            <w:tcW w:w="1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20"/>
        </w:trPr>
        <w:tc>
          <w:tcPr>
            <w:tcW w:w="76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86"/>
        </w:trPr>
        <w:tc>
          <w:tcPr>
            <w:tcW w:w="7620" w:type="dxa"/>
            <w:vAlign w:val="bottom"/>
          </w:tcPr>
          <w:p>
            <w:pPr>
              <w:ind w:left="600"/>
              <w:spacing w:after="0"/>
              <w:rPr>
                <w:sz w:val="20"/>
                <w:szCs w:val="20"/>
                <w:color w:val="auto"/>
              </w:rPr>
            </w:pPr>
            <w:r>
              <w:rPr>
                <w:rFonts w:ascii="Arial" w:cs="Arial" w:eastAsia="Arial" w:hAnsi="Arial"/>
                <w:sz w:val="15"/>
                <w:szCs w:val="15"/>
                <w:color w:val="auto"/>
              </w:rPr>
              <w:t>Cash provided (used) by investng actvites</w:t>
            </w:r>
          </w:p>
        </w:tc>
        <w:tc>
          <w:tcPr>
            <w:tcW w:w="1240" w:type="dxa"/>
            <w:vAlign w:val="bottom"/>
          </w:tcPr>
          <w:p>
            <w:pPr>
              <w:spacing w:after="0"/>
              <w:rPr>
                <w:sz w:val="16"/>
                <w:szCs w:val="16"/>
                <w:color w:val="auto"/>
              </w:rPr>
            </w:pPr>
          </w:p>
        </w:tc>
        <w:tc>
          <w:tcPr>
            <w:tcW w:w="680" w:type="dxa"/>
            <w:vAlign w:val="bottom"/>
            <w:gridSpan w:val="2"/>
          </w:tcPr>
          <w:p>
            <w:pPr>
              <w:jc w:val="right"/>
              <w:ind w:right="204"/>
              <w:spacing w:after="0"/>
              <w:rPr>
                <w:sz w:val="20"/>
                <w:szCs w:val="20"/>
                <w:color w:val="auto"/>
              </w:rPr>
            </w:pPr>
            <w:r>
              <w:rPr>
                <w:rFonts w:ascii="Arial" w:cs="Arial" w:eastAsia="Arial" w:hAnsi="Arial"/>
                <w:sz w:val="15"/>
                <w:szCs w:val="15"/>
                <w:color w:val="auto"/>
                <w:w w:val="96"/>
              </w:rPr>
              <w:t>(139 )</w:t>
            </w:r>
          </w:p>
        </w:tc>
        <w:tc>
          <w:tcPr>
            <w:tcW w:w="1220" w:type="dxa"/>
            <w:vAlign w:val="bottom"/>
          </w:tcPr>
          <w:p>
            <w:pPr>
              <w:spacing w:after="0"/>
              <w:rPr>
                <w:sz w:val="16"/>
                <w:szCs w:val="16"/>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(31 )</w:t>
            </w:r>
          </w:p>
        </w:tc>
      </w:tr>
      <w:tr>
        <w:trPr>
          <w:trHeight w:val="23"/>
        </w:trPr>
        <w:tc>
          <w:tcPr>
            <w:tcW w:w="76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Financing Actvites:</w:t>
            </w:r>
          </w:p>
        </w:tc>
        <w:tc>
          <w:tcPr>
            <w:tcW w:w="12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r>
      <w:tr>
        <w:trPr>
          <w:trHeight w:val="193"/>
        </w:trPr>
        <w:tc>
          <w:tcPr>
            <w:tcW w:w="7620" w:type="dxa"/>
            <w:vAlign w:val="bottom"/>
          </w:tcPr>
          <w:p>
            <w:pPr>
              <w:ind w:left="160"/>
              <w:spacing w:after="0"/>
              <w:rPr>
                <w:sz w:val="20"/>
                <w:szCs w:val="20"/>
                <w:color w:val="auto"/>
              </w:rPr>
            </w:pPr>
            <w:r>
              <w:rPr>
                <w:rFonts w:ascii="Arial" w:cs="Arial" w:eastAsia="Arial" w:hAnsi="Arial"/>
                <w:sz w:val="15"/>
                <w:szCs w:val="15"/>
                <w:color w:val="auto"/>
              </w:rPr>
              <w:t>Proceeds from short-term borrowings</w:t>
            </w:r>
          </w:p>
        </w:tc>
        <w:tc>
          <w:tcPr>
            <w:tcW w:w="1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24</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26</w:t>
            </w:r>
          </w:p>
        </w:tc>
        <w:tc>
          <w:tcPr>
            <w:tcW w:w="140" w:type="dxa"/>
            <w:vAlign w:val="bottom"/>
          </w:tcPr>
          <w:p>
            <w:pPr>
              <w:spacing w:after="0"/>
              <w:rPr>
                <w:sz w:val="16"/>
                <w:szCs w:val="16"/>
                <w:color w:val="auto"/>
              </w:rPr>
            </w:pPr>
          </w:p>
        </w:tc>
      </w:tr>
      <w:tr>
        <w:trPr>
          <w:trHeight w:val="23"/>
        </w:trPr>
        <w:tc>
          <w:tcPr>
            <w:tcW w:w="7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r>
      <w:tr>
        <w:trPr>
          <w:trHeight w:val="196"/>
        </w:trPr>
        <w:tc>
          <w:tcPr>
            <w:tcW w:w="7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5"/>
                <w:szCs w:val="15"/>
                <w:color w:val="auto"/>
              </w:rPr>
              <w:t>Repayments of short-term borrowings</w:t>
            </w:r>
          </w:p>
        </w:tc>
        <w:tc>
          <w:tcPr>
            <w:tcW w:w="12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(48 )</w:t>
            </w:r>
          </w:p>
        </w:tc>
        <w:tc>
          <w:tcPr>
            <w:tcW w:w="1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r>
      <w:tr>
        <w:trPr>
          <w:trHeight w:val="193"/>
        </w:trPr>
        <w:tc>
          <w:tcPr>
            <w:tcW w:w="7620" w:type="dxa"/>
            <w:vAlign w:val="bottom"/>
          </w:tcPr>
          <w:p>
            <w:pPr>
              <w:ind w:left="160"/>
              <w:spacing w:after="0"/>
              <w:rPr>
                <w:sz w:val="20"/>
                <w:szCs w:val="20"/>
                <w:color w:val="auto"/>
              </w:rPr>
            </w:pPr>
            <w:r>
              <w:rPr>
                <w:rFonts w:ascii="Arial" w:cs="Arial" w:eastAsia="Arial" w:hAnsi="Arial"/>
                <w:sz w:val="15"/>
                <w:szCs w:val="15"/>
                <w:color w:val="auto"/>
              </w:rPr>
              <w:t>Proceeds from issuance (repayments) of commercial paper, net</w:t>
            </w:r>
          </w:p>
        </w:tc>
        <w:tc>
          <w:tcPr>
            <w:tcW w:w="1240" w:type="dxa"/>
            <w:vAlign w:val="bottom"/>
          </w:tcPr>
          <w:p>
            <w:pPr>
              <w:spacing w:after="0"/>
              <w:rPr>
                <w:sz w:val="16"/>
                <w:szCs w:val="16"/>
                <w:color w:val="auto"/>
              </w:rPr>
            </w:pPr>
          </w:p>
        </w:tc>
        <w:tc>
          <w:tcPr>
            <w:tcW w:w="680" w:type="dxa"/>
            <w:vAlign w:val="bottom"/>
            <w:gridSpan w:val="2"/>
          </w:tcPr>
          <w:p>
            <w:pPr>
              <w:jc w:val="right"/>
              <w:ind w:right="204"/>
              <w:spacing w:after="0"/>
              <w:rPr>
                <w:sz w:val="20"/>
                <w:szCs w:val="20"/>
                <w:color w:val="auto"/>
              </w:rPr>
            </w:pPr>
            <w:r>
              <w:rPr>
                <w:rFonts w:ascii="Arial" w:cs="Arial" w:eastAsia="Arial" w:hAnsi="Arial"/>
                <w:sz w:val="15"/>
                <w:szCs w:val="15"/>
                <w:color w:val="auto"/>
                <w:w w:val="96"/>
              </w:rPr>
              <w:t>(188 )</w:t>
            </w:r>
          </w:p>
        </w:tc>
        <w:tc>
          <w:tcPr>
            <w:tcW w:w="1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193</w:t>
            </w:r>
          </w:p>
        </w:tc>
        <w:tc>
          <w:tcPr>
            <w:tcW w:w="140" w:type="dxa"/>
            <w:vAlign w:val="bottom"/>
          </w:tcPr>
          <w:p>
            <w:pPr>
              <w:spacing w:after="0"/>
              <w:rPr>
                <w:sz w:val="16"/>
                <w:szCs w:val="16"/>
                <w:color w:val="auto"/>
              </w:rPr>
            </w:pPr>
          </w:p>
        </w:tc>
      </w:tr>
      <w:tr>
        <w:trPr>
          <w:trHeight w:val="23"/>
        </w:trPr>
        <w:tc>
          <w:tcPr>
            <w:tcW w:w="7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6"/>
        </w:trPr>
        <w:tc>
          <w:tcPr>
            <w:tcW w:w="7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5"/>
                <w:szCs w:val="15"/>
                <w:color w:val="auto"/>
              </w:rPr>
              <w:t>Proceeds from long-term debt, net of issuance costs</w:t>
            </w:r>
          </w:p>
        </w:tc>
        <w:tc>
          <w:tcPr>
            <w:tcW w:w="1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79</w:t>
            </w: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394</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193"/>
        </w:trPr>
        <w:tc>
          <w:tcPr>
            <w:tcW w:w="7620" w:type="dxa"/>
            <w:vAlign w:val="bottom"/>
          </w:tcPr>
          <w:p>
            <w:pPr>
              <w:ind w:left="160"/>
              <w:spacing w:after="0"/>
              <w:rPr>
                <w:sz w:val="20"/>
                <w:szCs w:val="20"/>
                <w:color w:val="auto"/>
              </w:rPr>
            </w:pPr>
            <w:r>
              <w:rPr>
                <w:rFonts w:ascii="Arial" w:cs="Arial" w:eastAsia="Arial" w:hAnsi="Arial"/>
                <w:sz w:val="15"/>
                <w:szCs w:val="15"/>
                <w:color w:val="auto"/>
              </w:rPr>
              <w:t>Repayments of long-term debt</w:t>
            </w:r>
          </w:p>
        </w:tc>
        <w:tc>
          <w:tcPr>
            <w:tcW w:w="1240" w:type="dxa"/>
            <w:vAlign w:val="bottom"/>
          </w:tcPr>
          <w:p>
            <w:pPr>
              <w:spacing w:after="0"/>
              <w:rPr>
                <w:sz w:val="16"/>
                <w:szCs w:val="16"/>
                <w:color w:val="auto"/>
              </w:rPr>
            </w:pPr>
          </w:p>
        </w:tc>
        <w:tc>
          <w:tcPr>
            <w:tcW w:w="680" w:type="dxa"/>
            <w:vAlign w:val="bottom"/>
            <w:gridSpan w:val="2"/>
          </w:tcPr>
          <w:p>
            <w:pPr>
              <w:jc w:val="right"/>
              <w:ind w:right="204"/>
              <w:spacing w:after="0"/>
              <w:rPr>
                <w:sz w:val="20"/>
                <w:szCs w:val="20"/>
                <w:color w:val="auto"/>
              </w:rPr>
            </w:pPr>
            <w:r>
              <w:rPr>
                <w:rFonts w:ascii="Arial" w:cs="Arial" w:eastAsia="Arial" w:hAnsi="Arial"/>
                <w:sz w:val="15"/>
                <w:szCs w:val="15"/>
                <w:color w:val="auto"/>
              </w:rPr>
              <w:t>(88 )</w:t>
            </w:r>
          </w:p>
        </w:tc>
        <w:tc>
          <w:tcPr>
            <w:tcW w:w="1220" w:type="dxa"/>
            <w:vAlign w:val="bottom"/>
          </w:tcPr>
          <w:p>
            <w:pPr>
              <w:spacing w:after="0"/>
              <w:rPr>
                <w:sz w:val="16"/>
                <w:szCs w:val="16"/>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w w:val="96"/>
              </w:rPr>
              <w:t>(357 )</w:t>
            </w:r>
          </w:p>
        </w:tc>
      </w:tr>
      <w:tr>
        <w:trPr>
          <w:trHeight w:val="23"/>
        </w:trPr>
        <w:tc>
          <w:tcPr>
            <w:tcW w:w="7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r>
      <w:tr>
        <w:trPr>
          <w:trHeight w:val="196"/>
        </w:trPr>
        <w:tc>
          <w:tcPr>
            <w:tcW w:w="7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5"/>
                <w:szCs w:val="15"/>
                <w:color w:val="auto"/>
              </w:rPr>
              <w:t>Purchases of common stock</w:t>
            </w:r>
          </w:p>
        </w:tc>
        <w:tc>
          <w:tcPr>
            <w:tcW w:w="12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(48 )</w:t>
            </w:r>
          </w:p>
        </w:tc>
        <w:tc>
          <w:tcPr>
            <w:tcW w:w="1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(48 )</w:t>
            </w:r>
          </w:p>
        </w:tc>
      </w:tr>
      <w:tr>
        <w:trPr>
          <w:trHeight w:val="193"/>
        </w:trPr>
        <w:tc>
          <w:tcPr>
            <w:tcW w:w="7620" w:type="dxa"/>
            <w:vAlign w:val="bottom"/>
          </w:tcPr>
          <w:p>
            <w:pPr>
              <w:ind w:left="160"/>
              <w:spacing w:after="0"/>
              <w:rPr>
                <w:sz w:val="20"/>
                <w:szCs w:val="20"/>
                <w:color w:val="auto"/>
              </w:rPr>
            </w:pPr>
            <w:r>
              <w:rPr>
                <w:rFonts w:ascii="Arial" w:cs="Arial" w:eastAsia="Arial" w:hAnsi="Arial"/>
                <w:sz w:val="15"/>
                <w:szCs w:val="15"/>
                <w:color w:val="auto"/>
              </w:rPr>
              <w:t>Proceeds from sales of common stock</w:t>
            </w:r>
          </w:p>
        </w:tc>
        <w:tc>
          <w:tcPr>
            <w:tcW w:w="1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4</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6</w:t>
            </w:r>
          </w:p>
        </w:tc>
        <w:tc>
          <w:tcPr>
            <w:tcW w:w="140" w:type="dxa"/>
            <w:vAlign w:val="bottom"/>
          </w:tcPr>
          <w:p>
            <w:pPr>
              <w:spacing w:after="0"/>
              <w:rPr>
                <w:sz w:val="16"/>
                <w:szCs w:val="16"/>
                <w:color w:val="auto"/>
              </w:rPr>
            </w:pPr>
          </w:p>
        </w:tc>
      </w:tr>
      <w:tr>
        <w:trPr>
          <w:trHeight w:val="23"/>
        </w:trPr>
        <w:tc>
          <w:tcPr>
            <w:tcW w:w="7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r>
      <w:tr>
        <w:trPr>
          <w:trHeight w:val="196"/>
        </w:trPr>
        <w:tc>
          <w:tcPr>
            <w:tcW w:w="7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5"/>
                <w:szCs w:val="15"/>
                <w:color w:val="auto"/>
              </w:rPr>
              <w:t>Cash dividends paid to noncontrolling interests</w:t>
            </w:r>
          </w:p>
        </w:tc>
        <w:tc>
          <w:tcPr>
            <w:tcW w:w="12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(41 )</w:t>
            </w:r>
          </w:p>
        </w:tc>
        <w:tc>
          <w:tcPr>
            <w:tcW w:w="1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(22 )</w:t>
            </w:r>
          </w:p>
        </w:tc>
      </w:tr>
      <w:tr>
        <w:trPr>
          <w:trHeight w:val="193"/>
        </w:trPr>
        <w:tc>
          <w:tcPr>
            <w:tcW w:w="7620" w:type="dxa"/>
            <w:vAlign w:val="bottom"/>
          </w:tcPr>
          <w:p>
            <w:pPr>
              <w:ind w:left="160"/>
              <w:spacing w:after="0"/>
              <w:rPr>
                <w:sz w:val="20"/>
                <w:szCs w:val="20"/>
                <w:color w:val="auto"/>
              </w:rPr>
            </w:pPr>
            <w:r>
              <w:rPr>
                <w:rFonts w:ascii="Arial" w:cs="Arial" w:eastAsia="Arial" w:hAnsi="Arial"/>
                <w:sz w:val="15"/>
                <w:szCs w:val="15"/>
                <w:color w:val="auto"/>
              </w:rPr>
              <w:t>Cash dividends paid to common stockholders</w:t>
            </w:r>
          </w:p>
        </w:tc>
        <w:tc>
          <w:tcPr>
            <w:tcW w:w="1240" w:type="dxa"/>
            <w:vAlign w:val="bottom"/>
          </w:tcPr>
          <w:p>
            <w:pPr>
              <w:spacing w:after="0"/>
              <w:rPr>
                <w:sz w:val="16"/>
                <w:szCs w:val="16"/>
                <w:color w:val="auto"/>
              </w:rPr>
            </w:pPr>
          </w:p>
        </w:tc>
        <w:tc>
          <w:tcPr>
            <w:tcW w:w="680" w:type="dxa"/>
            <w:vAlign w:val="bottom"/>
            <w:gridSpan w:val="2"/>
          </w:tcPr>
          <w:p>
            <w:pPr>
              <w:jc w:val="right"/>
              <w:ind w:right="204"/>
              <w:spacing w:after="0"/>
              <w:rPr>
                <w:sz w:val="20"/>
                <w:szCs w:val="20"/>
                <w:color w:val="auto"/>
              </w:rPr>
            </w:pPr>
            <w:r>
              <w:rPr>
                <w:rFonts w:ascii="Arial" w:cs="Arial" w:eastAsia="Arial" w:hAnsi="Arial"/>
                <w:sz w:val="15"/>
                <w:szCs w:val="15"/>
                <w:color w:val="auto"/>
              </w:rPr>
              <w:t>(65 )</w:t>
            </w:r>
          </w:p>
        </w:tc>
        <w:tc>
          <w:tcPr>
            <w:tcW w:w="1220" w:type="dxa"/>
            <w:vAlign w:val="bottom"/>
          </w:tcPr>
          <w:p>
            <w:pPr>
              <w:spacing w:after="0"/>
              <w:rPr>
                <w:sz w:val="16"/>
                <w:szCs w:val="16"/>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(63 )</w:t>
            </w:r>
          </w:p>
        </w:tc>
      </w:tr>
      <w:tr>
        <w:trPr>
          <w:trHeight w:val="23"/>
        </w:trPr>
        <w:tc>
          <w:tcPr>
            <w:tcW w:w="76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7620" w:type="dxa"/>
            <w:vAlign w:val="bottom"/>
            <w:tcBorders>
              <w:bottom w:val="single" w:sz="8" w:color="CFF0FC"/>
            </w:tcBorders>
            <w:shd w:val="clear" w:color="auto" w:fill="CFF0FC"/>
          </w:tcPr>
          <w:p>
            <w:pPr>
              <w:ind w:left="600"/>
              <w:spacing w:after="0"/>
              <w:rPr>
                <w:sz w:val="20"/>
                <w:szCs w:val="20"/>
                <w:color w:val="auto"/>
              </w:rPr>
            </w:pPr>
            <w:r>
              <w:rPr>
                <w:rFonts w:ascii="Arial" w:cs="Arial" w:eastAsia="Arial" w:hAnsi="Arial"/>
                <w:sz w:val="15"/>
                <w:szCs w:val="15"/>
                <w:color w:val="auto"/>
              </w:rPr>
              <w:t>Cash provided (used) by fnancing actvites</w:t>
            </w:r>
          </w:p>
        </w:tc>
        <w:tc>
          <w:tcPr>
            <w:tcW w:w="12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99"/>
              </w:rPr>
              <w:t>(371</w:t>
            </w:r>
          </w:p>
        </w:tc>
        <w:tc>
          <w:tcPr>
            <w:tcW w:w="360" w:type="dxa"/>
            <w:vAlign w:val="bottom"/>
            <w:tcBorders>
              <w:bottom w:val="single" w:sz="8" w:color="CFF0FC"/>
            </w:tcBorders>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129</w:t>
            </w:r>
          </w:p>
        </w:tc>
        <w:tc>
          <w:tcPr>
            <w:tcW w:w="140" w:type="dxa"/>
            <w:vAlign w:val="bottom"/>
            <w:tcBorders>
              <w:bottom w:val="single" w:sz="8" w:color="CFF0FC"/>
            </w:tcBorders>
            <w:shd w:val="clear" w:color="auto" w:fill="CFF0FC"/>
          </w:tcPr>
          <w:p>
            <w:pPr>
              <w:spacing w:after="0"/>
              <w:rPr>
                <w:sz w:val="16"/>
                <w:szCs w:val="16"/>
                <w:color w:val="auto"/>
              </w:rPr>
            </w:pPr>
          </w:p>
        </w:tc>
      </w:tr>
      <w:tr>
        <w:trPr>
          <w:trHeight w:val="20"/>
        </w:trPr>
        <w:tc>
          <w:tcPr>
            <w:tcW w:w="76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86"/>
        </w:trPr>
        <w:tc>
          <w:tcPr>
            <w:tcW w:w="7620" w:type="dxa"/>
            <w:vAlign w:val="bottom"/>
          </w:tcPr>
          <w:p>
            <w:pPr>
              <w:ind w:left="20"/>
              <w:spacing w:after="0"/>
              <w:rPr>
                <w:sz w:val="20"/>
                <w:szCs w:val="20"/>
                <w:color w:val="auto"/>
              </w:rPr>
            </w:pPr>
            <w:r>
              <w:rPr>
                <w:rFonts w:ascii="Arial" w:cs="Arial" w:eastAsia="Arial" w:hAnsi="Arial"/>
                <w:sz w:val="15"/>
                <w:szCs w:val="15"/>
                <w:color w:val="auto"/>
              </w:rPr>
              <w:t>Efects of exchange rate changes on cash</w:t>
            </w:r>
          </w:p>
        </w:tc>
        <w:tc>
          <w:tcPr>
            <w:tcW w:w="1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67</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(49 )</w:t>
            </w:r>
          </w:p>
        </w:tc>
      </w:tr>
      <w:tr>
        <w:trPr>
          <w:trHeight w:val="23"/>
        </w:trPr>
        <w:tc>
          <w:tcPr>
            <w:tcW w:w="76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Increase (decrease) in cash and cash equivalents</w:t>
            </w:r>
          </w:p>
        </w:tc>
        <w:tc>
          <w:tcPr>
            <w:tcW w:w="12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14</w:t>
            </w:r>
          </w:p>
        </w:tc>
        <w:tc>
          <w:tcPr>
            <w:tcW w:w="36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44</w:t>
            </w:r>
          </w:p>
        </w:tc>
        <w:tc>
          <w:tcPr>
            <w:tcW w:w="140" w:type="dxa"/>
            <w:vAlign w:val="bottom"/>
            <w:tcBorders>
              <w:bottom w:val="single" w:sz="8" w:color="CFF0FC"/>
            </w:tcBorders>
            <w:shd w:val="clear" w:color="auto" w:fill="CFF0FC"/>
          </w:tcPr>
          <w:p>
            <w:pPr>
              <w:spacing w:after="0"/>
              <w:rPr>
                <w:sz w:val="16"/>
                <w:szCs w:val="16"/>
                <w:color w:val="auto"/>
              </w:rPr>
            </w:pPr>
          </w:p>
        </w:tc>
      </w:tr>
      <w:tr>
        <w:trPr>
          <w:trHeight w:val="193"/>
        </w:trPr>
        <w:tc>
          <w:tcPr>
            <w:tcW w:w="7620" w:type="dxa"/>
            <w:vAlign w:val="bottom"/>
          </w:tcPr>
          <w:p>
            <w:pPr>
              <w:ind w:left="20"/>
              <w:spacing w:after="0"/>
              <w:rPr>
                <w:sz w:val="20"/>
                <w:szCs w:val="20"/>
                <w:color w:val="auto"/>
              </w:rPr>
            </w:pPr>
            <w:r>
              <w:rPr>
                <w:rFonts w:ascii="Arial" w:cs="Arial" w:eastAsia="Arial" w:hAnsi="Arial"/>
                <w:sz w:val="15"/>
                <w:szCs w:val="15"/>
                <w:color w:val="auto"/>
              </w:rPr>
              <w:t>Cash and cash equivalents at beginning of period</w:t>
            </w:r>
          </w:p>
        </w:tc>
        <w:tc>
          <w:tcPr>
            <w:tcW w:w="1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206</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170</w:t>
            </w:r>
          </w:p>
        </w:tc>
        <w:tc>
          <w:tcPr>
            <w:tcW w:w="140" w:type="dxa"/>
            <w:vAlign w:val="bottom"/>
          </w:tcPr>
          <w:p>
            <w:pPr>
              <w:spacing w:after="0"/>
              <w:rPr>
                <w:sz w:val="16"/>
                <w:szCs w:val="16"/>
                <w:color w:val="auto"/>
              </w:rPr>
            </w:pPr>
          </w:p>
        </w:tc>
      </w:tr>
      <w:tr>
        <w:trPr>
          <w:trHeight w:val="23"/>
        </w:trPr>
        <w:tc>
          <w:tcPr>
            <w:tcW w:w="76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48"/>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Cash and cash equivalents at end of period</w:t>
            </w:r>
          </w:p>
        </w:tc>
        <w:tc>
          <w:tcPr>
            <w:tcW w:w="1240" w:type="dxa"/>
            <w:vAlign w:val="bottom"/>
            <w:tcBorders>
              <w:bottom w:val="single" w:sz="8" w:color="auto"/>
            </w:tcBorders>
            <w:shd w:val="clear" w:color="auto" w:fill="CFF0FC"/>
          </w:tcPr>
          <w:p>
            <w:pPr>
              <w:jc w:val="right"/>
              <w:ind w:right="1064"/>
              <w:spacing w:after="0"/>
              <w:rPr>
                <w:sz w:val="20"/>
                <w:szCs w:val="20"/>
                <w:color w:val="auto"/>
              </w:rPr>
            </w:pPr>
            <w:r>
              <w:rPr>
                <w:rFonts w:ascii="Arial" w:cs="Arial" w:eastAsia="Arial" w:hAnsi="Arial"/>
                <w:sz w:val="15"/>
                <w:szCs w:val="15"/>
                <w:color w:val="auto"/>
                <w:w w:val="95"/>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220</w:t>
            </w: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064"/>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398"/>
        </w:trPr>
        <w:tc>
          <w:tcPr>
            <w:tcW w:w="76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June 30, 2023</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June 30, 2022</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0"/>
        </w:trPr>
        <w:tc>
          <w:tcPr>
            <w:tcW w:w="76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80"/>
        </w:trPr>
        <w:tc>
          <w:tcPr>
            <w:tcW w:w="7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00" w:type="dxa"/>
            <w:vAlign w:val="bottom"/>
            <w:gridSpan w:val="3"/>
          </w:tcPr>
          <w:p>
            <w:pPr>
              <w:jc w:val="right"/>
              <w:ind w:right="964"/>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3"/>
        </w:trPr>
        <w:tc>
          <w:tcPr>
            <w:tcW w:w="762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1240" w:type="dxa"/>
            <w:vAlign w:val="bottom"/>
          </w:tcPr>
          <w:p>
            <w:pPr>
              <w:jc w:val="right"/>
              <w:ind w:right="1064"/>
              <w:spacing w:after="0"/>
              <w:rPr>
                <w:sz w:val="20"/>
                <w:szCs w:val="20"/>
                <w:color w:val="auto"/>
              </w:rPr>
            </w:pPr>
            <w:r>
              <w:rPr>
                <w:rFonts w:ascii="Arial" w:cs="Arial" w:eastAsia="Arial" w:hAnsi="Arial"/>
                <w:sz w:val="15"/>
                <w:szCs w:val="15"/>
                <w:color w:val="auto"/>
                <w:w w:val="95"/>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220</w:t>
            </w:r>
          </w:p>
        </w:tc>
        <w:tc>
          <w:tcPr>
            <w:tcW w:w="360" w:type="dxa"/>
            <w:vAlign w:val="bottom"/>
          </w:tcPr>
          <w:p>
            <w:pPr>
              <w:spacing w:after="0"/>
              <w:rPr>
                <w:sz w:val="17"/>
                <w:szCs w:val="17"/>
                <w:color w:val="auto"/>
              </w:rPr>
            </w:pPr>
          </w:p>
        </w:tc>
        <w:tc>
          <w:tcPr>
            <w:tcW w:w="1220" w:type="dxa"/>
            <w:vAlign w:val="bottom"/>
          </w:tcPr>
          <w:p>
            <w:pPr>
              <w:jc w:val="right"/>
              <w:ind w:right="1064"/>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208</w:t>
            </w:r>
          </w:p>
        </w:tc>
        <w:tc>
          <w:tcPr>
            <w:tcW w:w="140" w:type="dxa"/>
            <w:vAlign w:val="bottom"/>
          </w:tcPr>
          <w:p>
            <w:pPr>
              <w:spacing w:after="0"/>
              <w:rPr>
                <w:sz w:val="17"/>
                <w:szCs w:val="17"/>
                <w:color w:val="auto"/>
              </w:rPr>
            </w:pPr>
          </w:p>
        </w:tc>
      </w:tr>
      <w:tr>
        <w:trPr>
          <w:trHeight w:val="43"/>
        </w:trPr>
        <w:tc>
          <w:tcPr>
            <w:tcW w:w="76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21"/>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Restricted cash classifed within Prepaid expenses and other current assets</w:t>
            </w:r>
          </w:p>
        </w:tc>
        <w:tc>
          <w:tcPr>
            <w:tcW w:w="1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gridSpan w:val="2"/>
            <w:shd w:val="clear" w:color="auto" w:fill="CFF0FC"/>
          </w:tcPr>
          <w:p>
            <w:pPr>
              <w:jc w:val="right"/>
              <w:ind w:right="28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8"/>
        </w:trPr>
        <w:tc>
          <w:tcPr>
            <w:tcW w:w="7620" w:type="dxa"/>
            <w:vAlign w:val="bottom"/>
            <w:tcBorders>
              <w:top w:val="single" w:sz="8" w:color="CFF0FC"/>
            </w:tcBorders>
          </w:tcPr>
          <w:p>
            <w:pPr>
              <w:ind w:left="20"/>
              <w:spacing w:after="0"/>
              <w:rPr>
                <w:sz w:val="20"/>
                <w:szCs w:val="20"/>
                <w:color w:val="auto"/>
              </w:rPr>
            </w:pPr>
            <w:r>
              <w:rPr>
                <w:rFonts w:ascii="Arial" w:cs="Arial" w:eastAsia="Arial" w:hAnsi="Arial"/>
                <w:sz w:val="15"/>
                <w:szCs w:val="15"/>
                <w:color w:val="auto"/>
              </w:rPr>
              <w:t>Cash, cash equivalents and restricted cash</w:t>
            </w:r>
          </w:p>
        </w:tc>
        <w:tc>
          <w:tcPr>
            <w:tcW w:w="1240" w:type="dxa"/>
            <w:vAlign w:val="bottom"/>
            <w:tcBorders>
              <w:top w:val="single" w:sz="8" w:color="auto"/>
              <w:bottom w:val="single" w:sz="8" w:color="auto"/>
            </w:tcBorders>
          </w:tcPr>
          <w:p>
            <w:pPr>
              <w:jc w:val="right"/>
              <w:ind w:right="1064"/>
              <w:spacing w:after="0"/>
              <w:rPr>
                <w:sz w:val="20"/>
                <w:szCs w:val="20"/>
                <w:color w:val="auto"/>
              </w:rPr>
            </w:pPr>
            <w:r>
              <w:rPr>
                <w:rFonts w:ascii="Arial" w:cs="Arial" w:eastAsia="Arial" w:hAnsi="Arial"/>
                <w:sz w:val="15"/>
                <w:szCs w:val="15"/>
                <w:color w:val="auto"/>
                <w:w w:val="9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220</w:t>
            </w:r>
          </w:p>
        </w:tc>
        <w:tc>
          <w:tcPr>
            <w:tcW w:w="360" w:type="dxa"/>
            <w:vAlign w:val="bottom"/>
            <w:tcBorders>
              <w:top w:val="single" w:sz="8" w:color="CFF0FC"/>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064"/>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214</w:t>
            </w:r>
          </w:p>
        </w:tc>
        <w:tc>
          <w:tcPr>
            <w:tcW w:w="140" w:type="dxa"/>
            <w:vAlign w:val="bottom"/>
            <w:tcBorders>
              <w:top w:val="single" w:sz="8" w:color="CFF0FC"/>
            </w:tcBorders>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-4260215</wp:posOffset>
            </wp:positionV>
            <wp:extent cx="9398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-4260215</wp:posOffset>
            </wp:positionV>
            <wp:extent cx="8572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-3145790</wp:posOffset>
            </wp:positionV>
            <wp:extent cx="9398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-3145790</wp:posOffset>
            </wp:positionV>
            <wp:extent cx="8572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-1473835</wp:posOffset>
            </wp:positionV>
            <wp:extent cx="9398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-1473835</wp:posOffset>
            </wp:positionV>
            <wp:extent cx="85725"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-899795</wp:posOffset>
            </wp:positionV>
            <wp:extent cx="93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-882015</wp:posOffset>
            </wp:positionV>
            <wp:extent cx="939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-899795</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-882015</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939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-170815</wp:posOffset>
            </wp:positionV>
            <wp:extent cx="8572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ind w:left="2800"/>
        <w:spacing w:after="0" w:line="225" w:lineRule="auto"/>
        <w:rPr>
          <w:sz w:val="20"/>
          <w:szCs w:val="20"/>
          <w:color w:val="auto"/>
        </w:rPr>
      </w:pPr>
      <w:r>
        <w:rPr>
          <w:rFonts w:ascii="Arial" w:cs="Arial" w:eastAsia="Arial" w:hAnsi="Arial"/>
          <w:sz w:val="18"/>
          <w:szCs w:val="18"/>
          <w:color w:val="auto"/>
        </w:rPr>
        <w:t>The accompanying notes are an integral part of these consolidated fnancial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Total Cabot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Accumulate</w:t>
            </w: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Corporato</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1540" w:type="dxa"/>
            <w:vAlign w:val="bottom"/>
            <w:gridSpan w:val="4"/>
            <w:vMerge w:val="restart"/>
          </w:tcPr>
          <w:p>
            <w:pPr>
              <w:jc w:val="right"/>
              <w:ind w:right="32"/>
              <w:spacing w:after="0"/>
              <w:rPr>
                <w:sz w:val="20"/>
                <w:szCs w:val="20"/>
                <w:color w:val="auto"/>
              </w:rPr>
            </w:pPr>
            <w:r>
              <w:rPr>
                <w:rFonts w:ascii="Arial" w:cs="Arial" w:eastAsia="Arial" w:hAnsi="Arial"/>
                <w:sz w:val="14"/>
                <w:szCs w:val="14"/>
                <w:b w:val="1"/>
                <w:bCs w:val="1"/>
                <w:color w:val="auto"/>
                <w:w w:val="93"/>
              </w:rPr>
              <w:t>Common Stock, Net of</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2"/>
              </w:rPr>
              <w:t>d Other</w:t>
            </w:r>
          </w:p>
        </w:tc>
        <w:tc>
          <w:tcPr>
            <w:tcW w:w="140" w:type="dxa"/>
            <w:vAlign w:val="bottom"/>
          </w:tcPr>
          <w:p>
            <w:pPr>
              <w:spacing w:after="0"/>
              <w:rPr>
                <w:sz w:val="15"/>
                <w:szCs w:val="15"/>
                <w:color w:val="auto"/>
              </w:rPr>
            </w:pPr>
          </w:p>
        </w:tc>
        <w:tc>
          <w:tcPr>
            <w:tcW w:w="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Additonal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Noncontroll</w:t>
            </w: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7"/>
                <w:szCs w:val="17"/>
                <w:color w:val="auto"/>
              </w:rPr>
            </w:pPr>
          </w:p>
        </w:tc>
        <w:tc>
          <w:tcPr>
            <w:tcW w:w="154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Treasury Stock</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Paid-in</w:t>
            </w:r>
          </w:p>
        </w:tc>
        <w:tc>
          <w:tcPr>
            <w:tcW w:w="120" w:type="dxa"/>
            <w:vAlign w:val="bottom"/>
          </w:tcPr>
          <w:p>
            <w:pPr>
              <w:spacing w:after="0"/>
              <w:rPr>
                <w:sz w:val="17"/>
                <w:szCs w:val="17"/>
                <w:color w:val="auto"/>
              </w:rPr>
            </w:pPr>
          </w:p>
        </w:tc>
        <w:tc>
          <w:tcPr>
            <w:tcW w:w="96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7"/>
                <w:szCs w:val="17"/>
                <w:color w:val="auto"/>
              </w:rPr>
            </w:pPr>
          </w:p>
        </w:tc>
        <w:tc>
          <w:tcPr>
            <w:tcW w:w="90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87"/>
              </w:rPr>
              <w:t>sive</w:t>
            </w:r>
          </w:p>
        </w:tc>
        <w:tc>
          <w:tcPr>
            <w:tcW w:w="140" w:type="dxa"/>
            <w:vAlign w:val="bottom"/>
          </w:tcPr>
          <w:p>
            <w:pPr>
              <w:spacing w:after="0"/>
              <w:rPr>
                <w:sz w:val="17"/>
                <w:szCs w:val="17"/>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rs’</w:t>
            </w:r>
          </w:p>
        </w:tc>
        <w:tc>
          <w:tcPr>
            <w:tcW w:w="120" w:type="dxa"/>
            <w:vAlign w:val="bottom"/>
          </w:tcPr>
          <w:p>
            <w:pPr>
              <w:spacing w:after="0"/>
              <w:rPr>
                <w:sz w:val="17"/>
                <w:szCs w:val="17"/>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ing</w:t>
            </w:r>
          </w:p>
        </w:tc>
        <w:tc>
          <w:tcPr>
            <w:tcW w:w="16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w:t>
            </w:r>
          </w:p>
        </w:tc>
        <w:tc>
          <w:tcPr>
            <w:tcW w:w="0" w:type="dxa"/>
            <w:vAlign w:val="bottom"/>
          </w:tcPr>
          <w:p>
            <w:pPr>
              <w:spacing w:after="0"/>
              <w:rPr>
                <w:sz w:val="1"/>
                <w:szCs w:val="1"/>
                <w:color w:val="auto"/>
              </w:rPr>
            </w:pPr>
          </w:p>
        </w:tc>
      </w:tr>
      <w:tr>
        <w:trPr>
          <w:trHeight w:val="165"/>
        </w:trPr>
        <w:tc>
          <w:tcPr>
            <w:tcW w:w="3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400" w:type="dxa"/>
            <w:vAlign w:val="bottom"/>
          </w:tcPr>
          <w:p>
            <w:pPr>
              <w:jc w:val="right"/>
              <w:ind w:right="52"/>
              <w:spacing w:after="0"/>
              <w:rPr>
                <w:sz w:val="20"/>
                <w:szCs w:val="20"/>
                <w:color w:val="auto"/>
              </w:rPr>
            </w:pPr>
            <w:r>
              <w:rPr>
                <w:rFonts w:ascii="Arial" w:cs="Arial" w:eastAsia="Arial" w:hAnsi="Arial"/>
                <w:sz w:val="14"/>
                <w:szCs w:val="14"/>
                <w:b w:val="1"/>
                <w:bCs w:val="1"/>
                <w:color w:val="auto"/>
                <w:w w:val="76"/>
              </w:rPr>
              <w:t>Cost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Capital</w:t>
            </w:r>
          </w:p>
        </w:tc>
        <w:tc>
          <w:tcPr>
            <w:tcW w:w="120" w:type="dxa"/>
            <w:vAlign w:val="bottom"/>
          </w:tcPr>
          <w:p>
            <w:pPr>
              <w:spacing w:after="0"/>
              <w:rPr>
                <w:sz w:val="15"/>
                <w:szCs w:val="15"/>
                <w:color w:val="auto"/>
              </w:rPr>
            </w:pPr>
          </w:p>
        </w:tc>
        <w:tc>
          <w:tcPr>
            <w:tcW w:w="96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w w:val="96"/>
              </w:rPr>
              <w:t>Earnings</w:t>
            </w:r>
          </w:p>
        </w:tc>
        <w:tc>
          <w:tcPr>
            <w:tcW w:w="100" w:type="dxa"/>
            <w:vAlign w:val="bottom"/>
          </w:tcPr>
          <w:p>
            <w:pPr>
              <w:spacing w:after="0"/>
              <w:rPr>
                <w:sz w:val="15"/>
                <w:szCs w:val="15"/>
                <w:color w:val="auto"/>
              </w:rPr>
            </w:pPr>
          </w:p>
        </w:tc>
        <w:tc>
          <w:tcPr>
            <w:tcW w:w="90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80"/>
              </w:rPr>
              <w:t>(Loss)</w:t>
            </w:r>
          </w:p>
        </w:tc>
        <w:tc>
          <w:tcPr>
            <w:tcW w:w="140" w:type="dxa"/>
            <w:vAlign w:val="bottom"/>
          </w:tcPr>
          <w:p>
            <w:pPr>
              <w:spacing w:after="0"/>
              <w:rPr>
                <w:sz w:val="15"/>
                <w:szCs w:val="15"/>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Equity</w:t>
            </w:r>
          </w:p>
        </w:tc>
        <w:tc>
          <w:tcPr>
            <w:tcW w:w="12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Interests</w:t>
            </w:r>
          </w:p>
        </w:tc>
        <w:tc>
          <w:tcPr>
            <w:tcW w:w="16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(In millions,</w:t>
            </w: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0"/>
              </w:rPr>
              <w:t>except share amounts)</w:t>
            </w: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September 30, 2022</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(439 )</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6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comprehensive income (loss)</w:t>
            </w:r>
          </w:p>
        </w:tc>
        <w:tc>
          <w:tcPr>
            <w:tcW w:w="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660" w:type="dxa"/>
            <w:vAlign w:val="bottom"/>
          </w:tcPr>
          <w:p>
            <w:pPr>
              <w:ind w:left="20"/>
              <w:spacing w:after="0"/>
              <w:rPr>
                <w:sz w:val="20"/>
                <w:szCs w:val="20"/>
                <w:color w:val="auto"/>
              </w:rPr>
            </w:pPr>
            <w:r>
              <w:rPr>
                <w:rFonts w:ascii="Arial" w:cs="Arial" w:eastAsia="Arial" w:hAnsi="Arial"/>
                <w:sz w:val="18"/>
                <w:szCs w:val="18"/>
                <w:color w:val="auto"/>
              </w:rPr>
              <w:t>Cash dividends paid:</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$0.37 per share</w:t>
            </w:r>
          </w:p>
        </w:tc>
        <w:tc>
          <w:tcPr>
            <w:tcW w:w="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line="197" w:lineRule="exact"/>
              <w:rPr>
                <w:sz w:val="20"/>
                <w:szCs w:val="20"/>
                <w:color w:val="auto"/>
              </w:rPr>
            </w:pPr>
            <w:r>
              <w:rPr>
                <w:rFonts w:ascii="Arial" w:cs="Arial" w:eastAsia="Arial" w:hAnsi="Arial"/>
                <w:sz w:val="18"/>
                <w:szCs w:val="18"/>
                <w:color w:val="auto"/>
              </w:rPr>
              <w:t>Cash dividends declared to noncontrolling</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660" w:type="dxa"/>
            <w:vAlign w:val="bottom"/>
          </w:tcPr>
          <w:p>
            <w:pPr>
              <w:ind w:left="20"/>
              <w:spacing w:after="0"/>
              <w:rPr>
                <w:sz w:val="20"/>
                <w:szCs w:val="20"/>
                <w:color w:val="auto"/>
              </w:rPr>
            </w:pPr>
            <w:r>
              <w:rPr>
                <w:rFonts w:ascii="Arial" w:cs="Arial" w:eastAsia="Arial" w:hAnsi="Arial"/>
                <w:sz w:val="18"/>
                <w:szCs w:val="18"/>
                <w:color w:val="auto"/>
              </w:rPr>
              <w:t>interests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35"/>
        </w:trPr>
        <w:tc>
          <w:tcPr>
            <w:tcW w:w="3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Issuance of stock under equity compensaton</w:t>
            </w: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plans</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660" w:type="dxa"/>
            <w:vAlign w:val="bottom"/>
          </w:tcPr>
          <w:p>
            <w:pPr>
              <w:ind w:left="20"/>
              <w:spacing w:after="0"/>
              <w:rPr>
                <w:sz w:val="20"/>
                <w:szCs w:val="20"/>
                <w:color w:val="auto"/>
              </w:rPr>
            </w:pPr>
            <w:r>
              <w:rPr>
                <w:rFonts w:ascii="Arial" w:cs="Arial" w:eastAsia="Arial" w:hAnsi="Arial"/>
                <w:sz w:val="18"/>
                <w:szCs w:val="18"/>
                <w:color w:val="auto"/>
              </w:rPr>
              <w:t>Share-based compensaton</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and retrement of common stock</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(242 )</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
        </w:trPr>
        <w:tc>
          <w:tcPr>
            <w:tcW w:w="36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66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740" w:type="dxa"/>
            <w:vAlign w:val="bottom"/>
          </w:tcPr>
          <w:p>
            <w:pPr>
              <w:jc w:val="right"/>
              <w:spacing w:after="0"/>
              <w:rPr>
                <w:sz w:val="20"/>
                <w:szCs w:val="20"/>
                <w:color w:val="auto"/>
              </w:rPr>
            </w:pPr>
            <w:r>
              <w:rPr>
                <w:rFonts w:ascii="Arial" w:cs="Arial" w:eastAsia="Arial" w:hAnsi="Arial"/>
                <w:sz w:val="18"/>
                <w:szCs w:val="18"/>
                <w:color w:val="auto"/>
              </w:rPr>
              <w:t>56,316</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1,314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(358 )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1,009</w:t>
            </w:r>
          </w:p>
        </w:tc>
        <w:tc>
          <w:tcPr>
            <w:tcW w:w="2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660" w:type="dxa"/>
            <w:vAlign w:val="bottom"/>
          </w:tcPr>
          <w:p>
            <w:pPr>
              <w:ind w:left="20"/>
              <w:spacing w:after="0"/>
              <w:rPr>
                <w:sz w:val="20"/>
                <w:szCs w:val="20"/>
                <w:color w:val="auto"/>
              </w:rPr>
            </w:pPr>
            <w:r>
              <w:rPr>
                <w:rFonts w:ascii="Arial" w:cs="Arial" w:eastAsia="Arial" w:hAnsi="Arial"/>
                <w:sz w:val="18"/>
                <w:szCs w:val="18"/>
                <w:color w:val="auto"/>
              </w:rPr>
              <w:t>Total other comprehensive income (loss)</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dividends paid:</w:t>
            </w:r>
          </w:p>
        </w:tc>
        <w:tc>
          <w:tcPr>
            <w:tcW w:w="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660" w:type="dxa"/>
            <w:vAlign w:val="bottom"/>
          </w:tcPr>
          <w:p>
            <w:pPr>
              <w:ind w:left="200"/>
              <w:spacing w:after="0"/>
              <w:rPr>
                <w:sz w:val="20"/>
                <w:szCs w:val="20"/>
                <w:color w:val="auto"/>
              </w:rPr>
            </w:pPr>
            <w:r>
              <w:rPr>
                <w:rFonts w:ascii="Arial" w:cs="Arial" w:eastAsia="Arial" w:hAnsi="Arial"/>
                <w:sz w:val="18"/>
                <w:szCs w:val="18"/>
                <w:color w:val="auto"/>
              </w:rPr>
              <w:t>Common stock, $0.37 per share</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5"/>
        </w:trPr>
        <w:tc>
          <w:tcPr>
            <w:tcW w:w="3660" w:type="dxa"/>
            <w:vAlign w:val="bottom"/>
            <w:shd w:val="clear" w:color="auto" w:fill="CFF0FC"/>
          </w:tcPr>
          <w:p>
            <w:pPr>
              <w:ind w:left="20"/>
              <w:spacing w:after="0" w:line="205" w:lineRule="exact"/>
              <w:rPr>
                <w:sz w:val="20"/>
                <w:szCs w:val="20"/>
                <w:color w:val="auto"/>
              </w:rPr>
            </w:pPr>
            <w:r>
              <w:rPr>
                <w:rFonts w:ascii="Arial" w:cs="Arial" w:eastAsia="Arial" w:hAnsi="Arial"/>
                <w:sz w:val="18"/>
                <w:szCs w:val="18"/>
                <w:color w:val="auto"/>
              </w:rPr>
              <w:t>Cash dividends declared to noncontrolling</w:t>
            </w: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interests</w:t>
            </w:r>
          </w:p>
        </w:tc>
        <w:tc>
          <w:tcPr>
            <w:tcW w:w="7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(27 )</w:t>
            </w:r>
          </w:p>
        </w:tc>
        <w:tc>
          <w:tcPr>
            <w:tcW w:w="1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line="197" w:lineRule="exact"/>
              <w:rPr>
                <w:sz w:val="20"/>
                <w:szCs w:val="20"/>
                <w:color w:val="auto"/>
              </w:rPr>
            </w:pPr>
            <w:r>
              <w:rPr>
                <w:rFonts w:ascii="Arial" w:cs="Arial" w:eastAsia="Arial" w:hAnsi="Arial"/>
                <w:sz w:val="18"/>
                <w:szCs w:val="18"/>
                <w:color w:val="auto"/>
              </w:rPr>
              <w:t>Issuance of stock under equity compensaton</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660" w:type="dxa"/>
            <w:vAlign w:val="bottom"/>
          </w:tcPr>
          <w:p>
            <w:pPr>
              <w:ind w:left="20"/>
              <w:spacing w:after="0"/>
              <w:rPr>
                <w:sz w:val="20"/>
                <w:szCs w:val="20"/>
                <w:color w:val="auto"/>
              </w:rPr>
            </w:pPr>
            <w:r>
              <w:rPr>
                <w:rFonts w:ascii="Arial" w:cs="Arial" w:eastAsia="Arial" w:hAnsi="Arial"/>
                <w:sz w:val="18"/>
                <w:szCs w:val="18"/>
                <w:color w:val="auto"/>
              </w:rPr>
              <w:t>plans</w:t>
            </w: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3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compensaton</w:t>
            </w:r>
          </w:p>
        </w:tc>
        <w:tc>
          <w:tcPr>
            <w:tcW w:w="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Purchase and retrement of common stock</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(199 )</w:t>
            </w: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36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March 31, 2023</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56,146</w:t>
            </w:r>
          </w:p>
        </w:tc>
        <w:tc>
          <w:tcPr>
            <w:tcW w:w="28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260" w:type="dxa"/>
            <w:vAlign w:val="bottom"/>
            <w:tcBorders>
              <w:top w:val="single" w:sz="8" w:color="CFF0FC"/>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Borders>
              <w:top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24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Borders>
              <w:top w:val="single" w:sz="8" w:color="CFF0FC"/>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14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6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comprehensive income (loss)</w:t>
            </w:r>
          </w:p>
        </w:tc>
        <w:tc>
          <w:tcPr>
            <w:tcW w:w="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(15 )</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(6 )</w:t>
            </w:r>
          </w:p>
        </w:tc>
        <w:tc>
          <w:tcPr>
            <w:tcW w:w="1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5"/>
        </w:trPr>
        <w:tc>
          <w:tcPr>
            <w:tcW w:w="3660" w:type="dxa"/>
            <w:vAlign w:val="bottom"/>
          </w:tcPr>
          <w:p>
            <w:pPr>
              <w:ind w:left="20"/>
              <w:spacing w:after="0"/>
              <w:rPr>
                <w:sz w:val="20"/>
                <w:szCs w:val="20"/>
                <w:color w:val="auto"/>
              </w:rPr>
            </w:pPr>
            <w:r>
              <w:rPr>
                <w:rFonts w:ascii="Arial" w:cs="Arial" w:eastAsia="Arial" w:hAnsi="Arial"/>
                <w:sz w:val="18"/>
                <w:szCs w:val="18"/>
                <w:color w:val="auto"/>
              </w:rPr>
              <w:t>Cash dividends paid:</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$0.40 per share</w:t>
            </w:r>
          </w:p>
        </w:tc>
        <w:tc>
          <w:tcPr>
            <w:tcW w:w="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line="197" w:lineRule="exact"/>
              <w:rPr>
                <w:sz w:val="20"/>
                <w:szCs w:val="20"/>
                <w:color w:val="auto"/>
              </w:rPr>
            </w:pPr>
            <w:r>
              <w:rPr>
                <w:rFonts w:ascii="Arial" w:cs="Arial" w:eastAsia="Arial" w:hAnsi="Arial"/>
                <w:sz w:val="18"/>
                <w:szCs w:val="18"/>
                <w:color w:val="auto"/>
              </w:rPr>
              <w:t>Cash dividends declared to noncontrolling</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660" w:type="dxa"/>
            <w:vAlign w:val="bottom"/>
          </w:tcPr>
          <w:p>
            <w:pPr>
              <w:ind w:left="20"/>
              <w:spacing w:after="0"/>
              <w:rPr>
                <w:sz w:val="20"/>
                <w:szCs w:val="20"/>
                <w:color w:val="auto"/>
              </w:rPr>
            </w:pPr>
            <w:r>
              <w:rPr>
                <w:rFonts w:ascii="Arial" w:cs="Arial" w:eastAsia="Arial" w:hAnsi="Arial"/>
                <w:sz w:val="18"/>
                <w:szCs w:val="18"/>
                <w:color w:val="auto"/>
              </w:rPr>
              <w:t>interests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
        </w:trPr>
        <w:tc>
          <w:tcPr>
            <w:tcW w:w="3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Issuance of stock under equity compensaton</w:t>
            </w: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plans</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660" w:type="dxa"/>
            <w:vAlign w:val="bottom"/>
          </w:tcPr>
          <w:p>
            <w:pPr>
              <w:ind w:left="20"/>
              <w:spacing w:after="0"/>
              <w:rPr>
                <w:sz w:val="20"/>
                <w:szCs w:val="20"/>
                <w:color w:val="auto"/>
              </w:rPr>
            </w:pPr>
            <w:r>
              <w:rPr>
                <w:rFonts w:ascii="Arial" w:cs="Arial" w:eastAsia="Arial" w:hAnsi="Arial"/>
                <w:sz w:val="18"/>
                <w:szCs w:val="18"/>
                <w:color w:val="auto"/>
              </w:rPr>
              <w:t>Share-based compensaton</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and retrement of common stock</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(213 )</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55,937</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-3531235</wp:posOffset>
            </wp:positionV>
            <wp:extent cx="8572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-3531235</wp:posOffset>
            </wp:positionV>
            <wp:extent cx="85725"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-3531235</wp:posOffset>
            </wp:positionV>
            <wp:extent cx="8572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-3531235</wp:posOffset>
            </wp:positionV>
            <wp:extent cx="76835"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-3531235</wp:posOffset>
            </wp:positionV>
            <wp:extent cx="7747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-3531235</wp:posOffset>
            </wp:positionV>
            <wp:extent cx="7683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-3531235</wp:posOffset>
            </wp:positionV>
            <wp:extent cx="76835"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-3531235</wp:posOffset>
            </wp:positionV>
            <wp:extent cx="85725"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-1859915</wp:posOffset>
            </wp:positionV>
            <wp:extent cx="85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-1859915</wp:posOffset>
            </wp:positionV>
            <wp:extent cx="857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-1859915</wp:posOffset>
            </wp:positionV>
            <wp:extent cx="857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-1859915</wp:posOffset>
            </wp:positionV>
            <wp:extent cx="768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-1859915</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-1859915</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-1859915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-1859915</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CABOT CORPORATION</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CONSOLIDATED STATEMENTS OF CHANGES IN STOCKHOLDERS’ EQUITY</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3640" w:type="dxa"/>
        <w:tblCellMar>
          <w:top w:w="0" w:type="dxa"/>
          <w:left w:w="0" w:type="dxa"/>
          <w:bottom w:w="0" w:type="dxa"/>
          <w:right w:w="0" w:type="dxa"/>
        </w:tblCellMar>
      </w:tblPr>
      <w:tr>
        <w:trPr>
          <w:trHeight w:val="175"/>
        </w:trPr>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Total Cabot</w:t>
            </w: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Accumulate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Corporato</w:t>
            </w: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Common Stock, Net of</w:t>
            </w: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d Other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n</w:t>
            </w:r>
          </w:p>
        </w:tc>
        <w:tc>
          <w:tcPr>
            <w:tcW w:w="1020" w:type="dxa"/>
            <w:vAlign w:val="bottom"/>
          </w:tcPr>
          <w:p>
            <w:pPr>
              <w:spacing w:after="0"/>
              <w:rPr>
                <w:sz w:val="15"/>
                <w:szCs w:val="15"/>
                <w:color w:val="auto"/>
              </w:rPr>
            </w:pPr>
          </w:p>
        </w:tc>
        <w:tc>
          <w:tcPr>
            <w:tcW w:w="860" w:type="dxa"/>
            <w:vAlign w:val="bottom"/>
          </w:tcPr>
          <w:p>
            <w:pPr>
              <w:jc w:val="center"/>
              <w:ind w:left="4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1540" w:type="dxa"/>
            <w:vAlign w:val="bottom"/>
            <w:gridSpan w:val="2"/>
            <w:vMerge w:val="continue"/>
          </w:tcPr>
          <w:p>
            <w:pPr>
              <w:spacing w:after="0"/>
              <w:rPr>
                <w:sz w:val="14"/>
                <w:szCs w:val="14"/>
                <w:color w:val="auto"/>
              </w:rPr>
            </w:pPr>
          </w:p>
        </w:tc>
        <w:tc>
          <w:tcPr>
            <w:tcW w:w="1100" w:type="dxa"/>
            <w:vAlign w:val="bottom"/>
          </w:tcPr>
          <w:p>
            <w:pPr>
              <w:jc w:val="center"/>
              <w:ind w:left="28"/>
              <w:spacing w:after="0"/>
              <w:rPr>
                <w:sz w:val="20"/>
                <w:szCs w:val="20"/>
                <w:color w:val="auto"/>
              </w:rPr>
            </w:pPr>
            <w:r>
              <w:rPr>
                <w:rFonts w:ascii="Arial" w:cs="Arial" w:eastAsia="Arial" w:hAnsi="Arial"/>
                <w:sz w:val="14"/>
                <w:szCs w:val="14"/>
                <w:b w:val="1"/>
                <w:bCs w:val="1"/>
                <w:color w:val="auto"/>
                <w:w w:val="99"/>
              </w:rPr>
              <w:t>Additonal</w:t>
            </w:r>
          </w:p>
        </w:tc>
        <w:tc>
          <w:tcPr>
            <w:tcW w:w="9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Comprehen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Stockholde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Noncontroll</w:t>
            </w:r>
          </w:p>
        </w:tc>
        <w:tc>
          <w:tcPr>
            <w:tcW w:w="860" w:type="dxa"/>
            <w:vAlign w:val="bottom"/>
          </w:tcPr>
          <w:p>
            <w:pPr>
              <w:jc w:val="center"/>
              <w:ind w:left="88"/>
              <w:spacing w:after="0"/>
              <w:rPr>
                <w:sz w:val="20"/>
                <w:szCs w:val="20"/>
                <w:color w:val="auto"/>
              </w:rPr>
            </w:pPr>
            <w:r>
              <w:rPr>
                <w:rFonts w:ascii="Arial" w:cs="Arial" w:eastAsia="Arial" w:hAnsi="Arial"/>
                <w:sz w:val="14"/>
                <w:szCs w:val="14"/>
                <w:b w:val="1"/>
                <w:bCs w:val="1"/>
                <w:color w:val="auto"/>
                <w:w w:val="86"/>
              </w:rPr>
              <w:t>Stockholder</w:t>
            </w:r>
          </w:p>
        </w:tc>
        <w:tc>
          <w:tcPr>
            <w:tcW w:w="0" w:type="dxa"/>
            <w:vAlign w:val="bottom"/>
          </w:tcPr>
          <w:p>
            <w:pPr>
              <w:spacing w:after="0"/>
              <w:rPr>
                <w:sz w:val="1"/>
                <w:szCs w:val="1"/>
                <w:color w:val="auto"/>
              </w:rPr>
            </w:pPr>
          </w:p>
        </w:tc>
      </w:tr>
      <w:tr>
        <w:trPr>
          <w:trHeight w:val="207"/>
        </w:trPr>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Treasury Stock</w:t>
            </w:r>
          </w:p>
        </w:tc>
        <w:tc>
          <w:tcPr>
            <w:tcW w:w="1100" w:type="dxa"/>
            <w:vAlign w:val="bottom"/>
          </w:tcPr>
          <w:p>
            <w:pPr>
              <w:jc w:val="center"/>
              <w:ind w:left="28"/>
              <w:spacing w:after="0"/>
              <w:rPr>
                <w:sz w:val="20"/>
                <w:szCs w:val="20"/>
                <w:color w:val="auto"/>
              </w:rPr>
            </w:pPr>
            <w:r>
              <w:rPr>
                <w:rFonts w:ascii="Arial" w:cs="Arial" w:eastAsia="Arial" w:hAnsi="Arial"/>
                <w:sz w:val="14"/>
                <w:szCs w:val="14"/>
                <w:b w:val="1"/>
                <w:bCs w:val="1"/>
                <w:color w:val="auto"/>
                <w:w w:val="85"/>
              </w:rPr>
              <w:t>Paid-in</w:t>
            </w: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Retained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sive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rs’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ing</w:t>
            </w:r>
          </w:p>
        </w:tc>
        <w:tc>
          <w:tcPr>
            <w:tcW w:w="860" w:type="dxa"/>
            <w:vAlign w:val="bottom"/>
          </w:tcPr>
          <w:p>
            <w:pPr>
              <w:jc w:val="center"/>
              <w:ind w:left="88"/>
              <w:spacing w:after="0"/>
              <w:rPr>
                <w:sz w:val="20"/>
                <w:szCs w:val="20"/>
                <w:color w:val="auto"/>
              </w:rPr>
            </w:pPr>
            <w:r>
              <w:rPr>
                <w:rFonts w:ascii="Arial" w:cs="Arial" w:eastAsia="Arial" w:hAnsi="Arial"/>
                <w:sz w:val="14"/>
                <w:szCs w:val="14"/>
                <w:b w:val="1"/>
                <w:bCs w:val="1"/>
                <w:color w:val="auto"/>
                <w:w w:val="85"/>
              </w:rPr>
              <w:t>s’</w:t>
            </w: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Income</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6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ind w:left="280"/>
              <w:spacing w:after="0"/>
              <w:rPr>
                <w:sz w:val="20"/>
                <w:szCs w:val="20"/>
                <w:color w:val="auto"/>
              </w:rPr>
            </w:pPr>
            <w:r>
              <w:rPr>
                <w:rFonts w:ascii="Arial" w:cs="Arial" w:eastAsia="Arial" w:hAnsi="Arial"/>
                <w:sz w:val="14"/>
                <w:szCs w:val="14"/>
                <w:b w:val="1"/>
                <w:bCs w:val="1"/>
                <w:color w:val="auto"/>
              </w:rPr>
              <w:t>Cost</w:t>
            </w:r>
          </w:p>
        </w:tc>
        <w:tc>
          <w:tcPr>
            <w:tcW w:w="1100" w:type="dxa"/>
            <w:vAlign w:val="bottom"/>
          </w:tcPr>
          <w:p>
            <w:pPr>
              <w:jc w:val="center"/>
              <w:ind w:left="28"/>
              <w:spacing w:after="0"/>
              <w:rPr>
                <w:sz w:val="20"/>
                <w:szCs w:val="20"/>
                <w:color w:val="auto"/>
              </w:rPr>
            </w:pPr>
            <w:r>
              <w:rPr>
                <w:rFonts w:ascii="Arial" w:cs="Arial" w:eastAsia="Arial" w:hAnsi="Arial"/>
                <w:sz w:val="14"/>
                <w:szCs w:val="14"/>
                <w:b w:val="1"/>
                <w:bCs w:val="1"/>
                <w:color w:val="auto"/>
                <w:w w:val="85"/>
              </w:rPr>
              <w:t>Capital</w:t>
            </w:r>
          </w:p>
        </w:tc>
        <w:tc>
          <w:tcPr>
            <w:tcW w:w="900" w:type="dxa"/>
            <w:vAlign w:val="bottom"/>
          </w:tcPr>
          <w:p>
            <w:pPr>
              <w:ind w:left="200"/>
              <w:spacing w:after="0"/>
              <w:rPr>
                <w:sz w:val="20"/>
                <w:szCs w:val="20"/>
                <w:color w:val="auto"/>
              </w:rPr>
            </w:pPr>
            <w:r>
              <w:rPr>
                <w:rFonts w:ascii="Arial" w:cs="Arial" w:eastAsia="Arial" w:hAnsi="Arial"/>
                <w:sz w:val="14"/>
                <w:szCs w:val="14"/>
                <w:b w:val="1"/>
                <w:bCs w:val="1"/>
                <w:color w:val="auto"/>
              </w:rPr>
              <w:t>Earnings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0"/>
              </w:rPr>
              <w:t>(Loss)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Equity</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Interests</w:t>
            </w:r>
          </w:p>
        </w:tc>
        <w:tc>
          <w:tcPr>
            <w:tcW w:w="860" w:type="dxa"/>
            <w:vAlign w:val="bottom"/>
          </w:tcPr>
          <w:p>
            <w:pPr>
              <w:jc w:val="center"/>
              <w:ind w:left="88"/>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18415</wp:posOffset>
            </wp:positionV>
            <wp:extent cx="47320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12"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(In millions, except share amounts)</w:t>
      </w:r>
    </w:p>
    <w:p>
      <w:pPr>
        <w:sectPr>
          <w:pgSz w:w="11900" w:h="16838" w:orient="portrait"/>
          <w:cols w:equalWidth="0" w:num="1">
            <w:col w:w="11160"/>
          </w:cols>
          <w:pgMar w:left="340" w:top="321" w:right="399" w:bottom="1440" w:gutter="0" w:footer="0" w:header="0"/>
        </w:sectPr>
      </w:pPr>
    </w:p>
    <w:p>
      <w:pPr>
        <w:spacing w:after="0" w:line="47" w:lineRule="exact"/>
        <w:rPr>
          <w:sz w:val="20"/>
          <w:szCs w:val="20"/>
          <w:color w:val="auto"/>
        </w:rPr>
      </w:pPr>
    </w:p>
    <w:p>
      <w:pPr>
        <w:ind w:right="1020"/>
        <w:spacing w:after="0" w:line="281" w:lineRule="auto"/>
        <w:rPr>
          <w:sz w:val="20"/>
          <w:szCs w:val="20"/>
          <w:color w:val="auto"/>
        </w:rPr>
      </w:pPr>
      <w:r>
        <w:rPr>
          <w:rFonts w:ascii="Arial" w:cs="Arial" w:eastAsia="Arial" w:hAnsi="Arial"/>
          <w:sz w:val="18"/>
          <w:szCs w:val="18"/>
          <w:color w:val="auto"/>
        </w:rPr>
        <w:t>Balance at September 30, 2021 Net income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other comprehensive income (loss)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paid:</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Common stock, $0.37 per share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Issuance of stock under equity compensaton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compensaton</w:t>
      </w:r>
    </w:p>
    <w:p>
      <w:pPr>
        <w:spacing w:after="0" w:line="50"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color w:val="auto"/>
        </w:rPr>
        <w:t>Purchase and retrement of common stock Balance at December 31, 2021 Net income (loss)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other comprehensive income (loss)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paid:</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Common stock, $0.37 per share</w:t>
      </w:r>
    </w:p>
    <w:p>
      <w:pPr>
        <w:spacing w:after="0" w:line="36"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Cash dividends declared to noncontrolling interests</w:t>
      </w:r>
    </w:p>
    <w:p>
      <w:pPr>
        <w:spacing w:after="0" w:line="266" w:lineRule="auto"/>
        <w:rPr>
          <w:sz w:val="20"/>
          <w:szCs w:val="20"/>
          <w:color w:val="auto"/>
        </w:rPr>
      </w:pPr>
      <w:r>
        <w:rPr>
          <w:rFonts w:ascii="Arial" w:cs="Arial" w:eastAsia="Arial" w:hAnsi="Arial"/>
          <w:sz w:val="18"/>
          <w:szCs w:val="18"/>
          <w:color w:val="auto"/>
        </w:rPr>
        <w:t>Issuance of stock under equity compensaton plans</w:t>
      </w:r>
    </w:p>
    <w:p>
      <w:pPr>
        <w:spacing w:after="0"/>
        <w:rPr>
          <w:sz w:val="20"/>
          <w:szCs w:val="20"/>
          <w:color w:val="auto"/>
        </w:rPr>
      </w:pPr>
      <w:r>
        <w:rPr>
          <w:rFonts w:ascii="Arial" w:cs="Arial" w:eastAsia="Arial" w:hAnsi="Arial"/>
          <w:sz w:val="18"/>
          <w:szCs w:val="18"/>
          <w:color w:val="auto"/>
        </w:rPr>
        <w:t>Share-based compensaton</w:t>
      </w:r>
    </w:p>
    <w:p>
      <w:pPr>
        <w:spacing w:after="0" w:line="50"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color w:val="auto"/>
        </w:rPr>
        <w:t>Purchase and retrement of common stock Balance at March 31, 2022 Net income (loss)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other comprehensive income (loss)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paid:</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Common stock, $0.37 per share</w:t>
      </w:r>
    </w:p>
    <w:p>
      <w:pPr>
        <w:spacing w:after="0" w:line="36"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Cash dividends declared to noncontrolling interests</w:t>
      </w:r>
    </w:p>
    <w:p>
      <w:pPr>
        <w:spacing w:after="0" w:line="266" w:lineRule="auto"/>
        <w:rPr>
          <w:sz w:val="20"/>
          <w:szCs w:val="20"/>
          <w:color w:val="auto"/>
        </w:rPr>
      </w:pPr>
      <w:r>
        <w:rPr>
          <w:rFonts w:ascii="Arial" w:cs="Arial" w:eastAsia="Arial" w:hAnsi="Arial"/>
          <w:sz w:val="18"/>
          <w:szCs w:val="18"/>
          <w:color w:val="auto"/>
        </w:rPr>
        <w:t>Issuance of stock under equity compensaton plans</w:t>
      </w:r>
    </w:p>
    <w:p>
      <w:pPr>
        <w:spacing w:after="0"/>
        <w:rPr>
          <w:sz w:val="20"/>
          <w:szCs w:val="20"/>
          <w:color w:val="auto"/>
        </w:rPr>
      </w:pPr>
      <w:r>
        <w:rPr>
          <w:rFonts w:ascii="Arial" w:cs="Arial" w:eastAsia="Arial" w:hAnsi="Arial"/>
          <w:sz w:val="18"/>
          <w:szCs w:val="18"/>
          <w:color w:val="auto"/>
        </w:rPr>
        <w:t>Share-based compensaton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Purchase and retrement of common stock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2022</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740" w:type="dxa"/>
            <w:vAlign w:val="bottom"/>
          </w:tcPr>
          <w:p>
            <w:pPr>
              <w:jc w:val="right"/>
              <w:spacing w:after="0"/>
              <w:rPr>
                <w:sz w:val="20"/>
                <w:szCs w:val="20"/>
                <w:color w:val="auto"/>
              </w:rPr>
            </w:pPr>
            <w:r>
              <w:rPr>
                <w:rFonts w:ascii="Arial" w:cs="Arial" w:eastAsia="Arial" w:hAnsi="Arial"/>
                <w:sz w:val="18"/>
                <w:szCs w:val="18"/>
                <w:color w:val="auto"/>
              </w:rPr>
              <w:t>56,727</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1,159</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(289 )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947</w:t>
            </w:r>
          </w:p>
        </w:tc>
        <w:tc>
          <w:tcPr>
            <w:tcW w:w="2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(89 )</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(89 )</w:t>
            </w:r>
          </w:p>
        </w:tc>
        <w:tc>
          <w:tcPr>
            <w:tcW w:w="3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(30 )</w:t>
            </w:r>
          </w:p>
        </w:tc>
        <w:tc>
          <w:tcPr>
            <w:tcW w:w="26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(30 )</w:t>
            </w:r>
          </w:p>
        </w:tc>
        <w:tc>
          <w:tcPr>
            <w:tcW w:w="3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486"/>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(21 )</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(21 )</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459"/>
        </w:trPr>
        <w:tc>
          <w:tcPr>
            <w:tcW w:w="740" w:type="dxa"/>
            <w:vAlign w:val="bottom"/>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(349 )</w:t>
            </w:r>
          </w:p>
        </w:tc>
        <w:tc>
          <w:tcPr>
            <w:tcW w:w="2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(19 )</w:t>
            </w:r>
          </w:p>
        </w:tc>
        <w:tc>
          <w:tcPr>
            <w:tcW w:w="18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(19 )</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35"/>
        </w:trPr>
        <w:tc>
          <w:tcPr>
            <w:tcW w:w="7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vMerge w:val="restart"/>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60" w:type="dxa"/>
            <w:vAlign w:val="bottom"/>
            <w:vMerge w:val="restart"/>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740" w:type="dxa"/>
            <w:vAlign w:val="bottom"/>
          </w:tcPr>
          <w:p>
            <w:pPr>
              <w:jc w:val="right"/>
              <w:spacing w:after="0"/>
              <w:rPr>
                <w:sz w:val="20"/>
                <w:szCs w:val="20"/>
                <w:color w:val="auto"/>
              </w:rPr>
            </w:pPr>
            <w:r>
              <w:rPr>
                <w:rFonts w:ascii="Arial" w:cs="Arial" w:eastAsia="Arial" w:hAnsi="Arial"/>
                <w:sz w:val="18"/>
                <w:szCs w:val="18"/>
                <w:color w:val="auto"/>
              </w:rPr>
              <w:t>56,580</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1,049</w:t>
            </w:r>
          </w:p>
        </w:tc>
        <w:tc>
          <w:tcPr>
            <w:tcW w:w="26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(319</w:t>
            </w:r>
          </w:p>
        </w:tc>
        <w:tc>
          <w:tcPr>
            <w:tcW w:w="26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794</w:t>
            </w:r>
          </w:p>
        </w:tc>
        <w:tc>
          <w:tcPr>
            <w:tcW w:w="24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vMerge w:val="continue"/>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948</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(21 )</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(21 )</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459"/>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(14 )</w:t>
            </w:r>
          </w:p>
        </w:tc>
        <w:tc>
          <w:tcPr>
            <w:tcW w:w="2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459"/>
        </w:trPr>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(221 )</w:t>
            </w:r>
          </w:p>
        </w:tc>
        <w:tc>
          <w:tcPr>
            <w:tcW w:w="2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(15 )</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(15 )</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35"/>
        </w:trPr>
        <w:tc>
          <w:tcPr>
            <w:tcW w:w="7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vMerge w:val="restart"/>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740" w:type="dxa"/>
            <w:vAlign w:val="bottom"/>
          </w:tcPr>
          <w:p>
            <w:pPr>
              <w:jc w:val="right"/>
              <w:spacing w:after="0"/>
              <w:rPr>
                <w:sz w:val="20"/>
                <w:szCs w:val="20"/>
                <w:color w:val="auto"/>
              </w:rPr>
            </w:pPr>
            <w:r>
              <w:rPr>
                <w:rFonts w:ascii="Arial" w:cs="Arial" w:eastAsia="Arial" w:hAnsi="Arial"/>
                <w:sz w:val="18"/>
                <w:szCs w:val="18"/>
                <w:color w:val="auto"/>
              </w:rPr>
              <w:t>56,431</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1,135</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(274</w:t>
            </w:r>
          </w:p>
        </w:tc>
        <w:tc>
          <w:tcPr>
            <w:tcW w:w="26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918</w:t>
            </w:r>
          </w:p>
        </w:tc>
        <w:tc>
          <w:tcPr>
            <w:tcW w:w="2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(94 )</w:t>
            </w:r>
          </w:p>
        </w:tc>
        <w:tc>
          <w:tcPr>
            <w:tcW w:w="26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(94 )</w:t>
            </w:r>
          </w:p>
        </w:tc>
        <w:tc>
          <w:tcPr>
            <w:tcW w:w="30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(9 )</w:t>
            </w:r>
          </w:p>
        </w:tc>
        <w:tc>
          <w:tcPr>
            <w:tcW w:w="2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486"/>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(21 )</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(21 )</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459"/>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(198 )</w:t>
            </w:r>
          </w:p>
        </w:tc>
        <w:tc>
          <w:tcPr>
            <w:tcW w:w="2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(13 )</w:t>
            </w:r>
          </w:p>
        </w:tc>
        <w:tc>
          <w:tcPr>
            <w:tcW w:w="1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(1 )</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(14 )</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35"/>
        </w:trPr>
        <w:tc>
          <w:tcPr>
            <w:tcW w:w="7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vMerge w:val="restart"/>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56,299</w:t>
            </w:r>
          </w:p>
        </w:tc>
        <w:tc>
          <w:tcPr>
            <w:tcW w:w="28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60" w:type="dxa"/>
            <w:vAlign w:val="bottom"/>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continue"/>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60" w:type="dxa"/>
            <w:vAlign w:val="bottom"/>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-4911090</wp:posOffset>
            </wp:positionV>
            <wp:extent cx="713232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-4594225</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-4285615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-3839845</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-3522345</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-3213735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-2905125</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-2459990</wp:posOffset>
            </wp:positionV>
            <wp:extent cx="7132320" cy="291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-2013585</wp:posOffset>
            </wp:positionV>
            <wp:extent cx="7132320" cy="4718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4718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-1388110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-1079500</wp:posOffset>
            </wp:positionV>
            <wp:extent cx="7132320" cy="291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-496570</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-179070</wp:posOffset>
            </wp:positionV>
            <wp:extent cx="713232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3300" w:space="340"/>
            <w:col w:w="7520"/>
          </w:cols>
          <w:pgMar w:left="340" w:top="321"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consolidated fnancial statements.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321" w:right="399" w:bottom="1440" w:gutter="0" w:footer="0" w:header="0"/>
          <w:type w:val="continuous"/>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CABOT CORPORATION</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Presentaton</w:t>
      </w:r>
    </w:p>
    <w:p>
      <w:pPr>
        <w:spacing w:after="0" w:line="92" w:lineRule="exact"/>
        <w:rPr>
          <w:sz w:val="20"/>
          <w:szCs w:val="20"/>
          <w:color w:val="auto"/>
        </w:rPr>
      </w:pPr>
    </w:p>
    <w:p>
      <w:pPr>
        <w:jc w:val="both"/>
        <w:ind w:right="100" w:firstLine="509"/>
        <w:spacing w:after="0" w:line="258" w:lineRule="auto"/>
        <w:rPr>
          <w:sz w:val="20"/>
          <w:szCs w:val="20"/>
          <w:color w:val="auto"/>
        </w:rPr>
      </w:pPr>
      <w:r>
        <w:rPr>
          <w:rFonts w:ascii="Arial" w:cs="Arial" w:eastAsia="Arial" w:hAnsi="Arial"/>
          <w:sz w:val="18"/>
          <w:szCs w:val="18"/>
          <w:color w:val="auto"/>
        </w:rPr>
        <w:t>The consolidated fnancial statements have been prepared in conformity with accountng policies generally accepted in the United States (“U.S.”) and include the accounts of Cabot Corporaton (“Cabot” or the “Company”) and its wholly-owned subsidiaries and majority-owned and controlled U.S. and non-U.S. subsidiaries. Additonally, Cabot considers consolidaton of enttes over which control is achieved through means other than votng rights. Intercompany transactons have been eliminated in consolidaton.</w:t>
      </w:r>
    </w:p>
    <w:p>
      <w:pPr>
        <w:spacing w:after="0" w:line="55" w:lineRule="exact"/>
        <w:rPr>
          <w:sz w:val="20"/>
          <w:szCs w:val="20"/>
          <w:color w:val="auto"/>
        </w:rPr>
      </w:pPr>
    </w:p>
    <w:p>
      <w:pPr>
        <w:ind w:firstLine="509"/>
        <w:spacing w:after="0" w:line="262" w:lineRule="auto"/>
        <w:rPr>
          <w:sz w:val="20"/>
          <w:szCs w:val="20"/>
          <w:color w:val="auto"/>
        </w:rPr>
      </w:pPr>
      <w:r>
        <w:rPr>
          <w:rFonts w:ascii="Arial" w:cs="Arial" w:eastAsia="Arial" w:hAnsi="Arial"/>
          <w:sz w:val="18"/>
          <w:szCs w:val="18"/>
          <w:color w:val="auto"/>
        </w:rPr>
        <w:t>The unaudited consolidated fnancial statements have been prepared in accordance with the requirements of Form 10-Q and consequently do not include all disclosures required by Form 10-K. Additonal informaton may be obtained by referring to Cabot’s Annual Report on Form 10-K for its fscal year ended September 30, 2022 (“2022 10-K”).</w:t>
      </w:r>
    </w:p>
    <w:p>
      <w:pPr>
        <w:spacing w:after="0" w:line="51" w:lineRule="exact"/>
        <w:rPr>
          <w:sz w:val="20"/>
          <w:szCs w:val="20"/>
          <w:color w:val="auto"/>
        </w:rPr>
      </w:pPr>
    </w:p>
    <w:p>
      <w:pPr>
        <w:ind w:right="80" w:firstLine="509"/>
        <w:spacing w:after="0" w:line="262" w:lineRule="auto"/>
        <w:rPr>
          <w:sz w:val="20"/>
          <w:szCs w:val="20"/>
          <w:color w:val="auto"/>
        </w:rPr>
      </w:pPr>
      <w:r>
        <w:rPr>
          <w:rFonts w:ascii="Arial" w:cs="Arial" w:eastAsia="Arial" w:hAnsi="Arial"/>
          <w:sz w:val="18"/>
          <w:szCs w:val="18"/>
          <w:color w:val="auto"/>
        </w:rPr>
        <w:t>The fnancial informaton submited herewith is unaudited and refects all adjustments which are, in the opinion of management, necessary to provide a fair statement of the results for the interim periods ended June 30, 2023 and 2022. All such adjustments are of a normal recurring nature. The results for interim periods are not necessarily indicatve of the results to be expected for the fscal year.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Signifcant Accountng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Accountng Pronouncements</w:t>
      </w:r>
    </w:p>
    <w:p>
      <w:pPr>
        <w:spacing w:after="0" w:line="92" w:lineRule="exact"/>
        <w:rPr>
          <w:sz w:val="20"/>
          <w:szCs w:val="20"/>
          <w:color w:val="auto"/>
        </w:rPr>
      </w:pPr>
    </w:p>
    <w:p>
      <w:pPr>
        <w:jc w:val="both"/>
        <w:ind w:right="60" w:firstLine="509"/>
        <w:spacing w:after="0" w:line="262" w:lineRule="auto"/>
        <w:rPr>
          <w:sz w:val="20"/>
          <w:szCs w:val="20"/>
          <w:color w:val="auto"/>
        </w:rPr>
      </w:pPr>
      <w:r>
        <w:rPr>
          <w:rFonts w:ascii="Arial" w:cs="Arial" w:eastAsia="Arial" w:hAnsi="Arial"/>
          <w:sz w:val="18"/>
          <w:szCs w:val="18"/>
          <w:color w:val="auto"/>
        </w:rPr>
        <w:t>In August 2022, the U.S. government enacted the Infaton Reducton Act ("IRA") which, among other things, provides for a 1% excise tax on stock repurchases. The IRA was efectve January 1, 2023. The Company’s applicaton of the statute did not have a material efect on its Consolidated Financial Statements, or its share repurchase program.</w:t>
      </w:r>
    </w:p>
    <w:p>
      <w:pPr>
        <w:spacing w:after="0" w:line="51" w:lineRule="exact"/>
        <w:rPr>
          <w:sz w:val="20"/>
          <w:szCs w:val="20"/>
          <w:color w:val="auto"/>
        </w:rPr>
      </w:pPr>
    </w:p>
    <w:p>
      <w:pPr>
        <w:ind w:firstLine="509"/>
        <w:spacing w:after="0" w:line="278" w:lineRule="auto"/>
        <w:rPr>
          <w:sz w:val="20"/>
          <w:szCs w:val="20"/>
          <w:color w:val="auto"/>
        </w:rPr>
      </w:pPr>
      <w:r>
        <w:rPr>
          <w:rFonts w:ascii="Arial" w:cs="Arial" w:eastAsia="Arial" w:hAnsi="Arial"/>
          <w:sz w:val="17"/>
          <w:szCs w:val="17"/>
          <w:color w:val="auto"/>
        </w:rPr>
        <w:t>In November 2022, the FASB issued a new standard on the disclosure of supplier fnancing programs. The new standard requires qualitatve and quanttatve disclosure as to the nature and potental magnitude of such programs in additon to program actvity and changes for the periods presented. The standard is efectve for fscal years beginning afer December 15, 2022 and early adopton is permited. The Company is currently evaluatng the tming of adopton and the impact of the adopton of this standard on its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Tokai Carbon (Tianjin) Co.</w:t>
      </w:r>
    </w:p>
    <w:p>
      <w:pPr>
        <w:spacing w:after="0" w:line="79" w:lineRule="exact"/>
        <w:rPr>
          <w:sz w:val="20"/>
          <w:szCs w:val="20"/>
          <w:color w:val="auto"/>
        </w:rPr>
      </w:pPr>
    </w:p>
    <w:p>
      <w:pPr>
        <w:jc w:val="both"/>
        <w:ind w:right="80" w:firstLine="478"/>
        <w:spacing w:after="0" w:line="262" w:lineRule="auto"/>
        <w:rPr>
          <w:sz w:val="20"/>
          <w:szCs w:val="20"/>
          <w:color w:val="auto"/>
        </w:rPr>
      </w:pPr>
      <w:r>
        <w:rPr>
          <w:rFonts w:ascii="Arial" w:cs="Arial" w:eastAsia="Arial" w:hAnsi="Arial"/>
          <w:sz w:val="18"/>
          <w:szCs w:val="18"/>
          <w:color w:val="auto"/>
        </w:rPr>
        <w:t>In February 2022, the Company purchased 100% of the registered capital of Tokai Carbon (Tianjin) Co., a carbon black manufacturing facility, from Tokai Carbon Group for a net purchase price of $9 million, consistng of cash consideraton of $14 million, including customary post-closing adjustments, and net of $5 million of cash acquired.</w:t>
      </w:r>
    </w:p>
    <w:p>
      <w:pPr>
        <w:spacing w:after="0" w:line="5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excess of the fair value of the net assets over the purchase price was recorded as a gain of $24 million for the three months ended March 31,</w:t>
      </w:r>
    </w:p>
    <w:p>
      <w:pPr>
        <w:spacing w:after="0" w:line="43"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2022. The Gain on bargain purchase of a business arose primarily due to equipment upgrades required afer the purchase to contnue to utlize the existng assets.</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7"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D. Divesttures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Purifcaton Solutons Business</w:t>
      </w:r>
    </w:p>
    <w:p>
      <w:pPr>
        <w:spacing w:after="0" w:line="92"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In March 2022, the Company completed the sale of its Purifcaton Solutons business, a reportng segment of the Company, to an afliate of funds advised by One Equity Partners for total cash proceeds of $85 million, net of $7 million cash transferred. The Company recognized a pre-tax impairment charge of $197 million during the frst quarter of fscal 2022 and a pre-tax loss on sale of the Purifcaton Solutons business of $10 million during fscal 2022. The purchase price of the Purifcaton Solutons business was subject to customary post-closing adjustments, which were fnalized during the frst quarter of fscal 2023 and resulted in an additonal pre-tax loss on sale of $3 million.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Goodwill and Intangible Assets</w:t>
      </w:r>
    </w:p>
    <w:p>
      <w:pPr>
        <w:spacing w:after="0" w:line="92" w:lineRule="exact"/>
        <w:rPr>
          <w:sz w:val="20"/>
          <w:szCs w:val="20"/>
          <w:color w:val="auto"/>
        </w:rPr>
      </w:pPr>
    </w:p>
    <w:p>
      <w:pPr>
        <w:ind w:right="220" w:firstLine="509"/>
        <w:spacing w:after="0" w:line="273" w:lineRule="auto"/>
        <w:rPr>
          <w:sz w:val="20"/>
          <w:szCs w:val="20"/>
          <w:color w:val="auto"/>
        </w:rPr>
      </w:pPr>
      <w:r>
        <w:rPr>
          <w:rFonts w:ascii="Arial" w:cs="Arial" w:eastAsia="Arial" w:hAnsi="Arial"/>
          <w:sz w:val="18"/>
          <w:szCs w:val="18"/>
          <w:color w:val="auto"/>
        </w:rPr>
        <w:t>The carrying amount of goodwill atributable to each reportable segment and the changes in those balances during the nine months ended June 30, 2023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Reinforcement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ind w:left="164"/>
              <w:spacing w:after="0"/>
              <w:rPr>
                <w:sz w:val="20"/>
                <w:szCs w:val="20"/>
                <w:color w:val="auto"/>
              </w:rPr>
            </w:pPr>
            <w:r>
              <w:rPr>
                <w:rFonts w:ascii="Arial" w:cs="Arial" w:eastAsia="Arial" w:hAnsi="Arial"/>
                <w:sz w:val="14"/>
                <w:szCs w:val="14"/>
                <w:b w:val="1"/>
                <w:bCs w:val="1"/>
                <w:color w:val="auto"/>
                <w:w w:val="88"/>
              </w:rPr>
              <w:t>Performance</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4"/>
        </w:trPr>
        <w:tc>
          <w:tcPr>
            <w:tcW w:w="6540" w:type="dxa"/>
            <w:vAlign w:val="bottom"/>
          </w:tcPr>
          <w:p>
            <w:pPr>
              <w:spacing w:after="0"/>
              <w:rPr>
                <w:sz w:val="15"/>
                <w:szCs w:val="15"/>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Materials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ind w:left="164"/>
              <w:spacing w:after="0"/>
              <w:rPr>
                <w:sz w:val="20"/>
                <w:szCs w:val="20"/>
                <w:color w:val="auto"/>
              </w:rPr>
            </w:pPr>
            <w:r>
              <w:rPr>
                <w:rFonts w:ascii="Arial" w:cs="Arial" w:eastAsia="Arial" w:hAnsi="Arial"/>
                <w:sz w:val="14"/>
                <w:szCs w:val="14"/>
                <w:b w:val="1"/>
                <w:bCs w:val="1"/>
                <w:color w:val="auto"/>
                <w:w w:val="85"/>
              </w:rPr>
              <w:t>Chemicals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r>
      <w:tr>
        <w:trPr>
          <w:trHeight w:val="29"/>
        </w:trPr>
        <w:tc>
          <w:tcPr>
            <w:tcW w:w="65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87"/>
        </w:trPr>
        <w:tc>
          <w:tcPr>
            <w:tcW w:w="6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center"/>
              <w:ind w:left="164"/>
              <w:spacing w:after="0"/>
              <w:rPr>
                <w:sz w:val="20"/>
                <w:szCs w:val="20"/>
                <w:color w:val="auto"/>
              </w:rPr>
            </w:pPr>
            <w:r>
              <w:rPr>
                <w:rFonts w:ascii="Arial" w:cs="Arial" w:eastAsia="Arial" w:hAnsi="Arial"/>
                <w:sz w:val="14"/>
                <w:szCs w:val="14"/>
                <w:b w:val="1"/>
                <w:bCs w:val="1"/>
                <w:color w:val="auto"/>
                <w:w w:val="91"/>
              </w:rPr>
              <w:t>(In millions)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52"/>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September 30, 2022</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46</w:t>
            </w:r>
          </w:p>
        </w:tc>
        <w:tc>
          <w:tcPr>
            <w:tcW w:w="1380" w:type="dxa"/>
            <w:vAlign w:val="bottom"/>
            <w:gridSpan w:val="2"/>
            <w:shd w:val="clear" w:color="auto" w:fill="CFF0FC"/>
          </w:tcPr>
          <w:p>
            <w:pPr>
              <w:jc w:val="right"/>
              <w:ind w:right="884"/>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83</w:t>
            </w:r>
          </w:p>
        </w:tc>
        <w:tc>
          <w:tcPr>
            <w:tcW w:w="6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FF0FC"/>
          </w:tcPr>
          <w:p>
            <w:pPr>
              <w:spacing w:after="0"/>
              <w:rPr>
                <w:sz w:val="21"/>
                <w:szCs w:val="21"/>
                <w:color w:val="auto"/>
              </w:rPr>
            </w:pPr>
          </w:p>
        </w:tc>
      </w:tr>
      <w:tr>
        <w:trPr>
          <w:trHeight w:val="236"/>
        </w:trPr>
        <w:tc>
          <w:tcPr>
            <w:tcW w:w="6540" w:type="dxa"/>
            <w:vAlign w:val="bottom"/>
          </w:tcPr>
          <w:p>
            <w:pPr>
              <w:ind w:left="20"/>
              <w:spacing w:after="0"/>
              <w:rPr>
                <w:sz w:val="20"/>
                <w:szCs w:val="20"/>
                <w:color w:val="auto"/>
              </w:rPr>
            </w:pPr>
            <w:r>
              <w:rPr>
                <w:rFonts w:ascii="Arial" w:cs="Arial" w:eastAsia="Arial" w:hAnsi="Arial"/>
                <w:sz w:val="18"/>
                <w:szCs w:val="18"/>
                <w:color w:val="auto"/>
              </w:rPr>
              <w:t>Foreign currency impact</w:t>
            </w:r>
          </w:p>
        </w:tc>
        <w:tc>
          <w:tcPr>
            <w:tcW w:w="1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r>
      <w:tr>
        <w:trPr>
          <w:trHeight w:val="283"/>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 2023</w:t>
            </w:r>
          </w:p>
        </w:tc>
        <w:tc>
          <w:tcPr>
            <w:tcW w:w="1100" w:type="dxa"/>
            <w:vAlign w:val="bottom"/>
            <w:tcBorders>
              <w:top w:val="single" w:sz="8" w:color="auto"/>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52</w:t>
            </w:r>
          </w:p>
        </w:tc>
        <w:tc>
          <w:tcPr>
            <w:tcW w:w="3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ind w:right="884"/>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84</w:t>
            </w:r>
          </w:p>
        </w:tc>
        <w:tc>
          <w:tcPr>
            <w:tcW w:w="3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-25400</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informaton regarding the Company’s intangible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7"/>
              </w:rPr>
              <w:t>September 30, 2022</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9"/>
        </w:trPr>
        <w:tc>
          <w:tcPr>
            <w:tcW w:w="4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58"/>
        </w:trPr>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9"/>
              <w:spacing w:after="0" w:line="158"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18"/>
              <w:spacing w:after="0" w:line="158"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3"/>
                <w:szCs w:val="13"/>
                <w:color w:val="auto"/>
              </w:rPr>
            </w:pPr>
          </w:p>
        </w:tc>
      </w:tr>
      <w:tr>
        <w:trPr>
          <w:trHeight w:val="175"/>
        </w:trPr>
        <w:tc>
          <w:tcPr>
            <w:tcW w:w="4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58"/>
              <w:spacing w:after="0"/>
              <w:rPr>
                <w:sz w:val="20"/>
                <w:szCs w:val="20"/>
                <w:color w:val="auto"/>
              </w:rPr>
            </w:pPr>
            <w:r>
              <w:rPr>
                <w:rFonts w:ascii="Arial" w:cs="Arial" w:eastAsia="Arial" w:hAnsi="Arial"/>
                <w:sz w:val="14"/>
                <w:szCs w:val="14"/>
                <w:b w:val="1"/>
                <w:bCs w:val="1"/>
                <w:color w:val="auto"/>
                <w:w w:val="86"/>
              </w:rPr>
              <w:t>Carrying</w:t>
            </w:r>
          </w:p>
        </w:tc>
        <w:tc>
          <w:tcPr>
            <w:tcW w:w="26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5"/>
                <w:szCs w:val="15"/>
                <w:color w:val="auto"/>
              </w:rPr>
            </w:pPr>
          </w:p>
        </w:tc>
        <w:tc>
          <w:tcPr>
            <w:tcW w:w="76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Intangible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58"/>
              <w:spacing w:after="0"/>
              <w:rPr>
                <w:sz w:val="20"/>
                <w:szCs w:val="20"/>
                <w:color w:val="auto"/>
              </w:rPr>
            </w:pPr>
            <w:r>
              <w:rPr>
                <w:rFonts w:ascii="Arial" w:cs="Arial" w:eastAsia="Arial" w:hAnsi="Arial"/>
                <w:sz w:val="14"/>
                <w:szCs w:val="14"/>
                <w:b w:val="1"/>
                <w:bCs w:val="1"/>
                <w:color w:val="auto"/>
                <w:w w:val="86"/>
              </w:rPr>
              <w:t>Carrying</w:t>
            </w:r>
          </w:p>
        </w:tc>
        <w:tc>
          <w:tcPr>
            <w:tcW w:w="280" w:type="dxa"/>
            <w:vAlign w:val="bottom"/>
          </w:tcPr>
          <w:p>
            <w:pPr>
              <w:spacing w:after="0"/>
              <w:rPr>
                <w:sz w:val="15"/>
                <w:szCs w:val="15"/>
                <w:color w:val="auto"/>
              </w:rPr>
            </w:pPr>
          </w:p>
        </w:tc>
        <w:tc>
          <w:tcPr>
            <w:tcW w:w="112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5"/>
                <w:szCs w:val="15"/>
                <w:color w:val="auto"/>
              </w:rPr>
            </w:pPr>
          </w:p>
        </w:tc>
        <w:tc>
          <w:tcPr>
            <w:tcW w:w="76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Intangible</w:t>
            </w:r>
          </w:p>
        </w:tc>
        <w:tc>
          <w:tcPr>
            <w:tcW w:w="140" w:type="dxa"/>
            <w:vAlign w:val="bottom"/>
          </w:tcPr>
          <w:p>
            <w:pPr>
              <w:spacing w:after="0"/>
              <w:rPr>
                <w:sz w:val="15"/>
                <w:szCs w:val="15"/>
                <w:color w:val="auto"/>
              </w:rPr>
            </w:pPr>
          </w:p>
        </w:tc>
      </w:tr>
      <w:tr>
        <w:trPr>
          <w:trHeight w:val="184"/>
        </w:trPr>
        <w:tc>
          <w:tcPr>
            <w:tcW w:w="4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Amortzaton</w:t>
            </w:r>
          </w:p>
        </w:tc>
        <w:tc>
          <w:tcPr>
            <w:tcW w:w="100" w:type="dxa"/>
            <w:vAlign w:val="bottom"/>
          </w:tcPr>
          <w:p>
            <w:pPr>
              <w:spacing w:after="0"/>
              <w:rPr>
                <w:sz w:val="15"/>
                <w:szCs w:val="15"/>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5"/>
                <w:szCs w:val="15"/>
                <w:color w:val="auto"/>
              </w:rPr>
            </w:pPr>
          </w:p>
        </w:tc>
        <w:tc>
          <w:tcPr>
            <w:tcW w:w="112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Amortzaton</w:t>
            </w:r>
          </w:p>
        </w:tc>
        <w:tc>
          <w:tcPr>
            <w:tcW w:w="120" w:type="dxa"/>
            <w:vAlign w:val="bottom"/>
          </w:tcPr>
          <w:p>
            <w:pPr>
              <w:spacing w:after="0"/>
              <w:rPr>
                <w:sz w:val="15"/>
                <w:szCs w:val="15"/>
                <w:color w:val="auto"/>
              </w:rPr>
            </w:pPr>
          </w:p>
        </w:tc>
        <w:tc>
          <w:tcPr>
            <w:tcW w:w="760" w:type="dxa"/>
            <w:vAlign w:val="bottom"/>
          </w:tcPr>
          <w:p>
            <w:pPr>
              <w:jc w:val="center"/>
              <w:ind w:right="18"/>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5"/>
                <w:szCs w:val="15"/>
                <w:color w:val="auto"/>
              </w:rPr>
            </w:pPr>
          </w:p>
        </w:tc>
      </w:tr>
      <w:tr>
        <w:trPr>
          <w:trHeight w:val="29"/>
        </w:trPr>
        <w:tc>
          <w:tcPr>
            <w:tcW w:w="4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87"/>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140" w:type="dxa"/>
            <w:vAlign w:val="bottom"/>
            <w:gridSpan w:val="3"/>
          </w:tcPr>
          <w:p>
            <w:pPr>
              <w:jc w:val="right"/>
              <w:ind w:right="558"/>
              <w:spacing w:after="0"/>
              <w:rPr>
                <w:sz w:val="20"/>
                <w:szCs w:val="20"/>
                <w:color w:val="auto"/>
              </w:rPr>
            </w:pPr>
            <w:r>
              <w:rPr>
                <w:rFonts w:ascii="Arial" w:cs="Arial" w:eastAsia="Arial" w:hAnsi="Arial"/>
                <w:sz w:val="14"/>
                <w:szCs w:val="14"/>
                <w:b w:val="1"/>
                <w:bCs w:val="1"/>
                <w:color w:val="auto"/>
                <w:w w:val="83"/>
              </w:rPr>
              <w:t>millions)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52"/>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with fnite lives</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5"/>
        </w:trPr>
        <w:tc>
          <w:tcPr>
            <w:tcW w:w="4540" w:type="dxa"/>
            <w:vAlign w:val="bottom"/>
          </w:tcPr>
          <w:p>
            <w:pPr>
              <w:ind w:left="200"/>
              <w:spacing w:after="0"/>
              <w:rPr>
                <w:sz w:val="20"/>
                <w:szCs w:val="20"/>
                <w:color w:val="auto"/>
              </w:rPr>
            </w:pPr>
            <w:r>
              <w:rPr>
                <w:rFonts w:ascii="Arial" w:cs="Arial" w:eastAsia="Arial" w:hAnsi="Arial"/>
                <w:sz w:val="18"/>
                <w:szCs w:val="18"/>
                <w:color w:val="auto"/>
              </w:rPr>
              <w:t>Developed technologies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(9 )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64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(8 )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r>
      <w:tr>
        <w:trPr>
          <w:trHeight w:val="251"/>
        </w:trPr>
        <w:tc>
          <w:tcPr>
            <w:tcW w:w="4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r>
      <w:tr>
        <w:trPr>
          <w:trHeight w:val="237"/>
        </w:trPr>
        <w:tc>
          <w:tcPr>
            <w:tcW w:w="4540" w:type="dxa"/>
            <w:vAlign w:val="bottom"/>
          </w:tcPr>
          <w:p>
            <w:pPr>
              <w:ind w:left="200"/>
              <w:spacing w:after="0"/>
              <w:rPr>
                <w:sz w:val="20"/>
                <w:szCs w:val="20"/>
                <w:color w:val="auto"/>
              </w:rPr>
            </w:pPr>
            <w:r>
              <w:rPr>
                <w:rFonts w:ascii="Arial" w:cs="Arial" w:eastAsia="Arial" w:hAnsi="Arial"/>
                <w:sz w:val="18"/>
                <w:szCs w:val="18"/>
                <w:color w:val="auto"/>
              </w:rPr>
              <w:t>Customer relatonships</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(30 )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p>
        </w:tc>
      </w:tr>
      <w:tr>
        <w:trPr>
          <w:trHeight w:val="283"/>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8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-24765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85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-24765</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-8255</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10" w:lineRule="exact"/>
        <w:rPr>
          <w:sz w:val="20"/>
          <w:szCs w:val="20"/>
          <w:color w:val="auto"/>
        </w:rPr>
      </w:pPr>
    </w:p>
    <w:p>
      <w:pPr>
        <w:ind w:right="60" w:firstLine="509"/>
        <w:spacing w:after="0" w:line="274" w:lineRule="auto"/>
        <w:rPr>
          <w:sz w:val="20"/>
          <w:szCs w:val="20"/>
          <w:color w:val="auto"/>
        </w:rPr>
      </w:pPr>
      <w:r>
        <w:rPr>
          <w:rFonts w:ascii="Arial" w:cs="Arial" w:eastAsia="Arial" w:hAnsi="Arial"/>
          <w:sz w:val="17"/>
          <w:szCs w:val="17"/>
          <w:color w:val="auto"/>
        </w:rPr>
        <w:t>Intangible assets are amortzed over their estmated useful lives, which range between ten and twenty-fve years, with a weighted average amortzaton period of approximately seventeen years. Amortzaton expense for each of the three months ended June 30, 2023 and 2022 was $1 million. Amortzaton expense was $4 million and $5 million for the nine months ended June 30, 2023 and 2022, respectvely. Amortzaton expense is included in Cost of sales, Selling and administratve expenses and Research and technical expenses in the Consolidated Statements of Operatons. Total amortzaton expense is estmated to be approximately $6 million each year for the next fve fscal years.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 Accumulated Other Comprehensive Income (Loss) (“AOCI”)</w:t>
      </w:r>
    </w:p>
    <w:p>
      <w:pPr>
        <w:spacing w:after="0" w:line="92" w:lineRule="exact"/>
        <w:rPr>
          <w:sz w:val="20"/>
          <w:szCs w:val="20"/>
          <w:color w:val="auto"/>
        </w:rPr>
      </w:pPr>
    </w:p>
    <w:p>
      <w:pPr>
        <w:ind w:right="200" w:firstLine="509"/>
        <w:spacing w:after="0" w:line="273" w:lineRule="auto"/>
        <w:rPr>
          <w:sz w:val="20"/>
          <w:szCs w:val="20"/>
          <w:color w:val="auto"/>
        </w:rPr>
      </w:pPr>
      <w:r>
        <w:rPr>
          <w:rFonts w:ascii="Arial" w:cs="Arial" w:eastAsia="Arial" w:hAnsi="Arial"/>
          <w:sz w:val="18"/>
          <w:szCs w:val="18"/>
          <w:color w:val="auto"/>
        </w:rPr>
        <w:t>Comprehensive income combines net income (loss) and other comprehensive income items, which are reported as components of stockholders’ equity in the accompanying Consolidated Balance Sheets.</w:t>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each component of AOCI, net of tax,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3"/>
          </w:tcPr>
          <w:p>
            <w:pPr>
              <w:jc w:val="center"/>
              <w:ind w:right="241"/>
              <w:spacing w:after="0"/>
              <w:rPr>
                <w:sz w:val="20"/>
                <w:szCs w:val="20"/>
                <w:color w:val="auto"/>
              </w:rPr>
            </w:pPr>
            <w:r>
              <w:rPr>
                <w:rFonts w:ascii="Arial" w:cs="Arial" w:eastAsia="Arial" w:hAnsi="Arial"/>
                <w:sz w:val="14"/>
                <w:szCs w:val="14"/>
                <w:b w:val="1"/>
                <w:bCs w:val="1"/>
                <w:color w:val="auto"/>
                <w:w w:val="89"/>
              </w:rPr>
              <w:t>Pension and Other</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421"/>
              <w:spacing w:after="0"/>
              <w:rPr>
                <w:sz w:val="20"/>
                <w:szCs w:val="20"/>
                <w:color w:val="auto"/>
              </w:rPr>
            </w:pPr>
            <w:r>
              <w:rPr>
                <w:rFonts w:ascii="Arial" w:cs="Arial" w:eastAsia="Arial" w:hAnsi="Arial"/>
                <w:sz w:val="14"/>
                <w:szCs w:val="14"/>
                <w:b w:val="1"/>
                <w:bCs w:val="1"/>
                <w:color w:val="auto"/>
                <w:w w:val="84"/>
              </w:rPr>
              <w:t>Currency</w:t>
            </w:r>
          </w:p>
        </w:tc>
        <w:tc>
          <w:tcPr>
            <w:tcW w:w="160" w:type="dxa"/>
            <w:vAlign w:val="bottom"/>
          </w:tcPr>
          <w:p>
            <w:pPr>
              <w:spacing w:after="0"/>
              <w:rPr>
                <w:sz w:val="15"/>
                <w:szCs w:val="15"/>
                <w:color w:val="auto"/>
              </w:rPr>
            </w:pPr>
          </w:p>
        </w:tc>
        <w:tc>
          <w:tcPr>
            <w:tcW w:w="1480" w:type="dxa"/>
            <w:vAlign w:val="bottom"/>
            <w:gridSpan w:val="2"/>
          </w:tcPr>
          <w:p>
            <w:pPr>
              <w:jc w:val="center"/>
              <w:ind w:right="381"/>
              <w:spacing w:after="0"/>
              <w:rPr>
                <w:sz w:val="20"/>
                <w:szCs w:val="20"/>
                <w:color w:val="auto"/>
              </w:rPr>
            </w:pPr>
            <w:r>
              <w:rPr>
                <w:rFonts w:ascii="Arial" w:cs="Arial" w:eastAsia="Arial" w:hAnsi="Arial"/>
                <w:sz w:val="14"/>
                <w:szCs w:val="14"/>
                <w:b w:val="1"/>
                <w:bCs w:val="1"/>
                <w:color w:val="auto"/>
                <w:w w:val="94"/>
              </w:rPr>
              <w:t>Postretrement</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441"/>
              <w:spacing w:after="0"/>
              <w:rPr>
                <w:sz w:val="20"/>
                <w:szCs w:val="20"/>
                <w:color w:val="auto"/>
              </w:rPr>
            </w:pPr>
            <w:r>
              <w:rPr>
                <w:rFonts w:ascii="Arial" w:cs="Arial" w:eastAsia="Arial" w:hAnsi="Arial"/>
                <w:sz w:val="14"/>
                <w:szCs w:val="14"/>
                <w:b w:val="1"/>
                <w:bCs w:val="1"/>
                <w:color w:val="auto"/>
                <w:w w:val="92"/>
              </w:rPr>
              <w:t>Translaton</w:t>
            </w:r>
          </w:p>
        </w:tc>
        <w:tc>
          <w:tcPr>
            <w:tcW w:w="160" w:type="dxa"/>
            <w:vAlign w:val="bottom"/>
          </w:tcPr>
          <w:p>
            <w:pPr>
              <w:spacing w:after="0"/>
              <w:rPr>
                <w:sz w:val="15"/>
                <w:szCs w:val="15"/>
                <w:color w:val="auto"/>
              </w:rPr>
            </w:pPr>
          </w:p>
        </w:tc>
        <w:tc>
          <w:tcPr>
            <w:tcW w:w="1480" w:type="dxa"/>
            <w:vAlign w:val="bottom"/>
            <w:gridSpan w:val="2"/>
          </w:tcPr>
          <w:p>
            <w:pPr>
              <w:jc w:val="center"/>
              <w:ind w:right="401"/>
              <w:spacing w:after="0"/>
              <w:rPr>
                <w:sz w:val="20"/>
                <w:szCs w:val="20"/>
                <w:color w:val="auto"/>
              </w:rPr>
            </w:pPr>
            <w:r>
              <w:rPr>
                <w:rFonts w:ascii="Arial" w:cs="Arial" w:eastAsia="Arial" w:hAnsi="Arial"/>
                <w:sz w:val="14"/>
                <w:szCs w:val="14"/>
                <w:b w:val="1"/>
                <w:bCs w:val="1"/>
                <w:color w:val="auto"/>
                <w:w w:val="91"/>
              </w:rPr>
              <w:t>Beneft Liability</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441"/>
              <w:spacing w:after="0"/>
              <w:rPr>
                <w:sz w:val="20"/>
                <w:szCs w:val="20"/>
                <w:color w:val="auto"/>
              </w:rPr>
            </w:pPr>
            <w:r>
              <w:rPr>
                <w:rFonts w:ascii="Arial" w:cs="Arial" w:eastAsia="Arial" w:hAnsi="Arial"/>
                <w:sz w:val="14"/>
                <w:szCs w:val="14"/>
                <w:b w:val="1"/>
                <w:bCs w:val="1"/>
                <w:color w:val="auto"/>
                <w:w w:val="90"/>
              </w:rPr>
              <w:t>Adjustment</w:t>
            </w:r>
          </w:p>
        </w:tc>
        <w:tc>
          <w:tcPr>
            <w:tcW w:w="160" w:type="dxa"/>
            <w:vAlign w:val="bottom"/>
          </w:tcPr>
          <w:p>
            <w:pPr>
              <w:spacing w:after="0"/>
              <w:rPr>
                <w:sz w:val="15"/>
                <w:szCs w:val="15"/>
                <w:color w:val="auto"/>
              </w:rPr>
            </w:pPr>
          </w:p>
        </w:tc>
        <w:tc>
          <w:tcPr>
            <w:tcW w:w="1480" w:type="dxa"/>
            <w:vAlign w:val="bottom"/>
            <w:gridSpan w:val="2"/>
          </w:tcPr>
          <w:p>
            <w:pPr>
              <w:jc w:val="center"/>
              <w:ind w:right="401"/>
              <w:spacing w:after="0"/>
              <w:rPr>
                <w:sz w:val="20"/>
                <w:szCs w:val="20"/>
                <w:color w:val="auto"/>
              </w:rPr>
            </w:pPr>
            <w:r>
              <w:rPr>
                <w:rFonts w:ascii="Arial" w:cs="Arial" w:eastAsia="Arial" w:hAnsi="Arial"/>
                <w:sz w:val="14"/>
                <w:szCs w:val="14"/>
                <w:b w:val="1"/>
                <w:bCs w:val="1"/>
                <w:color w:val="auto"/>
                <w:w w:val="89"/>
              </w:rPr>
              <w:t>Adjustments</w:t>
            </w:r>
          </w:p>
        </w:tc>
        <w:tc>
          <w:tcPr>
            <w:tcW w:w="300" w:type="dxa"/>
            <w:vAlign w:val="bottom"/>
          </w:tcPr>
          <w:p>
            <w:pPr>
              <w:spacing w:after="0"/>
              <w:rPr>
                <w:sz w:val="15"/>
                <w:szCs w:val="15"/>
                <w:color w:val="auto"/>
              </w:rPr>
            </w:pPr>
          </w:p>
        </w:tc>
        <w:tc>
          <w:tcPr>
            <w:tcW w:w="114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9"/>
        </w:trPr>
        <w:tc>
          <w:tcPr>
            <w:tcW w:w="6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September 30, 2022, atributable to Cabot Corporaton</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(429 )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(10 )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(439 )</w:t>
            </w:r>
          </w:p>
        </w:tc>
        <w:tc>
          <w:tcPr>
            <w:tcW w:w="0" w:type="dxa"/>
            <w:vAlign w:val="bottom"/>
          </w:tcPr>
          <w:p>
            <w:pPr>
              <w:spacing w:after="0"/>
              <w:rPr>
                <w:sz w:val="1"/>
                <w:szCs w:val="1"/>
                <w:color w:val="auto"/>
              </w:rPr>
            </w:pPr>
          </w:p>
        </w:tc>
      </w:tr>
      <w:tr>
        <w:trPr>
          <w:trHeight w:val="235"/>
        </w:trPr>
        <w:tc>
          <w:tcPr>
            <w:tcW w:w="65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reclassifcatons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Amounts reclassifed from AOCI</w:t>
            </w: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97"/>
        </w:trPr>
        <w:tc>
          <w:tcPr>
            <w:tcW w:w="6540" w:type="dxa"/>
            <w:vAlign w:val="bottom"/>
          </w:tcPr>
          <w:p>
            <w:pPr>
              <w:ind w:left="20"/>
              <w:spacing w:after="0" w:line="197" w:lineRule="exact"/>
              <w:rPr>
                <w:sz w:val="20"/>
                <w:szCs w:val="20"/>
                <w:color w:val="auto"/>
              </w:rPr>
            </w:pPr>
            <w:r>
              <w:rPr>
                <w:rFonts w:ascii="Arial" w:cs="Arial" w:eastAsia="Arial" w:hAnsi="Arial"/>
                <w:sz w:val="18"/>
                <w:szCs w:val="18"/>
                <w:color w:val="auto"/>
              </w:rPr>
              <w:t>Less: Other comprehensive income (loss) atributable to</w:t>
            </w:r>
          </w:p>
        </w:tc>
        <w:tc>
          <w:tcPr>
            <w:tcW w:w="2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vMerge w:val="restart"/>
          </w:tcPr>
          <w:p>
            <w:pPr>
              <w:jc w:val="right"/>
              <w:ind w:right="26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54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31, 2022, atributable to Cabot Corporaton</w:t>
            </w:r>
          </w:p>
        </w:tc>
        <w:tc>
          <w:tcPr>
            <w:tcW w:w="2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5"/>
        </w:trPr>
        <w:tc>
          <w:tcPr>
            <w:tcW w:w="65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reclassifcatons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Amounts reclassifed from AOCI</w:t>
            </w: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(1 )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197"/>
        </w:trPr>
        <w:tc>
          <w:tcPr>
            <w:tcW w:w="6540" w:type="dxa"/>
            <w:vAlign w:val="bottom"/>
          </w:tcPr>
          <w:p>
            <w:pPr>
              <w:ind w:left="20"/>
              <w:spacing w:after="0" w:line="197" w:lineRule="exact"/>
              <w:rPr>
                <w:sz w:val="20"/>
                <w:szCs w:val="20"/>
                <w:color w:val="auto"/>
              </w:rPr>
            </w:pPr>
            <w:r>
              <w:rPr>
                <w:rFonts w:ascii="Arial" w:cs="Arial" w:eastAsia="Arial" w:hAnsi="Arial"/>
                <w:sz w:val="18"/>
                <w:szCs w:val="18"/>
                <w:color w:val="auto"/>
              </w:rPr>
              <w:t>Less: Other comprehensive income (loss) atributable to</w:t>
            </w:r>
          </w:p>
        </w:tc>
        <w:tc>
          <w:tcPr>
            <w:tcW w:w="2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vMerge w:val="restart"/>
          </w:tcPr>
          <w:p>
            <w:pPr>
              <w:jc w:val="right"/>
              <w:ind w:right="26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54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March 31, 2023, atributable to Cabot Corporaton</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5"/>
        </w:trPr>
        <w:tc>
          <w:tcPr>
            <w:tcW w:w="65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reclassifcatons</w:t>
            </w:r>
          </w:p>
        </w:tc>
        <w:tc>
          <w:tcPr>
            <w:tcW w:w="200" w:type="dxa"/>
            <w:vAlign w:val="bottom"/>
          </w:tcPr>
          <w:p>
            <w:pPr>
              <w:spacing w:after="0"/>
              <w:rPr>
                <w:sz w:val="18"/>
                <w:szCs w:val="18"/>
                <w:color w:val="auto"/>
              </w:rPr>
            </w:pPr>
          </w:p>
        </w:tc>
        <w:tc>
          <w:tcPr>
            <w:tcW w:w="1420" w:type="dxa"/>
            <w:vAlign w:val="bottom"/>
            <w:gridSpan w:val="2"/>
          </w:tcPr>
          <w:p>
            <w:pPr>
              <w:jc w:val="right"/>
              <w:ind w:right="161"/>
              <w:spacing w:after="0"/>
              <w:rPr>
                <w:sz w:val="20"/>
                <w:szCs w:val="20"/>
                <w:color w:val="auto"/>
              </w:rPr>
            </w:pPr>
            <w:r>
              <w:rPr>
                <w:rFonts w:ascii="Arial" w:cs="Arial" w:eastAsia="Arial" w:hAnsi="Arial"/>
                <w:sz w:val="18"/>
                <w:szCs w:val="18"/>
                <w:color w:val="auto"/>
              </w:rPr>
              <w:t>(20 )</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51"/>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Amounts reclassifed from AOCI</w:t>
            </w: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(1 )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197"/>
        </w:trPr>
        <w:tc>
          <w:tcPr>
            <w:tcW w:w="6540" w:type="dxa"/>
            <w:vAlign w:val="bottom"/>
          </w:tcPr>
          <w:p>
            <w:pPr>
              <w:ind w:left="20"/>
              <w:spacing w:after="0" w:line="197" w:lineRule="exact"/>
              <w:rPr>
                <w:sz w:val="20"/>
                <w:szCs w:val="20"/>
                <w:color w:val="auto"/>
              </w:rPr>
            </w:pPr>
            <w:r>
              <w:rPr>
                <w:rFonts w:ascii="Arial" w:cs="Arial" w:eastAsia="Arial" w:hAnsi="Arial"/>
                <w:sz w:val="18"/>
                <w:szCs w:val="18"/>
                <w:color w:val="auto"/>
              </w:rPr>
              <w:t>Less: Other comprehensive income (loss) atributable to</w:t>
            </w:r>
          </w:p>
        </w:tc>
        <w:tc>
          <w:tcPr>
            <w:tcW w:w="200" w:type="dxa"/>
            <w:vAlign w:val="bottom"/>
          </w:tcPr>
          <w:p>
            <w:pPr>
              <w:spacing w:after="0"/>
              <w:rPr>
                <w:sz w:val="17"/>
                <w:szCs w:val="17"/>
                <w:color w:val="auto"/>
              </w:rPr>
            </w:pPr>
          </w:p>
        </w:tc>
        <w:tc>
          <w:tcPr>
            <w:tcW w:w="1420" w:type="dxa"/>
            <w:vAlign w:val="bottom"/>
            <w:gridSpan w:val="2"/>
            <w:vMerge w:val="restart"/>
          </w:tcPr>
          <w:p>
            <w:pPr>
              <w:jc w:val="right"/>
              <w:ind w:right="161"/>
              <w:spacing w:after="0"/>
              <w:rPr>
                <w:sz w:val="20"/>
                <w:szCs w:val="20"/>
                <w:color w:val="auto"/>
              </w:rPr>
            </w:pPr>
            <w:r>
              <w:rPr>
                <w:rFonts w:ascii="Arial" w:cs="Arial" w:eastAsia="Arial" w:hAnsi="Arial"/>
                <w:sz w:val="18"/>
                <w:szCs w:val="18"/>
                <w:color w:val="auto"/>
              </w:rPr>
              <w:t>(6 )</w:t>
            </w:r>
          </w:p>
        </w:tc>
        <w:tc>
          <w:tcPr>
            <w:tcW w:w="160" w:type="dxa"/>
            <w:vAlign w:val="bottom"/>
          </w:tcPr>
          <w:p>
            <w:pPr>
              <w:spacing w:after="0"/>
              <w:rPr>
                <w:sz w:val="17"/>
                <w:szCs w:val="17"/>
                <w:color w:val="auto"/>
              </w:rPr>
            </w:pPr>
          </w:p>
        </w:tc>
        <w:tc>
          <w:tcPr>
            <w:tcW w:w="1480" w:type="dxa"/>
            <w:vAlign w:val="bottom"/>
            <w:gridSpan w:val="2"/>
            <w:vMerge w:val="restart"/>
          </w:tcPr>
          <w:p>
            <w:pPr>
              <w:jc w:val="right"/>
              <w:ind w:right="26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7"/>
        </w:trPr>
        <w:tc>
          <w:tcPr>
            <w:tcW w:w="654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 2023, atributable to Cabot Corporaton</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-1567815</wp:posOffset>
            </wp:positionV>
            <wp:extent cx="85725"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-1567815</wp:posOffset>
            </wp:positionV>
            <wp:extent cx="85725"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-1567815</wp:posOffset>
            </wp:positionV>
            <wp:extent cx="85725"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-805180</wp:posOffset>
            </wp:positionV>
            <wp:extent cx="2152015" cy="179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2015" cy="1797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7" w:lineRule="exact"/>
        <w:rPr>
          <w:sz w:val="20"/>
          <w:szCs w:val="20"/>
          <w:color w:val="auto"/>
        </w:rPr>
      </w:pPr>
    </w:p>
    <w:p>
      <w:pPr>
        <w:ind w:right="300" w:firstLine="509"/>
        <w:spacing w:after="0" w:line="273" w:lineRule="auto"/>
        <w:rPr>
          <w:sz w:val="20"/>
          <w:szCs w:val="20"/>
          <w:color w:val="auto"/>
        </w:rPr>
      </w:pPr>
      <w:r>
        <w:rPr>
          <w:rFonts w:ascii="Arial" w:cs="Arial" w:eastAsia="Arial" w:hAnsi="Arial"/>
          <w:sz w:val="18"/>
          <w:szCs w:val="18"/>
          <w:color w:val="auto"/>
        </w:rPr>
        <w:t>The amounts reclassifed out of AOCI and into the Consolidated Statements of Operatons in each of the three and nine months ended June 30, 2023 and 2022 were are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3200" w:type="dxa"/>
            <w:vAlign w:val="bottom"/>
            <w:gridSpan w:val="3"/>
          </w:tcPr>
          <w:p>
            <w:pPr>
              <w:ind w:left="280"/>
              <w:spacing w:after="0"/>
              <w:rPr>
                <w:sz w:val="20"/>
                <w:szCs w:val="20"/>
                <w:color w:val="auto"/>
              </w:rPr>
            </w:pPr>
            <w:r>
              <w:rPr>
                <w:rFonts w:ascii="Arial" w:cs="Arial" w:eastAsia="Arial" w:hAnsi="Arial"/>
                <w:sz w:val="14"/>
                <w:szCs w:val="14"/>
                <w:b w:val="1"/>
                <w:bCs w:val="1"/>
                <w:color w:val="auto"/>
              </w:rPr>
              <w:t>Afected Line Item in the Consolidated</w:t>
            </w:r>
          </w:p>
        </w:tc>
        <w:tc>
          <w:tcPr>
            <w:tcW w:w="24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1"/>
              </w:rPr>
              <w:t>Three Months Ended June 30</w:t>
            </w:r>
          </w:p>
        </w:tc>
        <w:tc>
          <w:tcPr>
            <w:tcW w:w="140" w:type="dxa"/>
            <w:vAlign w:val="bottom"/>
          </w:tcPr>
          <w:p>
            <w:pPr>
              <w:spacing w:after="0"/>
              <w:rPr>
                <w:sz w:val="17"/>
                <w:szCs w:val="17"/>
                <w:color w:val="auto"/>
              </w:rPr>
            </w:pPr>
          </w:p>
        </w:tc>
        <w:tc>
          <w:tcPr>
            <w:tcW w:w="20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1"/>
              </w:rPr>
              <w:t>Nine Months Ended June 30</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28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Statements of Operatons</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millions)</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Derivatves: net investment hedges</w:t>
            </w:r>
          </w:p>
        </w:tc>
        <w:tc>
          <w:tcPr>
            <w:tcW w:w="2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60" w:type="dxa"/>
            <w:vAlign w:val="bottom"/>
          </w:tcPr>
          <w:p>
            <w:pPr>
              <w:ind w:left="200"/>
              <w:spacing w:after="0" w:line="197" w:lineRule="exact"/>
              <w:rPr>
                <w:sz w:val="20"/>
                <w:szCs w:val="20"/>
                <w:color w:val="auto"/>
              </w:rPr>
            </w:pPr>
            <w:r>
              <w:rPr>
                <w:rFonts w:ascii="Arial" w:cs="Arial" w:eastAsia="Arial" w:hAnsi="Arial"/>
                <w:sz w:val="18"/>
                <w:szCs w:val="18"/>
                <w:color w:val="auto"/>
              </w:rPr>
              <w:t>(Gains) losses reclassifed to interest</w:t>
            </w:r>
          </w:p>
        </w:tc>
        <w:tc>
          <w:tcPr>
            <w:tcW w:w="3200" w:type="dxa"/>
            <w:vAlign w:val="bottom"/>
            <w:gridSpan w:val="3"/>
          </w:tcPr>
          <w:p>
            <w:pPr>
              <w:ind w:left="20"/>
              <w:spacing w:after="0" w:line="197" w:lineRule="exact"/>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60" w:type="dxa"/>
            <w:vAlign w:val="bottom"/>
          </w:tcPr>
          <w:p>
            <w:pPr>
              <w:ind w:left="200"/>
              <w:spacing w:after="0"/>
              <w:rPr>
                <w:sz w:val="20"/>
                <w:szCs w:val="20"/>
                <w:color w:val="auto"/>
              </w:rPr>
            </w:pPr>
            <w:r>
              <w:rPr>
                <w:rFonts w:ascii="Arial" w:cs="Arial" w:eastAsia="Arial" w:hAnsi="Arial"/>
                <w:sz w:val="18"/>
                <w:szCs w:val="18"/>
                <w:color w:val="auto"/>
              </w:rPr>
              <w:t>expense</w:t>
            </w:r>
          </w:p>
        </w:tc>
        <w:tc>
          <w:tcPr>
            <w:tcW w:w="3200" w:type="dxa"/>
            <w:vAlign w:val="bottom"/>
            <w:gridSpan w:val="3"/>
          </w:tcPr>
          <w:p>
            <w:pPr>
              <w:ind w:left="30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59"/>
              <w:spacing w:after="0"/>
              <w:rPr>
                <w:sz w:val="20"/>
                <w:szCs w:val="20"/>
                <w:color w:val="auto"/>
              </w:rPr>
            </w:pPr>
            <w:r>
              <w:rPr>
                <w:rFonts w:ascii="Arial" w:cs="Arial" w:eastAsia="Arial" w:hAnsi="Arial"/>
                <w:sz w:val="18"/>
                <w:szCs w:val="18"/>
                <w:color w:val="auto"/>
              </w:rPr>
              <w:t>(1 )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1"/>
              <w:spacing w:after="0"/>
              <w:rPr>
                <w:sz w:val="20"/>
                <w:szCs w:val="20"/>
                <w:color w:val="auto"/>
              </w:rPr>
            </w:pPr>
            <w:r>
              <w:rPr>
                <w:rFonts w:ascii="Arial" w:cs="Arial" w:eastAsia="Arial" w:hAnsi="Arial"/>
                <w:sz w:val="18"/>
                <w:szCs w:val="18"/>
                <w:color w:val="auto"/>
              </w:rPr>
              <w:t>(4 )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35"/>
        </w:trPr>
        <w:tc>
          <w:tcPr>
            <w:tcW w:w="3460" w:type="dxa"/>
            <w:vAlign w:val="bottom"/>
          </w:tcPr>
          <w:p>
            <w:pPr>
              <w:spacing w:after="0"/>
              <w:rPr>
                <w:sz w:val="3"/>
                <w:szCs w:val="3"/>
                <w:color w:val="auto"/>
              </w:rPr>
            </w:pPr>
          </w:p>
        </w:tc>
        <w:tc>
          <w:tcPr>
            <w:tcW w:w="3200" w:type="dxa"/>
            <w:vAlign w:val="bottom"/>
            <w:gridSpan w:val="3"/>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shd w:val="clear" w:color="auto" w:fill="CFF0FC"/>
          </w:tcPr>
          <w:p>
            <w:pPr>
              <w:ind w:left="200"/>
              <w:spacing w:after="0" w:line="197" w:lineRule="exact"/>
              <w:rPr>
                <w:sz w:val="20"/>
                <w:szCs w:val="20"/>
                <w:color w:val="auto"/>
              </w:rPr>
            </w:pPr>
            <w:r>
              <w:rPr>
                <w:rFonts w:ascii="Arial" w:cs="Arial" w:eastAsia="Arial" w:hAnsi="Arial"/>
                <w:sz w:val="18"/>
                <w:szCs w:val="18"/>
                <w:color w:val="auto"/>
                <w:w w:val="96"/>
              </w:rPr>
              <w:t>(Gains) losses excluded from efectveness</w:t>
            </w:r>
          </w:p>
        </w:tc>
        <w:tc>
          <w:tcPr>
            <w:tcW w:w="3200" w:type="dxa"/>
            <w:vAlign w:val="bottom"/>
            <w:gridSpan w:val="3"/>
            <w:shd w:val="clear" w:color="auto" w:fill="CFF0FC"/>
          </w:tcPr>
          <w:p>
            <w:pPr>
              <w:ind w:left="20"/>
              <w:spacing w:after="0" w:line="197" w:lineRule="exact"/>
              <w:rPr>
                <w:sz w:val="20"/>
                <w:szCs w:val="20"/>
                <w:color w:val="auto"/>
              </w:rPr>
            </w:pPr>
            <w:r>
              <w:rPr>
                <w:rFonts w:ascii="Arial" w:cs="Arial" w:eastAsia="Arial" w:hAnsi="Arial"/>
                <w:sz w:val="18"/>
                <w:szCs w:val="18"/>
                <w:color w:val="auto"/>
              </w:rPr>
              <w:t>Interest expense</w:t>
            </w: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testng and amortzed to interest expense</w:t>
            </w:r>
          </w:p>
        </w:tc>
        <w:tc>
          <w:tcPr>
            <w:tcW w:w="28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jc w:val="right"/>
              <w:ind w:right="259"/>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60" w:type="dxa"/>
            <w:vAlign w:val="bottom"/>
          </w:tcPr>
          <w:p>
            <w:pPr>
              <w:ind w:left="20"/>
              <w:spacing w:after="0" w:line="197" w:lineRule="exact"/>
              <w:rPr>
                <w:sz w:val="20"/>
                <w:szCs w:val="20"/>
                <w:color w:val="auto"/>
              </w:rPr>
            </w:pPr>
            <w:r>
              <w:rPr>
                <w:rFonts w:ascii="Arial" w:cs="Arial" w:eastAsia="Arial" w:hAnsi="Arial"/>
                <w:sz w:val="18"/>
                <w:szCs w:val="18"/>
                <w:color w:val="auto"/>
              </w:rPr>
              <w:t>Release of currency translaton adjustment</w:t>
            </w:r>
          </w:p>
        </w:tc>
        <w:tc>
          <w:tcPr>
            <w:tcW w:w="3200" w:type="dxa"/>
            <w:vAlign w:val="bottom"/>
            <w:gridSpan w:val="3"/>
          </w:tcPr>
          <w:p>
            <w:pPr>
              <w:ind w:left="20"/>
              <w:spacing w:after="0" w:line="197" w:lineRule="exact"/>
              <w:rPr>
                <w:sz w:val="20"/>
                <w:szCs w:val="20"/>
                <w:color w:val="auto"/>
              </w:rPr>
            </w:pPr>
            <w:r>
              <w:rPr>
                <w:rFonts w:ascii="Arial" w:cs="Arial" w:eastAsia="Arial" w:hAnsi="Arial"/>
                <w:sz w:val="18"/>
                <w:szCs w:val="18"/>
                <w:color w:val="auto"/>
              </w:rPr>
              <w:t>Loss on sale of business and asset</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60" w:type="dxa"/>
            <w:vAlign w:val="bottom"/>
          </w:tcPr>
          <w:p>
            <w:pPr>
              <w:spacing w:after="0"/>
              <w:rPr>
                <w:sz w:val="19"/>
                <w:szCs w:val="19"/>
                <w:color w:val="auto"/>
              </w:rPr>
            </w:pPr>
          </w:p>
        </w:tc>
        <w:tc>
          <w:tcPr>
            <w:tcW w:w="3200" w:type="dxa"/>
            <w:vAlign w:val="bottom"/>
            <w:gridSpan w:val="3"/>
          </w:tcPr>
          <w:p>
            <w:pPr>
              <w:ind w:left="20"/>
              <w:spacing w:after="0"/>
              <w:rPr>
                <w:sz w:val="20"/>
                <w:szCs w:val="20"/>
                <w:color w:val="auto"/>
              </w:rPr>
            </w:pPr>
            <w:r>
              <w:rPr>
                <w:rFonts w:ascii="Arial" w:cs="Arial" w:eastAsia="Arial" w:hAnsi="Arial"/>
                <w:sz w:val="18"/>
                <w:szCs w:val="18"/>
                <w:color w:val="auto"/>
              </w:rPr>
              <w:t>impairment charge</w:t>
            </w:r>
          </w:p>
        </w:tc>
        <w:tc>
          <w:tcPr>
            <w:tcW w:w="11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34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 and other postretrement</w:t>
            </w:r>
          </w:p>
        </w:tc>
        <w:tc>
          <w:tcPr>
            <w:tcW w:w="2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60" w:type="dxa"/>
            <w:vAlign w:val="bottom"/>
          </w:tcPr>
          <w:p>
            <w:pPr>
              <w:ind w:left="200"/>
              <w:spacing w:after="0" w:line="197" w:lineRule="exact"/>
              <w:rPr>
                <w:sz w:val="20"/>
                <w:szCs w:val="20"/>
                <w:color w:val="auto"/>
              </w:rPr>
            </w:pPr>
            <w:r>
              <w:rPr>
                <w:rFonts w:ascii="Arial" w:cs="Arial" w:eastAsia="Arial" w:hAnsi="Arial"/>
                <w:sz w:val="18"/>
                <w:szCs w:val="18"/>
                <w:color w:val="auto"/>
              </w:rPr>
              <w:t>Release of actuarial losses and prior</w:t>
            </w:r>
          </w:p>
        </w:tc>
        <w:tc>
          <w:tcPr>
            <w:tcW w:w="3200" w:type="dxa"/>
            <w:vAlign w:val="bottom"/>
            <w:gridSpan w:val="3"/>
          </w:tcPr>
          <w:p>
            <w:pPr>
              <w:ind w:left="20"/>
              <w:spacing w:after="0" w:line="197" w:lineRule="exact"/>
              <w:rPr>
                <w:sz w:val="20"/>
                <w:szCs w:val="20"/>
                <w:color w:val="auto"/>
              </w:rPr>
            </w:pPr>
            <w:r>
              <w:rPr>
                <w:rFonts w:ascii="Arial" w:cs="Arial" w:eastAsia="Arial" w:hAnsi="Arial"/>
                <w:sz w:val="18"/>
                <w:szCs w:val="18"/>
                <w:color w:val="auto"/>
              </w:rPr>
              <w:t>Loss on sale of business and asset</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60" w:type="dxa"/>
            <w:vAlign w:val="bottom"/>
          </w:tcPr>
          <w:p>
            <w:pPr>
              <w:ind w:left="200"/>
              <w:spacing w:after="0"/>
              <w:rPr>
                <w:sz w:val="20"/>
                <w:szCs w:val="20"/>
                <w:color w:val="auto"/>
              </w:rPr>
            </w:pPr>
            <w:r>
              <w:rPr>
                <w:rFonts w:ascii="Arial" w:cs="Arial" w:eastAsia="Arial" w:hAnsi="Arial"/>
                <w:sz w:val="18"/>
                <w:szCs w:val="18"/>
                <w:color w:val="auto"/>
              </w:rPr>
              <w:t>service cost (credit)</w:t>
            </w:r>
          </w:p>
        </w:tc>
        <w:tc>
          <w:tcPr>
            <w:tcW w:w="3200" w:type="dxa"/>
            <w:vAlign w:val="bottom"/>
            <w:gridSpan w:val="3"/>
          </w:tcPr>
          <w:p>
            <w:pPr>
              <w:ind w:left="20"/>
              <w:spacing w:after="0"/>
              <w:rPr>
                <w:sz w:val="20"/>
                <w:szCs w:val="20"/>
                <w:color w:val="auto"/>
              </w:rPr>
            </w:pPr>
            <w:r>
              <w:rPr>
                <w:rFonts w:ascii="Arial" w:cs="Arial" w:eastAsia="Arial" w:hAnsi="Arial"/>
                <w:sz w:val="18"/>
                <w:szCs w:val="18"/>
                <w:color w:val="auto"/>
              </w:rPr>
              <w:t>impairment charge</w:t>
            </w:r>
          </w:p>
        </w:tc>
        <w:tc>
          <w:tcPr>
            <w:tcW w:w="11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3460" w:type="dxa"/>
            <w:vAlign w:val="bottom"/>
          </w:tcPr>
          <w:p>
            <w:pPr>
              <w:spacing w:after="0"/>
              <w:rPr>
                <w:sz w:val="3"/>
                <w:szCs w:val="3"/>
                <w:color w:val="auto"/>
              </w:rPr>
            </w:pPr>
          </w:p>
        </w:tc>
        <w:tc>
          <w:tcPr>
            <w:tcW w:w="3200" w:type="dxa"/>
            <w:vAlign w:val="bottom"/>
            <w:gridSpan w:val="3"/>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shd w:val="clear" w:color="auto" w:fill="CFF0FC"/>
          </w:tcPr>
          <w:p>
            <w:pPr>
              <w:ind w:left="200"/>
              <w:spacing w:after="0" w:line="197" w:lineRule="exact"/>
              <w:rPr>
                <w:sz w:val="20"/>
                <w:szCs w:val="20"/>
                <w:color w:val="auto"/>
              </w:rPr>
            </w:pPr>
            <w:r>
              <w:rPr>
                <w:rFonts w:ascii="Arial" w:cs="Arial" w:eastAsia="Arial" w:hAnsi="Arial"/>
                <w:sz w:val="18"/>
                <w:szCs w:val="18"/>
                <w:color w:val="auto"/>
              </w:rPr>
              <w:t>Amortzaton of actuarial losses and prior</w:t>
            </w:r>
          </w:p>
        </w:tc>
        <w:tc>
          <w:tcPr>
            <w:tcW w:w="3200" w:type="dxa"/>
            <w:vAlign w:val="bottom"/>
            <w:gridSpan w:val="3"/>
            <w:shd w:val="clear" w:color="auto" w:fill="CFF0FC"/>
          </w:tcPr>
          <w:p>
            <w:pPr>
              <w:ind w:left="20"/>
              <w:spacing w:after="0" w:line="197" w:lineRule="exact"/>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service cost (credit)</w:t>
            </w:r>
          </w:p>
        </w:tc>
        <w:tc>
          <w:tcPr>
            <w:tcW w:w="28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(1 )</w:t>
            </w:r>
          </w:p>
        </w:tc>
        <w:tc>
          <w:tcPr>
            <w:tcW w:w="26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(2 )</w:t>
            </w:r>
          </w:p>
        </w:tc>
        <w:tc>
          <w:tcPr>
            <w:tcW w:w="2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Total before tax</w:t>
            </w:r>
          </w:p>
        </w:tc>
        <w:tc>
          <w:tcPr>
            <w:tcW w:w="3000" w:type="dxa"/>
            <w:vAlign w:val="bottom"/>
            <w:gridSpan w:val="2"/>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159"/>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820" w:type="dxa"/>
            <w:vAlign w:val="bottom"/>
            <w:vMerge w:val="restart"/>
          </w:tcPr>
          <w:p>
            <w:pPr>
              <w:ind w:left="20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34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4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 Contngencies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Respirator Liabilites</w:t>
      </w:r>
    </w:p>
    <w:p>
      <w:pPr>
        <w:spacing w:after="0" w:line="92"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 xml:space="preserve">Cabot has exposure in connecton with a safety respiratory products business that a subsidiary acquired from American Optcal Corporaton (“AO”) in an April 1990 asset purchase transacton. The subsidiary manufactured respirators under the AO brand and disposed of that business in July 1995. In connecton with its acquisiton of the business, the subsidiary agreed, in certain circumstances, to assume a porton of AO’s liabilites, including costs of legal fees together with amounts paid in setlements and judgments, allocable to AO respiratory products used prior to the 1990 purchase by the Cabot subsidiary. In exchange for the subsidiary’s assumpton of certain of AO’s respirator liabilites, AO agreed to provide to the subsidiary the benefts of: (i) AO’s insurance coverage for the period prior to the 1990 acquisiton and (ii) a former owner’s indemnity of AO holding it harmless from any liability allocable to AO respiratory products used prior to May 1982. As more fully described in the 2022 10-K, the respirator liabilites generally involve claims for personal injury, including asbestosis, silicosis and coal worker’s pneumoconiosis, allegedly resultng from the use of respirators that are alleged to have been negligently designed and/or labeled. At no tme did this respiratory product line represent a signifcant porton of the respirator market. In additon to Cabot’s subsidiary, other partes are responsible for signifcant portons of the costs of these respirator liabilites (as defned in the 2022 10-K, the “Payor Group”). On July 26, 2022, one of the members of the Payor Group, Aearo Technologies (“Aearo”), voluntarily fled for Chapter 11 bankruptcy protecton with the stated goal of establishing a trust, funded by Aearo and its parent 3M, to satsfy respirator and other unrelated claims determined to be enttled to compensaton. </w:t>
      </w:r>
      <w:r>
        <w:rPr>
          <w:rFonts w:ascii="Arial" w:cs="Arial" w:eastAsia="Arial" w:hAnsi="Arial"/>
          <w:sz w:val="15"/>
          <w:szCs w:val="15"/>
          <w:color w:val="auto"/>
        </w:rPr>
        <w:t>On June 9, 2023, the court dismissed Aearo’s bankruptcy case based on motons fled by various creditors in the case. Aearo</w:t>
      </w:r>
      <w:r>
        <w:rPr>
          <w:rFonts w:ascii="Arial" w:cs="Arial" w:eastAsia="Arial" w:hAnsi="Arial"/>
          <w:sz w:val="16"/>
          <w:szCs w:val="16"/>
          <w:color w:val="auto"/>
        </w:rPr>
        <w:t xml:space="preserve"> </w:t>
      </w:r>
      <w:r>
        <w:rPr>
          <w:rFonts w:ascii="Arial" w:cs="Arial" w:eastAsia="Arial" w:hAnsi="Arial"/>
          <w:sz w:val="15"/>
          <w:szCs w:val="15"/>
          <w:color w:val="auto"/>
        </w:rPr>
        <w:t>appealed the decision but did not seek to stay the dismissal, which made the dismissal efectve immediately and ended the automatc bankruptcy stay. The Company will contnue to monitor Aearo’s appeal; if Aearo's appeal is successful it could reinstate the bankruptcy case.</w:t>
      </w:r>
    </w:p>
    <w:p>
      <w:pPr>
        <w:spacing w:after="0" w:line="37" w:lineRule="exact"/>
        <w:rPr>
          <w:sz w:val="20"/>
          <w:szCs w:val="20"/>
          <w:color w:val="auto"/>
        </w:rPr>
      </w:pPr>
    </w:p>
    <w:p>
      <w:pPr>
        <w:jc w:val="both"/>
        <w:ind w:right="160" w:firstLine="509"/>
        <w:spacing w:after="0" w:line="284" w:lineRule="auto"/>
        <w:rPr>
          <w:sz w:val="20"/>
          <w:szCs w:val="20"/>
          <w:color w:val="auto"/>
        </w:rPr>
      </w:pPr>
      <w:r>
        <w:rPr>
          <w:rFonts w:ascii="Arial" w:cs="Arial" w:eastAsia="Arial" w:hAnsi="Arial"/>
          <w:sz w:val="17"/>
          <w:szCs w:val="17"/>
          <w:color w:val="auto"/>
        </w:rPr>
        <w:t>Cabot has a reserve to cover its expected share of liabilites for pending and future respirator liability claims, which is included in Other liabilites and Accounts payable and accrued liabilites on the Consolidated Balance Sheets. The Company expects these liabilites to be incurred over a number of years. The reserve balance was $38 million and $39 million at June 30, 2023 and September 30, 2022, respectvely.</w:t>
      </w:r>
    </w:p>
    <w:p>
      <w:pPr>
        <w:spacing w:after="0" w:line="35"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 Company’s current estmate of the cost of its share of pending and future respirator liability claims is based on facts and circumstances existng at this tme, including the number and nature of the remaining claims. Developments that could afect the Company’s estmate include, but are not limited to, (i) signifcant changes in the number of future claims, (ii) changes in the rate of dismissals without payment of pending claims, (iii) signifcant changes in the average cost of resolving claims, including potental setlements of groups of claims, (iv) signifcant changes in the legal costs of defending these claims, (v) changes in the nature of claims received or changes in our assessment of the viability of these claims, (vi) trial and appellate outcomes,</w:t>
      </w:r>
    </w:p>
    <w:p>
      <w:pPr>
        <w:spacing w:after="0" w:line="2" w:lineRule="exact"/>
        <w:rPr>
          <w:sz w:val="20"/>
          <w:szCs w:val="20"/>
          <w:color w:val="auto"/>
        </w:rPr>
      </w:pPr>
    </w:p>
    <w:p>
      <w:pPr>
        <w:ind w:firstLine="8"/>
        <w:spacing w:after="0" w:line="251" w:lineRule="auto"/>
        <w:tabs>
          <w:tab w:leader="none" w:pos="31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law and procedure applicable to these claims, (viii) the fnancial viability of the partes that contribute to the payment of respirator claims and future developments in the now-dismissed Aearo bankruptcy proceedings while Aearo’s appeal is ongoing, (ix) exhauston or changes in the recoverability of the insurance coverage maintained by certain members of the Payor Group, or a change in the availability of the indemnity provided by a former owner of AO, (x) changes in the allocaton of costs among the various partes paying legal and setlement costs, and (xi) a determinaton that the assumptons that were used to estmate Cabot’s share of liability are no longer reasonable. The Company cannot determine the impact of these potental developments on its current estmate of its share of liability for existng and future claims. Because reserves are limited to amounts that are probable and estmable as of a relevant measurement date, and there is inherent difculty in projectng the impact of potental developments on Cabot’s share of liability for these existng and future claims, it is reasonably possible that the liabilites for existng and future claims could change in the near term and that change could be material.</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Value-added Tax (“VAT”) Mater</w:t>
      </w:r>
    </w:p>
    <w:p>
      <w:pPr>
        <w:spacing w:after="0" w:line="90"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As outlined in Note S, Commitments and Contngencies of the 2022 10-K, the Company had fled legal actons challenging VAT related assessments it had received from a non-U.S. taxing authority. At such tme, the Company did not believe that it was probable that it would incur a loss related to these maters. However, as the interpretaton and applicaton of the VAT rules related to the assessment are an unsetled issue it was reasonably possible to incur a loss. The Company estmated it could incur a charge that ranged between a nil amount and $41 million. In June 2023, the Court of Justce of the European Union issued a judgement that is favorable to the Company’s positon in these maters. As a result, the Company believes the possibility it will incur a loss related to these maters is remote.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Other Maters</w:t>
      </w:r>
    </w:p>
    <w:p>
      <w:pPr>
        <w:spacing w:after="0" w:line="92"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Company has various other lawsuits, claims and contngent liabilites arising in the ordinary course of its business and with respect to its divested businesses. The Company does not believe that any of these maters will have a material adverse efect on its fnancial positon; however, litgaton is inherently unpredictable. Cabot could incur judgments, enter into setlements or revise its expectatons regarding the outcome of certain maters, and such developments could have a material impact on its results of operatons in the period in which the amounts are accrued or its cash fows in the period in which the amounts are paid.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Insurance Recoveries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Pepinster, Belgium</w:t>
      </w:r>
    </w:p>
    <w:p>
      <w:pPr>
        <w:spacing w:after="0" w:line="92" w:lineRule="exact"/>
        <w:rPr>
          <w:sz w:val="20"/>
          <w:szCs w:val="20"/>
          <w:color w:val="auto"/>
        </w:rPr>
      </w:pPr>
    </w:p>
    <w:p>
      <w:pPr>
        <w:ind w:right="620" w:firstLine="509"/>
        <w:spacing w:after="0" w:line="273" w:lineRule="auto"/>
        <w:rPr>
          <w:sz w:val="20"/>
          <w:szCs w:val="20"/>
          <w:color w:val="auto"/>
        </w:rPr>
      </w:pPr>
      <w:r>
        <w:rPr>
          <w:rFonts w:ascii="Arial" w:cs="Arial" w:eastAsia="Arial" w:hAnsi="Arial"/>
          <w:sz w:val="18"/>
          <w:szCs w:val="18"/>
          <w:color w:val="auto"/>
        </w:rPr>
        <w:t>In July 2021, the Company’s Specialty Compounds manufacturing and research and development facility in Pepinster, Belgium experienced signifcant fooding. Full producton, which was temporarily halted, resumed in the second quarter of fscal 2022.</w:t>
      </w:r>
    </w:p>
    <w:p>
      <w:pPr>
        <w:spacing w:after="0" w:line="42" w:lineRule="exact"/>
        <w:rPr>
          <w:sz w:val="20"/>
          <w:szCs w:val="20"/>
          <w:color w:val="auto"/>
        </w:rPr>
      </w:pPr>
    </w:p>
    <w:p>
      <w:pPr>
        <w:ind w:firstLine="509"/>
        <w:spacing w:after="0" w:line="292" w:lineRule="auto"/>
        <w:rPr>
          <w:sz w:val="20"/>
          <w:szCs w:val="20"/>
          <w:color w:val="auto"/>
        </w:rPr>
      </w:pPr>
      <w:r>
        <w:rPr>
          <w:rFonts w:ascii="Arial" w:cs="Arial" w:eastAsia="Arial" w:hAnsi="Arial"/>
          <w:sz w:val="16"/>
          <w:szCs w:val="16"/>
          <w:color w:val="auto"/>
        </w:rPr>
        <w:t>The Company agreed to a fnal setlement of the related insurance claim in the second quarter of fscal 2023 and received the fnal proceeds in the third quarter of fscal 2023. During the three months and nine months ended June 30, 2023 the Company received $8 million and $14 million of insurance proceeds, respectvely. Of the insurance proceeds received, $12 million related to fxed asset replacement and repairs is included in Cash provided by investng actvites and $2 million is included in Cash provided by operatng actvites for the nine months ended June 30, 2023 in the Consolidated Statements of Cash Flows. During the three and nine months ended June 30, 2023, the Company recognized gains of nil and $9 million and loss recoveries of $4 million and $5 million, respectvely, which are included within Cost of sales in the Consolidated Statements of Operatons.</w:t>
      </w:r>
    </w:p>
    <w:p>
      <w:pPr>
        <w:spacing w:after="0" w:line="34" w:lineRule="exact"/>
        <w:rPr>
          <w:sz w:val="20"/>
          <w:szCs w:val="20"/>
          <w:color w:val="auto"/>
        </w:rPr>
      </w:pPr>
    </w:p>
    <w:p>
      <w:pPr>
        <w:ind w:right="20" w:firstLine="509"/>
        <w:spacing w:after="0" w:line="300" w:lineRule="auto"/>
        <w:rPr>
          <w:sz w:val="20"/>
          <w:szCs w:val="20"/>
          <w:color w:val="auto"/>
        </w:rPr>
      </w:pPr>
      <w:r>
        <w:rPr>
          <w:rFonts w:ascii="Arial" w:cs="Arial" w:eastAsia="Arial" w:hAnsi="Arial"/>
          <w:sz w:val="16"/>
          <w:szCs w:val="16"/>
          <w:color w:val="auto"/>
        </w:rPr>
        <w:t>During the three and nine months ended June 30, 2022, the Company recorded additonal expenses of $1 million and $7 million, respectvely, for clean-up costs, inventory, and fxed asset impairments and simultaneously recognized a fully ofsetng loss recovery from expected insurance proceeds as the Company expected insurance proceeds in excess of the total incurred costs and policy deductbles. The food-related expenses and loss recoveries are both included within Cost of sales in the Consolidated Statements of Operatons for the three and nine months ended June 30,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Income Tax</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Efectve Tax Rate</w:t>
      </w:r>
    </w:p>
    <w:p>
      <w:pPr>
        <w:spacing w:after="0" w:line="168"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330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 June 30</w:t>
            </w:r>
          </w:p>
        </w:tc>
      </w:tr>
      <w:tr>
        <w:trPr>
          <w:trHeight w:val="29"/>
        </w:trPr>
        <w:tc>
          <w:tcPr>
            <w:tcW w:w="3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3300" w:type="dxa"/>
            <w:vAlign w:val="bottom"/>
          </w:tcPr>
          <w:p>
            <w:pPr>
              <w:spacing w:after="0"/>
              <w:rPr>
                <w:sz w:val="16"/>
                <w:szCs w:val="16"/>
                <w:color w:val="auto"/>
              </w:rPr>
            </w:pPr>
          </w:p>
        </w:tc>
        <w:tc>
          <w:tcPr>
            <w:tcW w:w="800" w:type="dxa"/>
            <w:vAlign w:val="bottom"/>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14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33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w w:val="80"/>
              </w:rPr>
              <w:t>(Dollars</w:t>
            </w:r>
          </w:p>
        </w:tc>
        <w:tc>
          <w:tcPr>
            <w:tcW w:w="260" w:type="dxa"/>
            <w:vAlign w:val="bottom"/>
          </w:tcPr>
          <w:p>
            <w:pPr>
              <w:jc w:val="right"/>
              <w:ind w:right="28"/>
              <w:spacing w:after="0"/>
              <w:rPr>
                <w:sz w:val="20"/>
                <w:szCs w:val="20"/>
                <w:color w:val="auto"/>
              </w:rPr>
            </w:pPr>
            <w:r>
              <w:rPr>
                <w:rFonts w:ascii="Arial" w:cs="Arial" w:eastAsia="Arial" w:hAnsi="Arial"/>
                <w:sz w:val="14"/>
                <w:szCs w:val="14"/>
                <w:b w:val="1"/>
                <w:bCs w:val="1"/>
                <w:color w:val="auto"/>
              </w:rPr>
              <w:t>in</w:t>
            </w:r>
          </w:p>
        </w:tc>
        <w:tc>
          <w:tcPr>
            <w:tcW w:w="1120" w:type="dxa"/>
            <w:vAlign w:val="bottom"/>
            <w:tcBorders>
              <w:top w:val="single" w:sz="8" w:color="auto"/>
            </w:tcBorders>
            <w:gridSpan w:val="2"/>
          </w:tcPr>
          <w:p>
            <w:pPr>
              <w:jc w:val="right"/>
              <w:ind w:right="599"/>
              <w:spacing w:after="0"/>
              <w:rPr>
                <w:sz w:val="20"/>
                <w:szCs w:val="20"/>
                <w:color w:val="auto"/>
              </w:rPr>
            </w:pPr>
            <w:r>
              <w:rPr>
                <w:rFonts w:ascii="Arial" w:cs="Arial" w:eastAsia="Arial" w:hAnsi="Arial"/>
                <w:sz w:val="14"/>
                <w:szCs w:val="14"/>
                <w:b w:val="1"/>
                <w:bCs w:val="1"/>
                <w:color w:val="auto"/>
                <w:w w:val="72"/>
              </w:rPr>
              <w:t>millions)</w:t>
            </w: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2"/>
        </w:trPr>
        <w:tc>
          <w:tcPr>
            <w:tcW w:w="3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beneft for income taxes</w:t>
            </w:r>
          </w:p>
        </w:tc>
        <w:tc>
          <w:tcPr>
            <w:tcW w:w="800" w:type="dxa"/>
            <w:vAlign w:val="bottom"/>
            <w:shd w:val="clear" w:color="auto" w:fill="CFF0FC"/>
          </w:tcPr>
          <w:p>
            <w:pPr>
              <w:jc w:val="right"/>
              <w:ind w:right="622"/>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FF0FC"/>
          </w:tcPr>
          <w:p>
            <w:pPr>
              <w:jc w:val="right"/>
              <w:ind w:right="720"/>
              <w:spacing w:after="0"/>
              <w:rPr>
                <w:sz w:val="20"/>
                <w:szCs w:val="20"/>
                <w:color w:val="auto"/>
              </w:rPr>
            </w:pPr>
            <w:r>
              <w:rPr>
                <w:rFonts w:ascii="Arial" w:cs="Arial" w:eastAsia="Arial" w:hAnsi="Arial"/>
                <w:sz w:val="18"/>
                <w:szCs w:val="18"/>
                <w:color w:val="auto"/>
              </w:rPr>
              <w:t>(41 )  $</w:t>
            </w:r>
          </w:p>
        </w:tc>
        <w:tc>
          <w:tcPr>
            <w:tcW w:w="98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(49 )  $</w:t>
            </w:r>
          </w:p>
        </w:tc>
        <w:tc>
          <w:tcPr>
            <w:tcW w:w="14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(90 )  $</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(73 )</w:t>
            </w:r>
          </w:p>
        </w:tc>
        <w:tc>
          <w:tcPr>
            <w:tcW w:w="20" w:type="dxa"/>
            <w:vAlign w:val="bottom"/>
          </w:tcPr>
          <w:p>
            <w:pPr>
              <w:spacing w:after="0"/>
              <w:rPr>
                <w:sz w:val="21"/>
                <w:szCs w:val="21"/>
                <w:color w:val="auto"/>
              </w:rPr>
            </w:pPr>
          </w:p>
        </w:tc>
      </w:tr>
      <w:tr>
        <w:trPr>
          <w:trHeight w:val="227"/>
        </w:trPr>
        <w:tc>
          <w:tcPr>
            <w:tcW w:w="3300" w:type="dxa"/>
            <w:vAlign w:val="bottom"/>
          </w:tcPr>
          <w:p>
            <w:pPr>
              <w:ind w:left="20"/>
              <w:spacing w:after="0"/>
              <w:rPr>
                <w:sz w:val="20"/>
                <w:szCs w:val="20"/>
                <w:color w:val="auto"/>
              </w:rPr>
            </w:pPr>
            <w:r>
              <w:rPr>
                <w:rFonts w:ascii="Arial" w:cs="Arial" w:eastAsia="Arial" w:hAnsi="Arial"/>
                <w:sz w:val="18"/>
                <w:szCs w:val="18"/>
                <w:color w:val="auto"/>
              </w:rPr>
              <w:t>Efectve tax rate</w:t>
            </w:r>
          </w:p>
        </w:tc>
        <w:tc>
          <w:tcPr>
            <w:tcW w:w="8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32 %</w:t>
            </w:r>
          </w:p>
        </w:tc>
        <w:tc>
          <w:tcPr>
            <w:tcW w:w="820" w:type="dxa"/>
            <w:vAlign w:val="bottom"/>
          </w:tcPr>
          <w:p>
            <w:pPr>
              <w:spacing w:after="0"/>
              <w:rPr>
                <w:sz w:val="19"/>
                <w:szCs w:val="19"/>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8"/>
                <w:szCs w:val="18"/>
                <w:color w:val="auto"/>
              </w:rPr>
              <w:t>32 %</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28 %</w:t>
            </w: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20" w:type="dxa"/>
            <w:vAlign w:val="bottom"/>
          </w:tcPr>
          <w:p>
            <w:pPr>
              <w:spacing w:after="0"/>
              <w:rPr>
                <w:sz w:val="19"/>
                <w:szCs w:val="19"/>
                <w:color w:val="auto"/>
              </w:rPr>
            </w:pPr>
          </w:p>
        </w:tc>
      </w:tr>
    </w:tbl>
    <w:p>
      <w:pPr>
        <w:spacing w:after="0" w:line="173" w:lineRule="exact"/>
        <w:rPr>
          <w:sz w:val="20"/>
          <w:szCs w:val="20"/>
          <w:color w:val="auto"/>
        </w:rPr>
      </w:pPr>
    </w:p>
    <w:p>
      <w:pPr>
        <w:ind w:right="140" w:firstLine="509"/>
        <w:spacing w:after="0" w:line="274" w:lineRule="auto"/>
        <w:rPr>
          <w:sz w:val="20"/>
          <w:szCs w:val="20"/>
          <w:color w:val="auto"/>
        </w:rPr>
      </w:pPr>
      <w:r>
        <w:rPr>
          <w:rFonts w:ascii="Arial" w:cs="Arial" w:eastAsia="Arial" w:hAnsi="Arial"/>
          <w:sz w:val="17"/>
          <w:szCs w:val="17"/>
          <w:color w:val="auto"/>
        </w:rPr>
        <w:t>For the three months and nine months ended June 30, 2023, the (Provision) beneft for income taxes included a net discrete tax expense of $2 million and $3 million, respectvely. For the three and nine months ended June 30, 2022, the (Provision) beneft for income taxes included a net discrete tax expense of $14 million and a net discrete tax beneft of $22 million, respectvely, afer valuaton allowance. The $22 million net beneft is primarily comprised of a beneft of $36 million related to the Purifcaton Solutons business divestture, and a tax expense of $8 million related to withholding tax accruals on historic earnings due to changes in indefnite reinvestment assertons on certain enttes.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in Interim Periods</w:t>
      </w:r>
    </w:p>
    <w:p>
      <w:pPr>
        <w:spacing w:after="0" w:line="92"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The Company records its tax provision or beneft on an interim basis using an estmated annual efectve tax rate. This rate is applied to the current period ordinary income or loss to determine the income tax provision or beneft allocated to the interim period. The income tax efects of unusual or infrequent items are excluded from the estmated annual efectve tax rate and are recognized in the impacted interim period. Losses from jurisdictons for which no beneft can be recognized are excluded from the overall computatons of the estmated annual efectve tax rate and a separate estmated annual efectve tax rate is computed and applied to ordinary income or loss in the loss jurisdicton.</w:t>
      </w:r>
    </w:p>
    <w:p>
      <w:pPr>
        <w:spacing w:after="0" w:line="57" w:lineRule="exact"/>
        <w:rPr>
          <w:sz w:val="20"/>
          <w:szCs w:val="20"/>
          <w:color w:val="auto"/>
        </w:rPr>
      </w:pPr>
    </w:p>
    <w:p>
      <w:pPr>
        <w:ind w:right="180" w:firstLine="509"/>
        <w:spacing w:after="0" w:line="258" w:lineRule="auto"/>
        <w:rPr>
          <w:sz w:val="20"/>
          <w:szCs w:val="20"/>
          <w:color w:val="auto"/>
        </w:rPr>
      </w:pPr>
      <w:r>
        <w:rPr>
          <w:rFonts w:ascii="Arial" w:cs="Arial" w:eastAsia="Arial" w:hAnsi="Arial"/>
          <w:sz w:val="18"/>
          <w:szCs w:val="18"/>
          <w:color w:val="auto"/>
        </w:rPr>
        <w:t>Valuaton allowances are provided against the future tax benefts that arise from the deferred tax assets in jurisdictons for which it is expected that no beneft can be recognized. The estmated annual efectve tax rate may be signifcantly impacted by nondeductble expenses and the Company’s projected earnings mix by tax jurisdicton. Adjustments to the estmated annual efectve income tax rate are recognized in the period when such estmates are revised.</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Uncertaintes</w:t>
      </w:r>
    </w:p>
    <w:p>
      <w:pPr>
        <w:spacing w:after="0" w:line="92"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Cabot and certain subsidiaries are under audit in a number of jurisdictons. In additon, certain statutes of limitatons are scheduled to expire in the near future. It is reasonably possible that a change in the unrecognized tax benefts may also occur within the next twelve months related to the setlement of one or more of these audits or the lapse of applicable statutes of limitatons. However, an estmated range of the impact on the unrecognized tax benefts cannot be quantfed at this tme.</w:t>
      </w:r>
    </w:p>
    <w:p>
      <w:pPr>
        <w:spacing w:after="0" w:line="55" w:lineRule="exact"/>
        <w:rPr>
          <w:sz w:val="20"/>
          <w:szCs w:val="20"/>
          <w:color w:val="auto"/>
        </w:rPr>
      </w:pPr>
    </w:p>
    <w:p>
      <w:pPr>
        <w:jc w:val="both"/>
        <w:ind w:right="120" w:firstLine="509"/>
        <w:spacing w:after="0" w:line="309" w:lineRule="auto"/>
        <w:rPr>
          <w:sz w:val="20"/>
          <w:szCs w:val="20"/>
          <w:color w:val="auto"/>
        </w:rPr>
      </w:pPr>
      <w:r>
        <w:rPr>
          <w:rFonts w:ascii="Arial" w:cs="Arial" w:eastAsia="Arial" w:hAnsi="Arial"/>
          <w:sz w:val="16"/>
          <w:szCs w:val="16"/>
          <w:color w:val="auto"/>
        </w:rPr>
        <w:t>Cabot fles U.S. federal and state and non-U.S. income tax returns in jurisdictons with varying statutes of limitatons. The 2020 through 2022 tax years generally remain subject to examinaton by the IRS and various tax years from 2013 through 2022 remain subject to examinaton by the respectve state tax authorites. In foreign jurisdictons, various tax years from 2005 through 2022 remain subject to examinaton by their respectve tax authorites.</w:t>
      </w:r>
    </w:p>
    <w:p>
      <w:pPr>
        <w:spacing w:after="0" w:line="18" w:lineRule="exact"/>
        <w:rPr>
          <w:sz w:val="20"/>
          <w:szCs w:val="20"/>
          <w:color w:val="auto"/>
        </w:rPr>
      </w:pPr>
    </w:p>
    <w:p>
      <w:pPr>
        <w:ind w:right="60" w:firstLine="509"/>
        <w:spacing w:after="0" w:line="284" w:lineRule="auto"/>
        <w:rPr>
          <w:sz w:val="20"/>
          <w:szCs w:val="20"/>
          <w:color w:val="auto"/>
        </w:rPr>
      </w:pPr>
      <w:r>
        <w:rPr>
          <w:rFonts w:ascii="Arial" w:cs="Arial" w:eastAsia="Arial" w:hAnsi="Arial"/>
          <w:sz w:val="17"/>
          <w:szCs w:val="17"/>
          <w:color w:val="auto"/>
        </w:rPr>
        <w:t>During the three and nine months ended June 30, 2023, Cabot released uncertain tax positons of a nil amount and $1 million, respectvely, due to the expiraton of statutes of limitatons in various jurisdictons. During the three and nine months ended June 30, 2022, Cabot released uncertain tax positons of a nil amount and $2 million, respectvely, due to the expiraton of statutes of limitatons in various jurisdictons.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J. Earnings Per Share</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summarize the components of the basic and diluted earnings (loss) per common share (“EPS”) computatons:</w:t>
      </w:r>
    </w:p>
    <w:p>
      <w:pPr>
        <w:sectPr>
          <w:pgSz w:w="11900" w:h="16838" w:orient="portrait"/>
          <w:cols w:equalWidth="0" w:num="1">
            <w:col w:w="11220"/>
          </w:cols>
          <w:pgMar w:left="320" w:top="4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Basic EPS:</w:t>
      </w:r>
    </w:p>
    <w:p>
      <w:pPr>
        <w:spacing w:after="0" w:line="3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Net income (loss) atributable to Cabot</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Corporaton</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Less: Dividends and dividend equivalents</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 partcipatng securites</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Less: Undistributed earnings allocated to</w:t>
      </w:r>
    </w:p>
    <w:p>
      <w:pPr>
        <w:ind w:left="880"/>
        <w:spacing w:after="0" w:line="225" w:lineRule="auto"/>
        <w:rPr>
          <w:sz w:val="20"/>
          <w:szCs w:val="20"/>
          <w:color w:val="auto"/>
        </w:rPr>
      </w:pPr>
      <w:r>
        <w:rPr>
          <w:rFonts w:ascii="Arial" w:cs="Arial" w:eastAsia="Arial" w:hAnsi="Arial"/>
          <w:sz w:val="18"/>
          <w:szCs w:val="18"/>
          <w:color w:val="auto"/>
        </w:rPr>
        <w:t>partcipatng securites</w:t>
      </w:r>
      <w:r>
        <w:rPr>
          <w:rFonts w:ascii="Arial" w:cs="Arial" w:eastAsia="Arial" w:hAnsi="Arial"/>
          <w:sz w:val="24"/>
          <w:szCs w:val="24"/>
          <w:color w:val="auto"/>
          <w:vertAlign w:val="superscript"/>
        </w:rPr>
        <w:t>(1)</w:t>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Earnings (loss) allocated to common</w:t>
      </w:r>
    </w:p>
    <w:p>
      <w:pPr>
        <w:spacing w:after="0" w:line="4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shareholders (numerator)</w:t>
      </w:r>
    </w:p>
    <w:p>
      <w:pPr>
        <w:spacing w:after="0" w:line="26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Weighted average common shares and</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partcipatng securites outstanding</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Less: Partcipatng securites</w:t>
      </w:r>
      <w:r>
        <w:rPr>
          <w:rFonts w:ascii="Arial" w:cs="Arial" w:eastAsia="Arial" w:hAnsi="Arial"/>
          <w:sz w:val="24"/>
          <w:szCs w:val="24"/>
          <w:color w:val="auto"/>
          <w:vertAlign w:val="superscript"/>
        </w:rPr>
        <w:t>(1)</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Adjusted weighted average common</w:t>
      </w:r>
    </w:p>
    <w:p>
      <w:pPr>
        <w:spacing w:after="0" w:line="2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shares (denominator)</w:t>
      </w:r>
    </w:p>
    <w:p>
      <w:pPr>
        <w:spacing w:after="0" w:line="2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Earnings (loss) per common share - basic:</w:t>
      </w:r>
    </w:p>
    <w:p>
      <w:pPr>
        <w:spacing w:after="0" w:line="30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Diluted EPS:</w:t>
      </w:r>
    </w:p>
    <w:p>
      <w:pPr>
        <w:spacing w:after="0" w:line="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Earnings (loss) allocated to common</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shareholders</w:t>
      </w:r>
    </w:p>
    <w:p>
      <w:pPr>
        <w:spacing w:after="0" w:line="25" w:lineRule="exact"/>
        <w:rPr>
          <w:sz w:val="20"/>
          <w:szCs w:val="20"/>
          <w:color w:val="auto"/>
        </w:rPr>
      </w:pPr>
    </w:p>
    <w:p>
      <w:pPr>
        <w:jc w:val="center"/>
        <w:ind w:right="2080"/>
        <w:spacing w:after="0"/>
        <w:rPr>
          <w:sz w:val="20"/>
          <w:szCs w:val="20"/>
          <w:color w:val="auto"/>
        </w:rPr>
      </w:pPr>
      <w:r>
        <w:rPr>
          <w:rFonts w:ascii="Arial" w:cs="Arial" w:eastAsia="Arial" w:hAnsi="Arial"/>
          <w:sz w:val="18"/>
          <w:szCs w:val="18"/>
          <w:color w:val="auto"/>
        </w:rPr>
        <w:t>Plus: Earnings allocated to</w:t>
      </w:r>
    </w:p>
    <w:p>
      <w:pPr>
        <w:spacing w:after="0" w:line="20" w:lineRule="exact"/>
        <w:rPr>
          <w:sz w:val="20"/>
          <w:szCs w:val="20"/>
          <w:color w:val="auto"/>
        </w:rPr>
      </w:pPr>
    </w:p>
    <w:p>
      <w:pPr>
        <w:jc w:val="center"/>
        <w:ind w:right="2100"/>
        <w:spacing w:after="0"/>
        <w:rPr>
          <w:sz w:val="20"/>
          <w:szCs w:val="20"/>
          <w:color w:val="auto"/>
        </w:rPr>
      </w:pPr>
      <w:r>
        <w:rPr>
          <w:rFonts w:ascii="Arial" w:cs="Arial" w:eastAsia="Arial" w:hAnsi="Arial"/>
          <w:sz w:val="18"/>
          <w:szCs w:val="18"/>
          <w:color w:val="auto"/>
        </w:rPr>
        <w:t>partcipatng securites</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Less: Adjusted earnings allocated to</w:t>
      </w:r>
    </w:p>
    <w:p>
      <w:pPr>
        <w:ind w:left="880"/>
        <w:spacing w:after="0" w:line="205" w:lineRule="auto"/>
        <w:rPr>
          <w:sz w:val="20"/>
          <w:szCs w:val="20"/>
          <w:color w:val="auto"/>
        </w:rPr>
      </w:pPr>
      <w:r>
        <w:rPr>
          <w:rFonts w:ascii="Arial" w:cs="Arial" w:eastAsia="Arial" w:hAnsi="Arial"/>
          <w:sz w:val="18"/>
          <w:szCs w:val="18"/>
          <w:color w:val="auto"/>
        </w:rPr>
        <w:t>partcipatng securites</w:t>
      </w:r>
      <w:r>
        <w:rPr>
          <w:rFonts w:ascii="Arial" w:cs="Arial" w:eastAsia="Arial" w:hAnsi="Arial"/>
          <w:sz w:val="24"/>
          <w:szCs w:val="24"/>
          <w:color w:val="auto"/>
          <w:vertAlign w:val="superscript"/>
        </w:rPr>
        <w:t>(2)</w:t>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Earnings (loss) allocated to common</w:t>
      </w:r>
    </w:p>
    <w:p>
      <w:pPr>
        <w:spacing w:after="0" w:line="4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shareholders (numerator)</w:t>
      </w:r>
    </w:p>
    <w:p>
      <w:pPr>
        <w:spacing w:after="0" w:line="2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Adjusted weighted average common</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shares outstanding</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Efect of dilutve securites:</w:t>
      </w:r>
    </w:p>
    <w:p>
      <w:pPr>
        <w:spacing w:after="0" w:line="2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Common shares issuable</w:t>
      </w:r>
      <w:r>
        <w:rPr>
          <w:rFonts w:ascii="Arial" w:cs="Arial" w:eastAsia="Arial" w:hAnsi="Arial"/>
          <w:sz w:val="24"/>
          <w:szCs w:val="24"/>
          <w:color w:val="auto"/>
          <w:vertAlign w:val="superscript"/>
        </w:rPr>
        <w:t>(3)</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Adjusted weighted average common</w:t>
      </w:r>
    </w:p>
    <w:p>
      <w:pPr>
        <w:spacing w:after="0" w:line="2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shares (denominator)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5"/>
                <w:szCs w:val="15"/>
                <w:color w:val="auto"/>
              </w:rPr>
            </w:pPr>
          </w:p>
        </w:tc>
        <w:tc>
          <w:tcPr>
            <w:tcW w:w="188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88"/>
              </w:rPr>
              <w:t>Three Months Ended June 30</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w w:val="89"/>
              </w:rPr>
              <w:t>Nine Months Ended June 30</w:t>
            </w:r>
          </w:p>
        </w:tc>
      </w:tr>
      <w:tr>
        <w:trPr>
          <w:trHeight w:val="29"/>
        </w:trPr>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r>
      <w:tr>
        <w:trPr>
          <w:trHeight w:val="184"/>
        </w:trPr>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ind w:left="140"/>
              <w:spacing w:after="0"/>
              <w:rPr>
                <w:sz w:val="20"/>
                <w:szCs w:val="20"/>
                <w:color w:val="auto"/>
              </w:rPr>
            </w:pPr>
            <w:r>
              <w:rPr>
                <w:rFonts w:ascii="Arial" w:cs="Arial" w:eastAsia="Arial" w:hAnsi="Arial"/>
                <w:sz w:val="14"/>
                <w:szCs w:val="14"/>
                <w:b w:val="1"/>
                <w:bCs w:val="1"/>
                <w:color w:val="auto"/>
                <w:w w:val="81"/>
              </w:rPr>
              <w:t>(In</w:t>
            </w:r>
          </w:p>
        </w:tc>
        <w:tc>
          <w:tcPr>
            <w:tcW w:w="228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millions, except per share amounts)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68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459"/>
        </w:trPr>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45"/>
        </w:trPr>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5"/>
        </w:trPr>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377"/>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5"/>
        </w:trPr>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48"/>
        </w:trPr>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43"/>
        </w:trPr>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35"/>
        </w:trPr>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377"/>
        </w:trPr>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56.3</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35"/>
        </w:trPr>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31"/>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1.44</w:t>
            </w:r>
          </w:p>
        </w:tc>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1.70</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945"/>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459"/>
        </w:trPr>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45"/>
        </w:trPr>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5"/>
        </w:trPr>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377"/>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5"/>
        </w:trPr>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48"/>
        </w:trPr>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56.3</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486"/>
        </w:trPr>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35"/>
        </w:trPr>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377"/>
        </w:trPr>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56.5</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56.7</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35"/>
        </w:trPr>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-5057140</wp:posOffset>
            </wp:positionV>
            <wp:extent cx="641223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-4611370</wp:posOffset>
            </wp:positionV>
            <wp:extent cx="6412230" cy="291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12230" cy="29146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-4028440</wp:posOffset>
            </wp:positionV>
            <wp:extent cx="6412230" cy="7372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12230" cy="73723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-3128010</wp:posOffset>
            </wp:positionV>
            <wp:extent cx="6412230" cy="6000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12230" cy="60007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-2374265</wp:posOffset>
            </wp:positionV>
            <wp:extent cx="641223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-1928495</wp:posOffset>
            </wp:positionV>
            <wp:extent cx="6412230" cy="291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12230" cy="29146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-1345565</wp:posOffset>
            </wp:positionV>
            <wp:extent cx="6412230" cy="7372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12230" cy="73723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-453390</wp:posOffset>
            </wp:positionV>
            <wp:extent cx="6412230" cy="6083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12230" cy="6083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720"/>
            <w:col w:w="4980"/>
          </w:cols>
          <w:pgMar w:left="320" w:top="402" w:right="359" w:bottom="1440" w:gutter="0" w:footer="0" w:header="0"/>
          <w:type w:val="continuous"/>
        </w:sectPr>
      </w:pPr>
    </w:p>
    <w:p>
      <w:pPr>
        <w:spacing w:after="0" w:line="24" w:lineRule="exact"/>
        <w:rPr>
          <w:sz w:val="20"/>
          <w:szCs w:val="20"/>
          <w:color w:val="auto"/>
        </w:rPr>
      </w:pPr>
    </w:p>
    <w:p>
      <w:pPr>
        <w:ind w:left="760"/>
        <w:spacing w:after="0"/>
        <w:tabs>
          <w:tab w:leader="none" w:pos="6240" w:val="left"/>
          <w:tab w:leader="none" w:pos="6740" w:val="left"/>
          <w:tab w:leader="none" w:pos="7380" w:val="left"/>
          <w:tab w:leader="none" w:pos="7900" w:val="left"/>
          <w:tab w:leader="none" w:pos="8540" w:val="left"/>
          <w:tab w:leader="none" w:pos="9040" w:val="left"/>
          <w:tab w:leader="none" w:pos="9680" w:val="left"/>
          <w:tab w:leader="none" w:pos="10200" w:val="left"/>
        </w:tabs>
        <w:rPr>
          <w:sz w:val="20"/>
          <w:szCs w:val="20"/>
          <w:color w:val="auto"/>
        </w:rPr>
      </w:pPr>
      <w:r>
        <w:rPr>
          <w:rFonts w:ascii="Arial" w:cs="Arial" w:eastAsia="Arial" w:hAnsi="Arial"/>
          <w:sz w:val="18"/>
          <w:szCs w:val="18"/>
          <w:color w:val="auto"/>
        </w:rPr>
        <w:t>Earnings (loss) per common share - diluted: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3.65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1.99</w:t>
      </w:r>
    </w:p>
    <w:p>
      <w:pPr>
        <w:spacing w:after="0" w:line="171" w:lineRule="exact"/>
        <w:rPr>
          <w:sz w:val="20"/>
          <w:szCs w:val="20"/>
          <w:color w:val="auto"/>
        </w:rPr>
      </w:pPr>
    </w:p>
    <w:p>
      <w:pPr>
        <w:ind w:left="520" w:hanging="512"/>
        <w:spacing w:after="0" w:line="276" w:lineRule="auto"/>
        <w:tabs>
          <w:tab w:leader="none" w:pos="52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Partcipatng securites consist of shares underlying unvested tme-based restricted stock units (the "TSUs"), earned and unvested performance-based restricted stock units (the "PSUs", and referred to in this note collectvely with the TSUs as the "RSUs"), stock units accounted for under the Supplemental 401(k) Plan porton of the Company’s Deferred Compensaton and Supplemental Retrement Plan, and stock units and phantom stock units accounted for under the Company’s Non-Employee Directors’ Deferral Plan. The holders of RSUs are enttled to receive dividend equivalents, payable in cash, to the extent dividends are paid on the outstanding shares of Common Stock, and equal in value to the dividends that would have been paid in respect of the Common Stock underlying the RSU. The accounts of holders of stock units and phantom stock units are credited with dividend equivalents, which are payable, in stock or cash, as the case may be, with the distributon of account balances.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type w:val="continuous"/>
        </w:sectPr>
      </w:pPr>
    </w:p>
    <w:bookmarkStart w:id="16" w:name="page17"/>
    <w:bookmarkEnd w:id="16"/>
    <w:p>
      <w:pPr>
        <w:ind w:right="280" w:firstLine="509"/>
        <w:spacing w:after="0" w:line="262" w:lineRule="auto"/>
        <w:rPr>
          <w:sz w:val="20"/>
          <w:szCs w:val="20"/>
          <w:color w:val="auto"/>
        </w:rPr>
      </w:pPr>
      <w:r>
        <w:rPr>
          <w:rFonts w:ascii="Arial" w:cs="Arial" w:eastAsia="Arial" w:hAnsi="Arial"/>
          <w:sz w:val="18"/>
          <w:szCs w:val="18"/>
          <w:color w:val="auto"/>
        </w:rPr>
        <w:t>Undistributed earnings are the earnings which remain afer dividends declared during the period are assumed to be distributed to the common and partcipatng shareholders. Undistributed earnings are allocated to common and partcipatng shareholders on the same basis as dividend distributons. The calculaton of undistributed earnings is as follows:</w:t>
      </w:r>
    </w:p>
    <w:p>
      <w:pPr>
        <w:spacing w:after="0" w:line="127"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4540" w:type="dxa"/>
            <w:vAlign w:val="bottom"/>
          </w:tcPr>
          <w:p>
            <w:pPr>
              <w:spacing w:after="0"/>
              <w:rPr>
                <w:sz w:val="15"/>
                <w:szCs w:val="15"/>
                <w:color w:val="auto"/>
              </w:rPr>
            </w:pPr>
          </w:p>
        </w:tc>
        <w:tc>
          <w:tcPr>
            <w:tcW w:w="2040" w:type="dxa"/>
            <w:vAlign w:val="bottom"/>
            <w:gridSpan w:val="5"/>
          </w:tcPr>
          <w:p>
            <w:pPr>
              <w:jc w:val="right"/>
              <w:ind w:right="74"/>
              <w:spacing w:after="0"/>
              <w:rPr>
                <w:sz w:val="20"/>
                <w:szCs w:val="20"/>
                <w:color w:val="auto"/>
              </w:rPr>
            </w:pPr>
            <w:r>
              <w:rPr>
                <w:rFonts w:ascii="Arial" w:cs="Arial" w:eastAsia="Arial" w:hAnsi="Arial"/>
                <w:sz w:val="14"/>
                <w:szCs w:val="14"/>
                <w:b w:val="1"/>
                <w:bCs w:val="1"/>
                <w:color w:val="auto"/>
                <w:w w:val="95"/>
              </w:rPr>
              <w:t>Three Months Ended June 30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1"/>
              </w:rPr>
              <w:t>Nine Months Ended June 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5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16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w w:val="79"/>
              </w:rPr>
              <w:t>millions)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Calculaton of undistributed earnings (loss):</w:t>
            </w: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540" w:type="dxa"/>
            <w:vAlign w:val="bottom"/>
          </w:tcPr>
          <w:p>
            <w:pPr>
              <w:ind w:left="200"/>
              <w:spacing w:after="0"/>
              <w:rPr>
                <w:sz w:val="20"/>
                <w:szCs w:val="20"/>
                <w:color w:val="auto"/>
              </w:rPr>
            </w:pPr>
            <w:r>
              <w:rPr>
                <w:rFonts w:ascii="Arial" w:cs="Arial" w:eastAsia="Arial" w:hAnsi="Arial"/>
                <w:sz w:val="18"/>
                <w:szCs w:val="18"/>
                <w:color w:val="auto"/>
              </w:rPr>
              <w:t>Net income (loss) atributable to Cabot Corporaton</w:t>
            </w:r>
          </w:p>
        </w:tc>
        <w:tc>
          <w:tcPr>
            <w:tcW w:w="640" w:type="dxa"/>
            <w:vAlign w:val="bottom"/>
          </w:tcPr>
          <w:p>
            <w:pPr>
              <w:jc w:val="right"/>
              <w:ind w:right="456"/>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82</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211</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Dividends declared on common stock</w:t>
            </w: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200"/>
              <w:spacing w:after="0" w:line="197" w:lineRule="exact"/>
              <w:rPr>
                <w:sz w:val="20"/>
                <w:szCs w:val="20"/>
                <w:color w:val="auto"/>
              </w:rPr>
            </w:pPr>
            <w:r>
              <w:rPr>
                <w:rFonts w:ascii="Arial" w:cs="Arial" w:eastAsia="Arial" w:hAnsi="Arial"/>
                <w:sz w:val="18"/>
                <w:szCs w:val="18"/>
                <w:color w:val="auto"/>
              </w:rPr>
              <w:t>Less: Dividends declared on partcipatng</w:t>
            </w:r>
          </w:p>
        </w:tc>
        <w:tc>
          <w:tcPr>
            <w:tcW w:w="640" w:type="dxa"/>
            <w:vAlign w:val="bottom"/>
          </w:tcPr>
          <w:p>
            <w:pPr>
              <w:spacing w:after="0"/>
              <w:rPr>
                <w:sz w:val="17"/>
                <w:szCs w:val="17"/>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40" w:type="dxa"/>
            <w:vAlign w:val="bottom"/>
          </w:tcPr>
          <w:p>
            <w:pPr>
              <w:ind w:left="320"/>
              <w:spacing w:after="0"/>
              <w:rPr>
                <w:sz w:val="20"/>
                <w:szCs w:val="20"/>
                <w:color w:val="auto"/>
              </w:rPr>
            </w:pPr>
            <w:r>
              <w:rPr>
                <w:rFonts w:ascii="Arial" w:cs="Arial" w:eastAsia="Arial" w:hAnsi="Arial"/>
                <w:sz w:val="18"/>
                <w:szCs w:val="18"/>
                <w:color w:val="auto"/>
              </w:rPr>
              <w:t>securites</w:t>
            </w:r>
          </w:p>
        </w:tc>
        <w:tc>
          <w:tcPr>
            <w:tcW w:w="64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5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Undistributed earnings (loss)</w:t>
            </w:r>
          </w:p>
        </w:tc>
        <w:tc>
          <w:tcPr>
            <w:tcW w:w="640" w:type="dxa"/>
            <w:vAlign w:val="bottom"/>
            <w:tcBorders>
              <w:bottom w:val="single" w:sz="8" w:color="auto"/>
            </w:tcBorders>
            <w:shd w:val="clear" w:color="auto" w:fill="CFF0FC"/>
          </w:tcPr>
          <w:p>
            <w:pPr>
              <w:jc w:val="right"/>
              <w:ind w:right="456"/>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Allocaton of undistributed earnings (loss):</w:t>
            </w: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200"/>
              <w:spacing w:after="0" w:line="197" w:lineRule="exact"/>
              <w:rPr>
                <w:sz w:val="20"/>
                <w:szCs w:val="20"/>
                <w:color w:val="auto"/>
              </w:rPr>
            </w:pPr>
            <w:r>
              <w:rPr>
                <w:rFonts w:ascii="Arial" w:cs="Arial" w:eastAsia="Arial" w:hAnsi="Arial"/>
                <w:sz w:val="18"/>
                <w:szCs w:val="18"/>
                <w:color w:val="auto"/>
              </w:rPr>
              <w:t>Undistributed earnings (loss) allocated to</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40" w:type="dxa"/>
            <w:vAlign w:val="bottom"/>
          </w:tcPr>
          <w:p>
            <w:pPr>
              <w:ind w:left="320"/>
              <w:spacing w:after="0"/>
              <w:rPr>
                <w:sz w:val="20"/>
                <w:szCs w:val="20"/>
                <w:color w:val="auto"/>
              </w:rPr>
            </w:pPr>
            <w:r>
              <w:rPr>
                <w:rFonts w:ascii="Arial" w:cs="Arial" w:eastAsia="Arial" w:hAnsi="Arial"/>
                <w:sz w:val="18"/>
                <w:szCs w:val="18"/>
                <w:color w:val="auto"/>
              </w:rPr>
              <w:t>common shareholders</w:t>
            </w:r>
          </w:p>
        </w:tc>
        <w:tc>
          <w:tcPr>
            <w:tcW w:w="640" w:type="dxa"/>
            <w:vAlign w:val="bottom"/>
          </w:tcPr>
          <w:p>
            <w:pPr>
              <w:jc w:val="right"/>
              <w:ind w:right="456"/>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4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shd w:val="clear" w:color="auto" w:fill="CFF0FC"/>
          </w:tcPr>
          <w:p>
            <w:pPr>
              <w:ind w:left="200"/>
              <w:spacing w:after="0" w:line="197" w:lineRule="exact"/>
              <w:rPr>
                <w:sz w:val="20"/>
                <w:szCs w:val="20"/>
                <w:color w:val="auto"/>
              </w:rPr>
            </w:pPr>
            <w:r>
              <w:rPr>
                <w:rFonts w:ascii="Arial" w:cs="Arial" w:eastAsia="Arial" w:hAnsi="Arial"/>
                <w:sz w:val="18"/>
                <w:szCs w:val="18"/>
                <w:color w:val="auto"/>
              </w:rPr>
              <w:t>Undistributed earnings allocated to</w:t>
            </w:r>
          </w:p>
        </w:tc>
        <w:tc>
          <w:tcPr>
            <w:tcW w:w="640" w:type="dxa"/>
            <w:vAlign w:val="bottom"/>
            <w:shd w:val="clear" w:color="auto" w:fill="CFF0FC"/>
          </w:tcPr>
          <w:p>
            <w:pPr>
              <w:spacing w:after="0"/>
              <w:rPr>
                <w:sz w:val="17"/>
                <w:szCs w:val="17"/>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partcipatng shareholders</w:t>
            </w:r>
          </w:p>
        </w:tc>
        <w:tc>
          <w:tcPr>
            <w:tcW w:w="6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Undistributed earnings (loss)</w:t>
            </w:r>
          </w:p>
        </w:tc>
        <w:tc>
          <w:tcPr>
            <w:tcW w:w="6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-1096645</wp:posOffset>
            </wp:positionV>
            <wp:extent cx="226314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263140" cy="1797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-187960</wp:posOffset>
            </wp:positionV>
            <wp:extent cx="76835"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-187960</wp:posOffset>
            </wp:positionV>
            <wp:extent cx="76835"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-187960</wp:posOffset>
            </wp:positionV>
            <wp:extent cx="76835"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96" w:lineRule="exact"/>
        <w:rPr>
          <w:sz w:val="20"/>
          <w:szCs w:val="20"/>
          <w:color w:val="auto"/>
        </w:rPr>
      </w:pPr>
    </w:p>
    <w:p>
      <w:pPr>
        <w:ind w:left="520" w:right="80" w:hanging="512"/>
        <w:spacing w:after="0" w:line="220" w:lineRule="auto"/>
        <w:tabs>
          <w:tab w:leader="none" w:pos="520" w:val="left"/>
        </w:tabs>
        <w:numPr>
          <w:ilvl w:val="0"/>
          <w:numId w:val="5"/>
        </w:numPr>
        <w:rPr>
          <w:rFonts w:ascii="Arial" w:cs="Arial" w:eastAsia="Arial" w:hAnsi="Arial"/>
          <w:sz w:val="24"/>
          <w:szCs w:val="24"/>
          <w:color w:val="auto"/>
          <w:vertAlign w:val="superscript"/>
        </w:rPr>
      </w:pPr>
      <w:r>
        <w:rPr>
          <w:rFonts w:ascii="Arial" w:cs="Arial" w:eastAsia="Arial" w:hAnsi="Arial"/>
          <w:sz w:val="18"/>
          <w:szCs w:val="18"/>
          <w:color w:val="auto"/>
        </w:rPr>
        <w:t>Undistributed earnings are adjusted for the assumed distributon of dividends to the dilutve securites, which are described in (3) below, and then reallocated to partcipatng securites.</w:t>
      </w:r>
    </w:p>
    <w:p>
      <w:pPr>
        <w:spacing w:after="0" w:line="16" w:lineRule="exact"/>
        <w:rPr>
          <w:rFonts w:ascii="Arial" w:cs="Arial" w:eastAsia="Arial" w:hAnsi="Arial"/>
          <w:sz w:val="24"/>
          <w:szCs w:val="24"/>
          <w:color w:val="auto"/>
          <w:vertAlign w:val="superscript"/>
        </w:rPr>
      </w:pPr>
    </w:p>
    <w:p>
      <w:pPr>
        <w:ind w:left="520" w:right="180" w:hanging="512"/>
        <w:spacing w:after="0" w:line="237" w:lineRule="auto"/>
        <w:tabs>
          <w:tab w:leader="none" w:pos="520" w:val="left"/>
        </w:tabs>
        <w:numPr>
          <w:ilvl w:val="0"/>
          <w:numId w:val="5"/>
        </w:numPr>
        <w:rPr>
          <w:rFonts w:ascii="Arial" w:cs="Arial" w:eastAsia="Arial" w:hAnsi="Arial"/>
          <w:sz w:val="24"/>
          <w:szCs w:val="24"/>
          <w:color w:val="auto"/>
          <w:vertAlign w:val="superscript"/>
        </w:rPr>
      </w:pPr>
      <w:r>
        <w:rPr>
          <w:rFonts w:ascii="Arial" w:cs="Arial" w:eastAsia="Arial" w:hAnsi="Arial"/>
          <w:sz w:val="18"/>
          <w:szCs w:val="18"/>
          <w:color w:val="auto"/>
        </w:rPr>
        <w:t>Represents incremental shares of common stock from the assumed exercise of stock optons issued under Cabot’s equity incentve plans. For the three and nine months ended June 30, 2023, 156,550 and 133,039 incremental shares of common stock were excluded from the calculaton of diluted earnings per share because the inclusion of these shares would have been antdilutve. For the three and nine months ended June 30, 2022, 169,425 and 204,796 incremental shares of common stock were excluded from the calculaton of diluted earnings per share because the inclusion of these shares would have been antdilutve.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Financial Instruments and Fair Value Measurements</w:t>
      </w:r>
    </w:p>
    <w:p>
      <w:pPr>
        <w:spacing w:after="0" w:line="92" w:lineRule="exact"/>
        <w:rPr>
          <w:sz w:val="20"/>
          <w:szCs w:val="20"/>
          <w:color w:val="auto"/>
        </w:rPr>
      </w:pPr>
    </w:p>
    <w:p>
      <w:pPr>
        <w:ind w:firstLine="509"/>
        <w:spacing w:after="0" w:line="262" w:lineRule="auto"/>
        <w:rPr>
          <w:sz w:val="20"/>
          <w:szCs w:val="20"/>
          <w:color w:val="auto"/>
        </w:rPr>
      </w:pPr>
      <w:r>
        <w:rPr>
          <w:rFonts w:ascii="Arial" w:cs="Arial" w:eastAsia="Arial" w:hAnsi="Arial"/>
          <w:sz w:val="18"/>
          <w:szCs w:val="18"/>
          <w:color w:val="auto"/>
        </w:rPr>
        <w:t>The FASB authoritatve guidance on fair value measurements defnes fair value, provides a framework for measuring fair value, and requires certain disclosures about fair value measurements. The required disclosures focus on the inputs used to measure fair value. The guidance establishes the following hierarchy for categorizing these inputs: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740" w:type="dxa"/>
            <w:vAlign w:val="bottom"/>
          </w:tcPr>
          <w:p>
            <w:pPr>
              <w:spacing w:after="0"/>
              <w:rPr>
                <w:sz w:val="20"/>
                <w:szCs w:val="20"/>
                <w:color w:val="auto"/>
              </w:rPr>
            </w:pPr>
            <w:r>
              <w:rPr>
                <w:rFonts w:ascii="Arial" w:cs="Arial" w:eastAsia="Arial" w:hAnsi="Arial"/>
                <w:sz w:val="18"/>
                <w:szCs w:val="18"/>
                <w:color w:val="auto"/>
              </w:rPr>
              <w:t>Level 1</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rPr>
              <w:t>—   Quoted market prices in actve markets for identcal assets or liabilites</w:t>
            </w:r>
          </w:p>
        </w:tc>
      </w:tr>
      <w:tr>
        <w:trPr>
          <w:trHeight w:val="394"/>
        </w:trPr>
        <w:tc>
          <w:tcPr>
            <w:tcW w:w="740" w:type="dxa"/>
            <w:vAlign w:val="bottom"/>
          </w:tcPr>
          <w:p>
            <w:pPr>
              <w:spacing w:after="0"/>
              <w:rPr>
                <w:sz w:val="20"/>
                <w:szCs w:val="20"/>
                <w:color w:val="auto"/>
              </w:rPr>
            </w:pPr>
            <w:r>
              <w:rPr>
                <w:rFonts w:ascii="Arial" w:cs="Arial" w:eastAsia="Arial" w:hAnsi="Arial"/>
                <w:sz w:val="18"/>
                <w:szCs w:val="18"/>
                <w:color w:val="auto"/>
              </w:rPr>
              <w:t>Level 2</w:t>
            </w: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3"/>
              </w:rPr>
              <w:t>Signifcant other observable inputs (e.g., quoted prices for similar items in actve markets, quoted prices for identcal or similar items in</w:t>
            </w:r>
          </w:p>
        </w:tc>
      </w:tr>
      <w:tr>
        <w:trPr>
          <w:trHeight w:val="216"/>
        </w:trPr>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w w:val="94"/>
              </w:rPr>
              <w:t>markets that are not actve, inputs other than quoted prices that are observable such as interest rate and yield curves, and market-</w:t>
            </w:r>
          </w:p>
        </w:tc>
      </w:tr>
      <w:tr>
        <w:trPr>
          <w:trHeight w:val="227"/>
        </w:trPr>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corroborated inputs)</w:t>
            </w:r>
          </w:p>
        </w:tc>
      </w:tr>
      <w:tr>
        <w:trPr>
          <w:trHeight w:val="405"/>
        </w:trPr>
        <w:tc>
          <w:tcPr>
            <w:tcW w:w="740" w:type="dxa"/>
            <w:vAlign w:val="bottom"/>
          </w:tcPr>
          <w:p>
            <w:pPr>
              <w:spacing w:after="0"/>
              <w:rPr>
                <w:sz w:val="20"/>
                <w:szCs w:val="20"/>
                <w:color w:val="auto"/>
              </w:rPr>
            </w:pPr>
            <w:r>
              <w:rPr>
                <w:rFonts w:ascii="Arial" w:cs="Arial" w:eastAsia="Arial" w:hAnsi="Arial"/>
                <w:sz w:val="18"/>
                <w:szCs w:val="18"/>
                <w:color w:val="auto"/>
              </w:rPr>
              <w:t>Level 3</w:t>
            </w: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rPr>
              <w:t>Signifcant unobservable inputs</w:t>
            </w:r>
          </w:p>
        </w:tc>
      </w:tr>
    </w:tbl>
    <w:p>
      <w:pPr>
        <w:spacing w:after="0" w:line="192" w:lineRule="exact"/>
        <w:rPr>
          <w:sz w:val="20"/>
          <w:szCs w:val="20"/>
          <w:color w:val="auto"/>
        </w:rPr>
      </w:pPr>
    </w:p>
    <w:p>
      <w:pPr>
        <w:ind w:right="140" w:firstLine="509"/>
        <w:spacing w:after="0" w:line="273" w:lineRule="auto"/>
        <w:rPr>
          <w:sz w:val="20"/>
          <w:szCs w:val="20"/>
          <w:color w:val="auto"/>
        </w:rPr>
      </w:pPr>
      <w:r>
        <w:rPr>
          <w:rFonts w:ascii="Arial" w:cs="Arial" w:eastAsia="Arial" w:hAnsi="Arial"/>
          <w:sz w:val="18"/>
          <w:szCs w:val="18"/>
          <w:color w:val="auto"/>
        </w:rPr>
        <w:t>There were no transfers of fnancial assets or liabilites measured at fair value between Level 1 and Level 2 and there were no Level 3 investments during the frst nine months of either fscal 2023 or 2022.</w:t>
      </w:r>
    </w:p>
    <w:p>
      <w:pPr>
        <w:spacing w:after="0" w:line="42" w:lineRule="exact"/>
        <w:rPr>
          <w:sz w:val="20"/>
          <w:szCs w:val="20"/>
          <w:color w:val="auto"/>
        </w:rPr>
      </w:pPr>
    </w:p>
    <w:p>
      <w:pPr>
        <w:ind w:right="500" w:firstLine="509"/>
        <w:spacing w:after="0" w:line="284" w:lineRule="auto"/>
        <w:rPr>
          <w:sz w:val="20"/>
          <w:szCs w:val="20"/>
          <w:color w:val="auto"/>
        </w:rPr>
      </w:pPr>
      <w:r>
        <w:rPr>
          <w:rFonts w:ascii="Arial" w:cs="Arial" w:eastAsia="Arial" w:hAnsi="Arial"/>
          <w:sz w:val="17"/>
          <w:szCs w:val="17"/>
          <w:color w:val="auto"/>
        </w:rPr>
        <w:t>At June 30, 2023 and September 30, 2022, the fair values of cash and cash equivalents, accounts and notes receivable, accounts payable and accrued liabilites, and short-term borrowings and variable rate debt approximated their carrying values due to the short-term nature of these instruments. Each of these fnancial asset and liability categories is classifed as Level 1 within the fair value hierarchy.</w:t>
      </w:r>
    </w:p>
    <w:p>
      <w:pPr>
        <w:spacing w:after="0" w:line="35"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At June 30, 2023 and September 30, 2022, Cabot had derivatves relatng to foreign currency risks, including a net investment hedge and forward foreign currency contracts, carried at fair value. At June 30, 2023, the fair value of these derivatves was a net asset of $8 million and was included in Prepaid expenses and other current assets, Accounts payable and accrued liabilites, and Other assets on the Consolidated Balance Sheets. At September 30, 2022, the fair value of these derivatves was a net asset of $28 million and was included in Prepaid expenses and other current assets, Accounts payable and accrued liabilites, and Other assets on the Consolidated Balance Sheets. These derivatves are classifed as Level 2 instruments within the fair value hierarchy as the fair value determinaton was based on observable inputs.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7" w:name="page18"/>
    <w:bookmarkEnd w:id="17"/>
    <w:p>
      <w:pPr>
        <w:jc w:val="both"/>
        <w:ind w:right="40" w:firstLine="509"/>
        <w:spacing w:after="0" w:line="262" w:lineRule="auto"/>
        <w:rPr>
          <w:sz w:val="20"/>
          <w:szCs w:val="20"/>
          <w:color w:val="auto"/>
        </w:rPr>
      </w:pPr>
      <w:r>
        <w:rPr>
          <w:rFonts w:ascii="Arial" w:cs="Arial" w:eastAsia="Arial" w:hAnsi="Arial"/>
          <w:sz w:val="18"/>
          <w:szCs w:val="18"/>
          <w:color w:val="auto"/>
        </w:rPr>
        <w:t>At June 30, 2023 and September 30, 2022, the fair value of guaranteed investment contracts included in Other assets on the Consolidated Balance Sheets was $9 million and $8 million, respectvely. Guaranteed investment contracts were classifed as Level 2 instruments within the fair value hierarchy as the fair value determinaton was based on other observable inputs.</w:t>
      </w:r>
    </w:p>
    <w:p>
      <w:pPr>
        <w:spacing w:after="0" w:line="51"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The carrying value and fair value of the long-term fxed rate debt were $1.08 billion and $1.07 billion, respectvely, as of June 30, 2023 and $1.08 billion and $1.06 billion, respectvely, as of September 30, 2022. The fair values of Cabot’s fxed rate long-term debt are estmated based on comparable quoted market prices at the respectve period ends. The carrying amounts of Cabot’s foatng rate long-term debt and fnance and operatng lease obligatons approximate their fair values. All such measurements are based on observable inputs and are classifed as Level 2 within the fair value hierarchy. The valuaton technique used is the discounted cash fow model.</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Financial Informaton by Segment</w:t>
      </w:r>
    </w:p>
    <w:p>
      <w:pPr>
        <w:spacing w:after="0" w:line="9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Company identfes a product line as an operatng segment if: i) it engages in business actvites from which it may earn revenues and incur expenses; ii) its operatng results are regularly reviewed by the Chief Operatng Decision Maker (“CODM”), who is Cabot’s President and Chief Executve Ofcer, to make decisions about resources to be allocated to the segment and assess its performance; and iii) it has available discrete fnancial informaton. The CODM reviews fnancial informaton at the operatng segment level to allocate resources and to assess the operatng results and fnancial performance for each operatng segment. Operatng segments are aggregated into a reportable segment if the operatng segments are determined to have similar economic characteristcs and if the operatng segments are similar in the following areas: i) nature of products and services; ii) nature of producton processes; iii) type or class of customer for their products and services; iv) methods used to distribute the products or provide services; and v) if applicable, the nature of the regulatory environment.</w:t>
      </w:r>
    </w:p>
    <w:p>
      <w:pPr>
        <w:spacing w:after="0" w:line="63" w:lineRule="exact"/>
        <w:rPr>
          <w:sz w:val="20"/>
          <w:szCs w:val="20"/>
          <w:color w:val="auto"/>
        </w:rPr>
      </w:pPr>
    </w:p>
    <w:p>
      <w:pPr>
        <w:ind w:right="20" w:firstLine="509"/>
        <w:spacing w:after="0" w:line="273" w:lineRule="auto"/>
        <w:rPr>
          <w:sz w:val="20"/>
          <w:szCs w:val="20"/>
          <w:color w:val="auto"/>
        </w:rPr>
      </w:pPr>
      <w:r>
        <w:rPr>
          <w:rFonts w:ascii="Arial" w:cs="Arial" w:eastAsia="Arial" w:hAnsi="Arial"/>
          <w:sz w:val="18"/>
          <w:szCs w:val="18"/>
          <w:color w:val="auto"/>
        </w:rPr>
        <w:t>The Company has two reportable segments consistng of Reinforcement Materials and Performance Chemicals. The Company’s former Purifcaton Solutons business was a separate reportng segment prior to divestture in the second quarter of fscal 2022.</w:t>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Reinforcement Materials segment combines the reinforcing carbons and engineered elastomer composites product lines.</w:t>
      </w:r>
    </w:p>
    <w:p>
      <w:pPr>
        <w:spacing w:after="0" w:line="90" w:lineRule="exact"/>
        <w:rPr>
          <w:sz w:val="20"/>
          <w:szCs w:val="20"/>
          <w:color w:val="auto"/>
        </w:rPr>
      </w:pPr>
    </w:p>
    <w:p>
      <w:pPr>
        <w:ind w:right="40" w:firstLine="509"/>
        <w:spacing w:after="0" w:line="262" w:lineRule="auto"/>
        <w:rPr>
          <w:sz w:val="20"/>
          <w:szCs w:val="20"/>
          <w:color w:val="auto"/>
        </w:rPr>
      </w:pPr>
      <w:r>
        <w:rPr>
          <w:rFonts w:ascii="Arial" w:cs="Arial" w:eastAsia="Arial" w:hAnsi="Arial"/>
          <w:sz w:val="18"/>
          <w:szCs w:val="18"/>
          <w:color w:val="auto"/>
        </w:rPr>
        <w:t>The Performance Chemicals segment aggregates the specialty carbons, specialty compounds, fumed metal oxides, batery materials, inkjet colorants, and aerogel product lines. These businesses are similar in terms of economic characteristcs, nature of products, processes, customer class and product distributon methods, and therefore have been aggregated into one reportable segment.</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Purifcaton Solutons segment consisted of the Company’s actvated carbon business.</w:t>
      </w:r>
    </w:p>
    <w:p>
      <w:pPr>
        <w:spacing w:after="0" w:line="90" w:lineRule="exact"/>
        <w:rPr>
          <w:sz w:val="20"/>
          <w:szCs w:val="20"/>
          <w:color w:val="auto"/>
        </w:rPr>
      </w:pPr>
    </w:p>
    <w:p>
      <w:pPr>
        <w:ind w:right="120" w:firstLine="509"/>
        <w:spacing w:after="0" w:line="278" w:lineRule="auto"/>
        <w:rPr>
          <w:sz w:val="20"/>
          <w:szCs w:val="20"/>
          <w:color w:val="auto"/>
        </w:rPr>
      </w:pPr>
      <w:r>
        <w:rPr>
          <w:rFonts w:ascii="Arial" w:cs="Arial" w:eastAsia="Arial" w:hAnsi="Arial"/>
          <w:sz w:val="17"/>
          <w:szCs w:val="17"/>
          <w:color w:val="auto"/>
        </w:rPr>
        <w:t>Income (loss) before income taxes (“Segment EBIT”) is presented for each reportable segment in the table below. Segment EBIT excludes Interest expense, general unallocated income (expense), unallocated corporate costs, and certain items, meaning items management does not consider representatve of on-going operatng segment results. In additon, Segment EBIT includes Equity in earnings of afliated companies, net of tax, royaltes, Net income atributable to noncontrolling interests, net of tax, and discountng charges for certain Notes receivable.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Financial informaton by reportable segment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9"/>
              </w:rPr>
              <w:t>Reinforcemen</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4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34"/>
              <w:spacing w:after="0" w:line="156" w:lineRule="exact"/>
              <w:rPr>
                <w:sz w:val="20"/>
                <w:szCs w:val="20"/>
                <w:color w:val="auto"/>
              </w:rPr>
            </w:pPr>
            <w:r>
              <w:rPr>
                <w:rFonts w:ascii="Arial" w:cs="Arial" w:eastAsia="Arial" w:hAnsi="Arial"/>
                <w:sz w:val="14"/>
                <w:szCs w:val="14"/>
                <w:b w:val="1"/>
                <w:bCs w:val="1"/>
                <w:color w:val="auto"/>
              </w:rPr>
              <w:t>t</w:t>
            </w:r>
          </w:p>
        </w:tc>
        <w:tc>
          <w:tcPr>
            <w:tcW w:w="260" w:type="dxa"/>
            <w:vAlign w:val="bottom"/>
          </w:tcPr>
          <w:p>
            <w:pPr>
              <w:spacing w:after="0"/>
              <w:rPr>
                <w:sz w:val="13"/>
                <w:szCs w:val="13"/>
                <w:color w:val="auto"/>
              </w:rPr>
            </w:pPr>
          </w:p>
        </w:tc>
        <w:tc>
          <w:tcPr>
            <w:tcW w:w="88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3"/>
                <w:szCs w:val="13"/>
                <w:color w:val="auto"/>
              </w:rPr>
            </w:pPr>
          </w:p>
        </w:tc>
        <w:tc>
          <w:tcPr>
            <w:tcW w:w="860" w:type="dxa"/>
            <w:vAlign w:val="bottom"/>
            <w:gridSpan w:val="2"/>
          </w:tcPr>
          <w:p>
            <w:pPr>
              <w:jc w:val="right"/>
              <w:ind w:right="14"/>
              <w:spacing w:after="0" w:line="156" w:lineRule="exact"/>
              <w:rPr>
                <w:sz w:val="20"/>
                <w:szCs w:val="20"/>
                <w:color w:val="auto"/>
              </w:rPr>
            </w:pPr>
            <w:r>
              <w:rPr>
                <w:rFonts w:ascii="Arial" w:cs="Arial" w:eastAsia="Arial" w:hAnsi="Arial"/>
                <w:sz w:val="14"/>
                <w:szCs w:val="14"/>
                <w:b w:val="1"/>
                <w:bCs w:val="1"/>
                <w:color w:val="auto"/>
              </w:rPr>
              <w:t>Purifcaton</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94"/>
              <w:spacing w:after="0" w:line="156"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3"/>
                <w:szCs w:val="13"/>
                <w:color w:val="auto"/>
              </w:rPr>
            </w:pPr>
          </w:p>
        </w:tc>
        <w:tc>
          <w:tcPr>
            <w:tcW w:w="1120" w:type="dxa"/>
            <w:vAlign w:val="bottom"/>
            <w:gridSpan w:val="3"/>
          </w:tcPr>
          <w:p>
            <w:pPr>
              <w:jc w:val="right"/>
              <w:ind w:right="340"/>
              <w:spacing w:after="0" w:line="156" w:lineRule="exact"/>
              <w:rPr>
                <w:sz w:val="20"/>
                <w:szCs w:val="20"/>
                <w:color w:val="auto"/>
              </w:rPr>
            </w:pPr>
            <w:r>
              <w:rPr>
                <w:rFonts w:ascii="Arial" w:cs="Arial" w:eastAsia="Arial" w:hAnsi="Arial"/>
                <w:sz w:val="14"/>
                <w:szCs w:val="14"/>
                <w:b w:val="1"/>
                <w:bCs w:val="1"/>
                <w:color w:val="auto"/>
                <w:w w:val="95"/>
              </w:rPr>
              <w:t>Unallocated</w:t>
            </w:r>
          </w:p>
        </w:tc>
        <w:tc>
          <w:tcPr>
            <w:tcW w:w="88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3"/>
                <w:szCs w:val="13"/>
                <w:color w:val="auto"/>
              </w:rPr>
            </w:pPr>
          </w:p>
        </w:tc>
      </w:tr>
      <w:tr>
        <w:trPr>
          <w:trHeight w:val="233"/>
        </w:trPr>
        <w:tc>
          <w:tcPr>
            <w:tcW w:w="4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Materials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5"/>
              </w:rPr>
              <w:t>Chemicals</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Solutons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and Other</w:t>
            </w:r>
            <w:r>
              <w:rPr>
                <w:rFonts w:ascii="Arial" w:cs="Arial" w:eastAsia="Arial" w:hAnsi="Arial"/>
                <w:sz w:val="19"/>
                <w:szCs w:val="19"/>
                <w:b w:val="1"/>
                <w:bCs w:val="1"/>
                <w:color w:val="auto"/>
                <w:w w:val="93"/>
                <w:vertAlign w:val="superscript"/>
              </w:rPr>
              <w:t>(1)</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0"/>
                <w:szCs w:val="20"/>
                <w:color w:val="auto"/>
              </w:rPr>
            </w:pPr>
          </w:p>
        </w:tc>
      </w:tr>
      <w:tr>
        <w:trPr>
          <w:trHeight w:val="187"/>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14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w w:val="83"/>
              </w:rPr>
              <w:t>millions)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52"/>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Three Months Ended June 30, 2023</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43"/>
        </w:trPr>
        <w:tc>
          <w:tcPr>
            <w:tcW w:w="4540" w:type="dxa"/>
            <w:vAlign w:val="bottom"/>
          </w:tcPr>
          <w:p>
            <w:pPr>
              <w:ind w:left="20"/>
              <w:spacing w:after="0" w:line="243" w:lineRule="exact"/>
              <w:rPr>
                <w:sz w:val="20"/>
                <w:szCs w:val="20"/>
                <w:color w:val="auto"/>
              </w:rPr>
            </w:pPr>
            <w:r>
              <w:rPr>
                <w:rFonts w:ascii="Arial" w:cs="Arial" w:eastAsia="Arial" w:hAnsi="Arial"/>
                <w:sz w:val="18"/>
                <w:szCs w:val="18"/>
                <w:color w:val="auto"/>
              </w:rPr>
              <w:t>Revenues from external customers</w:t>
            </w:r>
            <w:r>
              <w:rPr>
                <w:rFonts w:ascii="Arial" w:cs="Arial" w:eastAsia="Arial" w:hAnsi="Arial"/>
                <w:sz w:val="24"/>
                <w:szCs w:val="24"/>
                <w:color w:val="auto"/>
                <w:vertAlign w:val="superscript"/>
              </w:rPr>
              <w:t>(3)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931</w:t>
            </w:r>
          </w:p>
        </w:tc>
        <w:tc>
          <w:tcPr>
            <w:tcW w:w="58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21"/>
                <w:szCs w:val="21"/>
                <w:color w:val="auto"/>
              </w:rPr>
            </w:pPr>
          </w:p>
        </w:tc>
      </w:tr>
      <w:tr>
        <w:trPr>
          <w:trHeight w:val="243"/>
        </w:trPr>
        <w:tc>
          <w:tcPr>
            <w:tcW w:w="454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Income (loss) before income taxes</w:t>
            </w:r>
            <w:r>
              <w:rPr>
                <w:rFonts w:ascii="Arial" w:cs="Arial" w:eastAsia="Arial" w:hAnsi="Arial"/>
                <w:sz w:val="24"/>
                <w:szCs w:val="24"/>
                <w:color w:val="auto"/>
                <w:vertAlign w:val="superscript"/>
              </w:rPr>
              <w:t>(4)</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5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FF0FC"/>
          </w:tcPr>
          <w:p>
            <w:pPr>
              <w:spacing w:after="0"/>
              <w:rPr>
                <w:sz w:val="21"/>
                <w:szCs w:val="21"/>
                <w:color w:val="auto"/>
              </w:rPr>
            </w:pPr>
          </w:p>
        </w:tc>
      </w:tr>
      <w:tr>
        <w:trPr>
          <w:trHeight w:val="243"/>
        </w:trPr>
        <w:tc>
          <w:tcPr>
            <w:tcW w:w="4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Three Months Ended June 30, 2022</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43"/>
        </w:trPr>
        <w:tc>
          <w:tcPr>
            <w:tcW w:w="4540" w:type="dxa"/>
            <w:vAlign w:val="bottom"/>
          </w:tcPr>
          <w:p>
            <w:pPr>
              <w:ind w:left="20"/>
              <w:spacing w:after="0" w:line="243" w:lineRule="exact"/>
              <w:rPr>
                <w:sz w:val="20"/>
                <w:szCs w:val="20"/>
                <w:color w:val="auto"/>
              </w:rPr>
            </w:pPr>
            <w:r>
              <w:rPr>
                <w:rFonts w:ascii="Arial" w:cs="Arial" w:eastAsia="Arial" w:hAnsi="Arial"/>
                <w:sz w:val="18"/>
                <w:szCs w:val="18"/>
                <w:color w:val="auto"/>
              </w:rPr>
              <w:t>Revenues from external customers</w:t>
            </w:r>
            <w:r>
              <w:rPr>
                <w:rFonts w:ascii="Arial" w:cs="Arial" w:eastAsia="Arial" w:hAnsi="Arial"/>
                <w:sz w:val="24"/>
                <w:szCs w:val="24"/>
                <w:color w:val="auto"/>
                <w:vertAlign w:val="superscript"/>
              </w:rPr>
              <w:t>(2)(3)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1,106</w:t>
            </w:r>
          </w:p>
        </w:tc>
        <w:tc>
          <w:tcPr>
            <w:tcW w:w="58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1,149</w:t>
            </w:r>
          </w:p>
        </w:tc>
        <w:tc>
          <w:tcPr>
            <w:tcW w:w="140" w:type="dxa"/>
            <w:vAlign w:val="bottom"/>
          </w:tcPr>
          <w:p>
            <w:pPr>
              <w:spacing w:after="0"/>
              <w:rPr>
                <w:sz w:val="21"/>
                <w:szCs w:val="21"/>
                <w:color w:val="auto"/>
              </w:rPr>
            </w:pPr>
          </w:p>
        </w:tc>
      </w:tr>
      <w:tr>
        <w:trPr>
          <w:trHeight w:val="243"/>
        </w:trPr>
        <w:tc>
          <w:tcPr>
            <w:tcW w:w="454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Income (loss) before income taxes</w:t>
            </w:r>
            <w:r>
              <w:rPr>
                <w:rFonts w:ascii="Arial" w:cs="Arial" w:eastAsia="Arial" w:hAnsi="Arial"/>
                <w:sz w:val="24"/>
                <w:szCs w:val="24"/>
                <w:color w:val="auto"/>
                <w:vertAlign w:val="superscript"/>
              </w:rPr>
              <w:t>(4)</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5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FF0FC"/>
          </w:tcPr>
          <w:p>
            <w:pPr>
              <w:spacing w:after="0"/>
              <w:rPr>
                <w:sz w:val="21"/>
                <w:szCs w:val="21"/>
                <w:color w:val="auto"/>
              </w:rPr>
            </w:pPr>
          </w:p>
        </w:tc>
      </w:tr>
      <w:tr>
        <w:trPr>
          <w:trHeight w:val="243"/>
        </w:trPr>
        <w:tc>
          <w:tcPr>
            <w:tcW w:w="4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Nine Months Ended June 30, 2023</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43"/>
        </w:trPr>
        <w:tc>
          <w:tcPr>
            <w:tcW w:w="4540" w:type="dxa"/>
            <w:vAlign w:val="bottom"/>
          </w:tcPr>
          <w:p>
            <w:pPr>
              <w:ind w:left="20"/>
              <w:spacing w:after="0" w:line="243" w:lineRule="exact"/>
              <w:rPr>
                <w:sz w:val="20"/>
                <w:szCs w:val="20"/>
                <w:color w:val="auto"/>
              </w:rPr>
            </w:pPr>
            <w:r>
              <w:rPr>
                <w:rFonts w:ascii="Arial" w:cs="Arial" w:eastAsia="Arial" w:hAnsi="Arial"/>
                <w:sz w:val="18"/>
                <w:szCs w:val="18"/>
                <w:color w:val="auto"/>
              </w:rPr>
              <w:t>Revenues from external customers</w:t>
            </w:r>
            <w:r>
              <w:rPr>
                <w:rFonts w:ascii="Arial" w:cs="Arial" w:eastAsia="Arial" w:hAnsi="Arial"/>
                <w:sz w:val="24"/>
                <w:szCs w:val="24"/>
                <w:color w:val="auto"/>
                <w:vertAlign w:val="superscript"/>
              </w:rPr>
              <w:t>(3)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1,939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2,858</w:t>
            </w:r>
          </w:p>
        </w:tc>
        <w:tc>
          <w:tcPr>
            <w:tcW w:w="58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2,966</w:t>
            </w:r>
          </w:p>
        </w:tc>
        <w:tc>
          <w:tcPr>
            <w:tcW w:w="140" w:type="dxa"/>
            <w:vAlign w:val="bottom"/>
          </w:tcPr>
          <w:p>
            <w:pPr>
              <w:spacing w:after="0"/>
              <w:rPr>
                <w:sz w:val="21"/>
                <w:szCs w:val="21"/>
                <w:color w:val="auto"/>
              </w:rPr>
            </w:pPr>
          </w:p>
        </w:tc>
      </w:tr>
      <w:tr>
        <w:trPr>
          <w:trHeight w:val="243"/>
        </w:trPr>
        <w:tc>
          <w:tcPr>
            <w:tcW w:w="454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Income (loss) before income taxes</w:t>
            </w:r>
            <w:r>
              <w:rPr>
                <w:rFonts w:ascii="Arial" w:cs="Arial" w:eastAsia="Arial" w:hAnsi="Arial"/>
                <w:sz w:val="24"/>
                <w:szCs w:val="24"/>
                <w:color w:val="auto"/>
                <w:vertAlign w:val="superscript"/>
              </w:rPr>
              <w:t>(4)</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5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(113 )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FF0FC"/>
          </w:tcPr>
          <w:p>
            <w:pPr>
              <w:spacing w:after="0"/>
              <w:rPr>
                <w:sz w:val="21"/>
                <w:szCs w:val="21"/>
                <w:color w:val="auto"/>
              </w:rPr>
            </w:pPr>
          </w:p>
        </w:tc>
      </w:tr>
      <w:tr>
        <w:trPr>
          <w:trHeight w:val="243"/>
        </w:trPr>
        <w:tc>
          <w:tcPr>
            <w:tcW w:w="4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Nine Months Ended June 30, 2022</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43"/>
        </w:trPr>
        <w:tc>
          <w:tcPr>
            <w:tcW w:w="4540" w:type="dxa"/>
            <w:vAlign w:val="bottom"/>
          </w:tcPr>
          <w:p>
            <w:pPr>
              <w:ind w:left="20"/>
              <w:spacing w:after="0" w:line="243" w:lineRule="exact"/>
              <w:rPr>
                <w:sz w:val="20"/>
                <w:szCs w:val="20"/>
                <w:color w:val="auto"/>
              </w:rPr>
            </w:pPr>
            <w:r>
              <w:rPr>
                <w:rFonts w:ascii="Arial" w:cs="Arial" w:eastAsia="Arial" w:hAnsi="Arial"/>
                <w:sz w:val="18"/>
                <w:szCs w:val="18"/>
                <w:color w:val="auto"/>
              </w:rPr>
              <w:t>Revenues from external customers</w:t>
            </w:r>
            <w:r>
              <w:rPr>
                <w:rFonts w:ascii="Arial" w:cs="Arial" w:eastAsia="Arial" w:hAnsi="Arial"/>
                <w:sz w:val="24"/>
                <w:szCs w:val="24"/>
                <w:color w:val="auto"/>
                <w:vertAlign w:val="superscript"/>
              </w:rPr>
              <w:t>(2)(3)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1,947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3,089</w:t>
            </w:r>
          </w:p>
        </w:tc>
        <w:tc>
          <w:tcPr>
            <w:tcW w:w="58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3,209</w:t>
            </w:r>
          </w:p>
        </w:tc>
        <w:tc>
          <w:tcPr>
            <w:tcW w:w="140" w:type="dxa"/>
            <w:vAlign w:val="bottom"/>
          </w:tcPr>
          <w:p>
            <w:pPr>
              <w:spacing w:after="0"/>
              <w:rPr>
                <w:sz w:val="21"/>
                <w:szCs w:val="21"/>
                <w:color w:val="auto"/>
              </w:rPr>
            </w:pPr>
          </w:p>
        </w:tc>
      </w:tr>
      <w:tr>
        <w:trPr>
          <w:trHeight w:val="243"/>
        </w:trPr>
        <w:tc>
          <w:tcPr>
            <w:tcW w:w="454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Income (loss) before income taxes</w:t>
            </w:r>
            <w:r>
              <w:rPr>
                <w:rFonts w:ascii="Arial" w:cs="Arial" w:eastAsia="Arial" w:hAnsi="Arial"/>
                <w:sz w:val="24"/>
                <w:szCs w:val="24"/>
                <w:color w:val="auto"/>
                <w:vertAlign w:val="superscript"/>
              </w:rPr>
              <w:t>(4)</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5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(278 )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FF0FC"/>
          </w:tcPr>
          <w:p>
            <w:pPr>
              <w:spacing w:after="0"/>
              <w:rPr>
                <w:sz w:val="21"/>
                <w:szCs w:val="21"/>
                <w:color w:val="auto"/>
              </w:rPr>
            </w:pPr>
          </w:p>
        </w:tc>
      </w:tr>
    </w:tbl>
    <w:p>
      <w:pPr>
        <w:spacing w:after="0" w:line="116" w:lineRule="exact"/>
        <w:rPr>
          <w:sz w:val="20"/>
          <w:szCs w:val="20"/>
          <w:color w:val="auto"/>
        </w:rPr>
      </w:pPr>
    </w:p>
    <w:p>
      <w:pPr>
        <w:ind w:left="520" w:right="220" w:hanging="512"/>
        <w:spacing w:after="0" w:line="220" w:lineRule="auto"/>
        <w:tabs>
          <w:tab w:leader="none" w:pos="520" w:val="left"/>
        </w:tabs>
        <w:numPr>
          <w:ilvl w:val="0"/>
          <w:numId w:val="6"/>
        </w:numPr>
        <w:rPr>
          <w:rFonts w:ascii="Arial" w:cs="Arial" w:eastAsia="Arial" w:hAnsi="Arial"/>
          <w:sz w:val="24"/>
          <w:szCs w:val="24"/>
          <w:color w:val="auto"/>
          <w:vertAlign w:val="superscript"/>
        </w:rPr>
      </w:pPr>
      <w:r>
        <w:rPr>
          <w:rFonts w:ascii="Arial" w:cs="Arial" w:eastAsia="Arial" w:hAnsi="Arial"/>
          <w:sz w:val="18"/>
          <w:szCs w:val="18"/>
          <w:color w:val="auto"/>
        </w:rPr>
        <w:t>Unallocated and Other includes certain items and eliminatons necessary to refect management’s reportng of operatng segment results. These items are refectve of the segment reportng presented to the CODM.</w:t>
      </w:r>
    </w:p>
    <w:p>
      <w:pPr>
        <w:spacing w:after="0" w:line="16" w:lineRule="exact"/>
        <w:rPr>
          <w:rFonts w:ascii="Arial" w:cs="Arial" w:eastAsia="Arial" w:hAnsi="Arial"/>
          <w:sz w:val="24"/>
          <w:szCs w:val="24"/>
          <w:color w:val="auto"/>
          <w:vertAlign w:val="superscript"/>
        </w:rPr>
      </w:pPr>
    </w:p>
    <w:p>
      <w:pPr>
        <w:ind w:left="520" w:right="140" w:hanging="512"/>
        <w:spacing w:after="0"/>
        <w:tabs>
          <w:tab w:leader="none" w:pos="520" w:val="left"/>
        </w:tabs>
        <w:numPr>
          <w:ilvl w:val="0"/>
          <w:numId w:val="6"/>
        </w:numPr>
        <w:rPr>
          <w:rFonts w:ascii="Arial" w:cs="Arial" w:eastAsia="Arial" w:hAnsi="Arial"/>
          <w:sz w:val="24"/>
          <w:szCs w:val="24"/>
          <w:color w:val="auto"/>
          <w:vertAlign w:val="superscript"/>
        </w:rPr>
      </w:pPr>
      <w:r>
        <w:rPr>
          <w:rFonts w:ascii="Arial" w:cs="Arial" w:eastAsia="Arial" w:hAnsi="Arial"/>
          <w:sz w:val="18"/>
          <w:szCs w:val="18"/>
          <w:color w:val="auto"/>
        </w:rPr>
        <w:t>Beginning in fscal 2023, the Company began allocatng energy center by-product revenue within the applicable segment’s Revenue from external customers. The Company recast prior period fnancial informaton to conform to the new presentaton. The allocaton of such revenue resulted in an increase of $23 million in the Reinforcement Materials segment and $4 million in the Performance Chemicals segment, respectvely, with an ofsetng decrease in Unallocated and Other revenue for the three months ended June 30, 2022. The allocaton of such revenue resulted in an increase of $72 million in the Reinforcement Materials segment and $11 million in the Performance Chemicals segment, respectvely, with an ofsetng decrease in Unallocated and Other revenue for the nine months ended June 30, 2022. There was no impact to the Consolidated Total Revenues from external customers.</w:t>
      </w:r>
    </w:p>
    <w:p>
      <w:pPr>
        <w:spacing w:after="0" w:line="34" w:lineRule="exact"/>
        <w:rPr>
          <w:rFonts w:ascii="Arial" w:cs="Arial" w:eastAsia="Arial" w:hAnsi="Arial"/>
          <w:sz w:val="24"/>
          <w:szCs w:val="24"/>
          <w:color w:val="auto"/>
          <w:vertAlign w:val="superscript"/>
        </w:rPr>
      </w:pPr>
    </w:p>
    <w:p>
      <w:pPr>
        <w:ind w:left="520" w:right="100" w:hanging="512"/>
        <w:spacing w:after="0" w:line="234" w:lineRule="auto"/>
        <w:tabs>
          <w:tab w:leader="none" w:pos="520" w:val="left"/>
        </w:tabs>
        <w:numPr>
          <w:ilvl w:val="0"/>
          <w:numId w:val="6"/>
        </w:numPr>
        <w:rPr>
          <w:rFonts w:ascii="Arial" w:cs="Arial" w:eastAsia="Arial" w:hAnsi="Arial"/>
          <w:sz w:val="24"/>
          <w:szCs w:val="24"/>
          <w:color w:val="auto"/>
          <w:vertAlign w:val="superscript"/>
        </w:rPr>
      </w:pPr>
      <w:r>
        <w:rPr>
          <w:rFonts w:ascii="Arial" w:cs="Arial" w:eastAsia="Arial" w:hAnsi="Arial"/>
          <w:sz w:val="18"/>
          <w:szCs w:val="18"/>
          <w:color w:val="auto"/>
        </w:rPr>
        <w:t>Consolidated Total Revenues from external customers reconciles to Net sales and other operatng revenues on the Consolidated Statements of Operatons. Revenues from external customers that are categorized as Unallocated and Other refects royaltes, external shipping and handling fees, the impact of unearned revenue, discountng charges for certain Notes receivable, and other by-product revenue. Details are provided in the table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1"/>
              </w:rPr>
              <w:t>Nine Months Ended June 30</w:t>
            </w:r>
          </w:p>
        </w:tc>
        <w:tc>
          <w:tcPr>
            <w:tcW w:w="560" w:type="dxa"/>
            <w:vAlign w:val="bottom"/>
          </w:tcPr>
          <w:p>
            <w:pPr>
              <w:spacing w:after="0"/>
              <w:rPr>
                <w:sz w:val="15"/>
                <w:szCs w:val="15"/>
                <w:color w:val="auto"/>
              </w:rPr>
            </w:pPr>
          </w:p>
        </w:tc>
      </w:tr>
      <w:tr>
        <w:trPr>
          <w:trHeight w:val="30"/>
        </w:trPr>
        <w:tc>
          <w:tcPr>
            <w:tcW w:w="5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3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89"/>
        </w:trPr>
        <w:tc>
          <w:tcPr>
            <w:tcW w:w="5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3"/>
        </w:trPr>
        <w:tc>
          <w:tcPr>
            <w:tcW w:w="5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millions)</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52"/>
        </w:trPr>
        <w:tc>
          <w:tcPr>
            <w:tcW w:w="580" w:type="dxa"/>
            <w:vAlign w:val="bottom"/>
          </w:tcPr>
          <w:p>
            <w:pPr>
              <w:spacing w:after="0"/>
              <w:rPr>
                <w:sz w:val="21"/>
                <w:szCs w:val="21"/>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Shipping and handling fees</w:t>
            </w:r>
          </w:p>
        </w:tc>
        <w:tc>
          <w:tcPr>
            <w:tcW w:w="2320" w:type="dxa"/>
            <w:vAlign w:val="bottom"/>
            <w:gridSpan w:val="2"/>
            <w:shd w:val="clear" w:color="auto" w:fill="CFF0FC"/>
          </w:tcPr>
          <w:p>
            <w:pPr>
              <w:jc w:val="right"/>
              <w:ind w:right="56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40" w:type="dxa"/>
            <w:vAlign w:val="bottom"/>
            <w:gridSpan w:val="2"/>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(1 )</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560" w:type="dxa"/>
            <w:vAlign w:val="bottom"/>
          </w:tcPr>
          <w:p>
            <w:pPr>
              <w:spacing w:after="0"/>
              <w:rPr>
                <w:sz w:val="20"/>
                <w:szCs w:val="20"/>
                <w:color w:val="auto"/>
              </w:rPr>
            </w:pPr>
          </w:p>
        </w:tc>
      </w:tr>
      <w:tr>
        <w:trPr>
          <w:trHeight w:val="283"/>
        </w:trPr>
        <w:tc>
          <w:tcPr>
            <w:tcW w:w="580" w:type="dxa"/>
            <w:vAlign w:val="bottom"/>
          </w:tcPr>
          <w:p>
            <w:pPr>
              <w:spacing w:after="0"/>
              <w:rPr>
                <w:sz w:val="24"/>
                <w:szCs w:val="24"/>
                <w:color w:val="auto"/>
              </w:rPr>
            </w:pPr>
          </w:p>
        </w:tc>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jc w:val="right"/>
              <w:ind w:right="56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566"/>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320" w:type="dxa"/>
            <w:vAlign w:val="bottom"/>
            <w:gridSpan w:val="2"/>
          </w:tcPr>
          <w:p>
            <w:pPr>
              <w:jc w:val="right"/>
              <w:ind w:right="562"/>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23"/>
        </w:trPr>
        <w:tc>
          <w:tcPr>
            <w:tcW w:w="58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-488315</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-471170</wp:posOffset>
            </wp:positionV>
            <wp:extent cx="76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-488315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-471170</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-488315</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-471170</wp:posOffset>
            </wp:positionV>
            <wp:extent cx="768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-488315</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-471170</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9" w:name="page20"/>
    <w:bookmarkEnd w:id="19"/>
    <w:p>
      <w:pPr>
        <w:ind w:left="520" w:right="540" w:hanging="512"/>
        <w:spacing w:after="0" w:line="229" w:lineRule="auto"/>
        <w:tabs>
          <w:tab w:leader="none" w:pos="520"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Consolidated Total Income (loss) before income taxes reconciles to Income (loss) before income taxes and equity in earnings of afliated companies on the Consolidated Statements of Operatons. Income (loss) before income taxes that are categorized as Unallocated and Other includes:</w:t>
      </w:r>
    </w:p>
    <w:p>
      <w:pPr>
        <w:spacing w:after="0" w:line="11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040" w:type="dxa"/>
            <w:vAlign w:val="bottom"/>
          </w:tcPr>
          <w:p>
            <w:pPr>
              <w:spacing w:after="0"/>
              <w:rPr>
                <w:sz w:val="15"/>
                <w:szCs w:val="15"/>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6"/>
          </w:tcPr>
          <w:p>
            <w:pPr>
              <w:jc w:val="right"/>
              <w:ind w:right="381"/>
              <w:spacing w:after="0"/>
              <w:rPr>
                <w:sz w:val="20"/>
                <w:szCs w:val="20"/>
                <w:color w:val="auto"/>
              </w:rPr>
            </w:pPr>
            <w:r>
              <w:rPr>
                <w:rFonts w:ascii="Arial" w:cs="Arial" w:eastAsia="Arial" w:hAnsi="Arial"/>
                <w:sz w:val="14"/>
                <w:szCs w:val="14"/>
                <w:b w:val="1"/>
                <w:bCs w:val="1"/>
                <w:color w:val="auto"/>
              </w:rPr>
              <w:t>Nine Months Ended June 30</w:t>
            </w:r>
          </w:p>
        </w:tc>
      </w:tr>
      <w:tr>
        <w:trPr>
          <w:trHeight w:val="29"/>
        </w:trPr>
        <w:tc>
          <w:tcPr>
            <w:tcW w:w="50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504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193"/>
        </w:trPr>
        <w:tc>
          <w:tcPr>
            <w:tcW w:w="5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94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w w:val="79"/>
              </w:rPr>
              <w:t>millions)</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2"/>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w w:val="97"/>
              </w:rPr>
              <w:t>(24 )</w:t>
            </w: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w w:val="86"/>
              </w:rPr>
              <w:t>(15 )</w:t>
            </w:r>
          </w:p>
        </w:tc>
        <w:tc>
          <w:tcPr>
            <w:tcW w:w="68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(69 )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18"/>
                <w:szCs w:val="18"/>
                <w:color w:val="auto"/>
              </w:rPr>
              <w:t>Certain items</w:t>
            </w:r>
            <w:r>
              <w:rPr>
                <w:rFonts w:ascii="Arial" w:cs="Arial" w:eastAsia="Arial" w:hAnsi="Arial"/>
                <w:sz w:val="24"/>
                <w:szCs w:val="24"/>
                <w:color w:val="auto"/>
                <w:vertAlign w:val="superscript"/>
              </w:rPr>
              <w:t>(a)</w:t>
            </w: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Gain on bargain purchase of a business (Note C)</w:t>
            </w:r>
          </w:p>
        </w:tc>
        <w:tc>
          <w:tcPr>
            <w:tcW w:w="7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21"/>
                <w:szCs w:val="21"/>
                <w:color w:val="auto"/>
              </w:rPr>
            </w:pPr>
          </w:p>
        </w:tc>
      </w:tr>
      <w:tr>
        <w:trPr>
          <w:trHeight w:val="235"/>
        </w:trPr>
        <w:tc>
          <w:tcPr>
            <w:tcW w:w="5040" w:type="dxa"/>
            <w:vAlign w:val="bottom"/>
          </w:tcPr>
          <w:p>
            <w:pPr>
              <w:ind w:left="100"/>
              <w:spacing w:after="0"/>
              <w:rPr>
                <w:sz w:val="20"/>
                <w:szCs w:val="20"/>
                <w:color w:val="auto"/>
              </w:rPr>
            </w:pPr>
            <w:r>
              <w:rPr>
                <w:rFonts w:ascii="Arial" w:cs="Arial" w:eastAsia="Arial" w:hAnsi="Arial"/>
                <w:sz w:val="18"/>
                <w:szCs w:val="18"/>
                <w:color w:val="auto"/>
              </w:rPr>
              <w:t>Gain on sale of land</w:t>
            </w:r>
          </w:p>
        </w:tc>
        <w:tc>
          <w:tcPr>
            <w:tcW w:w="720" w:type="dxa"/>
            <w:vAlign w:val="bottom"/>
          </w:tcPr>
          <w:p>
            <w:pPr>
              <w:spacing w:after="0"/>
              <w:rPr>
                <w:sz w:val="20"/>
                <w:szCs w:val="20"/>
                <w:color w:val="auto"/>
              </w:rPr>
            </w:pPr>
          </w:p>
        </w:tc>
        <w:tc>
          <w:tcPr>
            <w:tcW w:w="5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r>
      <w:tr>
        <w:trPr>
          <w:trHeight w:val="251"/>
        </w:trPr>
        <w:tc>
          <w:tcPr>
            <w:tcW w:w="504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6"/>
              </w:rPr>
              <w:t>Loss on sale of business and asset impairment charge (Note D)</w:t>
            </w:r>
          </w:p>
        </w:tc>
        <w:tc>
          <w:tcPr>
            <w:tcW w:w="7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(2 )</w:t>
            </w:r>
          </w:p>
        </w:tc>
        <w:tc>
          <w:tcPr>
            <w:tcW w:w="6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(3 )</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(206 )</w:t>
            </w:r>
          </w:p>
        </w:tc>
      </w:tr>
      <w:tr>
        <w:trPr>
          <w:trHeight w:val="235"/>
        </w:trPr>
        <w:tc>
          <w:tcPr>
            <w:tcW w:w="5040" w:type="dxa"/>
            <w:vAlign w:val="bottom"/>
          </w:tcPr>
          <w:p>
            <w:pPr>
              <w:ind w:left="100"/>
              <w:spacing w:after="0"/>
              <w:rPr>
                <w:sz w:val="20"/>
                <w:szCs w:val="20"/>
                <w:color w:val="auto"/>
              </w:rPr>
            </w:pPr>
            <w:r>
              <w:rPr>
                <w:rFonts w:ascii="Arial" w:cs="Arial" w:eastAsia="Arial" w:hAnsi="Arial"/>
                <w:sz w:val="18"/>
                <w:szCs w:val="18"/>
                <w:color w:val="auto"/>
              </w:rPr>
              <w:t>Legal and environmental maters and reserves</w:t>
            </w:r>
          </w:p>
        </w:tc>
        <w:tc>
          <w:tcPr>
            <w:tcW w:w="720" w:type="dxa"/>
            <w:vAlign w:val="bottom"/>
          </w:tcPr>
          <w:p>
            <w:pPr>
              <w:spacing w:after="0"/>
              <w:rPr>
                <w:sz w:val="20"/>
                <w:szCs w:val="20"/>
                <w:color w:val="auto"/>
              </w:rPr>
            </w:pPr>
          </w:p>
        </w:tc>
        <w:tc>
          <w:tcPr>
            <w:tcW w:w="5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540" w:type="dxa"/>
            <w:vAlign w:val="bottom"/>
            <w:gridSpan w:val="2"/>
          </w:tcPr>
          <w:p>
            <w:pPr>
              <w:jc w:val="right"/>
              <w:ind w:right="125"/>
              <w:spacing w:after="0"/>
              <w:rPr>
                <w:sz w:val="20"/>
                <w:szCs w:val="20"/>
                <w:color w:val="auto"/>
              </w:rPr>
            </w:pPr>
            <w:r>
              <w:rPr>
                <w:rFonts w:ascii="Arial" w:cs="Arial" w:eastAsia="Arial" w:hAnsi="Arial"/>
                <w:sz w:val="18"/>
                <w:szCs w:val="18"/>
                <w:color w:val="auto"/>
              </w:rPr>
              <w:t>(1 )</w:t>
            </w:r>
          </w:p>
        </w:tc>
        <w:tc>
          <w:tcPr>
            <w:tcW w:w="680" w:type="dxa"/>
            <w:vAlign w:val="bottom"/>
          </w:tcPr>
          <w:p>
            <w:pPr>
              <w:spacing w:after="0"/>
              <w:rPr>
                <w:sz w:val="20"/>
                <w:szCs w:val="20"/>
                <w:color w:val="auto"/>
              </w:rPr>
            </w:pPr>
          </w:p>
        </w:tc>
        <w:tc>
          <w:tcPr>
            <w:tcW w:w="620" w:type="dxa"/>
            <w:vAlign w:val="bottom"/>
            <w:gridSpan w:val="2"/>
          </w:tcPr>
          <w:p>
            <w:pPr>
              <w:jc w:val="right"/>
              <w:ind w:right="121"/>
              <w:spacing w:after="0"/>
              <w:rPr>
                <w:sz w:val="20"/>
                <w:szCs w:val="20"/>
                <w:color w:val="auto"/>
              </w:rPr>
            </w:pPr>
            <w:r>
              <w:rPr>
                <w:rFonts w:ascii="Arial" w:cs="Arial" w:eastAsia="Arial" w:hAnsi="Arial"/>
                <w:sz w:val="18"/>
                <w:szCs w:val="18"/>
                <w:color w:val="auto"/>
              </w:rPr>
              <w:t>(2 )</w:t>
            </w: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51"/>
        </w:trPr>
        <w:tc>
          <w:tcPr>
            <w:tcW w:w="5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Acquisiton and integraton-related charges</w:t>
            </w:r>
          </w:p>
        </w:tc>
        <w:tc>
          <w:tcPr>
            <w:tcW w:w="7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(1 )</w:t>
            </w:r>
          </w:p>
        </w:tc>
        <w:tc>
          <w:tcPr>
            <w:tcW w:w="76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(1 )</w:t>
            </w:r>
          </w:p>
        </w:tc>
        <w:tc>
          <w:tcPr>
            <w:tcW w:w="6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(2 )</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35"/>
        </w:trPr>
        <w:tc>
          <w:tcPr>
            <w:tcW w:w="5040" w:type="dxa"/>
            <w:vAlign w:val="bottom"/>
          </w:tcPr>
          <w:p>
            <w:pPr>
              <w:ind w:left="100"/>
              <w:spacing w:after="0"/>
              <w:rPr>
                <w:sz w:val="20"/>
                <w:szCs w:val="20"/>
                <w:color w:val="auto"/>
              </w:rPr>
            </w:pPr>
            <w:r>
              <w:rPr>
                <w:rFonts w:ascii="Arial" w:cs="Arial" w:eastAsia="Arial" w:hAnsi="Arial"/>
                <w:sz w:val="18"/>
                <w:szCs w:val="18"/>
                <w:color w:val="auto"/>
              </w:rPr>
              <w:t>Divestture related charges</w:t>
            </w:r>
          </w:p>
        </w:tc>
        <w:tc>
          <w:tcPr>
            <w:tcW w:w="720" w:type="dxa"/>
            <w:vAlign w:val="bottom"/>
          </w:tcPr>
          <w:p>
            <w:pPr>
              <w:spacing w:after="0"/>
              <w:rPr>
                <w:sz w:val="20"/>
                <w:szCs w:val="20"/>
                <w:color w:val="auto"/>
              </w:rPr>
            </w:pPr>
          </w:p>
        </w:tc>
        <w:tc>
          <w:tcPr>
            <w:tcW w:w="5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6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51"/>
        </w:trPr>
        <w:tc>
          <w:tcPr>
            <w:tcW w:w="5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Global restructuring actvites</w:t>
            </w:r>
          </w:p>
        </w:tc>
        <w:tc>
          <w:tcPr>
            <w:tcW w:w="7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(1 )</w:t>
            </w:r>
          </w:p>
        </w:tc>
        <w:tc>
          <w:tcPr>
            <w:tcW w:w="6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36"/>
        </w:trPr>
        <w:tc>
          <w:tcPr>
            <w:tcW w:w="5040" w:type="dxa"/>
            <w:vAlign w:val="bottom"/>
          </w:tcPr>
          <w:p>
            <w:pPr>
              <w:ind w:left="100"/>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20"/>
                <w:szCs w:val="20"/>
                <w:color w:val="auto"/>
              </w:rPr>
            </w:pPr>
          </w:p>
        </w:tc>
        <w:tc>
          <w:tcPr>
            <w:tcW w:w="5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620" w:type="dxa"/>
            <w:vAlign w:val="bottom"/>
            <w:gridSpan w:val="2"/>
          </w:tcPr>
          <w:p>
            <w:pPr>
              <w:jc w:val="right"/>
              <w:ind w:right="121"/>
              <w:spacing w:after="0"/>
              <w:rPr>
                <w:sz w:val="20"/>
                <w:szCs w:val="20"/>
                <w:color w:val="auto"/>
              </w:rPr>
            </w:pPr>
            <w:r>
              <w:rPr>
                <w:rFonts w:ascii="Arial" w:cs="Arial" w:eastAsia="Arial" w:hAnsi="Arial"/>
                <w:sz w:val="18"/>
                <w:szCs w:val="18"/>
                <w:color w:val="auto"/>
              </w:rPr>
              <w:t>(1 )</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r>
      <w:tr>
        <w:trPr>
          <w:trHeight w:val="237"/>
        </w:trPr>
        <w:tc>
          <w:tcPr>
            <w:tcW w:w="50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certain items, pre-tax</w:t>
            </w:r>
          </w:p>
        </w:tc>
        <w:tc>
          <w:tcPr>
            <w:tcW w:w="720" w:type="dxa"/>
            <w:vAlign w:val="bottom"/>
            <w:tcBorders>
              <w:top w:val="single" w:sz="8" w:color="auto"/>
              <w:bottom w:val="single" w:sz="8" w:color="auto"/>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18"/>
                <w:szCs w:val="18"/>
                <w:color w:val="auto"/>
              </w:rPr>
              <w:t>Unallocated corporate costs</w:t>
            </w:r>
            <w:r>
              <w:rPr>
                <w:rFonts w:ascii="Arial" w:cs="Arial" w:eastAsia="Arial" w:hAnsi="Arial"/>
                <w:sz w:val="24"/>
                <w:szCs w:val="24"/>
                <w:color w:val="auto"/>
                <w:vertAlign w:val="superscript"/>
              </w:rPr>
              <w:t>(b)</w:t>
            </w:r>
          </w:p>
        </w:tc>
        <w:tc>
          <w:tcPr>
            <w:tcW w:w="720" w:type="dxa"/>
            <w:vAlign w:val="bottom"/>
          </w:tcPr>
          <w:p>
            <w:pPr>
              <w:spacing w:after="0"/>
              <w:rPr>
                <w:sz w:val="21"/>
                <w:szCs w:val="21"/>
                <w:color w:val="auto"/>
              </w:rPr>
            </w:pPr>
          </w:p>
        </w:tc>
        <w:tc>
          <w:tcPr>
            <w:tcW w:w="580" w:type="dxa"/>
            <w:vAlign w:val="bottom"/>
            <w:gridSpan w:val="2"/>
          </w:tcPr>
          <w:p>
            <w:pPr>
              <w:jc w:val="right"/>
              <w:ind w:right="121"/>
              <w:spacing w:after="0"/>
              <w:rPr>
                <w:sz w:val="20"/>
                <w:szCs w:val="20"/>
                <w:color w:val="auto"/>
              </w:rPr>
            </w:pPr>
            <w:r>
              <w:rPr>
                <w:rFonts w:ascii="Arial" w:cs="Arial" w:eastAsia="Arial" w:hAnsi="Arial"/>
                <w:sz w:val="18"/>
                <w:szCs w:val="18"/>
                <w:color w:val="auto"/>
                <w:w w:val="97"/>
              </w:rPr>
              <w:t>(11 )</w:t>
            </w:r>
          </w:p>
        </w:tc>
        <w:tc>
          <w:tcPr>
            <w:tcW w:w="760" w:type="dxa"/>
            <w:vAlign w:val="bottom"/>
          </w:tcPr>
          <w:p>
            <w:pPr>
              <w:spacing w:after="0"/>
              <w:rPr>
                <w:sz w:val="21"/>
                <w:szCs w:val="21"/>
                <w:color w:val="auto"/>
              </w:rPr>
            </w:pPr>
          </w:p>
        </w:tc>
        <w:tc>
          <w:tcPr>
            <w:tcW w:w="540" w:type="dxa"/>
            <w:vAlign w:val="bottom"/>
            <w:gridSpan w:val="2"/>
          </w:tcPr>
          <w:p>
            <w:pPr>
              <w:jc w:val="right"/>
              <w:ind w:right="125"/>
              <w:spacing w:after="0"/>
              <w:rPr>
                <w:sz w:val="20"/>
                <w:szCs w:val="20"/>
                <w:color w:val="auto"/>
              </w:rPr>
            </w:pPr>
            <w:r>
              <w:rPr>
                <w:rFonts w:ascii="Arial" w:cs="Arial" w:eastAsia="Arial" w:hAnsi="Arial"/>
                <w:sz w:val="18"/>
                <w:szCs w:val="18"/>
                <w:color w:val="auto"/>
                <w:w w:val="86"/>
              </w:rPr>
              <w:t xml:space="preserve">(15 </w:t>
            </w:r>
            <w:r>
              <w:rPr>
                <w:rFonts w:ascii="Arial" w:cs="Arial" w:eastAsia="Arial" w:hAnsi="Arial"/>
                <w:sz w:val="18"/>
                <w:szCs w:val="18"/>
                <w:color w:val="auto"/>
                <w:highlight w:val="white"/>
                <w:w w:val="86"/>
              </w:rPr>
              <w:t>)</w:t>
            </w:r>
          </w:p>
        </w:tc>
        <w:tc>
          <w:tcPr>
            <w:tcW w:w="680" w:type="dxa"/>
            <w:vAlign w:val="bottom"/>
          </w:tcPr>
          <w:p>
            <w:pPr>
              <w:spacing w:after="0"/>
              <w:rPr>
                <w:sz w:val="21"/>
                <w:szCs w:val="21"/>
                <w:color w:val="auto"/>
              </w:rPr>
            </w:pPr>
          </w:p>
        </w:tc>
        <w:tc>
          <w:tcPr>
            <w:tcW w:w="620" w:type="dxa"/>
            <w:vAlign w:val="bottom"/>
            <w:gridSpan w:val="2"/>
          </w:tcPr>
          <w:p>
            <w:pPr>
              <w:jc w:val="right"/>
              <w:ind w:right="121"/>
              <w:spacing w:after="0"/>
              <w:rPr>
                <w:sz w:val="20"/>
                <w:szCs w:val="20"/>
                <w:color w:val="auto"/>
              </w:rPr>
            </w:pPr>
            <w:r>
              <w:rPr>
                <w:rFonts w:ascii="Arial" w:cs="Arial" w:eastAsia="Arial" w:hAnsi="Arial"/>
                <w:sz w:val="18"/>
                <w:szCs w:val="18"/>
                <w:color w:val="auto"/>
              </w:rPr>
              <w:t>(42 )</w:t>
            </w:r>
          </w:p>
        </w:tc>
        <w:tc>
          <w:tcPr>
            <w:tcW w:w="2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(45 )</w:t>
            </w:r>
          </w:p>
        </w:tc>
      </w:tr>
      <w:tr>
        <w:trPr>
          <w:trHeight w:val="243"/>
        </w:trPr>
        <w:tc>
          <w:tcPr>
            <w:tcW w:w="5040" w:type="dxa"/>
            <w:vAlign w:val="bottom"/>
            <w:shd w:val="clear" w:color="auto" w:fill="CFF0FC"/>
          </w:tcPr>
          <w:p>
            <w:pPr>
              <w:spacing w:after="0" w:line="243" w:lineRule="exact"/>
              <w:rPr>
                <w:sz w:val="20"/>
                <w:szCs w:val="20"/>
                <w:color w:val="auto"/>
              </w:rPr>
            </w:pPr>
            <w:r>
              <w:rPr>
                <w:rFonts w:ascii="Arial" w:cs="Arial" w:eastAsia="Arial" w:hAnsi="Arial"/>
                <w:sz w:val="18"/>
                <w:szCs w:val="18"/>
                <w:color w:val="auto"/>
              </w:rPr>
              <w:t>General unallocated income (expense)</w:t>
            </w:r>
            <w:r>
              <w:rPr>
                <w:rFonts w:ascii="Arial" w:cs="Arial" w:eastAsia="Arial" w:hAnsi="Arial"/>
                <w:sz w:val="24"/>
                <w:szCs w:val="24"/>
                <w:color w:val="auto"/>
                <w:vertAlign w:val="superscript"/>
              </w:rPr>
              <w:t>(c)</w:t>
            </w: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(3 )</w:t>
            </w: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177"/>
        </w:trPr>
        <w:tc>
          <w:tcPr>
            <w:tcW w:w="5040" w:type="dxa"/>
            <w:vAlign w:val="bottom"/>
          </w:tcPr>
          <w:p>
            <w:pPr>
              <w:spacing w:after="0" w:line="176" w:lineRule="exact"/>
              <w:rPr>
                <w:sz w:val="20"/>
                <w:szCs w:val="20"/>
                <w:color w:val="auto"/>
              </w:rPr>
            </w:pPr>
            <w:r>
              <w:rPr>
                <w:rFonts w:ascii="Arial" w:cs="Arial" w:eastAsia="Arial" w:hAnsi="Arial"/>
                <w:sz w:val="18"/>
                <w:szCs w:val="18"/>
                <w:color w:val="auto"/>
              </w:rPr>
              <w:t>Less: Equity in earnings of afliated companies, net</w:t>
            </w: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5040" w:type="dxa"/>
            <w:vAlign w:val="bottom"/>
          </w:tcPr>
          <w:p>
            <w:pPr>
              <w:ind w:left="120"/>
              <w:spacing w:after="0" w:line="268" w:lineRule="exact"/>
              <w:rPr>
                <w:sz w:val="20"/>
                <w:szCs w:val="20"/>
                <w:color w:val="auto"/>
              </w:rPr>
            </w:pPr>
            <w:r>
              <w:rPr>
                <w:rFonts w:ascii="Arial" w:cs="Arial" w:eastAsia="Arial" w:hAnsi="Arial"/>
                <w:sz w:val="18"/>
                <w:szCs w:val="18"/>
                <w:color w:val="auto"/>
              </w:rPr>
              <w:t>of tax</w:t>
            </w:r>
            <w:r>
              <w:rPr>
                <w:rFonts w:ascii="Arial" w:cs="Arial" w:eastAsia="Arial" w:hAnsi="Arial"/>
                <w:sz w:val="24"/>
                <w:szCs w:val="24"/>
                <w:color w:val="auto"/>
                <w:vertAlign w:val="superscript"/>
              </w:rPr>
              <w:t>(d)</w:t>
            </w:r>
          </w:p>
        </w:tc>
        <w:tc>
          <w:tcPr>
            <w:tcW w:w="7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r>
      <w:tr>
        <w:trPr>
          <w:trHeight w:val="277"/>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760" w:type="dxa"/>
            <w:vAlign w:val="bottom"/>
            <w:tcBorders>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(24</w:t>
            </w:r>
          </w:p>
        </w:tc>
        <w:tc>
          <w:tcPr>
            <w:tcW w:w="260" w:type="dxa"/>
            <w:vAlign w:val="bottom"/>
            <w:tcBorders>
              <w:bottom w:val="single" w:sz="8" w:color="CFF0FC"/>
            </w:tcBorders>
            <w:shd w:val="clear" w:color="auto" w:fill="CFF0FC"/>
          </w:tcPr>
          <w:p>
            <w:pPr>
              <w:jc w:val="right"/>
              <w:ind w:right="125"/>
              <w:spacing w:after="0"/>
              <w:rPr>
                <w:sz w:val="20"/>
                <w:szCs w:val="20"/>
                <w:color w:val="auto"/>
              </w:rPr>
            </w:pPr>
            <w:r>
              <w:rPr>
                <w:rFonts w:ascii="Arial" w:cs="Arial" w:eastAsia="Arial" w:hAnsi="Arial"/>
                <w:sz w:val="16"/>
                <w:szCs w:val="16"/>
                <w:color w:val="auto"/>
                <w:w w:val="74"/>
              </w:rPr>
              <w:t>)</w:t>
            </w:r>
          </w:p>
        </w:tc>
        <w:tc>
          <w:tcPr>
            <w:tcW w:w="680" w:type="dxa"/>
            <w:vAlign w:val="bottom"/>
            <w:tcBorders>
              <w:bottom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(113</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-788035</wp:posOffset>
            </wp:positionV>
            <wp:extent cx="76835"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-788035</wp:posOffset>
            </wp:positionV>
            <wp:extent cx="76835" cy="163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-788035</wp:posOffset>
            </wp:positionV>
            <wp:extent cx="7747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-24765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96" w:lineRule="exact"/>
        <w:rPr>
          <w:sz w:val="20"/>
          <w:szCs w:val="20"/>
          <w:color w:val="auto"/>
        </w:rPr>
      </w:pPr>
    </w:p>
    <w:p>
      <w:pPr>
        <w:ind w:left="1020" w:right="20" w:hanging="499"/>
        <w:spacing w:after="0" w:line="220" w:lineRule="auto"/>
        <w:tabs>
          <w:tab w:leader="none" w:pos="1020" w:val="left"/>
        </w:tabs>
        <w:numPr>
          <w:ilvl w:val="0"/>
          <w:numId w:val="8"/>
        </w:numPr>
        <w:rPr>
          <w:rFonts w:ascii="Arial" w:cs="Arial" w:eastAsia="Arial" w:hAnsi="Arial"/>
          <w:sz w:val="24"/>
          <w:szCs w:val="24"/>
          <w:color w:val="auto"/>
          <w:vertAlign w:val="superscript"/>
        </w:rPr>
      </w:pPr>
      <w:r>
        <w:rPr>
          <w:rFonts w:ascii="Arial" w:cs="Arial" w:eastAsia="Arial" w:hAnsi="Arial"/>
          <w:sz w:val="18"/>
          <w:szCs w:val="18"/>
          <w:color w:val="auto"/>
        </w:rPr>
        <w:t>Certain items are items of expense and income that management does not consider representatve of the Company’s fundamental on-going segment results and they are, therefore, excluded from Segment EBIT.</w:t>
      </w:r>
    </w:p>
    <w:p>
      <w:pPr>
        <w:ind w:left="1020" w:hanging="499"/>
        <w:spacing w:after="0" w:line="211" w:lineRule="auto"/>
        <w:tabs>
          <w:tab w:leader="none" w:pos="1020" w:val="left"/>
        </w:tabs>
        <w:numPr>
          <w:ilvl w:val="0"/>
          <w:numId w:val="8"/>
        </w:numPr>
        <w:rPr>
          <w:rFonts w:ascii="Arial" w:cs="Arial" w:eastAsia="Arial" w:hAnsi="Arial"/>
          <w:sz w:val="24"/>
          <w:szCs w:val="24"/>
          <w:color w:val="auto"/>
          <w:vertAlign w:val="superscript"/>
        </w:rPr>
      </w:pPr>
      <w:r>
        <w:rPr>
          <w:rFonts w:ascii="Arial" w:cs="Arial" w:eastAsia="Arial" w:hAnsi="Arial"/>
          <w:sz w:val="18"/>
          <w:szCs w:val="18"/>
          <w:color w:val="auto"/>
        </w:rPr>
        <w:t>Unallocated corporate costs are costs that are not controlled by the segments and primarily beneft corporate interests.</w:t>
      </w:r>
    </w:p>
    <w:p>
      <w:pPr>
        <w:spacing w:after="0" w:line="71" w:lineRule="exact"/>
        <w:rPr>
          <w:rFonts w:ascii="Arial" w:cs="Arial" w:eastAsia="Arial" w:hAnsi="Arial"/>
          <w:sz w:val="24"/>
          <w:szCs w:val="24"/>
          <w:color w:val="auto"/>
          <w:vertAlign w:val="superscript"/>
        </w:rPr>
      </w:pPr>
    </w:p>
    <w:p>
      <w:pPr>
        <w:ind w:left="1020" w:right="40" w:hanging="499"/>
        <w:spacing w:after="0" w:line="214" w:lineRule="auto"/>
        <w:tabs>
          <w:tab w:leader="none" w:pos="1020" w:val="left"/>
        </w:tabs>
        <w:numPr>
          <w:ilvl w:val="0"/>
          <w:numId w:val="8"/>
        </w:numPr>
        <w:rPr>
          <w:rFonts w:ascii="Arial" w:cs="Arial" w:eastAsia="Arial" w:hAnsi="Arial"/>
          <w:sz w:val="24"/>
          <w:szCs w:val="24"/>
          <w:color w:val="auto"/>
          <w:vertAlign w:val="superscript"/>
        </w:rPr>
      </w:pPr>
      <w:r>
        <w:rPr>
          <w:rFonts w:ascii="Arial" w:cs="Arial" w:eastAsia="Arial" w:hAnsi="Arial"/>
          <w:sz w:val="18"/>
          <w:szCs w:val="18"/>
          <w:color w:val="auto"/>
        </w:rPr>
        <w:t>General unallocated income (expense) consists of gains (losses) arising from foreign currency transactons, net of other foreign currency risk management actvites, Interest and dividend income, the proft or loss related to the corporate adjustment for unearned revenue and unrealized holding gains (losses) for investments.</w:t>
      </w:r>
    </w:p>
    <w:p>
      <w:pPr>
        <w:spacing w:after="0" w:line="32" w:lineRule="exact"/>
        <w:rPr>
          <w:rFonts w:ascii="Arial" w:cs="Arial" w:eastAsia="Arial" w:hAnsi="Arial"/>
          <w:sz w:val="24"/>
          <w:szCs w:val="24"/>
          <w:color w:val="auto"/>
          <w:vertAlign w:val="superscript"/>
        </w:rPr>
      </w:pPr>
    </w:p>
    <w:p>
      <w:pPr>
        <w:ind w:left="1020" w:right="240" w:hanging="499"/>
        <w:spacing w:after="0" w:line="220" w:lineRule="auto"/>
        <w:tabs>
          <w:tab w:leader="none" w:pos="1020" w:val="left"/>
        </w:tabs>
        <w:numPr>
          <w:ilvl w:val="0"/>
          <w:numId w:val="8"/>
        </w:numPr>
        <w:rPr>
          <w:rFonts w:ascii="Arial" w:cs="Arial" w:eastAsia="Arial" w:hAnsi="Arial"/>
          <w:sz w:val="24"/>
          <w:szCs w:val="24"/>
          <w:color w:val="auto"/>
          <w:vertAlign w:val="superscript"/>
        </w:rPr>
      </w:pPr>
      <w:r>
        <w:rPr>
          <w:rFonts w:ascii="Arial" w:cs="Arial" w:eastAsia="Arial" w:hAnsi="Arial"/>
          <w:sz w:val="18"/>
          <w:szCs w:val="18"/>
          <w:color w:val="auto"/>
        </w:rPr>
        <w:t>Equity in earnings of afliated companies, net of tax, is included in Segment EBIT and is removed in Unallocated and other to reconcile to Income (loss) from operatons before income taxes and equity in earnings from afliated companies.</w:t>
      </w:r>
    </w:p>
    <w:p>
      <w:pPr>
        <w:spacing w:after="0" w:line="70" w:lineRule="exact"/>
        <w:rPr>
          <w:sz w:val="20"/>
          <w:szCs w:val="20"/>
          <w:color w:val="auto"/>
        </w:rPr>
      </w:pPr>
    </w:p>
    <w:p>
      <w:pPr>
        <w:ind w:right="60" w:firstLine="509"/>
        <w:spacing w:after="0" w:line="273" w:lineRule="auto"/>
        <w:rPr>
          <w:sz w:val="20"/>
          <w:szCs w:val="20"/>
          <w:color w:val="auto"/>
        </w:rPr>
      </w:pPr>
      <w:r>
        <w:rPr>
          <w:rFonts w:ascii="Arial" w:cs="Arial" w:eastAsia="Arial" w:hAnsi="Arial"/>
          <w:sz w:val="18"/>
          <w:szCs w:val="18"/>
          <w:color w:val="auto"/>
        </w:rPr>
        <w:t>The Company’s segments operate globally. In additon to presentng Revenue from external customers by reportable segment, the following tables further disaggregate Revenues from external customers by geographic region.</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June 30, 2023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56"/>
              <w:spacing w:after="0" w:line="158" w:lineRule="exact"/>
              <w:rPr>
                <w:sz w:val="20"/>
                <w:szCs w:val="20"/>
                <w:color w:val="auto"/>
              </w:rPr>
            </w:pPr>
            <w:r>
              <w:rPr>
                <w:rFonts w:ascii="Arial" w:cs="Arial" w:eastAsia="Arial" w:hAnsi="Arial"/>
                <w:sz w:val="14"/>
                <w:szCs w:val="14"/>
                <w:b w:val="1"/>
                <w:bCs w:val="1"/>
                <w:color w:val="auto"/>
                <w:w w:val="87"/>
              </w:rPr>
              <w:t>Reinforcement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Performance</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Purifcaton</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55"/>
              <w:spacing w:after="0" w:line="158" w:lineRule="exact"/>
              <w:rPr>
                <w:sz w:val="20"/>
                <w:szCs w:val="20"/>
                <w:color w:val="auto"/>
              </w:rPr>
            </w:pPr>
            <w:r>
              <w:rPr>
                <w:rFonts w:ascii="Arial" w:cs="Arial" w:eastAsia="Arial" w:hAnsi="Arial"/>
                <w:sz w:val="14"/>
                <w:szCs w:val="14"/>
                <w:b w:val="1"/>
                <w:bCs w:val="1"/>
                <w:color w:val="auto"/>
                <w:w w:val="87"/>
              </w:rPr>
              <w:t>Consolidated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196"/>
              <w:spacing w:after="0"/>
              <w:rPr>
                <w:sz w:val="20"/>
                <w:szCs w:val="20"/>
                <w:color w:val="auto"/>
              </w:rPr>
            </w:pPr>
            <w:r>
              <w:rPr>
                <w:rFonts w:ascii="Arial" w:cs="Arial" w:eastAsia="Arial" w:hAnsi="Arial"/>
                <w:sz w:val="14"/>
                <w:szCs w:val="14"/>
                <w:b w:val="1"/>
                <w:bCs w:val="1"/>
                <w:color w:val="auto"/>
              </w:rPr>
              <w:t>Materials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99"/>
              <w:spacing w:after="0"/>
              <w:rPr>
                <w:sz w:val="20"/>
                <w:szCs w:val="20"/>
                <w:color w:val="auto"/>
              </w:rPr>
            </w:pPr>
            <w:r>
              <w:rPr>
                <w:rFonts w:ascii="Arial" w:cs="Arial" w:eastAsia="Arial" w:hAnsi="Arial"/>
                <w:sz w:val="14"/>
                <w:szCs w:val="14"/>
                <w:b w:val="1"/>
                <w:bCs w:val="1"/>
                <w:color w:val="auto"/>
                <w:w w:val="99"/>
              </w:rPr>
              <w:t>Chemicals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Solutons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4"/>
                <w:szCs w:val="14"/>
                <w:b w:val="1"/>
                <w:bCs w:val="1"/>
                <w:color w:val="auto"/>
              </w:rPr>
              <w:t>(In</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2"/>
              </w:rPr>
              <w:t>millions)</w:t>
            </w: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Americas</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80"/>
              <w:spacing w:after="0"/>
              <w:rPr>
                <w:sz w:val="20"/>
                <w:szCs w:val="20"/>
                <w:color w:val="auto"/>
              </w:rPr>
            </w:pPr>
            <w:r>
              <w:rPr>
                <w:rFonts w:ascii="Arial" w:cs="Arial" w:eastAsia="Arial" w:hAnsi="Arial"/>
                <w:sz w:val="18"/>
                <w:szCs w:val="18"/>
                <w:color w:val="auto"/>
                <w:w w:val="77"/>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60" w:type="dxa"/>
            <w:vAlign w:val="bottom"/>
          </w:tcPr>
          <w:p>
            <w:pPr>
              <w:ind w:left="20"/>
              <w:spacing w:after="0"/>
              <w:rPr>
                <w:sz w:val="20"/>
                <w:szCs w:val="20"/>
                <w:color w:val="auto"/>
              </w:rPr>
            </w:pPr>
            <w:r>
              <w:rPr>
                <w:rFonts w:ascii="Arial" w:cs="Arial" w:eastAsia="Arial" w:hAnsi="Arial"/>
                <w:sz w:val="18"/>
                <w:szCs w:val="18"/>
                <w:color w:val="auto"/>
              </w:rPr>
              <w:t>Asia Pacifc</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ind w:left="780"/>
              <w:spacing w:after="0"/>
              <w:rPr>
                <w:sz w:val="20"/>
                <w:szCs w:val="20"/>
                <w:color w:val="auto"/>
              </w:rPr>
            </w:pPr>
            <w:r>
              <w:rPr>
                <w:rFonts w:ascii="Arial" w:cs="Arial" w:eastAsia="Arial" w:hAnsi="Arial"/>
                <w:sz w:val="18"/>
                <w:szCs w:val="18"/>
                <w:color w:val="auto"/>
                <w:w w:val="77"/>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Europe, Middle East and Africa</w:t>
            </w:r>
          </w:p>
        </w:tc>
        <w:tc>
          <w:tcPr>
            <w:tcW w:w="14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77"/>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60" w:type="dxa"/>
            <w:vAlign w:val="bottom"/>
          </w:tcPr>
          <w:p>
            <w:pPr>
              <w:ind w:left="20"/>
              <w:spacing w:after="0"/>
              <w:rPr>
                <w:sz w:val="20"/>
                <w:szCs w:val="20"/>
                <w:color w:val="auto"/>
              </w:rPr>
            </w:pPr>
            <w:r>
              <w:rPr>
                <w:rFonts w:ascii="Arial" w:cs="Arial" w:eastAsia="Arial" w:hAnsi="Arial"/>
                <w:sz w:val="18"/>
                <w:szCs w:val="18"/>
                <w:color w:val="auto"/>
              </w:rPr>
              <w:t>Segment revenues from external customers</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ind w:left="780"/>
              <w:spacing w:after="0"/>
              <w:rPr>
                <w:sz w:val="20"/>
                <w:szCs w:val="20"/>
                <w:color w:val="auto"/>
              </w:rPr>
            </w:pPr>
            <w:r>
              <w:rPr>
                <w:rFonts w:ascii="Arial" w:cs="Arial" w:eastAsia="Arial" w:hAnsi="Arial"/>
                <w:sz w:val="18"/>
                <w:szCs w:val="18"/>
                <w:color w:val="auto"/>
                <w:w w:val="77"/>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Unallocated and other</w:t>
            </w:r>
          </w:p>
        </w:tc>
        <w:tc>
          <w:tcPr>
            <w:tcW w:w="14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Net sales and other operatng revenues</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43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3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-968375</wp:posOffset>
            </wp:positionV>
            <wp:extent cx="85725"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-968375</wp:posOffset>
            </wp:positionV>
            <wp:extent cx="85725"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-968375</wp:posOffset>
            </wp:positionV>
            <wp:extent cx="85725" cy="163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-968375</wp:posOffset>
            </wp:positionV>
            <wp:extent cx="85725"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-650875</wp:posOffset>
            </wp:positionV>
            <wp:extent cx="85725"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 June 30, 2022</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36"/>
              <w:spacing w:after="0" w:line="158" w:lineRule="exact"/>
              <w:rPr>
                <w:sz w:val="20"/>
                <w:szCs w:val="20"/>
                <w:color w:val="auto"/>
              </w:rPr>
            </w:pPr>
            <w:r>
              <w:rPr>
                <w:rFonts w:ascii="Arial" w:cs="Arial" w:eastAsia="Arial" w:hAnsi="Arial"/>
                <w:sz w:val="14"/>
                <w:szCs w:val="14"/>
                <w:b w:val="1"/>
                <w:bCs w:val="1"/>
                <w:color w:val="auto"/>
                <w:w w:val="91"/>
              </w:rPr>
              <w:t>Reinforcement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9"/>
              <w:spacing w:after="0" w:line="158" w:lineRule="exact"/>
              <w:rPr>
                <w:sz w:val="20"/>
                <w:szCs w:val="20"/>
                <w:color w:val="auto"/>
              </w:rPr>
            </w:pPr>
            <w:r>
              <w:rPr>
                <w:rFonts w:ascii="Arial" w:cs="Arial" w:eastAsia="Arial" w:hAnsi="Arial"/>
                <w:sz w:val="14"/>
                <w:szCs w:val="14"/>
                <w:b w:val="1"/>
                <w:bCs w:val="1"/>
                <w:color w:val="auto"/>
                <w:w w:val="91"/>
              </w:rPr>
              <w:t>Performance</w:t>
            </w:r>
          </w:p>
        </w:tc>
        <w:tc>
          <w:tcPr>
            <w:tcW w:w="300" w:type="dxa"/>
            <w:vAlign w:val="bottom"/>
          </w:tcPr>
          <w:p>
            <w:pPr>
              <w:spacing w:after="0"/>
              <w:rPr>
                <w:sz w:val="13"/>
                <w:szCs w:val="13"/>
                <w:color w:val="auto"/>
              </w:rPr>
            </w:pPr>
          </w:p>
        </w:tc>
        <w:tc>
          <w:tcPr>
            <w:tcW w:w="920" w:type="dxa"/>
            <w:vAlign w:val="bottom"/>
          </w:tcPr>
          <w:p>
            <w:pPr>
              <w:jc w:val="center"/>
              <w:ind w:left="128"/>
              <w:spacing w:after="0" w:line="158" w:lineRule="exact"/>
              <w:rPr>
                <w:sz w:val="20"/>
                <w:szCs w:val="20"/>
                <w:color w:val="auto"/>
              </w:rPr>
            </w:pPr>
            <w:r>
              <w:rPr>
                <w:rFonts w:ascii="Arial" w:cs="Arial" w:eastAsia="Arial" w:hAnsi="Arial"/>
                <w:sz w:val="14"/>
                <w:szCs w:val="14"/>
                <w:b w:val="1"/>
                <w:bCs w:val="1"/>
                <w:color w:val="auto"/>
                <w:w w:val="98"/>
              </w:rPr>
              <w:t>Purifcaton</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87"/>
              </w:rPr>
              <w:t>Consolidated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Materials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w w:val="85"/>
              </w:rPr>
              <w:t>Chemicals</w:t>
            </w:r>
          </w:p>
        </w:tc>
        <w:tc>
          <w:tcPr>
            <w:tcW w:w="300" w:type="dxa"/>
            <w:vAlign w:val="bottom"/>
          </w:tcPr>
          <w:p>
            <w:pPr>
              <w:spacing w:after="0"/>
              <w:rPr>
                <w:sz w:val="15"/>
                <w:szCs w:val="15"/>
                <w:color w:val="auto"/>
              </w:rPr>
            </w:pP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Solutons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Total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w w:val="83"/>
              </w:rPr>
              <w:t>millions)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Americas</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2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60" w:type="dxa"/>
            <w:vAlign w:val="bottom"/>
          </w:tcPr>
          <w:p>
            <w:pPr>
              <w:ind w:left="20"/>
              <w:spacing w:after="0"/>
              <w:rPr>
                <w:sz w:val="20"/>
                <w:szCs w:val="20"/>
                <w:color w:val="auto"/>
              </w:rPr>
            </w:pPr>
            <w:r>
              <w:rPr>
                <w:rFonts w:ascii="Arial" w:cs="Arial" w:eastAsia="Arial" w:hAnsi="Arial"/>
                <w:sz w:val="18"/>
                <w:szCs w:val="18"/>
                <w:color w:val="auto"/>
              </w:rPr>
              <w:t>Asia Pacifc</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Europe, Middle East and Africa</w:t>
            </w:r>
          </w:p>
        </w:tc>
        <w:tc>
          <w:tcPr>
            <w:tcW w:w="1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60" w:type="dxa"/>
            <w:vAlign w:val="bottom"/>
          </w:tcPr>
          <w:p>
            <w:pPr>
              <w:ind w:left="20"/>
              <w:spacing w:after="0"/>
              <w:rPr>
                <w:sz w:val="20"/>
                <w:szCs w:val="20"/>
                <w:color w:val="auto"/>
              </w:rPr>
            </w:pPr>
            <w:r>
              <w:rPr>
                <w:rFonts w:ascii="Arial" w:cs="Arial" w:eastAsia="Arial" w:hAnsi="Arial"/>
                <w:sz w:val="18"/>
                <w:szCs w:val="18"/>
                <w:color w:val="auto"/>
              </w:rPr>
              <w:t>Segment revenues from external customers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Unallocated and other</w:t>
            </w:r>
          </w:p>
        </w:tc>
        <w:tc>
          <w:tcPr>
            <w:tcW w:w="1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Net sales and other operatng revenues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3"/>
              </w:rPr>
              <w:t>Nine Months Ended June 30, 2023</w:t>
            </w: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36"/>
              <w:spacing w:after="0" w:line="158" w:lineRule="exact"/>
              <w:rPr>
                <w:sz w:val="20"/>
                <w:szCs w:val="20"/>
                <w:color w:val="auto"/>
              </w:rPr>
            </w:pPr>
            <w:r>
              <w:rPr>
                <w:rFonts w:ascii="Arial" w:cs="Arial" w:eastAsia="Arial" w:hAnsi="Arial"/>
                <w:sz w:val="14"/>
                <w:szCs w:val="14"/>
                <w:b w:val="1"/>
                <w:bCs w:val="1"/>
                <w:color w:val="auto"/>
                <w:w w:val="91"/>
              </w:rPr>
              <w:t>Reinforcement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9"/>
              <w:spacing w:after="0" w:line="158" w:lineRule="exact"/>
              <w:rPr>
                <w:sz w:val="20"/>
                <w:szCs w:val="20"/>
                <w:color w:val="auto"/>
              </w:rPr>
            </w:pPr>
            <w:r>
              <w:rPr>
                <w:rFonts w:ascii="Arial" w:cs="Arial" w:eastAsia="Arial" w:hAnsi="Arial"/>
                <w:sz w:val="14"/>
                <w:szCs w:val="14"/>
                <w:b w:val="1"/>
                <w:bCs w:val="1"/>
                <w:color w:val="auto"/>
                <w:w w:val="91"/>
              </w:rPr>
              <w:t>Performance</w:t>
            </w:r>
          </w:p>
        </w:tc>
        <w:tc>
          <w:tcPr>
            <w:tcW w:w="300" w:type="dxa"/>
            <w:vAlign w:val="bottom"/>
          </w:tcPr>
          <w:p>
            <w:pPr>
              <w:spacing w:after="0"/>
              <w:rPr>
                <w:sz w:val="13"/>
                <w:szCs w:val="13"/>
                <w:color w:val="auto"/>
              </w:rPr>
            </w:pPr>
          </w:p>
        </w:tc>
        <w:tc>
          <w:tcPr>
            <w:tcW w:w="920" w:type="dxa"/>
            <w:vAlign w:val="bottom"/>
          </w:tcPr>
          <w:p>
            <w:pPr>
              <w:jc w:val="center"/>
              <w:ind w:left="128"/>
              <w:spacing w:after="0" w:line="158" w:lineRule="exact"/>
              <w:rPr>
                <w:sz w:val="20"/>
                <w:szCs w:val="20"/>
                <w:color w:val="auto"/>
              </w:rPr>
            </w:pPr>
            <w:r>
              <w:rPr>
                <w:rFonts w:ascii="Arial" w:cs="Arial" w:eastAsia="Arial" w:hAnsi="Arial"/>
                <w:sz w:val="14"/>
                <w:szCs w:val="14"/>
                <w:b w:val="1"/>
                <w:bCs w:val="1"/>
                <w:color w:val="auto"/>
                <w:w w:val="98"/>
              </w:rPr>
              <w:t>Purifcaton</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87"/>
              </w:rPr>
              <w:t>Consolidated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Materials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w w:val="85"/>
              </w:rPr>
              <w:t>Chemicals</w:t>
            </w:r>
          </w:p>
        </w:tc>
        <w:tc>
          <w:tcPr>
            <w:tcW w:w="300" w:type="dxa"/>
            <w:vAlign w:val="bottom"/>
          </w:tcPr>
          <w:p>
            <w:pPr>
              <w:spacing w:after="0"/>
              <w:rPr>
                <w:sz w:val="15"/>
                <w:szCs w:val="15"/>
                <w:color w:val="auto"/>
              </w:rPr>
            </w:pP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Solutons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Total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w w:val="83"/>
              </w:rPr>
              <w:t>millions)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Americas</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22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60" w:type="dxa"/>
            <w:vAlign w:val="bottom"/>
          </w:tcPr>
          <w:p>
            <w:pPr>
              <w:ind w:left="20"/>
              <w:spacing w:after="0"/>
              <w:rPr>
                <w:sz w:val="20"/>
                <w:szCs w:val="20"/>
                <w:color w:val="auto"/>
              </w:rPr>
            </w:pPr>
            <w:r>
              <w:rPr>
                <w:rFonts w:ascii="Arial" w:cs="Arial" w:eastAsia="Arial" w:hAnsi="Arial"/>
                <w:sz w:val="18"/>
                <w:szCs w:val="18"/>
                <w:color w:val="auto"/>
              </w:rPr>
              <w:t>Asia Pacifc</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Europe, Middle East and Africa</w:t>
            </w:r>
          </w:p>
        </w:tc>
        <w:tc>
          <w:tcPr>
            <w:tcW w:w="1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60" w:type="dxa"/>
            <w:vAlign w:val="bottom"/>
          </w:tcPr>
          <w:p>
            <w:pPr>
              <w:ind w:left="20"/>
              <w:spacing w:after="0"/>
              <w:rPr>
                <w:sz w:val="20"/>
                <w:szCs w:val="20"/>
                <w:color w:val="auto"/>
              </w:rPr>
            </w:pPr>
            <w:r>
              <w:rPr>
                <w:rFonts w:ascii="Arial" w:cs="Arial" w:eastAsia="Arial" w:hAnsi="Arial"/>
                <w:sz w:val="18"/>
                <w:szCs w:val="18"/>
                <w:color w:val="auto"/>
              </w:rPr>
              <w:t>Segment revenues from external customers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919</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Unallocated and other</w:t>
            </w:r>
          </w:p>
        </w:tc>
        <w:tc>
          <w:tcPr>
            <w:tcW w:w="1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Net sales and other operatng revenues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2,966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3"/>
              </w:rPr>
              <w:t>Nine Months Ended June 30, 2022</w:t>
            </w: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36"/>
              <w:spacing w:after="0" w:line="158" w:lineRule="exact"/>
              <w:rPr>
                <w:sz w:val="20"/>
                <w:szCs w:val="20"/>
                <w:color w:val="auto"/>
              </w:rPr>
            </w:pPr>
            <w:r>
              <w:rPr>
                <w:rFonts w:ascii="Arial" w:cs="Arial" w:eastAsia="Arial" w:hAnsi="Arial"/>
                <w:sz w:val="14"/>
                <w:szCs w:val="14"/>
                <w:b w:val="1"/>
                <w:bCs w:val="1"/>
                <w:color w:val="auto"/>
                <w:w w:val="91"/>
              </w:rPr>
              <w:t>Reinforcement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9"/>
              <w:spacing w:after="0" w:line="158" w:lineRule="exact"/>
              <w:rPr>
                <w:sz w:val="20"/>
                <w:szCs w:val="20"/>
                <w:color w:val="auto"/>
              </w:rPr>
            </w:pPr>
            <w:r>
              <w:rPr>
                <w:rFonts w:ascii="Arial" w:cs="Arial" w:eastAsia="Arial" w:hAnsi="Arial"/>
                <w:sz w:val="14"/>
                <w:szCs w:val="14"/>
                <w:b w:val="1"/>
                <w:bCs w:val="1"/>
                <w:color w:val="auto"/>
                <w:w w:val="91"/>
              </w:rPr>
              <w:t>Performance</w:t>
            </w:r>
          </w:p>
        </w:tc>
        <w:tc>
          <w:tcPr>
            <w:tcW w:w="300" w:type="dxa"/>
            <w:vAlign w:val="bottom"/>
          </w:tcPr>
          <w:p>
            <w:pPr>
              <w:spacing w:after="0"/>
              <w:rPr>
                <w:sz w:val="13"/>
                <w:szCs w:val="13"/>
                <w:color w:val="auto"/>
              </w:rPr>
            </w:pPr>
          </w:p>
        </w:tc>
        <w:tc>
          <w:tcPr>
            <w:tcW w:w="920" w:type="dxa"/>
            <w:vAlign w:val="bottom"/>
          </w:tcPr>
          <w:p>
            <w:pPr>
              <w:jc w:val="center"/>
              <w:ind w:left="128"/>
              <w:spacing w:after="0" w:line="158" w:lineRule="exact"/>
              <w:rPr>
                <w:sz w:val="20"/>
                <w:szCs w:val="20"/>
                <w:color w:val="auto"/>
              </w:rPr>
            </w:pPr>
            <w:r>
              <w:rPr>
                <w:rFonts w:ascii="Arial" w:cs="Arial" w:eastAsia="Arial" w:hAnsi="Arial"/>
                <w:sz w:val="14"/>
                <w:szCs w:val="14"/>
                <w:b w:val="1"/>
                <w:bCs w:val="1"/>
                <w:color w:val="auto"/>
                <w:w w:val="98"/>
              </w:rPr>
              <w:t>Purifcaton</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87"/>
              </w:rPr>
              <w:t>Consolidated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Materials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w w:val="85"/>
              </w:rPr>
              <w:t>Chemicals</w:t>
            </w:r>
          </w:p>
        </w:tc>
        <w:tc>
          <w:tcPr>
            <w:tcW w:w="300" w:type="dxa"/>
            <w:vAlign w:val="bottom"/>
          </w:tcPr>
          <w:p>
            <w:pPr>
              <w:spacing w:after="0"/>
              <w:rPr>
                <w:sz w:val="15"/>
                <w:szCs w:val="15"/>
                <w:color w:val="auto"/>
              </w:rPr>
            </w:pP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Solutons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Total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w w:val="83"/>
              </w:rPr>
              <w:t>millions)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Americas</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22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43</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60" w:type="dxa"/>
            <w:vAlign w:val="bottom"/>
          </w:tcPr>
          <w:p>
            <w:pPr>
              <w:ind w:left="20"/>
              <w:spacing w:after="0"/>
              <w:rPr>
                <w:sz w:val="20"/>
                <w:szCs w:val="20"/>
                <w:color w:val="auto"/>
              </w:rPr>
            </w:pPr>
            <w:r>
              <w:rPr>
                <w:rFonts w:ascii="Arial" w:cs="Arial" w:eastAsia="Arial" w:hAnsi="Arial"/>
                <w:sz w:val="18"/>
                <w:szCs w:val="18"/>
                <w:color w:val="auto"/>
              </w:rPr>
              <w:t>Asia Pacifc</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Europe, Middle East and Africa</w:t>
            </w:r>
          </w:p>
        </w:tc>
        <w:tc>
          <w:tcPr>
            <w:tcW w:w="1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40</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60" w:type="dxa"/>
            <w:vAlign w:val="bottom"/>
          </w:tcPr>
          <w:p>
            <w:pPr>
              <w:ind w:left="20"/>
              <w:spacing w:after="0"/>
              <w:rPr>
                <w:sz w:val="20"/>
                <w:szCs w:val="20"/>
                <w:color w:val="auto"/>
              </w:rPr>
            </w:pPr>
            <w:r>
              <w:rPr>
                <w:rFonts w:ascii="Arial" w:cs="Arial" w:eastAsia="Arial" w:hAnsi="Arial"/>
                <w:sz w:val="18"/>
                <w:szCs w:val="18"/>
                <w:color w:val="auto"/>
              </w:rPr>
              <w:t>Segment revenues from external customers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1,045</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97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Unallocated and other</w:t>
            </w:r>
          </w:p>
        </w:tc>
        <w:tc>
          <w:tcPr>
            <w:tcW w:w="1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Net sales and other operatng revenues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3,209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21</w:t>
            </w: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436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36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-4302760</wp:posOffset>
            </wp:positionV>
            <wp:extent cx="85725"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-4302760</wp:posOffset>
            </wp:positionV>
            <wp:extent cx="85725"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-4302760</wp:posOffset>
            </wp:positionV>
            <wp:extent cx="77470"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-4302760</wp:posOffset>
            </wp:positionV>
            <wp:extent cx="85725"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-3985895</wp:posOffset>
            </wp:positionV>
            <wp:extent cx="85725"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-2630805</wp:posOffset>
            </wp:positionV>
            <wp:extent cx="85725" cy="163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-2630805</wp:posOffset>
            </wp:positionV>
            <wp:extent cx="85725"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-2630805</wp:posOffset>
            </wp:positionV>
            <wp:extent cx="77470"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-2630805</wp:posOffset>
            </wp:positionV>
            <wp:extent cx="85725"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-2313940</wp:posOffset>
            </wp:positionV>
            <wp:extent cx="85725"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-976630</wp:posOffset>
            </wp:positionV>
            <wp:extent cx="85725" cy="162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-976630</wp:posOffset>
            </wp:positionV>
            <wp:extent cx="85725"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-976630</wp:posOffset>
            </wp:positionV>
            <wp:extent cx="77470"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-976630</wp:posOffset>
            </wp:positionV>
            <wp:extent cx="85725"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-659765</wp:posOffset>
            </wp:positionV>
            <wp:extent cx="85725"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21" w:name="page22"/>
    <w:bookmarkEnd w:id="21"/>
    <w:p>
      <w:pPr>
        <w:spacing w:after="0"/>
        <w:tabs>
          <w:tab w:leader="none" w:pos="1140" w:val="left"/>
        </w:tabs>
        <w:rPr>
          <w:sz w:val="20"/>
          <w:szCs w:val="20"/>
          <w:color w:val="auto"/>
        </w:rPr>
      </w:pPr>
      <w:r>
        <w:rPr>
          <w:rFonts w:ascii="Arial" w:cs="Arial" w:eastAsia="Arial" w:hAnsi="Arial"/>
          <w:sz w:val="18"/>
          <w:szCs w:val="18"/>
          <w:b w:val="1"/>
          <w:bCs w:val="1"/>
          <w:i w:val="1"/>
          <w:i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Conditon and Results of Operatons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Critcal Accountng Policies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critcal accountng policies have not substantally changed from those described in the 2022 10-K.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Accountng Pronouncements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Refer to the discussion under the heading “Recent Accountng Pronouncements” in Note B of our Notes to the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Operatons</w:t>
      </w:r>
    </w:p>
    <w:p>
      <w:pPr>
        <w:spacing w:after="0" w:line="92" w:lineRule="exact"/>
        <w:rPr>
          <w:sz w:val="20"/>
          <w:szCs w:val="20"/>
          <w:color w:val="auto"/>
        </w:rPr>
      </w:pPr>
    </w:p>
    <w:p>
      <w:pPr>
        <w:ind w:right="120" w:firstLine="509"/>
        <w:spacing w:after="0" w:line="258" w:lineRule="auto"/>
        <w:rPr>
          <w:sz w:val="20"/>
          <w:szCs w:val="20"/>
          <w:color w:val="auto"/>
        </w:rPr>
      </w:pPr>
      <w:r>
        <w:rPr>
          <w:rFonts w:ascii="Arial" w:cs="Arial" w:eastAsia="Arial" w:hAnsi="Arial"/>
          <w:sz w:val="18"/>
          <w:szCs w:val="18"/>
          <w:color w:val="auto"/>
        </w:rPr>
        <w:t>The Company has two reportable segments: Reinforcement Materials and Performance Chemicals. The Company’s former Purifcaton Solutons business was a separate reportng segment prior to divestture in the second quarter of fscal 2022. Cabot is also organized for operatonal purposes into three geographic regions: the Americas; Europe, Middle East and Africa (“EMEA”); and Asia Pacifc. The discussion of our results of operatons for the periods presented refects these structures.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analysis of our fnancial conditon and operatng results should be read with our consolidated fnancial statements and accompanying notes.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Defniton of Terms and Non-GAAP Financial Measures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When discussing our results of operatons, we use several terms as described below.</w:t>
      </w:r>
    </w:p>
    <w:p>
      <w:pPr>
        <w:spacing w:after="0" w:line="90" w:lineRule="exact"/>
        <w:rPr>
          <w:sz w:val="20"/>
          <w:szCs w:val="20"/>
          <w:color w:val="auto"/>
        </w:rPr>
      </w:pPr>
    </w:p>
    <w:p>
      <w:pPr>
        <w:ind w:right="180" w:firstLine="509"/>
        <w:spacing w:after="0" w:line="273" w:lineRule="auto"/>
        <w:rPr>
          <w:sz w:val="20"/>
          <w:szCs w:val="20"/>
          <w:color w:val="auto"/>
        </w:rPr>
      </w:pPr>
      <w:r>
        <w:rPr>
          <w:rFonts w:ascii="Arial" w:cs="Arial" w:eastAsia="Arial" w:hAnsi="Arial"/>
          <w:sz w:val="18"/>
          <w:szCs w:val="18"/>
          <w:color w:val="auto"/>
        </w:rPr>
        <w:t>The term “product mix” refers to the mix of types and grades of products sold or the mix of geographic regions where products are sold, and the positve or negatve impact this has on the revenue or proftability of the business and/or segment.</w:t>
      </w:r>
    </w:p>
    <w:p>
      <w:pPr>
        <w:spacing w:after="0" w:line="4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Our discussion under the heading “(Provision) Beneft for Income Taxes and Reconciliaton of Efectve Tax Rate to Operatng Tax Rate” includes a discussion and reconciliaton of our “efectve tax rate” and our “operatng tax rate” for the periods presented, as well as management’s projecton of our operatng tax rate range for the full fscal year. Our operatng tax rate is a non-GAAP fnancial measure and should not be considered as an alternatve to our efectve tax rate, the most comparable GAAP fnancial measure. The operatng tax rate is calculated based upon management's forecast of the annual operatng tax rate for the fscal year applied to adjusted pre-tax earnings. The operatng tax rate excludes income tax (expense) beneft on certain items, discrete tax items and, on a quarterly basis the tming of losses in certain jurisdictons. The income tax (expense) beneft on certain items is determined using the applicable rates in the taxing jurisdictons in which the certain items occurred and includes both current and deferred income tax (expense) beneft based on the nature of the certain items. Discrete tax items include, but are not limited to, changes in valuaton allowance, uncertain tax positons, and other tax items, such as the tax impact of legislatve changes and tax accruals on historic earnings due to changes in indefnite reinvestment assertons. Our defniton of the operatng tax rate may not be comparable to the defniton used by other companies. Management believes that this non-GAAP fnancial measure is useful supplemental informaton because it helps our investors compare our tax rate year to year on a consistent basis and to understand what our tax rate on current operatons would be without the impact of these items.</w:t>
      </w:r>
    </w:p>
    <w:p>
      <w:pPr>
        <w:spacing w:after="0" w:line="54"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Our discussion under the heading “Third Quarter of Fiscal 2023 versus Third Quarter of Fiscal 2022—By Business Segment” includes a discussion of Total segment EBIT, which is a non-GAAP fnancial measure defned as Income (loss) before income taxes and equity in earnings from afliated companies less certain items and other unallocated items. Our Chief Operatng Decision Maker, who is our President and Chief Executve Ofcer, uses segment EBIT to evaluate the operatng results of each segment and to allocate resources to the segments. We believe Total segment EBIT, which refects the sum of EBIT from our reportable segments, provides useful supplemental informaton for our investors as it is an important indicator of our operatonal strength and performance, allows investors to see our results through the eyes of management, and provides context for our discussion of individual business segment performance. Our defniton of Total segment EBIT may not be comparable to the defniton used by other companies and it should not be considered an alternatve for Income (loss) before income taxes and equity in earnings of afliated companies, which is the most directly comparable GAAP fnancial measure. A reconciliaton of Total segment EBIT to Income (loss) before income taxes and equity in earnings of afliated companies is provided under the heading “Third quarter of Fiscal 2023 versus Third quarter of Fiscal 2022—By Business Segment”. Investors should consider the limitatons associated with this non-GAAP measure, including the potental lack of comparability of this measure from one company to another.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22" w:name="page23"/>
    <w:bookmarkEnd w:id="22"/>
    <w:p>
      <w:pPr>
        <w:ind w:firstLine="509"/>
        <w:spacing w:after="0" w:line="288" w:lineRule="auto"/>
        <w:rPr>
          <w:sz w:val="20"/>
          <w:szCs w:val="20"/>
          <w:color w:val="auto"/>
        </w:rPr>
      </w:pPr>
      <w:r>
        <w:rPr>
          <w:rFonts w:ascii="Arial" w:cs="Arial" w:eastAsia="Arial" w:hAnsi="Arial"/>
          <w:sz w:val="16"/>
          <w:szCs w:val="16"/>
          <w:color w:val="auto"/>
        </w:rPr>
        <w:t>In calculatng Total segment EBIT, we exclude from our Income (loss) before income taxes and equity in earnings of afliated companies (i) items of expense and income that management does not consider representatve of our fundamental on-going segment results, which we refer to as “certain items”, and (ii) items that, because they are not controlled by the business segments and primarily beneft corporate objectves, are not allocated to our business segments, such as interest expense and other corporate costs, which include unallocated corporate overhead expenses such as certain corporate salaries and headquarter expenses, plus costs related to special projects and initatves, which we refer to as “other unallocated items”. Management believes excluding the items identfed as certain items facilitates operatng performance comparisons from period to period by eliminatng diferences that would not otherwise be apparent on a GAAP basis and also facilitates an evaluaton of our operatng performance without the impact of these costs or benefts. The items of income and expense that we exclude from Total segment EBIT but that are included in our GAAP Income (loss) before income taxes and equity in earnings of afliated companies, as applicable in a partcular reportng period, include, but are not limited to, the following:</w:t>
      </w:r>
    </w:p>
    <w:p>
      <w:pPr>
        <w:spacing w:after="0" w:line="51" w:lineRule="exact"/>
        <w:rPr>
          <w:sz w:val="20"/>
          <w:szCs w:val="20"/>
          <w:color w:val="auto"/>
        </w:rPr>
      </w:pPr>
    </w:p>
    <w:p>
      <w:pPr>
        <w:ind w:left="1020" w:hanging="503"/>
        <w:spacing w:after="0" w:line="27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Asset impairment charges, which primarily include charges associated with an impairment of goodwill, other long-lived assets or assets held for sale.</w:t>
      </w:r>
    </w:p>
    <w:p>
      <w:pPr>
        <w:spacing w:after="0" w:line="55" w:lineRule="exact"/>
        <w:rPr>
          <w:rFonts w:ascii="Arial" w:cs="Arial" w:eastAsia="Arial" w:hAnsi="Arial"/>
          <w:sz w:val="18"/>
          <w:szCs w:val="18"/>
          <w:color w:val="auto"/>
        </w:rPr>
      </w:pPr>
    </w:p>
    <w:p>
      <w:pPr>
        <w:ind w:left="1020" w:right="440" w:hanging="503"/>
        <w:spacing w:after="0" w:line="27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Charges related to the divestture of our Purifcaton Solutons business, which include accelerated costs associated with the change in control and employee incentve compensaton.</w:t>
      </w:r>
    </w:p>
    <w:p>
      <w:pPr>
        <w:spacing w:after="0" w:line="55" w:lineRule="exact"/>
        <w:rPr>
          <w:rFonts w:ascii="Arial" w:cs="Arial" w:eastAsia="Arial" w:hAnsi="Arial"/>
          <w:sz w:val="18"/>
          <w:szCs w:val="18"/>
          <w:color w:val="auto"/>
        </w:rPr>
      </w:pPr>
    </w:p>
    <w:p>
      <w:pPr>
        <w:ind w:left="1020" w:right="180" w:hanging="503"/>
        <w:spacing w:after="0" w:line="27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Legal and environmental reserves and maters, which consist of costs or benefts for maters typically related to former businesses or that are otherwise incurred outside of the ordinary course of business.</w:t>
      </w:r>
    </w:p>
    <w:p>
      <w:pPr>
        <w:spacing w:after="0" w:line="55" w:lineRule="exact"/>
        <w:rPr>
          <w:rFonts w:ascii="Arial" w:cs="Arial" w:eastAsia="Arial" w:hAnsi="Arial"/>
          <w:sz w:val="18"/>
          <w:szCs w:val="18"/>
          <w:color w:val="auto"/>
        </w:rPr>
      </w:pPr>
    </w:p>
    <w:p>
      <w:pPr>
        <w:ind w:left="1020" w:right="180" w:hanging="503"/>
        <w:spacing w:after="0" w:line="25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restructuring actvites, which include costs or benefts associated with cost reducton initatves or plant closures and are primarily related to (i) employee terminaton costs, (ii) asset impairment charges associated with restructuring actons, (iii) costs to close facilites, including environmental costs and contract terminaton penaltes, and (iv) gains realized on the sale of land or equipment associated with restructured plants or locatons.</w:t>
      </w:r>
    </w:p>
    <w:p>
      <w:pPr>
        <w:spacing w:after="0" w:line="68" w:lineRule="exact"/>
        <w:rPr>
          <w:rFonts w:ascii="Arial" w:cs="Arial" w:eastAsia="Arial" w:hAnsi="Arial"/>
          <w:sz w:val="18"/>
          <w:szCs w:val="18"/>
          <w:color w:val="auto"/>
        </w:rPr>
      </w:pPr>
    </w:p>
    <w:p>
      <w:pPr>
        <w:ind w:left="1020" w:right="60" w:hanging="503"/>
        <w:spacing w:after="0" w:line="27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Acquisiton and integraton-related charges, which include transacton costs, redundant costs incurred during the period of integraton, and costs associated with transitoning certain management and business processes to Cabot’s processes.</w:t>
      </w:r>
    </w:p>
    <w:p>
      <w:pPr>
        <w:spacing w:after="0" w:line="55"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Gains (losses) on sale of a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Gain associated with the bargain purchase of a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Gain realized on the sale of land.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2" w:lineRule="exact"/>
        <w:rPr>
          <w:sz w:val="20"/>
          <w:szCs w:val="20"/>
          <w:color w:val="auto"/>
        </w:rPr>
      </w:pPr>
    </w:p>
    <w:p>
      <w:pPr>
        <w:ind w:right="260" w:firstLine="494"/>
        <w:spacing w:after="0" w:line="262" w:lineRule="auto"/>
        <w:rPr>
          <w:sz w:val="20"/>
          <w:szCs w:val="20"/>
          <w:color w:val="auto"/>
        </w:rPr>
      </w:pPr>
      <w:r>
        <w:rPr>
          <w:rFonts w:ascii="Arial" w:cs="Arial" w:eastAsia="Arial" w:hAnsi="Arial"/>
          <w:sz w:val="18"/>
          <w:szCs w:val="18"/>
          <w:color w:val="auto"/>
        </w:rPr>
        <w:t>During the third quarter of fscal 2023, Income (loss) before income taxes and equity in earnings of afliated companies decreased compared to the third quarter of fscal 2022 due to a reducton in earnings in our Performance Chemicals segment partally ofset by stronger results in our Reinforcement Materials segment.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Fiscal 2023 versus Third quarter of Fiscal 2022—Consolidated</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Sales and Other Operatng Revenues and Gross Proft</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3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4"/>
              </w:rPr>
              <w:t>Three Months Ended June 30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w w:val="92"/>
              </w:rPr>
              <w:t>Nine Months Ended June 30</w:t>
            </w:r>
          </w:p>
        </w:tc>
        <w:tc>
          <w:tcPr>
            <w:tcW w:w="120" w:type="dxa"/>
            <w:vAlign w:val="bottom"/>
          </w:tcPr>
          <w:p>
            <w:pPr>
              <w:spacing w:after="0"/>
              <w:rPr>
                <w:sz w:val="15"/>
                <w:szCs w:val="15"/>
                <w:color w:val="auto"/>
              </w:rPr>
            </w:pPr>
          </w:p>
        </w:tc>
      </w:tr>
      <w:tr>
        <w:trPr>
          <w:trHeight w:val="30"/>
        </w:trPr>
        <w:tc>
          <w:tcPr>
            <w:tcW w:w="3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3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193"/>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9"/>
              </w:rPr>
              <w:t>millions)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2"/>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 and other operatng revenues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3,209</w:t>
            </w:r>
          </w:p>
        </w:tc>
        <w:tc>
          <w:tcPr>
            <w:tcW w:w="120" w:type="dxa"/>
            <w:vAlign w:val="bottom"/>
            <w:shd w:val="clear" w:color="auto" w:fill="CFF0FC"/>
          </w:tcPr>
          <w:p>
            <w:pPr>
              <w:spacing w:after="0"/>
              <w:rPr>
                <w:sz w:val="21"/>
                <w:szCs w:val="21"/>
                <w:color w:val="auto"/>
              </w:rPr>
            </w:pPr>
          </w:p>
        </w:tc>
      </w:tr>
      <w:tr>
        <w:trPr>
          <w:trHeight w:val="227"/>
        </w:trPr>
        <w:tc>
          <w:tcPr>
            <w:tcW w:w="3800" w:type="dxa"/>
            <w:vAlign w:val="bottom"/>
          </w:tcPr>
          <w:p>
            <w:pPr>
              <w:ind w:left="20"/>
              <w:spacing w:after="0"/>
              <w:rPr>
                <w:sz w:val="20"/>
                <w:szCs w:val="20"/>
                <w:color w:val="auto"/>
              </w:rPr>
            </w:pPr>
            <w:r>
              <w:rPr>
                <w:rFonts w:ascii="Arial" w:cs="Arial" w:eastAsia="Arial" w:hAnsi="Arial"/>
                <w:sz w:val="18"/>
                <w:szCs w:val="18"/>
                <w:color w:val="auto"/>
              </w:rPr>
              <w:t>Gross proft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223</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614</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9"/>
                <w:szCs w:val="19"/>
                <w:color w:val="auto"/>
              </w:rPr>
            </w:pPr>
          </w:p>
        </w:tc>
      </w:tr>
    </w:tbl>
    <w:p>
      <w:pPr>
        <w:spacing w:after="0" w:line="173" w:lineRule="exact"/>
        <w:rPr>
          <w:sz w:val="20"/>
          <w:szCs w:val="20"/>
          <w:color w:val="auto"/>
        </w:rPr>
      </w:pPr>
    </w:p>
    <w:p>
      <w:pPr>
        <w:jc w:val="both"/>
        <w:ind w:right="20" w:firstLine="509"/>
        <w:spacing w:after="0" w:line="254" w:lineRule="auto"/>
        <w:rPr>
          <w:sz w:val="20"/>
          <w:szCs w:val="20"/>
          <w:color w:val="auto"/>
        </w:rPr>
      </w:pPr>
      <w:r>
        <w:rPr>
          <w:rFonts w:ascii="Arial" w:cs="Arial" w:eastAsia="Arial" w:hAnsi="Arial"/>
          <w:sz w:val="18"/>
          <w:szCs w:val="18"/>
          <w:color w:val="auto"/>
        </w:rPr>
        <w:t>The $181 million decrease in net sales and other operatng revenues in the third quarter of fscal 2023 compared to the third quarter of fscal 2022 was driven by lower volumes in both segments ($92 million), unfavorable price and product mix (combined $56 million), the negatve impact from foreign currency translaton ($19 million), and lower by-product revenue ($8 million).</w:t>
      </w:r>
    </w:p>
    <w:p>
      <w:pPr>
        <w:spacing w:after="0" w:line="2" w:lineRule="exact"/>
        <w:rPr>
          <w:sz w:val="20"/>
          <w:szCs w:val="20"/>
          <w:color w:val="auto"/>
        </w:rPr>
      </w:pPr>
    </w:p>
    <w:p>
      <w:pPr>
        <w:ind w:right="240" w:firstLine="509"/>
        <w:spacing w:after="0" w:line="265" w:lineRule="auto"/>
        <w:rPr>
          <w:sz w:val="20"/>
          <w:szCs w:val="20"/>
          <w:color w:val="auto"/>
        </w:rPr>
      </w:pPr>
      <w:r>
        <w:rPr>
          <w:rFonts w:ascii="Arial" w:cs="Arial" w:eastAsia="Arial" w:hAnsi="Arial"/>
          <w:sz w:val="17"/>
          <w:szCs w:val="17"/>
          <w:color w:val="auto"/>
        </w:rPr>
        <w:t>The $243 million decrease in net sales and other operatng revenues in the frst nine months of fscal 2023 compared to the frst nine months of fscal 2022 was primarily driven by lower volumes ($198 million) the unfavorable impact from foreign currency translaton ($130 million), the impact of the divestture of our Purifcaton Solutons business in fscal 2022 ($97 million) and lower by-product revenue ($22 million). These decreases were partally ofset by favorable price and product mix (combined $217 million) primarily in our Reinforcement Materials segment.</w:t>
      </w:r>
    </w:p>
    <w:p>
      <w:pPr>
        <w:spacing w:after="0" w:line="1" w:lineRule="exact"/>
        <w:rPr>
          <w:sz w:val="20"/>
          <w:szCs w:val="20"/>
          <w:color w:val="auto"/>
        </w:rPr>
      </w:pPr>
    </w:p>
    <w:p>
      <w:pPr>
        <w:ind w:right="300" w:firstLine="509"/>
        <w:spacing w:after="0" w:line="255" w:lineRule="auto"/>
        <w:rPr>
          <w:sz w:val="20"/>
          <w:szCs w:val="20"/>
          <w:color w:val="auto"/>
        </w:rPr>
      </w:pPr>
      <w:r>
        <w:rPr>
          <w:rFonts w:ascii="Arial" w:cs="Arial" w:eastAsia="Arial" w:hAnsi="Arial"/>
          <w:sz w:val="18"/>
          <w:szCs w:val="18"/>
          <w:color w:val="auto"/>
        </w:rPr>
        <w:t>For the three and nine months ended June 30, 2023, gross proft decreased by $12 million and $51 million, respectvely, compared to the same periods of fscal 2022. The decrease was primarily due to lower volumes and higher fxed costs, partally ofset by higher unit margins in our Reinforcement Materials segment.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23" w:name="page24"/>
    <w:bookmarkEnd w:id="23"/>
    <w:p>
      <w:pPr>
        <w:ind w:left="480"/>
        <w:spacing w:after="0"/>
        <w:rPr>
          <w:sz w:val="20"/>
          <w:szCs w:val="20"/>
          <w:color w:val="auto"/>
        </w:rPr>
      </w:pPr>
      <w:r>
        <w:rPr>
          <w:rFonts w:ascii="Arial" w:cs="Arial" w:eastAsia="Arial" w:hAnsi="Arial"/>
          <w:sz w:val="18"/>
          <w:szCs w:val="18"/>
          <w:i w:val="1"/>
          <w:iCs w:val="1"/>
          <w:color w:val="auto"/>
        </w:rPr>
        <w:t>Selling and Administratve Expenses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3800" w:type="dxa"/>
            <w:vAlign w:val="bottom"/>
          </w:tcPr>
          <w:p>
            <w:pPr>
              <w:spacing w:after="0"/>
              <w:rPr>
                <w:sz w:val="15"/>
                <w:szCs w:val="15"/>
                <w:color w:val="auto"/>
              </w:rPr>
            </w:pPr>
          </w:p>
        </w:tc>
        <w:tc>
          <w:tcPr>
            <w:tcW w:w="21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gridSpan w:val="4"/>
          </w:tcPr>
          <w:p>
            <w:pPr>
              <w:ind w:left="60"/>
              <w:spacing w:after="0"/>
              <w:rPr>
                <w:sz w:val="20"/>
                <w:szCs w:val="20"/>
                <w:color w:val="auto"/>
              </w:rPr>
            </w:pPr>
            <w:r>
              <w:rPr>
                <w:rFonts w:ascii="Arial" w:cs="Arial" w:eastAsia="Arial" w:hAnsi="Arial"/>
                <w:sz w:val="14"/>
                <w:szCs w:val="14"/>
                <w:b w:val="1"/>
                <w:bCs w:val="1"/>
                <w:color w:val="auto"/>
              </w:rPr>
              <w:t>Nine Months Ended June 30</w:t>
            </w:r>
          </w:p>
        </w:tc>
        <w:tc>
          <w:tcPr>
            <w:tcW w:w="120" w:type="dxa"/>
            <w:vAlign w:val="bottom"/>
          </w:tcPr>
          <w:p>
            <w:pPr>
              <w:spacing w:after="0"/>
              <w:rPr>
                <w:sz w:val="15"/>
                <w:szCs w:val="15"/>
                <w:color w:val="auto"/>
              </w:rPr>
            </w:pPr>
          </w:p>
        </w:tc>
      </w:tr>
      <w:tr>
        <w:trPr>
          <w:trHeight w:val="29"/>
        </w:trPr>
        <w:tc>
          <w:tcPr>
            <w:tcW w:w="38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3800" w:type="dxa"/>
            <w:vAlign w:val="bottom"/>
          </w:tcPr>
          <w:p>
            <w:pPr>
              <w:spacing w:after="0"/>
              <w:rPr>
                <w:sz w:val="16"/>
                <w:szCs w:val="16"/>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193"/>
        </w:trPr>
        <w:tc>
          <w:tcPr>
            <w:tcW w:w="3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9"/>
              </w:rPr>
              <w:t>millions)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2"/>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and administratve expenses</w:t>
            </w:r>
          </w:p>
        </w:tc>
        <w:tc>
          <w:tcPr>
            <w:tcW w:w="780" w:type="dxa"/>
            <w:vAlign w:val="bottom"/>
            <w:shd w:val="clear" w:color="auto" w:fill="CFF0FC"/>
          </w:tcPr>
          <w:p>
            <w:pPr>
              <w:jc w:val="right"/>
              <w:ind w:right="582"/>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6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FF0FC"/>
          </w:tcPr>
          <w:p>
            <w:pPr>
              <w:spacing w:after="0"/>
              <w:rPr>
                <w:sz w:val="21"/>
                <w:szCs w:val="21"/>
                <w:color w:val="auto"/>
              </w:rPr>
            </w:pPr>
          </w:p>
        </w:tc>
      </w:tr>
    </w:tbl>
    <w:p>
      <w:pPr>
        <w:spacing w:after="0" w:line="157" w:lineRule="exact"/>
        <w:rPr>
          <w:sz w:val="20"/>
          <w:szCs w:val="20"/>
          <w:color w:val="auto"/>
        </w:rPr>
      </w:pPr>
    </w:p>
    <w:p>
      <w:pPr>
        <w:jc w:val="both"/>
        <w:ind w:right="280" w:firstLine="509"/>
        <w:spacing w:after="0" w:line="273" w:lineRule="auto"/>
        <w:rPr>
          <w:sz w:val="20"/>
          <w:szCs w:val="20"/>
          <w:color w:val="auto"/>
        </w:rPr>
      </w:pPr>
      <w:r>
        <w:rPr>
          <w:rFonts w:ascii="Arial" w:cs="Arial" w:eastAsia="Arial" w:hAnsi="Arial"/>
          <w:sz w:val="18"/>
          <w:szCs w:val="18"/>
          <w:color w:val="auto"/>
        </w:rPr>
        <w:t>Selling and administratve expenses increased by $7 million in the third quarter of fscal 2023 and decreased by $12 million for the nine months ended June 30, 2023, compared to the same periods of fscal 2022.</w:t>
      </w:r>
    </w:p>
    <w:p>
      <w:pPr>
        <w:spacing w:after="0" w:line="42" w:lineRule="exact"/>
        <w:rPr>
          <w:sz w:val="20"/>
          <w:szCs w:val="20"/>
          <w:color w:val="auto"/>
        </w:rPr>
      </w:pPr>
    </w:p>
    <w:p>
      <w:pPr>
        <w:jc w:val="both"/>
        <w:ind w:right="280" w:firstLine="509"/>
        <w:spacing w:after="0" w:line="262" w:lineRule="auto"/>
        <w:rPr>
          <w:sz w:val="20"/>
          <w:szCs w:val="20"/>
          <w:color w:val="auto"/>
        </w:rPr>
      </w:pPr>
      <w:r>
        <w:rPr>
          <w:rFonts w:ascii="Arial" w:cs="Arial" w:eastAsia="Arial" w:hAnsi="Arial"/>
          <w:sz w:val="18"/>
          <w:szCs w:val="18"/>
          <w:color w:val="auto"/>
        </w:rPr>
        <w:t>The increase in selling and administratve expenses in the third quarter of fscal 2023 compared to the third quarter of fscal 2022 was primarily due to a $17 million beneft from the sale of land in the fscal 2022 period, partally ofset by a decrease in the incentve compensaton accrual for the fscal 2023 period.</w:t>
      </w:r>
    </w:p>
    <w:p>
      <w:pPr>
        <w:spacing w:after="0" w:line="51" w:lineRule="exact"/>
        <w:rPr>
          <w:sz w:val="20"/>
          <w:szCs w:val="20"/>
          <w:color w:val="auto"/>
        </w:rPr>
      </w:pPr>
    </w:p>
    <w:p>
      <w:pPr>
        <w:jc w:val="both"/>
        <w:ind w:right="240" w:firstLine="509"/>
        <w:spacing w:after="0" w:line="284" w:lineRule="auto"/>
        <w:rPr>
          <w:sz w:val="20"/>
          <w:szCs w:val="20"/>
          <w:color w:val="auto"/>
        </w:rPr>
      </w:pPr>
      <w:r>
        <w:rPr>
          <w:rFonts w:ascii="Arial" w:cs="Arial" w:eastAsia="Arial" w:hAnsi="Arial"/>
          <w:sz w:val="17"/>
          <w:szCs w:val="17"/>
          <w:color w:val="auto"/>
        </w:rPr>
        <w:t>The decrease in selling and administratve expenses in the frst nine months of fscal 2023 compared to the frst nine months of fscal 2022 was primarily due to a decrease in the incentve compensaton accrual for the fscal 2023 period and prior year charges related to the Purifcaton Solutons divestture and our legal reserve for respirator maters, partally ofset by the beneft from the sale of land in the fscal 2022 period.</w:t>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Technical Expenses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3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4"/>
          </w:tcPr>
          <w:p>
            <w:pPr>
              <w:jc w:val="right"/>
              <w:ind w:right="262"/>
              <w:spacing w:after="0"/>
              <w:rPr>
                <w:sz w:val="20"/>
                <w:szCs w:val="20"/>
                <w:color w:val="auto"/>
              </w:rPr>
            </w:pPr>
            <w:r>
              <w:rPr>
                <w:rFonts w:ascii="Arial" w:cs="Arial" w:eastAsia="Arial" w:hAnsi="Arial"/>
                <w:sz w:val="14"/>
                <w:szCs w:val="14"/>
                <w:b w:val="1"/>
                <w:bCs w:val="1"/>
                <w:color w:val="auto"/>
                <w:w w:val="94"/>
              </w:rPr>
              <w:t>Three Months Ended June 30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gridSpan w:val="4"/>
          </w:tcPr>
          <w:p>
            <w:pPr>
              <w:ind w:left="60"/>
              <w:spacing w:after="0"/>
              <w:rPr>
                <w:sz w:val="20"/>
                <w:szCs w:val="20"/>
                <w:color w:val="auto"/>
              </w:rPr>
            </w:pPr>
            <w:r>
              <w:rPr>
                <w:rFonts w:ascii="Arial" w:cs="Arial" w:eastAsia="Arial" w:hAnsi="Arial"/>
                <w:sz w:val="14"/>
                <w:szCs w:val="14"/>
                <w:b w:val="1"/>
                <w:bCs w:val="1"/>
                <w:color w:val="auto"/>
              </w:rPr>
              <w:t>Nine Months Ended June 30</w:t>
            </w:r>
          </w:p>
        </w:tc>
        <w:tc>
          <w:tcPr>
            <w:tcW w:w="120" w:type="dxa"/>
            <w:vAlign w:val="bottom"/>
          </w:tcPr>
          <w:p>
            <w:pPr>
              <w:spacing w:after="0"/>
              <w:rPr>
                <w:sz w:val="15"/>
                <w:szCs w:val="15"/>
                <w:color w:val="auto"/>
              </w:rPr>
            </w:pPr>
          </w:p>
        </w:tc>
      </w:tr>
      <w:tr>
        <w:trPr>
          <w:trHeight w:val="29"/>
        </w:trPr>
        <w:tc>
          <w:tcPr>
            <w:tcW w:w="3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3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193"/>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9"/>
              </w:rPr>
              <w:t>millions)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2"/>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technical expenses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21"/>
                <w:szCs w:val="21"/>
                <w:color w:val="auto"/>
              </w:rPr>
            </w:pPr>
          </w:p>
        </w:tc>
      </w:tr>
    </w:tbl>
    <w:p>
      <w:pPr>
        <w:spacing w:after="0" w:line="157" w:lineRule="exact"/>
        <w:rPr>
          <w:sz w:val="20"/>
          <w:szCs w:val="20"/>
          <w:color w:val="auto"/>
        </w:rPr>
      </w:pPr>
    </w:p>
    <w:p>
      <w:pPr>
        <w:ind w:right="160" w:firstLine="464"/>
        <w:spacing w:after="0" w:line="273" w:lineRule="auto"/>
        <w:rPr>
          <w:sz w:val="20"/>
          <w:szCs w:val="20"/>
          <w:color w:val="auto"/>
        </w:rPr>
      </w:pPr>
      <w:r>
        <w:rPr>
          <w:rFonts w:ascii="Arial" w:cs="Arial" w:eastAsia="Arial" w:hAnsi="Arial"/>
          <w:sz w:val="18"/>
          <w:szCs w:val="18"/>
          <w:color w:val="auto"/>
        </w:rPr>
        <w:t>Research and technical expenses increased by $1 million and $2 million for the third quarter and the frst nine months of fscal 2023, respectvely, compared to the same periods of fscal 2022.</w:t>
      </w:r>
    </w:p>
    <w:p>
      <w:pPr>
        <w:spacing w:after="0" w:line="4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Interest and Dividend Income, Interest Expense and Other Income (Expense)</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3780" w:type="dxa"/>
            <w:vAlign w:val="bottom"/>
          </w:tcPr>
          <w:p>
            <w:pPr>
              <w:spacing w:after="0"/>
              <w:rPr>
                <w:sz w:val="15"/>
                <w:szCs w:val="15"/>
                <w:color w:val="auto"/>
              </w:rPr>
            </w:pPr>
          </w:p>
        </w:tc>
        <w:tc>
          <w:tcPr>
            <w:tcW w:w="21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3"/>
              </w:rPr>
              <w:t>Nine Months Ended June 30</w:t>
            </w:r>
          </w:p>
        </w:tc>
      </w:tr>
      <w:tr>
        <w:trPr>
          <w:trHeight w:val="29"/>
        </w:trPr>
        <w:tc>
          <w:tcPr>
            <w:tcW w:w="37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378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193"/>
        </w:trPr>
        <w:tc>
          <w:tcPr>
            <w:tcW w:w="3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millions)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2"/>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and dividend income</w:t>
            </w:r>
          </w:p>
        </w:tc>
        <w:tc>
          <w:tcPr>
            <w:tcW w:w="760" w:type="dxa"/>
            <w:vAlign w:val="bottom"/>
            <w:shd w:val="clear" w:color="auto" w:fill="CFF0FC"/>
          </w:tcPr>
          <w:p>
            <w:pPr>
              <w:jc w:val="right"/>
              <w:ind w:right="55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615"/>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21"/>
                <w:szCs w:val="21"/>
                <w:color w:val="auto"/>
              </w:rPr>
            </w:pPr>
          </w:p>
        </w:tc>
      </w:tr>
      <w:tr>
        <w:trPr>
          <w:trHeight w:val="235"/>
        </w:trPr>
        <w:tc>
          <w:tcPr>
            <w:tcW w:w="3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760" w:type="dxa"/>
            <w:vAlign w:val="bottom"/>
          </w:tcPr>
          <w:p>
            <w:pPr>
              <w:jc w:val="right"/>
              <w:ind w:right="557"/>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(24 )</w:t>
            </w:r>
          </w:p>
        </w:tc>
        <w:tc>
          <w:tcPr>
            <w:tcW w:w="800" w:type="dxa"/>
            <w:vAlign w:val="bottom"/>
          </w:tcPr>
          <w:p>
            <w:pPr>
              <w:jc w:val="right"/>
              <w:ind w:right="615"/>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28"/>
              <w:spacing w:after="0"/>
              <w:rPr>
                <w:sz w:val="20"/>
                <w:szCs w:val="20"/>
                <w:color w:val="auto"/>
              </w:rPr>
            </w:pPr>
            <w:r>
              <w:rPr>
                <w:rFonts w:ascii="Arial" w:cs="Arial" w:eastAsia="Arial" w:hAnsi="Arial"/>
                <w:sz w:val="18"/>
                <w:szCs w:val="18"/>
                <w:color w:val="auto"/>
                <w:w w:val="91"/>
              </w:rPr>
              <w:t>(15 )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(38 )</w:t>
            </w:r>
          </w:p>
        </w:tc>
      </w:tr>
      <w:tr>
        <w:trPr>
          <w:trHeight w:val="251"/>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CFF0FC"/>
          </w:tcPr>
          <w:p>
            <w:pPr>
              <w:jc w:val="right"/>
              <w:ind w:right="557"/>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(3 )</w:t>
            </w:r>
          </w:p>
        </w:tc>
        <w:tc>
          <w:tcPr>
            <w:tcW w:w="800" w:type="dxa"/>
            <w:vAlign w:val="bottom"/>
            <w:shd w:val="clear" w:color="auto" w:fill="CFF0FC"/>
          </w:tcPr>
          <w:p>
            <w:pPr>
              <w:jc w:val="right"/>
              <w:ind w:right="615"/>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(9 )</w:t>
            </w:r>
          </w:p>
        </w:tc>
      </w:tr>
    </w:tbl>
    <w:p>
      <w:pPr>
        <w:spacing w:after="0" w:line="157" w:lineRule="exact"/>
        <w:rPr>
          <w:sz w:val="20"/>
          <w:szCs w:val="20"/>
          <w:color w:val="auto"/>
        </w:rPr>
      </w:pPr>
    </w:p>
    <w:p>
      <w:pPr>
        <w:ind w:firstLine="509"/>
        <w:spacing w:after="0" w:line="273" w:lineRule="auto"/>
        <w:rPr>
          <w:sz w:val="20"/>
          <w:szCs w:val="20"/>
          <w:color w:val="auto"/>
        </w:rPr>
      </w:pPr>
      <w:r>
        <w:rPr>
          <w:rFonts w:ascii="Arial" w:cs="Arial" w:eastAsia="Arial" w:hAnsi="Arial"/>
          <w:sz w:val="18"/>
          <w:szCs w:val="18"/>
          <w:color w:val="auto"/>
        </w:rPr>
        <w:t>Interest and dividend income increased by $7 million and $15 million in the three and nine months ended June 30, 2023, respectvely, compared to the same periods of fscal 2022, primarily due to higher interest rates.</w:t>
      </w:r>
    </w:p>
    <w:p>
      <w:pPr>
        <w:spacing w:after="0" w:line="42" w:lineRule="exact"/>
        <w:rPr>
          <w:sz w:val="20"/>
          <w:szCs w:val="20"/>
          <w:color w:val="auto"/>
        </w:rPr>
      </w:pPr>
    </w:p>
    <w:p>
      <w:pPr>
        <w:ind w:right="200" w:firstLine="509"/>
        <w:spacing w:after="0" w:line="273" w:lineRule="auto"/>
        <w:rPr>
          <w:sz w:val="20"/>
          <w:szCs w:val="20"/>
          <w:color w:val="auto"/>
        </w:rPr>
      </w:pPr>
      <w:r>
        <w:rPr>
          <w:rFonts w:ascii="Arial" w:cs="Arial" w:eastAsia="Arial" w:hAnsi="Arial"/>
          <w:sz w:val="18"/>
          <w:szCs w:val="18"/>
          <w:color w:val="auto"/>
        </w:rPr>
        <w:t>Interest expense increased by $9 million and $31 million in the three and nine months ended June 30, 2023, respectvely, compared to the same periods of fscal 2022, primarily due to higher interest rates.</w:t>
      </w:r>
    </w:p>
    <w:p>
      <w:pPr>
        <w:spacing w:after="0" w:line="42" w:lineRule="exact"/>
        <w:rPr>
          <w:sz w:val="20"/>
          <w:szCs w:val="20"/>
          <w:color w:val="auto"/>
        </w:rPr>
      </w:pPr>
    </w:p>
    <w:p>
      <w:pPr>
        <w:ind w:right="60" w:firstLine="509"/>
        <w:spacing w:after="0" w:line="262" w:lineRule="auto"/>
        <w:rPr>
          <w:sz w:val="20"/>
          <w:szCs w:val="20"/>
          <w:color w:val="auto"/>
        </w:rPr>
      </w:pPr>
      <w:r>
        <w:rPr>
          <w:rFonts w:ascii="Arial" w:cs="Arial" w:eastAsia="Arial" w:hAnsi="Arial"/>
          <w:sz w:val="18"/>
          <w:szCs w:val="18"/>
          <w:color w:val="auto"/>
        </w:rPr>
        <w:t>Other expense increased by $2 million and $4 million in the third quarter of fscal 2023 and the frst nine months of fscal 2023, respectvely, compared to the same periods of fscal 2022, driven by higher foreign currency losses, primarily in Argentna, partally ofset by an increase in investment income in Argentna and Brazil.</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24" w:name="page25"/>
    <w:bookmarkEnd w:id="24"/>
    <w:p>
      <w:pPr>
        <w:ind w:left="480"/>
        <w:spacing w:after="0"/>
        <w:rPr>
          <w:sz w:val="20"/>
          <w:szCs w:val="20"/>
          <w:color w:val="auto"/>
        </w:rPr>
      </w:pPr>
      <w:r>
        <w:rPr>
          <w:rFonts w:ascii="Arial" w:cs="Arial" w:eastAsia="Arial" w:hAnsi="Arial"/>
          <w:sz w:val="16"/>
          <w:szCs w:val="16"/>
          <w:i w:val="1"/>
          <w:iCs w:val="1"/>
          <w:color w:val="auto"/>
        </w:rPr>
        <w:t>(Provision) Beneft for Income Taxes and Reconciliaton of Efectve Tax Rate to Operatng Tax Rate</w:t>
      </w:r>
    </w:p>
    <w:p>
      <w:pPr>
        <w:sectPr>
          <w:pgSz w:w="11900" w:h="16838" w:orient="portrait"/>
          <w:cols w:equalWidth="0" w:num="1">
            <w:col w:w="11240"/>
          </w:cols>
          <w:pgMar w:left="320" w:top="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Dollars in millions</w:t>
      </w:r>
    </w:p>
    <w:p>
      <w:pPr>
        <w:spacing w:after="0" w:line="3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Efectve tax rate</w:t>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Less: Non-GAAP tax adjustments</w:t>
      </w:r>
      <w:r>
        <w:rPr>
          <w:rFonts w:ascii="Arial" w:cs="Arial" w:eastAsia="Arial" w:hAnsi="Arial"/>
          <w:sz w:val="20"/>
          <w:szCs w:val="20"/>
          <w:color w:val="auto"/>
          <w:vertAlign w:val="superscript"/>
        </w:rPr>
        <w:t>(1)</w:t>
      </w:r>
    </w:p>
    <w:p>
      <w:pPr>
        <w:spacing w:after="0" w:line="7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Operatng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Dollars in millions</w:t>
      </w:r>
    </w:p>
    <w:p>
      <w:pPr>
        <w:spacing w:after="0" w:line="3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Efectve tax rate</w:t>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Less: Non-GAAP tax adjustments</w:t>
      </w:r>
      <w:r>
        <w:rPr>
          <w:rFonts w:ascii="Arial" w:cs="Arial" w:eastAsia="Arial" w:hAnsi="Arial"/>
          <w:sz w:val="20"/>
          <w:szCs w:val="20"/>
          <w:color w:val="auto"/>
          <w:vertAlign w:val="superscript"/>
        </w:rPr>
        <w:t>(1)</w:t>
      </w:r>
    </w:p>
    <w:p>
      <w:pPr>
        <w:spacing w:after="0" w:line="7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Operatng tax rate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wp:posOffset>
            </wp:positionV>
            <wp:extent cx="29057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5"/>
                <w:szCs w:val="15"/>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340" w:type="dxa"/>
            <w:vAlign w:val="bottom"/>
            <w:gridSpan w:val="4"/>
          </w:tcPr>
          <w:p>
            <w:pPr>
              <w:jc w:val="center"/>
              <w:ind w:right="440"/>
              <w:spacing w:after="0" w:line="158" w:lineRule="exact"/>
              <w:rPr>
                <w:sz w:val="20"/>
                <w:szCs w:val="20"/>
                <w:color w:val="auto"/>
              </w:rPr>
            </w:pPr>
            <w:r>
              <w:rPr>
                <w:rFonts w:ascii="Arial" w:cs="Arial" w:eastAsia="Arial" w:hAnsi="Arial"/>
                <w:sz w:val="14"/>
                <w:szCs w:val="14"/>
                <w:b w:val="1"/>
                <w:bCs w:val="1"/>
                <w:color w:val="auto"/>
                <w:w w:val="91"/>
              </w:rPr>
              <w:t>(Provision) /</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4"/>
          </w:tcPr>
          <w:p>
            <w:pPr>
              <w:jc w:val="center"/>
              <w:ind w:right="500"/>
              <w:spacing w:after="0" w:line="158" w:lineRule="exact"/>
              <w:rPr>
                <w:sz w:val="20"/>
                <w:szCs w:val="20"/>
                <w:color w:val="auto"/>
              </w:rPr>
            </w:pPr>
            <w:r>
              <w:rPr>
                <w:rFonts w:ascii="Arial" w:cs="Arial" w:eastAsia="Arial" w:hAnsi="Arial"/>
                <w:sz w:val="14"/>
                <w:szCs w:val="14"/>
                <w:b w:val="1"/>
                <w:bCs w:val="1"/>
                <w:color w:val="auto"/>
                <w:w w:val="91"/>
              </w:rPr>
              <w:t>(Provision) /</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2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6"/>
              </w:rPr>
              <w:t>Beneft for</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6"/>
              </w:rPr>
              <w:t>Beneft for</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4"/>
              </w:rPr>
              <w:t>Income Taxes</w:t>
            </w:r>
          </w:p>
        </w:tc>
        <w:tc>
          <w:tcPr>
            <w:tcW w:w="480" w:type="dxa"/>
            <w:vAlign w:val="bottom"/>
          </w:tcPr>
          <w:p>
            <w:pPr>
              <w:ind w:left="140"/>
              <w:spacing w:after="0"/>
              <w:rPr>
                <w:sz w:val="20"/>
                <w:szCs w:val="20"/>
                <w:color w:val="auto"/>
              </w:rPr>
            </w:pPr>
            <w:r>
              <w:rPr>
                <w:rFonts w:ascii="Arial" w:cs="Arial" w:eastAsia="Arial" w:hAnsi="Arial"/>
                <w:sz w:val="14"/>
                <w:szCs w:val="14"/>
                <w:b w:val="1"/>
                <w:bCs w:val="1"/>
                <w:color w:val="auto"/>
              </w:rPr>
              <w:t>Rate</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6"/>
              </w:rPr>
              <w:t>Income Taxes</w:t>
            </w:r>
          </w:p>
        </w:tc>
        <w:tc>
          <w:tcPr>
            <w:tcW w:w="9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9"/>
        </w:trPr>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4"/>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(41 )</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w w:val="92"/>
              </w:rPr>
              <w:t>32 %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(49 )</w:t>
            </w: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(15 )</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vMerge w:val="restart"/>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vMerge w:val="restart"/>
          </w:tcPr>
          <w:p>
            <w:pPr>
              <w:jc w:val="right"/>
              <w:ind w:right="5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4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-496570</wp:posOffset>
            </wp:positionV>
            <wp:extent cx="5709285"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09285" cy="15430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-179070</wp:posOffset>
            </wp:positionV>
            <wp:extent cx="5709285" cy="10972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09285" cy="1097280"/>
                    </a:xfrm>
                    <a:prstGeom prst="rect">
                      <a:avLst/>
                    </a:prstGeom>
                    <a:noFill/>
                  </pic:spPr>
                </pic:pic>
              </a:graphicData>
            </a:graphic>
          </wp:anchor>
        </w:drawing>
      </w:r>
    </w:p>
    <w:p>
      <w:pPr>
        <w:spacing w:after="0" w:line="212"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Nine Months Ended June 30</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5"/>
                <w:szCs w:val="15"/>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340" w:type="dxa"/>
            <w:vAlign w:val="bottom"/>
            <w:gridSpan w:val="4"/>
          </w:tcPr>
          <w:p>
            <w:pPr>
              <w:jc w:val="center"/>
              <w:ind w:right="440"/>
              <w:spacing w:after="0" w:line="158" w:lineRule="exact"/>
              <w:rPr>
                <w:sz w:val="20"/>
                <w:szCs w:val="20"/>
                <w:color w:val="auto"/>
              </w:rPr>
            </w:pPr>
            <w:r>
              <w:rPr>
                <w:rFonts w:ascii="Arial" w:cs="Arial" w:eastAsia="Arial" w:hAnsi="Arial"/>
                <w:sz w:val="14"/>
                <w:szCs w:val="14"/>
                <w:b w:val="1"/>
                <w:bCs w:val="1"/>
                <w:color w:val="auto"/>
                <w:w w:val="91"/>
              </w:rPr>
              <w:t>(Provision) /</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4"/>
          </w:tcPr>
          <w:p>
            <w:pPr>
              <w:jc w:val="center"/>
              <w:ind w:right="500"/>
              <w:spacing w:after="0" w:line="158" w:lineRule="exact"/>
              <w:rPr>
                <w:sz w:val="20"/>
                <w:szCs w:val="20"/>
                <w:color w:val="auto"/>
              </w:rPr>
            </w:pPr>
            <w:r>
              <w:rPr>
                <w:rFonts w:ascii="Arial" w:cs="Arial" w:eastAsia="Arial" w:hAnsi="Arial"/>
                <w:sz w:val="14"/>
                <w:szCs w:val="14"/>
                <w:b w:val="1"/>
                <w:bCs w:val="1"/>
                <w:color w:val="auto"/>
                <w:w w:val="91"/>
              </w:rPr>
              <w:t>(Provision) /</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2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6"/>
              </w:rPr>
              <w:t>Beneft for</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6"/>
              </w:rPr>
              <w:t>Beneft for</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4"/>
              </w:rPr>
              <w:t>Income Taxes</w:t>
            </w:r>
          </w:p>
        </w:tc>
        <w:tc>
          <w:tcPr>
            <w:tcW w:w="480" w:type="dxa"/>
            <w:vAlign w:val="bottom"/>
          </w:tcPr>
          <w:p>
            <w:pPr>
              <w:ind w:left="140"/>
              <w:spacing w:after="0"/>
              <w:rPr>
                <w:sz w:val="20"/>
                <w:szCs w:val="20"/>
                <w:color w:val="auto"/>
              </w:rPr>
            </w:pPr>
            <w:r>
              <w:rPr>
                <w:rFonts w:ascii="Arial" w:cs="Arial" w:eastAsia="Arial" w:hAnsi="Arial"/>
                <w:sz w:val="14"/>
                <w:szCs w:val="14"/>
                <w:b w:val="1"/>
                <w:bCs w:val="1"/>
                <w:color w:val="auto"/>
              </w:rPr>
              <w:t>Rate</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6"/>
              </w:rPr>
              <w:t>Income Taxes</w:t>
            </w:r>
          </w:p>
        </w:tc>
        <w:tc>
          <w:tcPr>
            <w:tcW w:w="9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9"/>
        </w:trPr>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4"/>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(90 )</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w w:val="92"/>
              </w:rPr>
              <w:t>28 %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(73 )</w:t>
            </w: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vMerge w:val="restart"/>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vMerge w:val="restart"/>
          </w:tcPr>
          <w:p>
            <w:pPr>
              <w:jc w:val="right"/>
              <w:ind w:right="5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4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4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-496570</wp:posOffset>
            </wp:positionV>
            <wp:extent cx="5709285"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09285" cy="15430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-179070</wp:posOffset>
            </wp:positionV>
            <wp:extent cx="5709285" cy="179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09285" cy="179705"/>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4700" w:space="720"/>
            <w:col w:w="5820"/>
          </w:cols>
          <w:pgMar w:left="320" w:top="323" w:right="339" w:bottom="1440" w:gutter="0" w:footer="0" w:header="0"/>
          <w:type w:val="continuous"/>
        </w:sectPr>
      </w:pPr>
    </w:p>
    <w:p>
      <w:pPr>
        <w:ind w:left="520" w:right="40" w:hanging="512"/>
        <w:spacing w:after="0" w:line="229" w:lineRule="auto"/>
        <w:tabs>
          <w:tab w:leader="none" w:pos="520" w:val="left"/>
        </w:tabs>
        <w:numPr>
          <w:ilvl w:val="0"/>
          <w:numId w:val="10"/>
        </w:numPr>
        <w:rPr>
          <w:rFonts w:ascii="Arial" w:cs="Arial" w:eastAsia="Arial" w:hAnsi="Arial"/>
          <w:sz w:val="24"/>
          <w:szCs w:val="24"/>
          <w:color w:val="auto"/>
          <w:vertAlign w:val="superscript"/>
        </w:rPr>
      </w:pPr>
      <w:r>
        <w:rPr>
          <w:rFonts w:ascii="Arial" w:cs="Arial" w:eastAsia="Arial" w:hAnsi="Arial"/>
          <w:sz w:val="18"/>
          <w:szCs w:val="18"/>
          <w:color w:val="auto"/>
        </w:rPr>
        <w:t>Non-GAAP tax adjustments made to arrive at the operatng tax provision include the income tax (expense) beneft on certain items, discrete tax items, and, on a quarterly basis, the tming of losses in certain jurisdictons, as further described above under the heading “Defniton of Terms and Non-GAAP Financial Measures”.</w:t>
      </w:r>
    </w:p>
    <w:p>
      <w:pPr>
        <w:spacing w:after="0" w:line="71" w:lineRule="exact"/>
        <w:rPr>
          <w:sz w:val="20"/>
          <w:szCs w:val="20"/>
          <w:color w:val="auto"/>
        </w:rPr>
      </w:pPr>
    </w:p>
    <w:p>
      <w:pPr>
        <w:ind w:right="80" w:firstLine="509"/>
        <w:spacing w:after="0" w:line="292" w:lineRule="auto"/>
        <w:rPr>
          <w:sz w:val="20"/>
          <w:szCs w:val="20"/>
          <w:color w:val="auto"/>
        </w:rPr>
      </w:pPr>
      <w:r>
        <w:rPr>
          <w:rFonts w:ascii="Arial" w:cs="Arial" w:eastAsia="Arial" w:hAnsi="Arial"/>
          <w:sz w:val="16"/>
          <w:szCs w:val="16"/>
          <w:color w:val="auto"/>
        </w:rPr>
        <w:t>For the three months ended June 30, 2023, the (Provision) beneft for income taxes was a provision of $41 million compared to $49 million for the same period in 2022. For the nine months ended June 30, 2023, the (Provision) beneft for income taxes was a provision of $90 million compared to $73 million for the same period in 2022. Included in the (Provision) beneft for income taxes in the nine months ended June 30, 2022 is a net discrete tax beneft of $22 million primarily comprised of $36 million related to the divestture of the Purifcaton Solutons business, and a tax expense of $8 million related to withholding tax accruals on historic earnings due to changes in indefnite reinvestment asserton on certain enttes. Our income taxes are afected by the mix of earnings in the tax jurisdictons in which we operate, and by the presence of valuaton allowances in certain tax jurisdictons.</w:t>
      </w:r>
    </w:p>
    <w:p>
      <w:pPr>
        <w:spacing w:after="0" w:line="34" w:lineRule="exact"/>
        <w:rPr>
          <w:sz w:val="20"/>
          <w:szCs w:val="20"/>
          <w:color w:val="auto"/>
        </w:rPr>
      </w:pPr>
    </w:p>
    <w:p>
      <w:pPr>
        <w:ind w:right="220" w:firstLine="509"/>
        <w:spacing w:after="0" w:line="256" w:lineRule="auto"/>
        <w:rPr>
          <w:sz w:val="20"/>
          <w:szCs w:val="20"/>
          <w:color w:val="auto"/>
        </w:rPr>
      </w:pPr>
      <w:r>
        <w:rPr>
          <w:rFonts w:ascii="Arial" w:cs="Arial" w:eastAsia="Arial" w:hAnsi="Arial"/>
          <w:sz w:val="18"/>
          <w:szCs w:val="18"/>
          <w:color w:val="auto"/>
        </w:rPr>
        <w:t>For fscal 2023, the Operatng tax rate is expected to be in the range of 27% to 29%. We are not providing a forward-looking reconciliaton of the operatng tax rate range with an efectve tax rate range because, without unreasonable efort, we are unable to predict with reasonable certainty the maters we would allocate to “certain items,” which have historically included unusual gains and losses, costs associated with future restructurings, acquisiton-related expenses and litgaton outcomes. Maters allocated to certain items are unpredictable, depend on various factors, and could have a material impact on the efectve tax rate in future periods.</w:t>
      </w:r>
    </w:p>
    <w:p>
      <w:pPr>
        <w:spacing w:after="0" w:line="5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We regularly evaluate the realizability of our net deferred tax assets. As of June 30, 2023, substantally all our U.S. deferred tax assets, net of deferred tax liabilites, were subject to valuaton allowances. There is a reasonable possibility that within the next twelve months, sufcient positve evidence may become available to reach a conclusion that all or a signifcant porton of the valuaton allowances will no longer be required. Such a release would result in a material non-cash income tax beneft in our Consolidated Statement of Operatons in the period of release and an increase of net deferred tax assets on our Consolidated Balance Sheet.</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Income (Loss) Atributable to Noncontrolling Interests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3800" w:type="dxa"/>
            <w:vAlign w:val="bottom"/>
          </w:tcPr>
          <w:p>
            <w:pPr>
              <w:spacing w:after="0"/>
              <w:rPr>
                <w:sz w:val="15"/>
                <w:szCs w:val="15"/>
                <w:color w:val="auto"/>
              </w:rPr>
            </w:pPr>
          </w:p>
        </w:tc>
        <w:tc>
          <w:tcPr>
            <w:tcW w:w="21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w w:val="92"/>
              </w:rPr>
              <w:t>Nine Months Ended June 30</w:t>
            </w:r>
          </w:p>
        </w:tc>
        <w:tc>
          <w:tcPr>
            <w:tcW w:w="120" w:type="dxa"/>
            <w:vAlign w:val="bottom"/>
          </w:tcPr>
          <w:p>
            <w:pPr>
              <w:spacing w:after="0"/>
              <w:rPr>
                <w:sz w:val="15"/>
                <w:szCs w:val="15"/>
                <w:color w:val="auto"/>
              </w:rPr>
            </w:pPr>
          </w:p>
        </w:tc>
      </w:tr>
      <w:tr>
        <w:trPr>
          <w:trHeight w:val="30"/>
        </w:trPr>
        <w:tc>
          <w:tcPr>
            <w:tcW w:w="3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3800" w:type="dxa"/>
            <w:vAlign w:val="bottom"/>
          </w:tcPr>
          <w:p>
            <w:pPr>
              <w:spacing w:after="0"/>
              <w:rPr>
                <w:sz w:val="16"/>
                <w:szCs w:val="16"/>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193"/>
        </w:trPr>
        <w:tc>
          <w:tcPr>
            <w:tcW w:w="3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9"/>
              </w:rPr>
              <w:t>millions)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 earnings of afliated companies,</w:t>
            </w: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42"/>
        </w:trPr>
        <w:tc>
          <w:tcPr>
            <w:tcW w:w="38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840" w:type="dxa"/>
            <w:vAlign w:val="bottom"/>
            <w:tcBorders>
              <w:bottom w:val="single" w:sz="8" w:color="CFF0FC"/>
            </w:tcBorders>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60" w:type="dxa"/>
            <w:vAlign w:val="bottom"/>
            <w:tcBorders>
              <w:bottom w:val="single" w:sz="8" w:color="CFF0FC"/>
            </w:tcBorders>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5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5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3800" w:type="dxa"/>
            <w:vAlign w:val="bottom"/>
          </w:tcPr>
          <w:p>
            <w:pPr>
              <w:ind w:left="20"/>
              <w:spacing w:after="0" w:line="197" w:lineRule="exact"/>
              <w:rPr>
                <w:sz w:val="20"/>
                <w:szCs w:val="20"/>
                <w:color w:val="auto"/>
              </w:rPr>
            </w:pPr>
            <w:r>
              <w:rPr>
                <w:rFonts w:ascii="Arial" w:cs="Arial" w:eastAsia="Arial" w:hAnsi="Arial"/>
                <w:sz w:val="18"/>
                <w:szCs w:val="18"/>
                <w:color w:val="auto"/>
              </w:rPr>
              <w:t>Net income (loss) atributable to</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7"/>
        </w:trPr>
        <w:tc>
          <w:tcPr>
            <w:tcW w:w="3800" w:type="dxa"/>
            <w:vAlign w:val="bottom"/>
          </w:tcPr>
          <w:p>
            <w:pPr>
              <w:ind w:left="140"/>
              <w:spacing w:after="0"/>
              <w:rPr>
                <w:sz w:val="20"/>
                <w:szCs w:val="20"/>
                <w:color w:val="auto"/>
              </w:rPr>
            </w:pPr>
            <w:r>
              <w:rPr>
                <w:rFonts w:ascii="Arial" w:cs="Arial" w:eastAsia="Arial" w:hAnsi="Arial"/>
                <w:sz w:val="18"/>
                <w:szCs w:val="18"/>
                <w:color w:val="auto"/>
              </w:rPr>
              <w:t>noncontrolling interests, net of tax</w:t>
            </w:r>
          </w:p>
        </w:tc>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r>
    </w:tbl>
    <w:p>
      <w:pPr>
        <w:spacing w:after="0" w:line="192" w:lineRule="exact"/>
        <w:rPr>
          <w:sz w:val="20"/>
          <w:szCs w:val="20"/>
          <w:color w:val="auto"/>
        </w:rPr>
      </w:pPr>
    </w:p>
    <w:p>
      <w:pPr>
        <w:ind w:right="120" w:firstLine="509"/>
        <w:spacing w:after="0" w:line="303" w:lineRule="auto"/>
        <w:rPr>
          <w:sz w:val="20"/>
          <w:szCs w:val="20"/>
          <w:color w:val="auto"/>
        </w:rPr>
      </w:pPr>
      <w:r>
        <w:rPr>
          <w:rFonts w:ascii="Arial" w:cs="Arial" w:eastAsia="Arial" w:hAnsi="Arial"/>
          <w:sz w:val="17"/>
          <w:szCs w:val="17"/>
          <w:color w:val="auto"/>
        </w:rPr>
        <w:t>Equity in earnings of afliated companies, net of tax, decreased by $2 million and $3 million in the third quarter and the frst nine months of fscal 2023, respectvely, compared to the same periods of fscal 2022 primarily due to lower proftability at our equity afliate in India.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25" w:name="page26"/>
    <w:bookmarkEnd w:id="25"/>
    <w:p>
      <w:pPr>
        <w:ind w:right="180" w:firstLine="509"/>
        <w:spacing w:after="0" w:line="258" w:lineRule="auto"/>
        <w:rPr>
          <w:sz w:val="20"/>
          <w:szCs w:val="20"/>
          <w:color w:val="auto"/>
        </w:rPr>
      </w:pPr>
      <w:r>
        <w:rPr>
          <w:rFonts w:ascii="Arial" w:cs="Arial" w:eastAsia="Arial" w:hAnsi="Arial"/>
          <w:sz w:val="18"/>
          <w:szCs w:val="18"/>
          <w:color w:val="auto"/>
        </w:rPr>
        <w:t>Net income (loss) atributable to noncontrolling interests, net of tax, decreased by $1 million in the third quarter and increased by $2 million for the nine months ended June 30, 2023, compared to the same periods of fscal 2022. The lower income for the three month period was primarily due to the lower proftability of our joint ventures in China. The higher income for the nine month period was primarily due to the higher proftability of our joint venture in the Czech Republic.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Atributable to Cabot Corporaton</w:t>
      </w:r>
    </w:p>
    <w:p>
      <w:pPr>
        <w:spacing w:after="0" w:line="9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the third quarter and frst nine months of fscal 2023, we reported Net income (loss) atributable to Cabot Corporaton of $82 million and $211 million, or $1.43 per diluted common share and $3.65 per diluted common share, respectvely. This compares to Net income (loss) atributable to Cabot Corporaton of $97 million and $115 million, or $1.69 per diluted common share and $1.99 per diluted common share, respectvely, in the third quarter and frst nine months of fscal 2022. The lower net income in the third quarter of fscal 2023 compared with the same period in fscal 2022 is primarily due to lower volumes and higher fxed costs partally ofset by higher unit margins. The higher net income in the frst nine months of fscal 2023 compared with the same period in fscal 2022 is primarily due to an impairment charge associated with the divestture of Purifcaton Solutons in fscal 2022 that did not reoccur in fscal 2023.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Fiscal 2023 versus Third quarter of Fiscal 2022—By Business Segment</w:t>
      </w:r>
    </w:p>
    <w:p>
      <w:pPr>
        <w:spacing w:after="0" w:line="92" w:lineRule="exact"/>
        <w:rPr>
          <w:sz w:val="20"/>
          <w:szCs w:val="20"/>
          <w:color w:val="auto"/>
        </w:rPr>
      </w:pPr>
    </w:p>
    <w:p>
      <w:pPr>
        <w:ind w:firstLine="509"/>
        <w:spacing w:after="0" w:line="262" w:lineRule="auto"/>
        <w:rPr>
          <w:sz w:val="20"/>
          <w:szCs w:val="20"/>
          <w:color w:val="auto"/>
        </w:rPr>
      </w:pPr>
      <w:r>
        <w:rPr>
          <w:rFonts w:ascii="Arial" w:cs="Arial" w:eastAsia="Arial" w:hAnsi="Arial"/>
          <w:sz w:val="18"/>
          <w:szCs w:val="18"/>
          <w:color w:val="auto"/>
        </w:rPr>
        <w:t>Income (loss) before income taxes and equity in earnings of afliated companies, certain items, other unallocated items, and Total segment EBIT for the three and nine months ended June 30, 2023 and 2022 are set forth in the table below. The details of certain items and other unallocated items are shown below and in Note L of our Notes to the Consolidated Financial Statements.</w:t>
      </w:r>
    </w:p>
    <w:p>
      <w:pPr>
        <w:spacing w:after="0" w:line="127"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3780" w:type="dxa"/>
            <w:vAlign w:val="bottom"/>
          </w:tcPr>
          <w:p>
            <w:pPr>
              <w:spacing w:after="0"/>
              <w:rPr>
                <w:sz w:val="15"/>
                <w:szCs w:val="15"/>
                <w:color w:val="auto"/>
              </w:rPr>
            </w:pPr>
          </w:p>
        </w:tc>
        <w:tc>
          <w:tcPr>
            <w:tcW w:w="21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3"/>
              </w:rPr>
              <w:t>Nine Months Ended June 30</w:t>
            </w:r>
          </w:p>
        </w:tc>
      </w:tr>
      <w:tr>
        <w:trPr>
          <w:trHeight w:val="29"/>
        </w:trPr>
        <w:tc>
          <w:tcPr>
            <w:tcW w:w="37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37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193"/>
        </w:trPr>
        <w:tc>
          <w:tcPr>
            <w:tcW w:w="3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millions)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 and</w:t>
            </w:r>
          </w:p>
        </w:tc>
        <w:tc>
          <w:tcPr>
            <w:tcW w:w="7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42"/>
        </w:trPr>
        <w:tc>
          <w:tcPr>
            <w:tcW w:w="37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equity in earnings of afliated companies</w:t>
            </w:r>
          </w:p>
        </w:tc>
        <w:tc>
          <w:tcPr>
            <w:tcW w:w="740" w:type="dxa"/>
            <w:vAlign w:val="bottom"/>
            <w:tcBorders>
              <w:bottom w:val="single" w:sz="8" w:color="CFF0FC"/>
            </w:tcBorders>
            <w:shd w:val="clear" w:color="auto" w:fill="CFF0FC"/>
          </w:tcPr>
          <w:p>
            <w:pPr>
              <w:jc w:val="right"/>
              <w:ind w:right="53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130</w:t>
            </w:r>
          </w:p>
        </w:tc>
        <w:tc>
          <w:tcPr>
            <w:tcW w:w="2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152</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5"/>
        </w:trPr>
        <w:tc>
          <w:tcPr>
            <w:tcW w:w="3780" w:type="dxa"/>
            <w:vAlign w:val="bottom"/>
          </w:tcPr>
          <w:p>
            <w:pPr>
              <w:ind w:left="20"/>
              <w:spacing w:after="0"/>
              <w:rPr>
                <w:sz w:val="20"/>
                <w:szCs w:val="20"/>
                <w:color w:val="auto"/>
              </w:rPr>
            </w:pPr>
            <w:r>
              <w:rPr>
                <w:rFonts w:ascii="Arial" w:cs="Arial" w:eastAsia="Arial" w:hAnsi="Arial"/>
                <w:sz w:val="18"/>
                <w:szCs w:val="18"/>
                <w:color w:val="auto"/>
              </w:rPr>
              <w:t>Less: Certain items</w:t>
            </w:r>
          </w:p>
        </w:tc>
        <w:tc>
          <w:tcPr>
            <w:tcW w:w="74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(1 )</w:t>
            </w:r>
          </w:p>
        </w:tc>
        <w:tc>
          <w:tcPr>
            <w:tcW w:w="7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(7 )</w:t>
            </w:r>
          </w:p>
        </w:tc>
        <w:tc>
          <w:tcPr>
            <w:tcW w:w="2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(185 )</w:t>
            </w:r>
          </w:p>
        </w:tc>
      </w:tr>
      <w:tr>
        <w:trPr>
          <w:trHeight w:val="245"/>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Other unallocated items</w:t>
            </w:r>
          </w:p>
        </w:tc>
        <w:tc>
          <w:tcPr>
            <w:tcW w:w="7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(33 )</w:t>
            </w:r>
          </w:p>
        </w:tc>
        <w:tc>
          <w:tcPr>
            <w:tcW w:w="78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w w:val="97"/>
              </w:rPr>
              <w:t>(36 )</w:t>
            </w:r>
          </w:p>
        </w:tc>
        <w:tc>
          <w:tcPr>
            <w:tcW w:w="2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(106 )</w:t>
            </w: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(93 )</w:t>
            </w:r>
          </w:p>
        </w:tc>
      </w:tr>
      <w:tr>
        <w:trPr>
          <w:trHeight w:val="243"/>
        </w:trPr>
        <w:tc>
          <w:tcPr>
            <w:tcW w:w="3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segment EBIT</w:t>
            </w:r>
          </w:p>
        </w:tc>
        <w:tc>
          <w:tcPr>
            <w:tcW w:w="7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164</w:t>
            </w:r>
          </w:p>
        </w:tc>
        <w:tc>
          <w:tcPr>
            <w:tcW w:w="260" w:type="dxa"/>
            <w:vAlign w:val="bottom"/>
            <w:tcBorders>
              <w:top w:val="single" w:sz="8" w:color="CFF0FC"/>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176</w:t>
            </w:r>
          </w:p>
        </w:tc>
        <w:tc>
          <w:tcPr>
            <w:tcW w:w="28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6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top w:val="single" w:sz="8" w:color="CFF0FC"/>
            </w:tcBorders>
          </w:tcPr>
          <w:p>
            <w:pPr>
              <w:spacing w:after="0"/>
              <w:rPr>
                <w:sz w:val="21"/>
                <w:szCs w:val="21"/>
                <w:color w:val="auto"/>
              </w:rPr>
            </w:pPr>
          </w:p>
        </w:tc>
      </w:tr>
      <w:tr>
        <w:trPr>
          <w:trHeight w:val="20"/>
        </w:trPr>
        <w:tc>
          <w:tcPr>
            <w:tcW w:w="3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-187960</wp:posOffset>
            </wp:positionV>
            <wp:extent cx="76835"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-187960</wp:posOffset>
            </wp:positionV>
            <wp:extent cx="6858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-187960</wp:posOffset>
            </wp:positionV>
            <wp:extent cx="6858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37"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In the third quarter of fscal 2023, Income (loss) before income taxes and equity in earnings of afliated companies decreased by $22 million and Total segment EBIT decreased by $12 million. The decreases in Income (loss) before income taxes and equity earnings of afliated companies and in Total segment EBIT were driven by lower volumes, higher fxed costs and the unfavorable impact of foreign currency movements partally ofset by higher unit margins in Reinforcement Materials. Lower volumes in the Reinforcement Materials ($19 million) and Performance Chemicals segments ($20 million) were primarily due to demand sofness in key end markets. Higher unit margins in the Reinforcement Materials segment ($42 million) were primarily due to improved pricing and product mix in our annual tre customer agreements.</w:t>
      </w:r>
    </w:p>
    <w:p>
      <w:pPr>
        <w:spacing w:after="0" w:line="48"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the frst nine months of fscal 2023, Income (loss) before income taxes and equity in earnings of afliated companies increased by $118 million. The increase is primarily due to the Purifcaton Solutons loss on sale and asset impairment charge of $206 million in fscal 2022, partally ofset by the gain on the Tokai Carbon acquisiton of $24 million that did not reoccur in fscal 2023. Total segment EBIT decreased by $47 million in the frst nine months of fscal 2023 as compared to the same period in fscal 2022 driven by lower volumes, higher fxed costs and the unfavorable impact of foreign currency movements in both segments, partally ofset by higher unit margins in Reinforcement Materials. Lower volumes in the Reinforcement Materials ($44 million) and Performance Chemicals segments ($48 million) were primarily due to demand sofness in key end markets and destocking. Higher unit margins in the Reinforcement Materials segment ($130 million) were primarily due to improved pricing and product mix in our annual tre customer agreements.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i w:val="1"/>
          <w:iCs w:val="1"/>
          <w:color w:val="auto"/>
        </w:rPr>
        <w:t>Certain Items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Details of the certain items for the three and nine months ended June 30, 2023 and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60" w:type="dxa"/>
            <w:vAlign w:val="bottom"/>
            <w:gridSpan w:val="9"/>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7"/>
          </w:tcPr>
          <w:p>
            <w:pPr>
              <w:ind w:left="40"/>
              <w:spacing w:after="0"/>
              <w:rPr>
                <w:sz w:val="20"/>
                <w:szCs w:val="20"/>
                <w:color w:val="auto"/>
              </w:rPr>
            </w:pPr>
            <w:r>
              <w:rPr>
                <w:rFonts w:ascii="Arial" w:cs="Arial" w:eastAsia="Arial" w:hAnsi="Arial"/>
                <w:sz w:val="14"/>
                <w:szCs w:val="14"/>
                <w:b w:val="1"/>
                <w:bCs w:val="1"/>
                <w:color w:val="auto"/>
                <w:w w:val="89"/>
              </w:rPr>
              <w:t>Nine Months Ended June 30</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Borders>
              <w:top w:val="single" w:sz="8" w:color="auto"/>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2022</w:t>
            </w:r>
          </w:p>
        </w:tc>
        <w:tc>
          <w:tcPr>
            <w:tcW w:w="340" w:type="dxa"/>
            <w:vAlign w:val="bottom"/>
            <w:tcBorders>
              <w:top w:val="single" w:sz="8" w:color="auto"/>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2023</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gridSpan w:val="2"/>
          </w:tcPr>
          <w:p>
            <w:pPr>
              <w:spacing w:after="0"/>
              <w:rPr>
                <w:sz w:val="16"/>
                <w:szCs w:val="16"/>
                <w:color w:val="auto"/>
              </w:rPr>
            </w:pPr>
          </w:p>
        </w:tc>
        <w:tc>
          <w:tcPr>
            <w:tcW w:w="7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w w:val="79"/>
              </w:rPr>
              <w:t>millions)</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Gain on bargain purchase of a business (Note C)</w:t>
            </w:r>
          </w:p>
        </w:tc>
        <w:tc>
          <w:tcPr>
            <w:tcW w:w="1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280" w:type="dxa"/>
            <w:vAlign w:val="bottom"/>
            <w:gridSpan w:val="2"/>
          </w:tcPr>
          <w:p>
            <w:pPr>
              <w:ind w:left="120"/>
              <w:spacing w:after="0"/>
              <w:rPr>
                <w:sz w:val="20"/>
                <w:szCs w:val="20"/>
                <w:color w:val="auto"/>
              </w:rPr>
            </w:pPr>
            <w:r>
              <w:rPr>
                <w:rFonts w:ascii="Arial" w:cs="Arial" w:eastAsia="Arial" w:hAnsi="Arial"/>
                <w:sz w:val="18"/>
                <w:szCs w:val="18"/>
                <w:color w:val="auto"/>
              </w:rPr>
              <w:t>Gain on sale of land</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Loss on sale of business and asset impairment charge (Note D)</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36"/>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(206 )</w:t>
            </w:r>
          </w:p>
        </w:tc>
        <w:tc>
          <w:tcPr>
            <w:tcW w:w="0" w:type="dxa"/>
            <w:vAlign w:val="bottom"/>
          </w:tcPr>
          <w:p>
            <w:pPr>
              <w:spacing w:after="0"/>
              <w:rPr>
                <w:sz w:val="1"/>
                <w:szCs w:val="1"/>
                <w:color w:val="auto"/>
              </w:rPr>
            </w:pPr>
          </w:p>
        </w:tc>
      </w:tr>
      <w:tr>
        <w:trPr>
          <w:trHeight w:val="235"/>
        </w:trPr>
        <w:tc>
          <w:tcPr>
            <w:tcW w:w="5280" w:type="dxa"/>
            <w:vAlign w:val="bottom"/>
            <w:gridSpan w:val="2"/>
          </w:tcPr>
          <w:p>
            <w:pPr>
              <w:ind w:left="120"/>
              <w:spacing w:after="0"/>
              <w:rPr>
                <w:sz w:val="20"/>
                <w:szCs w:val="20"/>
                <w:color w:val="auto"/>
              </w:rPr>
            </w:pPr>
            <w:r>
              <w:rPr>
                <w:rFonts w:ascii="Arial" w:cs="Arial" w:eastAsia="Arial" w:hAnsi="Arial"/>
                <w:sz w:val="18"/>
                <w:szCs w:val="18"/>
                <w:color w:val="auto"/>
              </w:rPr>
              <w:t>Legal and environmental maters and reserves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2"/>
          </w:tcPr>
          <w:p>
            <w:pPr>
              <w:jc w:val="right"/>
              <w:ind w:right="136"/>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51"/>
        </w:trPr>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Acquisiton and integraton-related charges</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(1 )</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36"/>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5"/>
        </w:trPr>
        <w:tc>
          <w:tcPr>
            <w:tcW w:w="5280" w:type="dxa"/>
            <w:vAlign w:val="bottom"/>
            <w:gridSpan w:val="2"/>
          </w:tcPr>
          <w:p>
            <w:pPr>
              <w:ind w:left="120"/>
              <w:spacing w:after="0"/>
              <w:rPr>
                <w:sz w:val="20"/>
                <w:szCs w:val="20"/>
                <w:color w:val="auto"/>
              </w:rPr>
            </w:pPr>
            <w:r>
              <w:rPr>
                <w:rFonts w:ascii="Arial" w:cs="Arial" w:eastAsia="Arial" w:hAnsi="Arial"/>
                <w:sz w:val="18"/>
                <w:szCs w:val="18"/>
                <w:color w:val="auto"/>
              </w:rPr>
              <w:t>Divestture related charges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2"/>
          </w:tcPr>
          <w:p>
            <w:pPr>
              <w:jc w:val="right"/>
              <w:ind w:right="2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51"/>
        </w:trPr>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Global restructuring actvites</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36"/>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7"/>
        </w:trPr>
        <w:tc>
          <w:tcPr>
            <w:tcW w:w="528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2"/>
          </w:tcPr>
          <w:p>
            <w:pPr>
              <w:jc w:val="right"/>
              <w:ind w:right="2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Total certain items, pre-tax</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420" w:type="dxa"/>
            <w:vAlign w:val="bottom"/>
            <w:tcBorders>
              <w:top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(185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Non-GAAP tax adjustments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2"/>
          </w:tcPr>
          <w:p>
            <w:pPr>
              <w:jc w:val="right"/>
              <w:ind w:right="136"/>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2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certain items, afer tax</w:t>
            </w:r>
          </w:p>
        </w:tc>
        <w:tc>
          <w:tcPr>
            <w:tcW w:w="1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4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(156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5280" w:type="dxa"/>
            <w:vAlign w:val="bottom"/>
            <w:gridSpan w:val="2"/>
          </w:tcPr>
          <w:p>
            <w:pPr>
              <w:ind w:left="480"/>
              <w:spacing w:after="0"/>
              <w:rPr>
                <w:sz w:val="20"/>
                <w:szCs w:val="20"/>
                <w:color w:val="auto"/>
              </w:rPr>
            </w:pPr>
            <w:r>
              <w:rPr>
                <w:rFonts w:ascii="Arial" w:cs="Arial" w:eastAsia="Arial" w:hAnsi="Arial"/>
                <w:sz w:val="18"/>
                <w:szCs w:val="18"/>
                <w:i w:val="1"/>
                <w:iCs w:val="1"/>
                <w:color w:val="auto"/>
              </w:rPr>
              <w:t>Other Unallocated Items</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1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8"/>
          </w:tcPr>
          <w:p>
            <w:pPr>
              <w:jc w:val="right"/>
              <w:ind w:right="285"/>
              <w:spacing w:after="0"/>
              <w:rPr>
                <w:sz w:val="20"/>
                <w:szCs w:val="20"/>
                <w:color w:val="auto"/>
              </w:rPr>
            </w:pPr>
            <w:r>
              <w:rPr>
                <w:rFonts w:ascii="Arial" w:cs="Arial" w:eastAsia="Arial" w:hAnsi="Arial"/>
                <w:sz w:val="14"/>
                <w:szCs w:val="14"/>
                <w:b w:val="1"/>
                <w:bCs w:val="1"/>
                <w:color w:val="auto"/>
                <w:w w:val="91"/>
              </w:rPr>
              <w:t>Three Months Ended June 30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7"/>
          </w:tcPr>
          <w:p>
            <w:pPr>
              <w:jc w:val="right"/>
              <w:ind w:right="10"/>
              <w:spacing w:after="0"/>
              <w:rPr>
                <w:sz w:val="20"/>
                <w:szCs w:val="20"/>
                <w:color w:val="auto"/>
              </w:rPr>
            </w:pPr>
            <w:r>
              <w:rPr>
                <w:rFonts w:ascii="Arial" w:cs="Arial" w:eastAsia="Arial" w:hAnsi="Arial"/>
                <w:sz w:val="14"/>
                <w:szCs w:val="14"/>
                <w:b w:val="1"/>
                <w:bCs w:val="1"/>
                <w:color w:val="auto"/>
                <w:w w:val="89"/>
              </w:rPr>
              <w:t>Nine Months Ended June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w w:val="79"/>
              </w:rPr>
              <w:t>millions)</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120" w:type="dxa"/>
            <w:vAlign w:val="bottom"/>
          </w:tcPr>
          <w:p>
            <w:pPr>
              <w:spacing w:after="0"/>
              <w:rPr>
                <w:sz w:val="21"/>
                <w:szCs w:val="21"/>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FF0FC"/>
          </w:tcPr>
          <w:p>
            <w:pPr>
              <w:jc w:val="right"/>
              <w:ind w:right="81"/>
              <w:spacing w:after="0"/>
              <w:rPr>
                <w:sz w:val="20"/>
                <w:szCs w:val="20"/>
                <w:color w:val="auto"/>
              </w:rPr>
            </w:pPr>
            <w:r>
              <w:rPr>
                <w:rFonts w:ascii="Arial" w:cs="Arial" w:eastAsia="Arial" w:hAnsi="Arial"/>
                <w:sz w:val="18"/>
                <w:szCs w:val="18"/>
                <w:color w:val="auto"/>
              </w:rPr>
              <w:t>(24 )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(15 )</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FF0FC"/>
          </w:tcPr>
          <w:p>
            <w:pPr>
              <w:jc w:val="right"/>
              <w:ind w:right="101"/>
              <w:spacing w:after="0"/>
              <w:rPr>
                <w:sz w:val="20"/>
                <w:szCs w:val="20"/>
                <w:color w:val="auto"/>
              </w:rPr>
            </w:pPr>
            <w:r>
              <w:rPr>
                <w:rFonts w:ascii="Arial" w:cs="Arial" w:eastAsia="Arial" w:hAnsi="Arial"/>
                <w:sz w:val="18"/>
                <w:szCs w:val="18"/>
                <w:color w:val="auto"/>
              </w:rPr>
              <w:t>(69 )</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(38 )</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Unallocated corporate costs</w:t>
            </w:r>
          </w:p>
        </w:tc>
        <w:tc>
          <w:tcPr>
            <w:tcW w:w="180" w:type="dxa"/>
            <w:vAlign w:val="bottom"/>
          </w:tcPr>
          <w:p>
            <w:pPr>
              <w:spacing w:after="0"/>
              <w:rPr>
                <w:sz w:val="20"/>
                <w:szCs w:val="20"/>
                <w:color w:val="auto"/>
              </w:rPr>
            </w:pPr>
          </w:p>
        </w:tc>
        <w:tc>
          <w:tcPr>
            <w:tcW w:w="1040" w:type="dxa"/>
            <w:vAlign w:val="bottom"/>
            <w:gridSpan w:val="3"/>
          </w:tcPr>
          <w:p>
            <w:pPr>
              <w:jc w:val="right"/>
              <w:ind w:right="81"/>
              <w:spacing w:after="0"/>
              <w:rPr>
                <w:sz w:val="20"/>
                <w:szCs w:val="20"/>
                <w:color w:val="auto"/>
              </w:rPr>
            </w:pPr>
            <w:r>
              <w:rPr>
                <w:rFonts w:ascii="Arial" w:cs="Arial" w:eastAsia="Arial" w:hAnsi="Arial"/>
                <w:sz w:val="18"/>
                <w:szCs w:val="18"/>
                <w:color w:val="auto"/>
              </w:rPr>
              <w:t>(11 )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6"/>
              </w:rPr>
              <w:t>(15 )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4"/>
          </w:tcPr>
          <w:p>
            <w:pPr>
              <w:jc w:val="right"/>
              <w:ind w:right="101"/>
              <w:spacing w:after="0"/>
              <w:rPr>
                <w:sz w:val="20"/>
                <w:szCs w:val="20"/>
                <w:color w:val="auto"/>
              </w:rPr>
            </w:pPr>
            <w:r>
              <w:rPr>
                <w:rFonts w:ascii="Arial" w:cs="Arial" w:eastAsia="Arial" w:hAnsi="Arial"/>
                <w:sz w:val="18"/>
                <w:szCs w:val="18"/>
                <w:color w:val="auto"/>
              </w:rPr>
              <w:t>(42 )</w:t>
            </w:r>
          </w:p>
        </w:tc>
        <w:tc>
          <w:tcPr>
            <w:tcW w:w="340" w:type="dxa"/>
            <w:vAlign w:val="bottom"/>
          </w:tcPr>
          <w:p>
            <w:pPr>
              <w:spacing w:after="0"/>
              <w:rPr>
                <w:sz w:val="20"/>
                <w:szCs w:val="20"/>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(45 )</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120" w:type="dxa"/>
            <w:vAlign w:val="bottom"/>
          </w:tcPr>
          <w:p>
            <w:pPr>
              <w:spacing w:after="0"/>
              <w:rPr>
                <w:sz w:val="21"/>
                <w:szCs w:val="21"/>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unallocated income (expense)</w:t>
            </w:r>
          </w:p>
        </w:tc>
        <w:tc>
          <w:tcPr>
            <w:tcW w:w="1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9</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8"/>
              </w:rPr>
              <w:t>(3 )</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120" w:type="dxa"/>
            <w:vAlign w:val="bottom"/>
          </w:tcPr>
          <w:p>
            <w:pPr>
              <w:spacing w:after="0"/>
              <w:rPr>
                <w:sz w:val="17"/>
                <w:szCs w:val="17"/>
                <w:color w:val="auto"/>
              </w:rPr>
            </w:pPr>
          </w:p>
        </w:tc>
        <w:tc>
          <w:tcPr>
            <w:tcW w:w="4160" w:type="dxa"/>
            <w:vAlign w:val="bottom"/>
          </w:tcPr>
          <w:p>
            <w:pPr>
              <w:ind w:left="20"/>
              <w:spacing w:after="0" w:line="197" w:lineRule="exact"/>
              <w:rPr>
                <w:sz w:val="20"/>
                <w:szCs w:val="20"/>
                <w:color w:val="auto"/>
              </w:rPr>
            </w:pPr>
            <w:r>
              <w:rPr>
                <w:rFonts w:ascii="Arial" w:cs="Arial" w:eastAsia="Arial" w:hAnsi="Arial"/>
                <w:sz w:val="18"/>
                <w:szCs w:val="18"/>
                <w:color w:val="auto"/>
              </w:rPr>
              <w:t>Less: Equity in earnings of afliated</w:t>
            </w:r>
          </w:p>
        </w:tc>
        <w:tc>
          <w:tcPr>
            <w:tcW w:w="180" w:type="dxa"/>
            <w:vAlign w:val="bottom"/>
          </w:tcPr>
          <w:p>
            <w:pPr>
              <w:spacing w:after="0"/>
              <w:rPr>
                <w:sz w:val="17"/>
                <w:szCs w:val="17"/>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4</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companies, net of tax</w:t>
            </w:r>
          </w:p>
        </w:tc>
        <w:tc>
          <w:tcPr>
            <w:tcW w:w="18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4"/>
                <w:szCs w:val="24"/>
                <w:color w:val="auto"/>
              </w:rPr>
            </w:pPr>
          </w:p>
        </w:tc>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unallocated items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-1636395</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-1619250</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-1636395</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-1619250</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-1636395</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-1619250</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-1636395</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-1619250</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ind w:right="100" w:firstLine="509"/>
        <w:spacing w:after="0" w:line="274" w:lineRule="auto"/>
        <w:rPr>
          <w:sz w:val="20"/>
          <w:szCs w:val="20"/>
          <w:color w:val="auto"/>
        </w:rPr>
      </w:pPr>
      <w:r>
        <w:rPr>
          <w:rFonts w:ascii="Arial" w:cs="Arial" w:eastAsia="Arial" w:hAnsi="Arial"/>
          <w:sz w:val="17"/>
          <w:szCs w:val="17"/>
          <w:color w:val="auto"/>
        </w:rPr>
        <w:t>A discussion of items that we refer to as “other unallocated items” can be found under the heading “Defniton of Terms and Non-GAAP Financial Measures”. The balances of unallocated corporate costs are primarily comprised of expenditures related to managing a public company that are not allocated to the segments and corporate business development costs related to ongoing corporate projects. The balances of General unallocated income (expense) consist of gains (losses) arising from foreign currency transactons, net of other foreign currency risk management actvites, the proft or loss related to the corporate adjustment for unearned revenue and unrealized holding gains (losses) for investments.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Reinforcement Materials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EBIT for Reinforcement Materials for the third quarter and frst nine months of fscal 2023 and 2022 were as follows: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3800" w:type="dxa"/>
            <w:vAlign w:val="bottom"/>
          </w:tcPr>
          <w:p>
            <w:pPr>
              <w:spacing w:after="0"/>
              <w:rPr>
                <w:sz w:val="15"/>
                <w:szCs w:val="15"/>
                <w:color w:val="auto"/>
              </w:rPr>
            </w:pPr>
          </w:p>
        </w:tc>
        <w:tc>
          <w:tcPr>
            <w:tcW w:w="21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w w:val="92"/>
              </w:rPr>
              <w:t>Nine Months Ended June 30</w:t>
            </w:r>
          </w:p>
        </w:tc>
        <w:tc>
          <w:tcPr>
            <w:tcW w:w="120" w:type="dxa"/>
            <w:vAlign w:val="bottom"/>
          </w:tcPr>
          <w:p>
            <w:pPr>
              <w:spacing w:after="0"/>
              <w:rPr>
                <w:sz w:val="15"/>
                <w:szCs w:val="15"/>
                <w:color w:val="auto"/>
              </w:rPr>
            </w:pPr>
          </w:p>
        </w:tc>
      </w:tr>
      <w:tr>
        <w:trPr>
          <w:trHeight w:val="30"/>
        </w:trPr>
        <w:tc>
          <w:tcPr>
            <w:tcW w:w="38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38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193"/>
        </w:trPr>
        <w:tc>
          <w:tcPr>
            <w:tcW w:w="3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3"/>
              </w:rPr>
              <w:t>(In</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9"/>
              </w:rPr>
              <w:t>millions)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2"/>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Reinforcement Materials Sales</w:t>
            </w:r>
          </w:p>
        </w:tc>
        <w:tc>
          <w:tcPr>
            <w:tcW w:w="74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624</w:t>
            </w:r>
          </w:p>
        </w:tc>
        <w:tc>
          <w:tcPr>
            <w:tcW w:w="102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730</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w:t>
            </w:r>
          </w:p>
        </w:tc>
        <w:tc>
          <w:tcPr>
            <w:tcW w:w="120" w:type="dxa"/>
            <w:vAlign w:val="bottom"/>
            <w:shd w:val="clear" w:color="auto" w:fill="CFF0FC"/>
          </w:tcPr>
          <w:p>
            <w:pPr>
              <w:spacing w:after="0"/>
              <w:rPr>
                <w:sz w:val="21"/>
                <w:szCs w:val="21"/>
                <w:color w:val="auto"/>
              </w:rPr>
            </w:pPr>
          </w:p>
        </w:tc>
      </w:tr>
      <w:tr>
        <w:trPr>
          <w:trHeight w:val="227"/>
        </w:trPr>
        <w:tc>
          <w:tcPr>
            <w:tcW w:w="3800" w:type="dxa"/>
            <w:vAlign w:val="bottom"/>
          </w:tcPr>
          <w:p>
            <w:pPr>
              <w:ind w:left="20"/>
              <w:spacing w:after="0"/>
              <w:rPr>
                <w:sz w:val="20"/>
                <w:szCs w:val="20"/>
                <w:color w:val="auto"/>
              </w:rPr>
            </w:pPr>
            <w:r>
              <w:rPr>
                <w:rFonts w:ascii="Arial" w:cs="Arial" w:eastAsia="Arial" w:hAnsi="Arial"/>
                <w:sz w:val="18"/>
                <w:szCs w:val="18"/>
                <w:color w:val="auto"/>
              </w:rPr>
              <w:t>Reinforcement Materials EBIT</w:t>
            </w: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132</w:t>
            </w:r>
          </w:p>
        </w:tc>
        <w:tc>
          <w:tcPr>
            <w:tcW w:w="102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3"/>
              </w:rPr>
              <w:t>113</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348</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r>
    </w:tbl>
    <w:p>
      <w:pPr>
        <w:spacing w:after="0" w:line="173" w:lineRule="exact"/>
        <w:rPr>
          <w:sz w:val="20"/>
          <w:szCs w:val="20"/>
          <w:color w:val="auto"/>
        </w:rPr>
      </w:pPr>
    </w:p>
    <w:p>
      <w:pPr>
        <w:ind w:right="180" w:firstLine="509"/>
        <w:spacing w:after="0" w:line="285" w:lineRule="auto"/>
        <w:rPr>
          <w:sz w:val="20"/>
          <w:szCs w:val="20"/>
          <w:color w:val="auto"/>
        </w:rPr>
      </w:pPr>
      <w:r>
        <w:rPr>
          <w:rFonts w:ascii="Arial" w:cs="Arial" w:eastAsia="Arial" w:hAnsi="Arial"/>
          <w:sz w:val="16"/>
          <w:szCs w:val="16"/>
          <w:color w:val="auto"/>
        </w:rPr>
        <w:t>Sales in Reinforcement Materials decreased by $106 million in the third quarter of fscal 2023 compared to the same period of fscal 2022, primarily due to lower volumes ($59 million), less favorable price and product mix (combined $29 million) the unfavorable impact from foreign currency translaton ($12 million) and lower by-product revenue ($5 million). The less favorable price and product mix was primarily due to lower feedstock costs that are generally passed through to our customers. Volumes were lower across all regions primarily due to lower replacement tre demand.</w:t>
      </w:r>
    </w:p>
    <w:p>
      <w:pPr>
        <w:spacing w:after="0" w:line="1" w:lineRule="exact"/>
        <w:rPr>
          <w:sz w:val="20"/>
          <w:szCs w:val="20"/>
          <w:color w:val="auto"/>
        </w:rPr>
      </w:pPr>
    </w:p>
    <w:p>
      <w:pPr>
        <w:ind w:right="180" w:firstLine="509"/>
        <w:spacing w:after="0" w:line="250" w:lineRule="auto"/>
        <w:rPr>
          <w:sz w:val="20"/>
          <w:szCs w:val="20"/>
          <w:color w:val="auto"/>
        </w:rPr>
      </w:pPr>
      <w:r>
        <w:rPr>
          <w:rFonts w:ascii="Arial" w:cs="Arial" w:eastAsia="Arial" w:hAnsi="Arial"/>
          <w:sz w:val="18"/>
          <w:szCs w:val="18"/>
          <w:color w:val="auto"/>
        </w:rPr>
        <w:t>In the frst nine months of fscal 2023, sales in Reinforcement Materials decreased by $8 million compared to the frst nine months of fscal 2022. The decrease was primarily due to lower volumes ($130 million), the unfavorable impact from foreign currency translaton ($88 million) and lower by-product revenue ($15 million), partally ofset by improved price and product mix (combined $225 million). Lower volumes were primarily due to lower replacement tre demand and customer destocking. The improved price and product mix was primarily due to favorable 2022 and 2023 calendar year customer agreements.</w:t>
      </w:r>
    </w:p>
    <w:p>
      <w:pPr>
        <w:spacing w:after="0" w:line="2" w:lineRule="exact"/>
        <w:rPr>
          <w:sz w:val="20"/>
          <w:szCs w:val="20"/>
          <w:color w:val="auto"/>
        </w:rPr>
      </w:pPr>
    </w:p>
    <w:p>
      <w:pPr>
        <w:jc w:val="both"/>
        <w:ind w:right="60" w:firstLine="509"/>
        <w:spacing w:after="0" w:line="255" w:lineRule="auto"/>
        <w:rPr>
          <w:sz w:val="20"/>
          <w:szCs w:val="20"/>
          <w:color w:val="auto"/>
        </w:rPr>
      </w:pPr>
      <w:r>
        <w:rPr>
          <w:rFonts w:ascii="Arial" w:cs="Arial" w:eastAsia="Arial" w:hAnsi="Arial"/>
          <w:sz w:val="18"/>
          <w:szCs w:val="18"/>
          <w:color w:val="auto"/>
        </w:rPr>
        <w:t>EBIT in Reinforcement Materials in the third quarter of fscal 2023 increased by $19 million compared to the same period of fscal 2022. During the third quarter of fscal 2023, the segment had higher unit margins, net of higher costs ($38 million), partally ofset by lower volumes ($19 million) and the unfavorable impact from foreign currency translaton ($1 million). The higher unit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7" w:name="page28"/>
    <w:bookmarkEnd w:id="27"/>
    <w:p>
      <w:pPr>
        <w:ind w:right="520"/>
        <w:spacing w:after="0" w:line="256" w:lineRule="auto"/>
        <w:rPr>
          <w:sz w:val="20"/>
          <w:szCs w:val="20"/>
          <w:color w:val="auto"/>
        </w:rPr>
      </w:pPr>
      <w:r>
        <w:rPr>
          <w:rFonts w:ascii="Arial" w:cs="Arial" w:eastAsia="Arial" w:hAnsi="Arial"/>
          <w:sz w:val="18"/>
          <w:szCs w:val="18"/>
          <w:color w:val="auto"/>
        </w:rPr>
        <w:t>margins were primarily driven by favorable pricing and product mix in the 2023 calendar year customer agreements. Volumes were lower across all regions primarily due to lower replacement tre demand.</w:t>
      </w:r>
    </w:p>
    <w:p>
      <w:pPr>
        <w:spacing w:after="0" w:line="1"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EBIT in Reinforcement Materials increased by $49 million in the frst nine months of fscal 2023 compared to the same period of fscal 2022. The increase was driven by higher unit margins, net of higher costs ($99 million) partally ofset by lower volumes ($44 million) and the unfavorable impact from foreign currency translaton ($6 million). The higher unit margins were primarily driven by favorable pricing and product mix in the 2022 and 2023 calendar year customer agreements. Volumes were lower across all regions primarily due to lower replacement tre demand and destocking at our major tre customers.</w:t>
      </w:r>
    </w:p>
    <w:p>
      <w:pPr>
        <w:spacing w:after="0" w:line="59" w:lineRule="exact"/>
        <w:rPr>
          <w:sz w:val="20"/>
          <w:szCs w:val="20"/>
          <w:color w:val="auto"/>
        </w:rPr>
      </w:pPr>
    </w:p>
    <w:p>
      <w:pPr>
        <w:ind w:right="160" w:firstLine="509"/>
        <w:spacing w:after="0" w:line="273" w:lineRule="auto"/>
        <w:rPr>
          <w:sz w:val="20"/>
          <w:szCs w:val="20"/>
          <w:color w:val="auto"/>
        </w:rPr>
      </w:pPr>
      <w:r>
        <w:rPr>
          <w:rFonts w:ascii="Arial" w:cs="Arial" w:eastAsia="Arial" w:hAnsi="Arial"/>
          <w:sz w:val="18"/>
          <w:szCs w:val="18"/>
          <w:color w:val="auto"/>
        </w:rPr>
        <w:t>As we look to the fourth quarter of the fscal year, we expect EBIT to decrease sequentally due to seasonally lower volumes in Europe and higher fxed costs related to the tming of maintenance actvites.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Chemicals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EBIT for Performance Chemicals for the third quarter and frst nine months of fscal 2023 and 2022 were as follows: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3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4"/>
              </w:rPr>
              <w:t>Three Months Ended June 30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w w:val="92"/>
              </w:rPr>
              <w:t>Nine Months Ended June 30</w:t>
            </w:r>
          </w:p>
        </w:tc>
        <w:tc>
          <w:tcPr>
            <w:tcW w:w="120" w:type="dxa"/>
            <w:vAlign w:val="bottom"/>
          </w:tcPr>
          <w:p>
            <w:pPr>
              <w:spacing w:after="0"/>
              <w:rPr>
                <w:sz w:val="15"/>
                <w:szCs w:val="15"/>
                <w:color w:val="auto"/>
              </w:rPr>
            </w:pPr>
          </w:p>
        </w:tc>
      </w:tr>
      <w:tr>
        <w:trPr>
          <w:trHeight w:val="29"/>
        </w:trPr>
        <w:tc>
          <w:tcPr>
            <w:tcW w:w="3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3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193"/>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9"/>
              </w:rPr>
              <w:t>millions)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2"/>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Performance Chemicals Sales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FF0FC"/>
          </w:tcPr>
          <w:p>
            <w:pPr>
              <w:spacing w:after="0"/>
              <w:rPr>
                <w:sz w:val="21"/>
                <w:szCs w:val="21"/>
                <w:color w:val="auto"/>
              </w:rPr>
            </w:pPr>
          </w:p>
        </w:tc>
      </w:tr>
      <w:tr>
        <w:trPr>
          <w:trHeight w:val="227"/>
        </w:trPr>
        <w:tc>
          <w:tcPr>
            <w:tcW w:w="3800" w:type="dxa"/>
            <w:vAlign w:val="bottom"/>
          </w:tcPr>
          <w:p>
            <w:pPr>
              <w:ind w:left="20"/>
              <w:spacing w:after="0"/>
              <w:rPr>
                <w:sz w:val="20"/>
                <w:szCs w:val="20"/>
                <w:color w:val="auto"/>
              </w:rPr>
            </w:pPr>
            <w:r>
              <w:rPr>
                <w:rFonts w:ascii="Arial" w:cs="Arial" w:eastAsia="Arial" w:hAnsi="Arial"/>
                <w:sz w:val="18"/>
                <w:szCs w:val="18"/>
                <w:color w:val="auto"/>
              </w:rPr>
              <w:t>Performance Chemicals EBIT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r>
    </w:tbl>
    <w:p>
      <w:pPr>
        <w:spacing w:after="0" w:line="173"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Sales in Performance Chemicals decreased by $69 million in the third quarter of fscal 2023 compared to the same period of fscal 2022, primarily due to lower volumes ($32 million), less favorable pricing and product mix ($27 million), the unfavorable impact of foreign currency translaton ($6 million) and lower by-product revenue ($2 million). The lower volumes in the third quarter of fscal 2023 were driven by demand sofness in key end markets, partcularly in our fumed metal oxides product line. The less favorable product mix was due to less favorable product mix in our batery materials and specialty carbons product lines.</w:t>
      </w:r>
    </w:p>
    <w:p>
      <w:pPr>
        <w:spacing w:after="0" w:line="57" w:lineRule="exact"/>
        <w:rPr>
          <w:sz w:val="20"/>
          <w:szCs w:val="20"/>
          <w:color w:val="auto"/>
        </w:rPr>
      </w:pPr>
    </w:p>
    <w:p>
      <w:pPr>
        <w:ind w:right="160" w:firstLine="509"/>
        <w:spacing w:after="0" w:line="258" w:lineRule="auto"/>
        <w:rPr>
          <w:sz w:val="20"/>
          <w:szCs w:val="20"/>
          <w:color w:val="auto"/>
        </w:rPr>
      </w:pPr>
      <w:r>
        <w:rPr>
          <w:rFonts w:ascii="Arial" w:cs="Arial" w:eastAsia="Arial" w:hAnsi="Arial"/>
          <w:sz w:val="18"/>
          <w:szCs w:val="18"/>
          <w:color w:val="auto"/>
        </w:rPr>
        <w:t>In the frst nine months of fscal 2023, sales in Performance Chemicals decreased by $126 million compared to the same period of fscal 2022 due to lower volumes ($68 million), the unfavorable impact of foreign currency translaton ($42 million), lower by-product revenue ($7 million) and less favorable pricing and product mix ($9 million). The lower volumes were primarily due to customer destocking, demand sofness in key end markets and the impact from COVID-19 outbreaks in China.</w:t>
      </w:r>
    </w:p>
    <w:p>
      <w:pPr>
        <w:spacing w:after="0" w:line="55" w:lineRule="exact"/>
        <w:rPr>
          <w:sz w:val="20"/>
          <w:szCs w:val="20"/>
          <w:color w:val="auto"/>
        </w:rPr>
      </w:pPr>
    </w:p>
    <w:p>
      <w:pPr>
        <w:ind w:right="160" w:firstLine="509"/>
        <w:spacing w:after="0" w:line="258" w:lineRule="auto"/>
        <w:rPr>
          <w:sz w:val="20"/>
          <w:szCs w:val="20"/>
          <w:color w:val="auto"/>
        </w:rPr>
      </w:pPr>
      <w:r>
        <w:rPr>
          <w:rFonts w:ascii="Arial" w:cs="Arial" w:eastAsia="Arial" w:hAnsi="Arial"/>
          <w:sz w:val="18"/>
          <w:szCs w:val="18"/>
          <w:color w:val="auto"/>
        </w:rPr>
        <w:t>EBIT in Performance Chemicals decreased by $31 million in the third quarter of fscal 2023 compared to the third quarter of fscal 2022, due to lower volumes ($20 million), lower unit margins ($9 million) and higher costs associated with the unfavorable impact of the reducton in inventory levels ($4 million). The lower volumes in the third quarter of fscal 2023 were driven by demand sofness across all regions. Lower unit margins were primarily due to less favorable product mix in the specialty carbons and batery materials product lines.</w:t>
      </w:r>
    </w:p>
    <w:p>
      <w:pPr>
        <w:spacing w:after="0" w:line="55" w:lineRule="exact"/>
        <w:rPr>
          <w:sz w:val="20"/>
          <w:szCs w:val="20"/>
          <w:color w:val="auto"/>
        </w:rPr>
      </w:pPr>
    </w:p>
    <w:p>
      <w:pPr>
        <w:jc w:val="both"/>
        <w:ind w:right="80" w:firstLine="509"/>
        <w:spacing w:after="0" w:line="295" w:lineRule="auto"/>
        <w:rPr>
          <w:sz w:val="20"/>
          <w:szCs w:val="20"/>
          <w:color w:val="auto"/>
        </w:rPr>
      </w:pPr>
      <w:r>
        <w:rPr>
          <w:rFonts w:ascii="Arial" w:cs="Arial" w:eastAsia="Arial" w:hAnsi="Arial"/>
          <w:sz w:val="16"/>
          <w:szCs w:val="16"/>
          <w:color w:val="auto"/>
        </w:rPr>
        <w:t>EBIT in Performance Chemicals decreased by $96 million in the frst nine months of fscal 2023 compared to the same period of fscal 2022, due to lower volumes ($48 million), lower unit margins ($24 million), the unfavorable impact of a reducton in inventory levels ($15 million) and the unfavorable impact of foreign currency translaton ($9 million). Lower unit margins were largely due to less favorable product mix in the specialty carbons and batery materials product lines. The segment also experienced higher costs associated with the unfavorable impact of reducton in inventory levels ($15 million). Lower volumes were driven by customer destocking, demand sofness in key end markets, and the impact from COVID-19 outbreaks in China.</w:t>
      </w:r>
    </w:p>
    <w:p>
      <w:pPr>
        <w:spacing w:after="0" w:line="30" w:lineRule="exact"/>
        <w:rPr>
          <w:sz w:val="20"/>
          <w:szCs w:val="20"/>
          <w:color w:val="auto"/>
        </w:rPr>
      </w:pPr>
    </w:p>
    <w:p>
      <w:pPr>
        <w:ind w:right="280" w:firstLine="509"/>
        <w:spacing w:after="0" w:line="273" w:lineRule="auto"/>
        <w:rPr>
          <w:sz w:val="20"/>
          <w:szCs w:val="20"/>
          <w:color w:val="auto"/>
        </w:rPr>
      </w:pPr>
      <w:r>
        <w:rPr>
          <w:rFonts w:ascii="Arial" w:cs="Arial" w:eastAsia="Arial" w:hAnsi="Arial"/>
          <w:sz w:val="18"/>
          <w:szCs w:val="18"/>
          <w:color w:val="auto"/>
        </w:rPr>
        <w:t>As we look ahead to the fourth quarter of the fscal year, we expect EBIT to improve sequentally due to higher volumes in our batery materials and inkjet product lines.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Purifcaton Solutons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EBIT for Purifcaton Solutons for the third quarter and frst nine months of fscal 2023 and 2022 were as follows: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3800" w:type="dxa"/>
            <w:vAlign w:val="bottom"/>
          </w:tcPr>
          <w:p>
            <w:pPr>
              <w:spacing w:after="0"/>
              <w:rPr>
                <w:sz w:val="15"/>
                <w:szCs w:val="15"/>
                <w:color w:val="auto"/>
              </w:rPr>
            </w:pPr>
          </w:p>
        </w:tc>
        <w:tc>
          <w:tcPr>
            <w:tcW w:w="21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gridSpan w:val="4"/>
          </w:tcPr>
          <w:p>
            <w:pPr>
              <w:ind w:left="60"/>
              <w:spacing w:after="0"/>
              <w:rPr>
                <w:sz w:val="20"/>
                <w:szCs w:val="20"/>
                <w:color w:val="auto"/>
              </w:rPr>
            </w:pPr>
            <w:r>
              <w:rPr>
                <w:rFonts w:ascii="Arial" w:cs="Arial" w:eastAsia="Arial" w:hAnsi="Arial"/>
                <w:sz w:val="14"/>
                <w:szCs w:val="14"/>
                <w:b w:val="1"/>
                <w:bCs w:val="1"/>
                <w:color w:val="auto"/>
              </w:rPr>
              <w:t>Nine Months Ended June 30</w:t>
            </w:r>
          </w:p>
        </w:tc>
        <w:tc>
          <w:tcPr>
            <w:tcW w:w="120" w:type="dxa"/>
            <w:vAlign w:val="bottom"/>
          </w:tcPr>
          <w:p>
            <w:pPr>
              <w:spacing w:after="0"/>
              <w:rPr>
                <w:sz w:val="15"/>
                <w:szCs w:val="15"/>
                <w:color w:val="auto"/>
              </w:rPr>
            </w:pPr>
          </w:p>
        </w:tc>
      </w:tr>
      <w:tr>
        <w:trPr>
          <w:trHeight w:val="30"/>
        </w:trPr>
        <w:tc>
          <w:tcPr>
            <w:tcW w:w="38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3800" w:type="dxa"/>
            <w:vAlign w:val="bottom"/>
          </w:tcPr>
          <w:p>
            <w:pPr>
              <w:spacing w:after="0"/>
              <w:rPr>
                <w:sz w:val="16"/>
                <w:szCs w:val="16"/>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193"/>
        </w:trPr>
        <w:tc>
          <w:tcPr>
            <w:tcW w:w="3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ind w:left="60"/>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9"/>
              </w:rPr>
              <w:t>millions)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2"/>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Purifcaton Solutons Sales</w:t>
            </w:r>
          </w:p>
        </w:tc>
        <w:tc>
          <w:tcPr>
            <w:tcW w:w="80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106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21"/>
                <w:szCs w:val="21"/>
                <w:color w:val="auto"/>
              </w:rPr>
            </w:pPr>
          </w:p>
        </w:tc>
      </w:tr>
      <w:tr>
        <w:trPr>
          <w:trHeight w:val="227"/>
        </w:trPr>
        <w:tc>
          <w:tcPr>
            <w:tcW w:w="3800" w:type="dxa"/>
            <w:vAlign w:val="bottom"/>
          </w:tcPr>
          <w:p>
            <w:pPr>
              <w:ind w:left="20"/>
              <w:spacing w:after="0"/>
              <w:rPr>
                <w:sz w:val="20"/>
                <w:szCs w:val="20"/>
                <w:color w:val="auto"/>
              </w:rPr>
            </w:pPr>
            <w:r>
              <w:rPr>
                <w:rFonts w:ascii="Arial" w:cs="Arial" w:eastAsia="Arial" w:hAnsi="Arial"/>
                <w:sz w:val="18"/>
                <w:szCs w:val="18"/>
                <w:color w:val="auto"/>
              </w:rPr>
              <w:t>Purifcaton Solutons EBIT</w:t>
            </w:r>
          </w:p>
        </w:tc>
        <w:tc>
          <w:tcPr>
            <w:tcW w:w="800" w:type="dxa"/>
            <w:vAlign w:val="bottom"/>
          </w:tcPr>
          <w:p>
            <w:pPr>
              <w:jc w:val="right"/>
              <w:ind w:right="599"/>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06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bl>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color w:val="auto"/>
        </w:rPr>
        <w:t>We divested the Purifcaton Solutons business in March 2022. Refer to Note D of our Notes to the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2" w:lineRule="exact"/>
        <w:rPr>
          <w:sz w:val="20"/>
          <w:szCs w:val="20"/>
          <w:color w:val="auto"/>
        </w:rPr>
      </w:pPr>
    </w:p>
    <w:p>
      <w:pPr>
        <w:ind w:right="40" w:firstLine="509"/>
        <w:spacing w:after="0" w:line="258" w:lineRule="auto"/>
        <w:rPr>
          <w:sz w:val="20"/>
          <w:szCs w:val="20"/>
          <w:color w:val="auto"/>
        </w:rPr>
      </w:pPr>
      <w:r>
        <w:rPr>
          <w:rFonts w:ascii="Arial" w:cs="Arial" w:eastAsia="Arial" w:hAnsi="Arial"/>
          <w:sz w:val="18"/>
          <w:szCs w:val="18"/>
          <w:color w:val="auto"/>
        </w:rPr>
        <w:t>Our liquidity positon, as measured by cash and cash equivalents plus borrowing availability, increased by $233 million during the frst nine months of fscal 2023, which was primarily due to a higher cash balance, lower outstanding commercial paper and the impact of foreign currency rates partally ofset by increased borrowing on the Euro Credit Agreement (as defned below). As of June 30, 2023, we had cash and cash equivalents of $220 million and borrowing availability under our revolving credit agreements of $1.1 billion.</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access to borrowings under the following two credit agreements:</w:t>
      </w:r>
    </w:p>
    <w:p>
      <w:pPr>
        <w:spacing w:after="0" w:line="90" w:lineRule="exact"/>
        <w:rPr>
          <w:sz w:val="20"/>
          <w:szCs w:val="20"/>
          <w:color w:val="auto"/>
        </w:rPr>
      </w:pPr>
    </w:p>
    <w:p>
      <w:pPr>
        <w:ind w:left="1260" w:right="40" w:hanging="368"/>
        <w:spacing w:after="0" w:line="274" w:lineRule="auto"/>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 billion unsecured revolving credit agreement (the “U.S. Credit Agreement”)with JPMorgan Chase Bank, N.A., as Administratve Agent, Citbank, N.A., as Syndicaton Agent, and the other lenders party thereto, which matures in August 2026, subject to a one-year opton to extend the maturity, exercisable on or prior to August 6, 2023. Efectve August 4, 2023, we closed on the one-year opton extending the maturity date to August 2027. The U.S. Credit Agreement supports our issuance of commercial paper, and borrowings under it may be used for working capital, leters of credit and other general corporate purposes.</w:t>
      </w:r>
    </w:p>
    <w:p>
      <w:pPr>
        <w:spacing w:after="0" w:line="58" w:lineRule="exact"/>
        <w:rPr>
          <w:rFonts w:ascii="Arial" w:cs="Arial" w:eastAsia="Arial" w:hAnsi="Arial"/>
          <w:sz w:val="17"/>
          <w:szCs w:val="17"/>
          <w:color w:val="auto"/>
        </w:rPr>
      </w:pPr>
    </w:p>
    <w:p>
      <w:pPr>
        <w:ind w:left="1260" w:hanging="368"/>
        <w:spacing w:after="0" w:line="272" w:lineRule="auto"/>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Efectve May 17, 2023, we amended and restated our €300 million unsecured revolving credit agreement (the “Euro Credit Agreement”, and together with the U.S. Credit Agreement, the “Credit Agreements”), changing the Administratve Agent, updatng the Designated Borrowers (as defned therein). The Euro Credit Agreement with PNC Bank, Natonal Associaton, as Administratve Agent, and the other lenders party thereto, matures in August 2027. Borrowings under the Euro Credit Agreement may be used for the repatriaton of earnings of our foreign subsidiaries to the United States, the repayment of indebtedness of our foreign subsidiaries owing to us or any of our subsidiaries and for working capital and general corporate purposes.</w:t>
      </w:r>
    </w:p>
    <w:p>
      <w:pPr>
        <w:spacing w:after="0" w:line="34" w:lineRule="exact"/>
        <w:rPr>
          <w:sz w:val="20"/>
          <w:szCs w:val="20"/>
          <w:color w:val="auto"/>
        </w:rPr>
      </w:pPr>
    </w:p>
    <w:p>
      <w:pPr>
        <w:ind w:right="220" w:firstLine="509"/>
        <w:spacing w:after="0" w:line="284" w:lineRule="auto"/>
        <w:rPr>
          <w:sz w:val="20"/>
          <w:szCs w:val="20"/>
          <w:color w:val="auto"/>
        </w:rPr>
      </w:pPr>
      <w:r>
        <w:rPr>
          <w:rFonts w:ascii="Arial" w:cs="Arial" w:eastAsia="Arial" w:hAnsi="Arial"/>
          <w:sz w:val="17"/>
          <w:szCs w:val="17"/>
          <w:color w:val="auto"/>
        </w:rPr>
        <w:t>As of June 30, 2023, we were in compliance with the debt covenants under the Credit Agreements, which, with limited exceptons, require us to comply on a quarterly basis with a leverage test requiring the rato of consolidated net debt to consolidated EBITDA not to exceed 3.50 to 1.00. Consolidated net debt is defned as consolidated debt ofset by the lesser of (i) unrestricted cash and cash equivalents and (ii) $150 million.</w:t>
      </w:r>
    </w:p>
    <w:p>
      <w:pPr>
        <w:spacing w:after="0" w:line="22"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A signifcant porton of our business occurs outside the U.S. and our cash generaton does not always align geographically with our cash needs. The vast majority of our cash and cash equivalent holdings tend to be held outside the U.S. We generally use a combinaton of U.S. earnings, repatriaton of certain foreign earnings, commercial paper issuances and borrowings under our U.S. Credit Agreement to meet our U.S. cash needs. With the excepton of Argentna, which has currency controls that prevent the distributon of cash, we are generally able to move cash throughout the Company through our cash pooling structures, intercompany accounts and/or distributons, as needed. Although we repatriate certain foreign earnings, cash held by foreign subsidiaries is generally considered permanently reinvested and is used to fnance the subsidiaries’ operatonal actvites and future investments. We usually reduce our commercial paper balance and, if applicable, borrowings under our Credit Agreements, at quarter-end using cash derived from customer collectons, setlement of intercompany balances and short-term intercompany loans. If additonal funds are needed in the U.S., we expect to be able to repatriate cash, including cash from China, while paying any withholding or other taxes. Changes in tax laws in the U.S. or foreign countries could restrict our ability to transfer funds or impose material costs on such transfers.</w:t>
      </w:r>
    </w:p>
    <w:p>
      <w:pPr>
        <w:spacing w:after="0" w:line="50" w:lineRule="exact"/>
        <w:rPr>
          <w:sz w:val="20"/>
          <w:szCs w:val="20"/>
          <w:color w:val="auto"/>
        </w:rPr>
      </w:pPr>
    </w:p>
    <w:p>
      <w:pPr>
        <w:jc w:val="both"/>
        <w:ind w:right="40" w:firstLine="509"/>
        <w:spacing w:after="0" w:line="262" w:lineRule="auto"/>
        <w:rPr>
          <w:sz w:val="20"/>
          <w:szCs w:val="20"/>
          <w:color w:val="auto"/>
        </w:rPr>
      </w:pPr>
      <w:r>
        <w:rPr>
          <w:rFonts w:ascii="Arial" w:cs="Arial" w:eastAsia="Arial" w:hAnsi="Arial"/>
          <w:sz w:val="18"/>
          <w:szCs w:val="18"/>
          <w:color w:val="auto"/>
        </w:rPr>
        <w:t>As of June 30, 2023, we had $1.1 billion of availability under our Credit Agreements. As of June 30, 2023, we had $118 million of borrowings under the Euro Credit Agreement and no outstanding borrowings under the U.S. Credit Agreement. There was $134 million of commercial paper outstanding as of June 30, 2023.</w:t>
      </w:r>
    </w:p>
    <w:p>
      <w:pPr>
        <w:spacing w:after="0" w:line="38"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We antcipate sufcient liquidity from (i) cash on hand; (ii) cash fows from operatng actvites; and (iii) cash available from the Credit Agreements and our commercial paper program to meet our operatonal and capital investment needs and fnancial obligatons for the foreseeable future. The liquidity we derive from cash fows from operatons is, to a large degree, predicated on our ability to collect our receivables in a tmely manner, the cost of our raw materials, and our ability to manage inventory levels.</w:t>
      </w:r>
    </w:p>
    <w:p>
      <w:pPr>
        <w:spacing w:after="0" w:line="41" w:lineRule="exact"/>
        <w:rPr>
          <w:sz w:val="20"/>
          <w:szCs w:val="20"/>
          <w:color w:val="auto"/>
        </w:rPr>
      </w:pPr>
    </w:p>
    <w:p>
      <w:pPr>
        <w:ind w:right="180" w:firstLine="509"/>
        <w:spacing w:after="0" w:line="258" w:lineRule="auto"/>
        <w:rPr>
          <w:sz w:val="20"/>
          <w:szCs w:val="20"/>
          <w:color w:val="auto"/>
        </w:rPr>
      </w:pPr>
      <w:r>
        <w:rPr>
          <w:rFonts w:ascii="Arial" w:cs="Arial" w:eastAsia="Arial" w:hAnsi="Arial"/>
          <w:sz w:val="18"/>
          <w:szCs w:val="18"/>
          <w:color w:val="auto"/>
        </w:rPr>
        <w:t>In additon, our subsidiary in Argentna may incur a foreign currency loss as a result of a signifcant government driven currency devaluaton. The tming of any government acton is uncertain, but could be in the near term and any loss we record would negatvely impact earnings. As of June 30, 2023, we had approximately $35 million of Peso denominated net assets. As described above, currently there are currency controls that prevent the distributon or conversion of cash from Argentna, which makes up the majority of these net assets.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29" w:name="page30"/>
    <w:bookmarkEnd w:id="29"/>
    <w:p>
      <w:pPr>
        <w:ind w:right="820" w:firstLine="509"/>
        <w:spacing w:after="0" w:line="336" w:lineRule="auto"/>
        <w:rPr>
          <w:sz w:val="20"/>
          <w:szCs w:val="20"/>
          <w:color w:val="auto"/>
        </w:rPr>
      </w:pPr>
      <w:r>
        <w:rPr>
          <w:rFonts w:ascii="Arial" w:cs="Arial" w:eastAsia="Arial" w:hAnsi="Arial"/>
          <w:sz w:val="18"/>
          <w:szCs w:val="18"/>
          <w:color w:val="auto"/>
        </w:rPr>
        <w:t xml:space="preserve">The following discussion of the changes in our cash balance refers to the various sectons of our Consolidated Statements of Cash Flows. </w:t>
      </w:r>
      <w:r>
        <w:rPr>
          <w:rFonts w:ascii="Arial" w:cs="Arial" w:eastAsia="Arial" w:hAnsi="Arial"/>
          <w:sz w:val="18"/>
          <w:szCs w:val="18"/>
          <w:b w:val="1"/>
          <w:bCs w:val="1"/>
          <w:i w:val="1"/>
          <w:iCs w:val="1"/>
          <w:color w:val="auto"/>
        </w:rPr>
        <w:t>Cash Flows from Operatng Actvites</w:t>
      </w:r>
    </w:p>
    <w:p>
      <w:pPr>
        <w:spacing w:after="0" w:line="1" w:lineRule="exact"/>
        <w:rPr>
          <w:sz w:val="20"/>
          <w:szCs w:val="20"/>
          <w:color w:val="auto"/>
        </w:rPr>
      </w:pPr>
    </w:p>
    <w:p>
      <w:pPr>
        <w:ind w:right="20" w:firstLine="509"/>
        <w:spacing w:after="0" w:line="262" w:lineRule="auto"/>
        <w:rPr>
          <w:sz w:val="20"/>
          <w:szCs w:val="20"/>
          <w:color w:val="auto"/>
        </w:rPr>
      </w:pPr>
      <w:r>
        <w:rPr>
          <w:rFonts w:ascii="Arial" w:cs="Arial" w:eastAsia="Arial" w:hAnsi="Arial"/>
          <w:sz w:val="18"/>
          <w:szCs w:val="18"/>
          <w:color w:val="auto"/>
        </w:rPr>
        <w:t>Cash provided by operatng actvites, which consists of net income adjusted for the various non-cash items included in income, changes in working capital and changes in certain other balance sheet accounts, totaled $457 million in the frst nine months of fscal 2023 compared to $5 million of cash used by operatng actvites during the same period of fscal 2022.</w:t>
      </w:r>
    </w:p>
    <w:p>
      <w:pPr>
        <w:spacing w:after="0" w:line="38" w:lineRule="exact"/>
        <w:rPr>
          <w:sz w:val="20"/>
          <w:szCs w:val="20"/>
          <w:color w:val="auto"/>
        </w:rPr>
      </w:pPr>
    </w:p>
    <w:p>
      <w:pPr>
        <w:ind w:right="80" w:firstLine="509"/>
        <w:spacing w:after="0" w:line="258" w:lineRule="auto"/>
        <w:rPr>
          <w:sz w:val="20"/>
          <w:szCs w:val="20"/>
          <w:color w:val="auto"/>
        </w:rPr>
      </w:pPr>
      <w:r>
        <w:rPr>
          <w:rFonts w:ascii="Arial" w:cs="Arial" w:eastAsia="Arial" w:hAnsi="Arial"/>
          <w:sz w:val="18"/>
          <w:szCs w:val="18"/>
          <w:color w:val="auto"/>
        </w:rPr>
        <w:t>Cash provided by operatng actvites in the frst nine months of fscal 2023 was driven by business earnings excluding the non-cash impacts of depreciaton and amortzaton of $107 million and a decrease in net working capital of $96 million. The decrease in net working capital was largely driven by a decrease in accounts receivable due to lower customer prices from lower cost of raw materials and decreased sales volumes and a decrease in inventories and accounts payable and accrued expenses driven by lower cost of raw materials.</w:t>
      </w:r>
    </w:p>
    <w:p>
      <w:pPr>
        <w:spacing w:after="0" w:line="55" w:lineRule="exact"/>
        <w:rPr>
          <w:sz w:val="20"/>
          <w:szCs w:val="20"/>
          <w:color w:val="auto"/>
        </w:rPr>
      </w:pPr>
    </w:p>
    <w:p>
      <w:pPr>
        <w:ind w:right="40" w:firstLine="509"/>
        <w:spacing w:after="0" w:line="262" w:lineRule="auto"/>
        <w:rPr>
          <w:sz w:val="20"/>
          <w:szCs w:val="20"/>
          <w:color w:val="auto"/>
        </w:rPr>
      </w:pPr>
      <w:r>
        <w:rPr>
          <w:rFonts w:ascii="Arial" w:cs="Arial" w:eastAsia="Arial" w:hAnsi="Arial"/>
          <w:sz w:val="18"/>
          <w:szCs w:val="18"/>
          <w:color w:val="auto"/>
        </w:rPr>
        <w:t>Cash used by operatng actvites in the frst nine months of fscal 2022 was driven by an increase in net working capital of $390 million. The increase in net working capital was driven by an increase in accounts receivable due to higher sales and an increase in inventory driven by a higher cost of raw materials, partally ofset by an increase in accounts payable.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Investng Actvites</w:t>
      </w:r>
    </w:p>
    <w:p>
      <w:pPr>
        <w:spacing w:after="0" w:line="79" w:lineRule="exact"/>
        <w:rPr>
          <w:sz w:val="20"/>
          <w:szCs w:val="20"/>
          <w:color w:val="auto"/>
        </w:rPr>
      </w:pPr>
    </w:p>
    <w:p>
      <w:pPr>
        <w:ind w:firstLine="509"/>
        <w:spacing w:after="0" w:line="273" w:lineRule="auto"/>
        <w:rPr>
          <w:sz w:val="20"/>
          <w:szCs w:val="20"/>
          <w:color w:val="auto"/>
        </w:rPr>
      </w:pPr>
      <w:r>
        <w:rPr>
          <w:rFonts w:ascii="Arial" w:cs="Arial" w:eastAsia="Arial" w:hAnsi="Arial"/>
          <w:sz w:val="18"/>
          <w:szCs w:val="18"/>
          <w:color w:val="auto"/>
        </w:rPr>
        <w:t>Investng actvites consumed $139 million of cash in the frst nine months of fscal 2023 compared to $31 million of cash consumed in the frst nine months of fscal 2022.</w:t>
      </w:r>
    </w:p>
    <w:p>
      <w:pPr>
        <w:spacing w:after="0" w:line="42" w:lineRule="exact"/>
        <w:rPr>
          <w:sz w:val="20"/>
          <w:szCs w:val="20"/>
          <w:color w:val="auto"/>
        </w:rPr>
      </w:pPr>
    </w:p>
    <w:p>
      <w:pPr>
        <w:ind w:right="300" w:firstLine="509"/>
        <w:spacing w:after="0" w:line="258" w:lineRule="auto"/>
        <w:rPr>
          <w:sz w:val="20"/>
          <w:szCs w:val="20"/>
          <w:color w:val="auto"/>
        </w:rPr>
      </w:pPr>
      <w:r>
        <w:rPr>
          <w:rFonts w:ascii="Arial" w:cs="Arial" w:eastAsia="Arial" w:hAnsi="Arial"/>
          <w:sz w:val="18"/>
          <w:szCs w:val="18"/>
          <w:color w:val="auto"/>
        </w:rPr>
        <w:t>In the frst nine months of fscal 2023, investng actvites included $166 million of capital expenditures for sustaining and compliance capital projects at our operatng facilites as well as growth-related capital, including capacity expansion projects in Performance Chemicals, partally ofset by proceeds from the sale of land of $7 million, proceeds from the sale of our Purifcaton Solutons business of $6 million, and proceeds from insurance setlements of $12 million.</w:t>
      </w:r>
    </w:p>
    <w:p>
      <w:pPr>
        <w:spacing w:after="0" w:line="41" w:lineRule="exact"/>
        <w:rPr>
          <w:sz w:val="20"/>
          <w:szCs w:val="20"/>
          <w:color w:val="auto"/>
        </w:rPr>
      </w:pPr>
    </w:p>
    <w:p>
      <w:pPr>
        <w:ind w:right="80" w:firstLine="509"/>
        <w:spacing w:after="0" w:line="258" w:lineRule="auto"/>
        <w:rPr>
          <w:sz w:val="20"/>
          <w:szCs w:val="20"/>
          <w:color w:val="auto"/>
        </w:rPr>
      </w:pPr>
      <w:r>
        <w:rPr>
          <w:rFonts w:ascii="Arial" w:cs="Arial" w:eastAsia="Arial" w:hAnsi="Arial"/>
          <w:sz w:val="18"/>
          <w:szCs w:val="18"/>
          <w:color w:val="auto"/>
        </w:rPr>
        <w:t>In the frst nine months of fscal 2022, investng actvites included $121 million of capital expenditures for sustaining and compliance capital projects at our operatng facilites as well as capacity expansion capital expenditures primarily in Performance Chemicals. In additon, the frst nine months of fscal 2022 includes $79 million of net cash proceeds from the sale of our Purifcaton Solutons business, $18 million of proceeds from the sale of land, and $9 million of cash paid for the acquisiton of Tokai Carbon, net of cash assumed of $5 million.</w:t>
      </w:r>
    </w:p>
    <w:p>
      <w:pPr>
        <w:spacing w:after="0" w:line="41" w:lineRule="exact"/>
        <w:rPr>
          <w:sz w:val="20"/>
          <w:szCs w:val="20"/>
          <w:color w:val="auto"/>
        </w:rPr>
      </w:pPr>
    </w:p>
    <w:p>
      <w:pPr>
        <w:jc w:val="both"/>
        <w:ind w:right="620" w:firstLine="509"/>
        <w:spacing w:after="0" w:line="262" w:lineRule="auto"/>
        <w:rPr>
          <w:sz w:val="20"/>
          <w:szCs w:val="20"/>
          <w:color w:val="auto"/>
        </w:rPr>
      </w:pPr>
      <w:r>
        <w:rPr>
          <w:rFonts w:ascii="Arial" w:cs="Arial" w:eastAsia="Arial" w:hAnsi="Arial"/>
          <w:sz w:val="18"/>
          <w:szCs w:val="18"/>
          <w:color w:val="auto"/>
        </w:rPr>
        <w:t>Capital expenditures for fscal 2023 are expected to be approximately $250 million. Our planned capital spending program for fscal 2023 is primarily for sustaining, compliance, and improvement capital projects at our operatng facilites as well as capacity expansion expenditures in the Performance Chemicals segment.</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Province of Ontario Regulaton 419 Update</w:t>
      </w:r>
    </w:p>
    <w:p>
      <w:pPr>
        <w:spacing w:after="0" w:line="90" w:lineRule="exact"/>
        <w:rPr>
          <w:sz w:val="20"/>
          <w:szCs w:val="20"/>
          <w:color w:val="auto"/>
        </w:rPr>
      </w:pPr>
    </w:p>
    <w:p>
      <w:pPr>
        <w:ind w:right="100" w:firstLine="509"/>
        <w:spacing w:after="0" w:line="289" w:lineRule="auto"/>
        <w:rPr>
          <w:sz w:val="20"/>
          <w:szCs w:val="20"/>
          <w:color w:val="auto"/>
        </w:rPr>
      </w:pPr>
      <w:r>
        <w:rPr>
          <w:rFonts w:ascii="Arial" w:cs="Arial" w:eastAsia="Arial" w:hAnsi="Arial"/>
          <w:sz w:val="16"/>
          <w:szCs w:val="16"/>
          <w:color w:val="auto"/>
        </w:rPr>
        <w:t>As described in Part I, Item 1 of the 2022 10-K under the heading “Safety, Health, Environment, and Sustainability”, under the Province of Ontario Ministry of Environment, Conservaton and Parks’ (“MECP”) Regulaton 419, a new requirement for sulfur dioxide (“SO2”) emissions went into efect on July 1, 2023 for our reinforcing carbons plant in Sarnia, Ontario. On June 30, 2023, we received a leter from the MECP indicatng that as of July 1 we are out of compliance with the new air standards for SO2 and in response submited our required abatement plan in accordance with the regulaton. We are contnuing discussions with the MECP on a new technical standard for SO2 emissions controls at our plant as an alternatve to this requirement that in its current form would require the installaton of air polluton controls at the plant by July 1, 2028. We intend to contnue to engage with the MECP on this alternatve, or another compliance plan approach that is acceptable to the MECP. We antcipate that we will need to incur signifcant capital costs for the installaton of these new SO2 emissions controls, partcularly during the 24-month period prior to the date of installaton.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Actvites</w:t>
      </w:r>
    </w:p>
    <w:p>
      <w:pPr>
        <w:spacing w:after="0" w:line="79" w:lineRule="exact"/>
        <w:rPr>
          <w:sz w:val="20"/>
          <w:szCs w:val="20"/>
          <w:color w:val="auto"/>
        </w:rPr>
      </w:pPr>
    </w:p>
    <w:p>
      <w:pPr>
        <w:ind w:right="340" w:firstLine="509"/>
        <w:spacing w:after="0" w:line="273" w:lineRule="auto"/>
        <w:rPr>
          <w:sz w:val="20"/>
          <w:szCs w:val="20"/>
          <w:color w:val="auto"/>
        </w:rPr>
      </w:pPr>
      <w:r>
        <w:rPr>
          <w:rFonts w:ascii="Arial" w:cs="Arial" w:eastAsia="Arial" w:hAnsi="Arial"/>
          <w:sz w:val="18"/>
          <w:szCs w:val="18"/>
          <w:color w:val="auto"/>
        </w:rPr>
        <w:t>Financing actvites consumed $371 million of cash in the frst nine months of fscal 2023 compared to $129 million of cash provided during the same period of fscal 2022.</w:t>
      </w:r>
    </w:p>
    <w:p>
      <w:pPr>
        <w:spacing w:after="0" w:line="29" w:lineRule="exact"/>
        <w:rPr>
          <w:sz w:val="20"/>
          <w:szCs w:val="20"/>
          <w:color w:val="auto"/>
        </w:rPr>
      </w:pPr>
    </w:p>
    <w:p>
      <w:pPr>
        <w:ind w:right="100" w:firstLine="509"/>
        <w:spacing w:after="0" w:line="258" w:lineRule="auto"/>
        <w:rPr>
          <w:sz w:val="20"/>
          <w:szCs w:val="20"/>
          <w:color w:val="auto"/>
        </w:rPr>
      </w:pPr>
      <w:r>
        <w:rPr>
          <w:rFonts w:ascii="Arial" w:cs="Arial" w:eastAsia="Arial" w:hAnsi="Arial"/>
          <w:sz w:val="18"/>
          <w:szCs w:val="18"/>
          <w:color w:val="auto"/>
        </w:rPr>
        <w:t>In the frst nine months of fscal 2023, fnancing actvites primarily consisted of the repayment of commercial paper of $188 million, dividend payments to stockholders of $65 million, share repurchases of $48 million, cash dividends paid to noncontrolling interests of $41 million, net repayments of short-term borrowings of $24 million and repayments of long-term debt of $88 million. These payments were partally ofset by proceeds from long-term borrowings of $79 million.</w:t>
      </w:r>
    </w:p>
    <w:p>
      <w:pPr>
        <w:spacing w:after="0" w:line="55" w:lineRule="exact"/>
        <w:rPr>
          <w:sz w:val="20"/>
          <w:szCs w:val="20"/>
          <w:color w:val="auto"/>
        </w:rPr>
      </w:pPr>
    </w:p>
    <w:p>
      <w:pPr>
        <w:ind w:right="160" w:firstLine="509"/>
        <w:spacing w:after="0" w:line="284" w:lineRule="auto"/>
        <w:rPr>
          <w:sz w:val="20"/>
          <w:szCs w:val="20"/>
          <w:color w:val="auto"/>
        </w:rPr>
      </w:pPr>
      <w:r>
        <w:rPr>
          <w:rFonts w:ascii="Arial" w:cs="Arial" w:eastAsia="Arial" w:hAnsi="Arial"/>
          <w:sz w:val="17"/>
          <w:szCs w:val="17"/>
          <w:color w:val="auto"/>
        </w:rPr>
        <w:t>In the frst nine months of fscal 2022, fnancing actvites primarily consisted of the issuance of commercial paper of $193 million and proceeds from short-term borrowings of $26 million. These proceeds were partally ofset by dividend payments to stockholders of $63 million, share repurchases of $48 million, dividend payments to noncontrolling interests of $22 million, and repayments of long-term debt of $357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Forward-Looking Informaton</w:t>
      </w:r>
    </w:p>
    <w:p>
      <w:pPr>
        <w:spacing w:after="0" w:line="92"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This report on Form 10-Q contains “forward-looking statements” under the Federal securites laws. These forward-looking statements address expectatons or projectons about the future, including our expectatons regarding segment performance in the fourth quarter of fscal 2023 as compared with EBIT in the third quarter of fscal 2023 and the factors we expect will decrease EBIT in our Reinforcement Materials segment and increase EBIT in our Performance Chemicals segment; demand for our products; the sufciency of our cash on hand, cash provided from operatons and cash available under our credit and commercial paper facilites to fund our cash requirements; antcipated capital spending, including with respect to the installaton of new SO2 emissions controls at our Sarnia, Ontario reinforcing carbons plant; regulatory developments; cash requirements and uses of available cash, including future cash outlays associated with respirator liabilites and the tming of such outlays; amortzaton expenses; our operatng tax rate; and the possible outcome of legal and environmental proceedings. From tme to tme, we also provide forward-looking statements in other materials we release to the public and in oral statements made by authorized ofcers.</w:t>
      </w:r>
    </w:p>
    <w:p>
      <w:pPr>
        <w:spacing w:after="0" w:line="32" w:lineRule="exact"/>
        <w:rPr>
          <w:sz w:val="20"/>
          <w:szCs w:val="20"/>
          <w:color w:val="auto"/>
        </w:rPr>
      </w:pPr>
    </w:p>
    <w:p>
      <w:pPr>
        <w:ind w:right="140" w:firstLine="509"/>
        <w:spacing w:after="0" w:line="262" w:lineRule="auto"/>
        <w:rPr>
          <w:sz w:val="20"/>
          <w:szCs w:val="20"/>
          <w:color w:val="auto"/>
        </w:rPr>
      </w:pPr>
      <w:r>
        <w:rPr>
          <w:rFonts w:ascii="Arial" w:cs="Arial" w:eastAsia="Arial" w:hAnsi="Arial"/>
          <w:sz w:val="18"/>
          <w:szCs w:val="18"/>
          <w:color w:val="auto"/>
        </w:rPr>
        <w:t>Forward-looking statements are not guarantees of future performance and are subject to risks, uncertaintes, potentally inaccurate assumptons, and other factors, some of which are beyond our control or difcult to predict. If known or unknown risks materialize, our actual results could difer materially from those expressed in the forward-looking statements.</w:t>
      </w:r>
    </w:p>
    <w:p>
      <w:pPr>
        <w:spacing w:after="0" w:line="3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additon to factors described elsewhere in this report, the following are some of the factors that could cause our actual results to difer materially from those expressed in our forward-looking statements: industry capacity utlizaton and competton from other specialty chemical companies; safety, health and environmental requirements and related constraints imposed on our business; regulatory and fnancial risks related to climate change developments; volatlity in the price and availability of energy and raw materials, including with respect to the Russian invasion of Ukraine; a signifcant adverse change in a customer relatonship or the failure of a customer to perform its obligatons under agreements with us; failure to achieve growth expectatons from new products, applicatons and technology developments; failure to realize benefts from acquisitons, alliances, or joint ventures or achieve our portolio management objectves; negatve or uncertain worldwide or regional economic conditons and market opportunites, including from trade relatons, global health maters including the COVID-19 pandemic or geo-politcal conficts; litgaton or legal proceedings; tax rates and fuctuatons in foreign currency exchange and interest rates; our inability to complete capacity expansions or other development projects; and the accuracy of the assumptons we used in establishing reserves for our share of liability for respirator claims. These other factors and risks are discussed more fully in our 2022 10-K and in our subsequent SEC flings.</w:t>
      </w:r>
    </w:p>
    <w:p>
      <w:pPr>
        <w:spacing w:after="0" w:line="4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i w:val="1"/>
          <w:iCs w:val="1"/>
          <w:color w:val="auto"/>
        </w:rPr>
        <w:t>Item 3.</w:t>
      </w:r>
      <w:r>
        <w:rPr>
          <w:sz w:val="20"/>
          <w:szCs w:val="20"/>
          <w:color w:val="auto"/>
        </w:rPr>
        <w:tab/>
      </w:r>
      <w:r>
        <w:rPr>
          <w:rFonts w:ascii="Arial" w:cs="Arial" w:eastAsia="Arial" w:hAnsi="Arial"/>
          <w:sz w:val="16"/>
          <w:szCs w:val="16"/>
          <w:b w:val="1"/>
          <w:bCs w:val="1"/>
          <w:i w:val="1"/>
          <w:iCs w:val="1"/>
          <w:color w:val="auto"/>
        </w:rPr>
        <w:t>Quanttatve and Qualitatve Disclosures About Market Risk</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Informaton about market risks for the period ended June 30, 2023 does not difer materially from that discussed under Item 7A of our 2022 10-K.</w:t>
      </w:r>
    </w:p>
    <w:p>
      <w:pPr>
        <w:spacing w:after="0" w:line="1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i w:val="1"/>
          <w:i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2" w:lineRule="exact"/>
        <w:rPr>
          <w:sz w:val="20"/>
          <w:szCs w:val="20"/>
          <w:color w:val="auto"/>
        </w:rPr>
      </w:pPr>
    </w:p>
    <w:p>
      <w:pPr>
        <w:ind w:right="20" w:firstLine="509"/>
        <w:spacing w:after="0" w:line="258" w:lineRule="auto"/>
        <w:rPr>
          <w:sz w:val="20"/>
          <w:szCs w:val="20"/>
          <w:color w:val="auto"/>
        </w:rPr>
      </w:pPr>
      <w:r>
        <w:rPr>
          <w:rFonts w:ascii="Arial" w:cs="Arial" w:eastAsia="Arial" w:hAnsi="Arial"/>
          <w:sz w:val="18"/>
          <w:szCs w:val="18"/>
          <w:color w:val="auto"/>
        </w:rPr>
        <w:t>As of June 30, 2023, we carried out an evaluaton, under the supervision and with the partcipaton of our management, including our principal executve ofcer and our principal fnancial ofcer, of the efectveness of our disclosure controls and procedures pursuant to Rule 13a-15 under the Securites Exchange Act of 1934, as amended. Based upon that evaluaton, our principal executve ofcer and our principal fnancial ofcer concluded that our disclosure controls and procedures were efectve as of that date.</w:t>
      </w:r>
    </w:p>
    <w:p>
      <w:pPr>
        <w:spacing w:after="0" w:line="55" w:lineRule="exact"/>
        <w:rPr>
          <w:sz w:val="20"/>
          <w:szCs w:val="20"/>
          <w:color w:val="auto"/>
        </w:rPr>
      </w:pPr>
    </w:p>
    <w:p>
      <w:pPr>
        <w:ind w:right="460" w:firstLine="509"/>
        <w:spacing w:after="0" w:line="273" w:lineRule="auto"/>
        <w:rPr>
          <w:sz w:val="20"/>
          <w:szCs w:val="20"/>
          <w:color w:val="auto"/>
        </w:rPr>
      </w:pPr>
      <w:r>
        <w:rPr>
          <w:rFonts w:ascii="Arial" w:cs="Arial" w:eastAsia="Arial" w:hAnsi="Arial"/>
          <w:sz w:val="18"/>
          <w:szCs w:val="18"/>
          <w:color w:val="auto"/>
        </w:rPr>
        <w:t>There were no changes in our internal controls over fnancial reportng that occurred during our fscal quarter ended June 30, 2023 that have materially afected, or are reasonably likely to materially afect, our internal control over fnancial reportng.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Part II. Other Informaton</w:t>
      </w:r>
    </w:p>
    <w:p>
      <w:pPr>
        <w:spacing w:after="0" w:line="9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i w:val="1"/>
          <w:i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Securites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sets forth informaton regarding Cabot’s purchases of its equity securites during the quarter ended June 30,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Number (or</w:t>
            </w:r>
          </w:p>
        </w:tc>
        <w:tc>
          <w:tcPr>
            <w:tcW w:w="1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2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Approximate Dollar</w:t>
            </w:r>
          </w:p>
        </w:tc>
        <w:tc>
          <w:tcPr>
            <w:tcW w:w="1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5"/>
              </w:rPr>
              <w:t>Shares Purchased</w:t>
            </w:r>
          </w:p>
        </w:tc>
        <w:tc>
          <w:tcPr>
            <w:tcW w:w="2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Value) of Shares that</w:t>
            </w:r>
          </w:p>
        </w:tc>
        <w:tc>
          <w:tcPr>
            <w:tcW w:w="14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as Part of Publicly</w:t>
            </w:r>
          </w:p>
        </w:tc>
        <w:tc>
          <w:tcPr>
            <w:tcW w:w="2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May Yet Be Purchased</w:t>
            </w: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5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277"/>
              <w:spacing w:after="0" w:line="156" w:lineRule="exact"/>
              <w:rPr>
                <w:sz w:val="20"/>
                <w:szCs w:val="20"/>
                <w:color w:val="auto"/>
              </w:rPr>
            </w:pPr>
            <w:r>
              <w:rPr>
                <w:rFonts w:ascii="Arial" w:cs="Arial" w:eastAsia="Arial" w:hAnsi="Arial"/>
                <w:sz w:val="14"/>
                <w:szCs w:val="14"/>
                <w:b w:val="1"/>
                <w:bCs w:val="1"/>
                <w:color w:val="auto"/>
                <w:w w:val="98"/>
              </w:rPr>
              <w:t>Average Price</w:t>
            </w:r>
          </w:p>
        </w:tc>
        <w:tc>
          <w:tcPr>
            <w:tcW w:w="240" w:type="dxa"/>
            <w:vAlign w:val="bottom"/>
          </w:tcPr>
          <w:p>
            <w:pPr>
              <w:spacing w:after="0"/>
              <w:rPr>
                <w:sz w:val="13"/>
                <w:szCs w:val="13"/>
                <w:color w:val="auto"/>
              </w:rPr>
            </w:pPr>
          </w:p>
        </w:tc>
        <w:tc>
          <w:tcPr>
            <w:tcW w:w="15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8"/>
              </w:rPr>
              <w:t>Announced Plans or</w:t>
            </w:r>
          </w:p>
        </w:tc>
        <w:tc>
          <w:tcPr>
            <w:tcW w:w="260" w:type="dxa"/>
            <w:vAlign w:val="bottom"/>
          </w:tcPr>
          <w:p>
            <w:pPr>
              <w:spacing w:after="0"/>
              <w:rPr>
                <w:sz w:val="13"/>
                <w:szCs w:val="13"/>
                <w:color w:val="auto"/>
              </w:rPr>
            </w:pPr>
          </w:p>
        </w:tc>
        <w:tc>
          <w:tcPr>
            <w:tcW w:w="15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9"/>
              </w:rPr>
              <w:t>Under the Plans or</w:t>
            </w:r>
          </w:p>
        </w:tc>
        <w:tc>
          <w:tcPr>
            <w:tcW w:w="140" w:type="dxa"/>
            <w:vAlign w:val="bottom"/>
          </w:tcPr>
          <w:p>
            <w:pPr>
              <w:spacing w:after="0"/>
              <w:rPr>
                <w:sz w:val="13"/>
                <w:szCs w:val="13"/>
                <w:color w:val="auto"/>
              </w:rPr>
            </w:pPr>
          </w:p>
        </w:tc>
      </w:tr>
      <w:tr>
        <w:trPr>
          <w:trHeight w:val="193"/>
        </w:trPr>
        <w:tc>
          <w:tcPr>
            <w:tcW w:w="4080" w:type="dxa"/>
            <w:vAlign w:val="bottom"/>
            <w:gridSpan w:val="3"/>
          </w:tcPr>
          <w:p>
            <w:pPr>
              <w:ind w:left="20"/>
              <w:spacing w:after="0"/>
              <w:rPr>
                <w:sz w:val="20"/>
                <w:szCs w:val="20"/>
                <w:color w:val="auto"/>
              </w:rPr>
            </w:pPr>
            <w:r>
              <w:rPr>
                <w:rFonts w:ascii="Arial" w:cs="Arial" w:eastAsia="Arial" w:hAnsi="Arial"/>
                <w:sz w:val="14"/>
                <w:szCs w:val="14"/>
                <w:b w:val="1"/>
                <w:bCs w:val="1"/>
                <w:color w:val="auto"/>
              </w:rPr>
              <w:t>Period</w:t>
            </w:r>
          </w:p>
        </w:tc>
        <w:tc>
          <w:tcPr>
            <w:tcW w:w="156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1"/>
              </w:rPr>
              <w:t>Purchased</w:t>
            </w:r>
            <w:r>
              <w:rPr>
                <w:rFonts w:ascii="Arial" w:cs="Arial" w:eastAsia="Arial" w:hAnsi="Arial"/>
                <w:sz w:val="19"/>
                <w:szCs w:val="19"/>
                <w:b w:val="1"/>
                <w:bCs w:val="1"/>
                <w:color w:val="auto"/>
                <w:w w:val="81"/>
                <w:vertAlign w:val="superscript"/>
              </w:rPr>
              <w:t>(1)(2)</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237"/>
              <w:spacing w:after="0"/>
              <w:rPr>
                <w:sz w:val="20"/>
                <w:szCs w:val="20"/>
                <w:color w:val="auto"/>
              </w:rPr>
            </w:pPr>
            <w:r>
              <w:rPr>
                <w:rFonts w:ascii="Arial" w:cs="Arial" w:eastAsia="Arial" w:hAnsi="Arial"/>
                <w:sz w:val="14"/>
                <w:szCs w:val="14"/>
                <w:b w:val="1"/>
                <w:bCs w:val="1"/>
                <w:color w:val="auto"/>
                <w:w w:val="97"/>
              </w:rPr>
              <w:t>Paid per Share</w:t>
            </w:r>
          </w:p>
        </w:tc>
        <w:tc>
          <w:tcPr>
            <w:tcW w:w="240" w:type="dxa"/>
            <w:vAlign w:val="bottom"/>
          </w:tcPr>
          <w:p>
            <w:pPr>
              <w:spacing w:after="0"/>
              <w:rPr>
                <w:sz w:val="16"/>
                <w:szCs w:val="16"/>
                <w:color w:val="auto"/>
              </w:rPr>
            </w:pPr>
          </w:p>
        </w:tc>
        <w:tc>
          <w:tcPr>
            <w:tcW w:w="158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4"/>
              </w:rPr>
              <w:t>Programs</w:t>
            </w:r>
            <w:r>
              <w:rPr>
                <w:rFonts w:ascii="Arial" w:cs="Arial" w:eastAsia="Arial" w:hAnsi="Arial"/>
                <w:sz w:val="19"/>
                <w:szCs w:val="19"/>
                <w:b w:val="1"/>
                <w:bCs w:val="1"/>
                <w:color w:val="auto"/>
                <w:w w:val="84"/>
                <w:vertAlign w:val="superscript"/>
              </w:rPr>
              <w:t>(1)</w:t>
            </w:r>
          </w:p>
        </w:tc>
        <w:tc>
          <w:tcPr>
            <w:tcW w:w="260" w:type="dxa"/>
            <w:vAlign w:val="bottom"/>
          </w:tcPr>
          <w:p>
            <w:pPr>
              <w:spacing w:after="0"/>
              <w:rPr>
                <w:sz w:val="16"/>
                <w:szCs w:val="16"/>
                <w:color w:val="auto"/>
              </w:rPr>
            </w:pPr>
          </w:p>
        </w:tc>
        <w:tc>
          <w:tcPr>
            <w:tcW w:w="158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4"/>
              </w:rPr>
              <w:t>Programs</w:t>
            </w:r>
            <w:r>
              <w:rPr>
                <w:rFonts w:ascii="Arial" w:cs="Arial" w:eastAsia="Arial" w:hAnsi="Arial"/>
                <w:sz w:val="19"/>
                <w:szCs w:val="19"/>
                <w:b w:val="1"/>
                <w:bCs w:val="1"/>
                <w:color w:val="auto"/>
                <w:w w:val="84"/>
                <w:vertAlign w:val="superscript"/>
              </w:rPr>
              <w:t>(1)</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40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April 1, 2023 - April 30, 2023</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3,903,733</w:t>
            </w:r>
          </w:p>
        </w:tc>
        <w:tc>
          <w:tcPr>
            <w:tcW w:w="140" w:type="dxa"/>
            <w:vAlign w:val="bottom"/>
            <w:shd w:val="clear" w:color="auto" w:fill="CFF0FC"/>
          </w:tcPr>
          <w:p>
            <w:pPr>
              <w:spacing w:after="0"/>
              <w:rPr>
                <w:sz w:val="20"/>
                <w:szCs w:val="20"/>
                <w:color w:val="auto"/>
              </w:rPr>
            </w:pPr>
          </w:p>
        </w:tc>
      </w:tr>
      <w:tr>
        <w:trPr>
          <w:trHeight w:val="235"/>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May 1, 2023 - May 31, 2023</w:t>
            </w:r>
          </w:p>
        </w:tc>
        <w:tc>
          <w:tcPr>
            <w:tcW w:w="1560" w:type="dxa"/>
            <w:vAlign w:val="bottom"/>
          </w:tcPr>
          <w:p>
            <w:pPr>
              <w:jc w:val="right"/>
              <w:spacing w:after="0"/>
              <w:rPr>
                <w:sz w:val="20"/>
                <w:szCs w:val="20"/>
                <w:color w:val="auto"/>
              </w:rPr>
            </w:pPr>
            <w:r>
              <w:rPr>
                <w:rFonts w:ascii="Arial" w:cs="Arial" w:eastAsia="Arial" w:hAnsi="Arial"/>
                <w:sz w:val="18"/>
                <w:szCs w:val="18"/>
                <w:color w:val="auto"/>
              </w:rPr>
              <w:t>195,000</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70.65</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195,000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3,708,733</w:t>
            </w:r>
          </w:p>
        </w:tc>
        <w:tc>
          <w:tcPr>
            <w:tcW w:w="140" w:type="dxa"/>
            <w:vAlign w:val="bottom"/>
          </w:tcPr>
          <w:p>
            <w:pPr>
              <w:spacing w:after="0"/>
              <w:rPr>
                <w:sz w:val="20"/>
                <w:szCs w:val="20"/>
                <w:color w:val="auto"/>
              </w:rPr>
            </w:pPr>
          </w:p>
        </w:tc>
      </w:tr>
      <w:tr>
        <w:trPr>
          <w:trHeight w:val="245"/>
        </w:trPr>
        <w:tc>
          <w:tcPr>
            <w:tcW w:w="40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June 1, 2023 - June 30, 2023</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17,161</w:t>
            </w:r>
          </w:p>
        </w:tc>
        <w:tc>
          <w:tcPr>
            <w:tcW w:w="50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71.30</w:t>
            </w:r>
          </w:p>
        </w:tc>
        <w:tc>
          <w:tcPr>
            <w:tcW w:w="24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17,161</w:t>
            </w:r>
          </w:p>
        </w:tc>
        <w:tc>
          <w:tcPr>
            <w:tcW w:w="1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3,691,572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43"/>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Pr>
          <w:p>
            <w:pPr>
              <w:jc w:val="right"/>
              <w:spacing w:after="0"/>
              <w:rPr>
                <w:sz w:val="20"/>
                <w:szCs w:val="20"/>
                <w:color w:val="auto"/>
              </w:rPr>
            </w:pPr>
            <w:r>
              <w:rPr>
                <w:rFonts w:ascii="Arial" w:cs="Arial" w:eastAsia="Arial" w:hAnsi="Arial"/>
                <w:sz w:val="18"/>
                <w:szCs w:val="18"/>
                <w:color w:val="auto"/>
              </w:rPr>
              <w:t>212,161</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212,161</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-187960</wp:posOffset>
            </wp:positionV>
            <wp:extent cx="85725"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85725"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ind w:left="520" w:right="40" w:hanging="512"/>
        <w:spacing w:after="0" w:line="241" w:lineRule="auto"/>
        <w:tabs>
          <w:tab w:leader="none" w:pos="52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On July 13, 2018, Cabot publicly announced that the Board of Directors authorized the Company to repurchase up to an additonal ten million shares of its common stock on the open market or in privately negotated transactons, increasing the balance of shares available for repurchase at that tme to approximately eleven million shares. The current authorizaton does not have a set expiraton date.</w:t>
      </w:r>
    </w:p>
    <w:p>
      <w:pPr>
        <w:spacing w:after="0" w:line="70" w:lineRule="exact"/>
        <w:rPr>
          <w:rFonts w:ascii="Arial" w:cs="Arial" w:eastAsia="Arial" w:hAnsi="Arial"/>
          <w:sz w:val="23"/>
          <w:szCs w:val="23"/>
          <w:color w:val="auto"/>
          <w:vertAlign w:val="superscript"/>
        </w:rPr>
      </w:pPr>
    </w:p>
    <w:p>
      <w:pPr>
        <w:ind w:left="520" w:right="60" w:hanging="512"/>
        <w:spacing w:after="0" w:line="220" w:lineRule="auto"/>
        <w:tabs>
          <w:tab w:leader="none" w:pos="520" w:val="left"/>
        </w:tabs>
        <w:numPr>
          <w:ilvl w:val="0"/>
          <w:numId w:val="12"/>
        </w:numPr>
        <w:rPr>
          <w:rFonts w:ascii="Arial" w:cs="Arial" w:eastAsia="Arial" w:hAnsi="Arial"/>
          <w:sz w:val="24"/>
          <w:szCs w:val="24"/>
          <w:color w:val="auto"/>
          <w:vertAlign w:val="superscript"/>
        </w:rPr>
      </w:pPr>
      <w:r>
        <w:rPr>
          <w:rFonts w:ascii="Arial" w:cs="Arial" w:eastAsia="Arial" w:hAnsi="Arial"/>
          <w:sz w:val="18"/>
          <w:szCs w:val="18"/>
          <w:color w:val="auto"/>
        </w:rPr>
        <w:t>Total number of shares purchased does not include 1,262 shares withheld to pay taxes on the vestng of equity awards made under the Company's equity incentve plans or to pay the exercise price of optons exercised during the period.</w:t>
      </w:r>
    </w:p>
    <w:p>
      <w:pPr>
        <w:spacing w:after="0" w:line="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i w:val="1"/>
          <w:iCs w:val="1"/>
          <w:color w:val="auto"/>
        </w:rPr>
        <w:t>Item 5.</w:t>
      </w:r>
      <w:r>
        <w:rPr>
          <w:sz w:val="20"/>
          <w:szCs w:val="20"/>
          <w:color w:val="auto"/>
        </w:rPr>
        <w:tab/>
      </w:r>
      <w:r>
        <w:rPr>
          <w:rFonts w:ascii="Arial" w:cs="Arial" w:eastAsia="Arial" w:hAnsi="Arial"/>
          <w:sz w:val="16"/>
          <w:szCs w:val="16"/>
          <w:b w:val="1"/>
          <w:bCs w:val="1"/>
          <w:i w:val="1"/>
          <w:iCs w:val="1"/>
          <w:color w:val="auto"/>
        </w:rPr>
        <w:t>Other Informaton</w:t>
      </w:r>
    </w:p>
    <w:p>
      <w:pPr>
        <w:spacing w:after="0" w:line="92" w:lineRule="exact"/>
        <w:rPr>
          <w:sz w:val="20"/>
          <w:szCs w:val="20"/>
          <w:color w:val="auto"/>
        </w:rPr>
      </w:pPr>
    </w:p>
    <w:p>
      <w:pPr>
        <w:ind w:right="60" w:firstLine="448"/>
        <w:spacing w:after="0" w:line="256" w:lineRule="auto"/>
        <w:rPr>
          <w:sz w:val="20"/>
          <w:szCs w:val="20"/>
          <w:color w:val="auto"/>
        </w:rPr>
      </w:pPr>
      <w:r>
        <w:rPr>
          <w:rFonts w:ascii="Arial" w:cs="Arial" w:eastAsia="Arial" w:hAnsi="Arial"/>
          <w:sz w:val="18"/>
          <w:szCs w:val="18"/>
          <w:color w:val="auto"/>
        </w:rPr>
        <w:t>(c). During our fscal quarter ended June 30, 2023, none of our directors or ofcers (as defned in Rule 16a-1(f) under the Securites Exchange Act of 1934, as amended) entered into, modifed (as to amount, price or tming of trades) or terminated (i) contracts, instructons or writen plans for the purchase or sale of our securites that are intended to satsfy the conditons specifed in Rule 10b5-1(c) under the Exchange Act for an afrmatve defense against liability for trading in securites on the basis of material nonpublic informaton or (ii) non-Rule 10b5-1 trading arrangements (as defned in Item 408(c) of Regulaton S-K).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1"/>
        </w:trPr>
        <w:tc>
          <w:tcPr>
            <w:tcW w:w="106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8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w w:val="94"/>
              </w:rPr>
              <w:t>Exhibits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8"/>
        </w:trPr>
        <w:tc>
          <w:tcPr>
            <w:tcW w:w="1840" w:type="dxa"/>
            <w:vAlign w:val="bottom"/>
            <w:gridSpan w:val="3"/>
          </w:tcPr>
          <w:p>
            <w:pPr>
              <w:ind w:left="5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860" w:type="dxa"/>
            <w:vAlign w:val="bottom"/>
            <w:gridSpan w:val="12"/>
          </w:tcPr>
          <w:p>
            <w:pPr>
              <w:ind w:left="1820"/>
              <w:spacing w:after="0"/>
              <w:rPr>
                <w:sz w:val="20"/>
                <w:szCs w:val="20"/>
                <w:color w:val="auto"/>
              </w:rPr>
            </w:pPr>
            <w:r>
              <w:rPr>
                <w:rFonts w:ascii="Arial" w:cs="Arial" w:eastAsia="Arial" w:hAnsi="Arial"/>
                <w:sz w:val="14"/>
                <w:szCs w:val="14"/>
                <w:b w:val="1"/>
                <w:bCs w:val="1"/>
                <w:color w:val="auto"/>
              </w:rPr>
              <w:t>Descripton</w:t>
            </w:r>
          </w:p>
        </w:tc>
      </w:tr>
      <w:tr>
        <w:trPr>
          <w:trHeight w:val="29"/>
        </w:trPr>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31"/>
        </w:trPr>
        <w:tc>
          <w:tcPr>
            <w:tcW w:w="1060" w:type="dxa"/>
            <w:vAlign w:val="bottom"/>
          </w:tcPr>
          <w:p>
            <w:pPr>
              <w:ind w:left="20"/>
              <w:spacing w:after="0"/>
              <w:rPr>
                <w:sz w:val="20"/>
                <w:szCs w:val="20"/>
                <w:color w:val="auto"/>
              </w:rPr>
            </w:pPr>
            <w:r>
              <w:rPr>
                <w:rFonts w:ascii="Arial" w:cs="Arial" w:eastAsia="Arial" w:hAnsi="Arial"/>
                <w:sz w:val="18"/>
                <w:szCs w:val="18"/>
                <w:color w:val="auto"/>
              </w:rPr>
              <w:t>Exhibit 3.1</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tcBorders>
              <w:bottom w:val="single" w:sz="8" w:color="0000EE"/>
            </w:tcBorders>
            <w:gridSpan w:val="13"/>
          </w:tcPr>
          <w:p>
            <w:pPr>
              <w:spacing w:after="0"/>
              <w:rPr>
                <w:rFonts w:ascii="Arial" w:cs="Arial" w:eastAsia="Arial" w:hAnsi="Arial"/>
                <w:sz w:val="18"/>
                <w:szCs w:val="18"/>
                <w:color w:val="0000FF"/>
                <w:w w:val="94"/>
              </w:rPr>
            </w:pPr>
            <w:hyperlink r:id="rId247">
              <w:r>
                <w:rPr>
                  <w:rFonts w:ascii="Arial" w:cs="Arial" w:eastAsia="Arial" w:hAnsi="Arial"/>
                  <w:sz w:val="18"/>
                  <w:szCs w:val="18"/>
                  <w:color w:val="0000FF"/>
                  <w:w w:val="94"/>
                </w:rPr>
                <w:t>Restated Certfcate of Incorporaton of Cabot Corporaton efectve January 9, 2009 (incorporated herein by reference to Exhibit</w:t>
              </w:r>
            </w:hyperlink>
          </w:p>
        </w:tc>
        <w:tc>
          <w:tcPr>
            <w:tcW w:w="2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20" w:type="dxa"/>
            <w:vAlign w:val="bottom"/>
            <w:tcBorders>
              <w:bottom w:val="single" w:sz="8" w:color="0000EE"/>
            </w:tcBorders>
            <w:gridSpan w:val="10"/>
          </w:tcPr>
          <w:p>
            <w:pPr>
              <w:spacing w:after="0" w:line="196" w:lineRule="exact"/>
              <w:rPr>
                <w:rFonts w:ascii="Arial" w:cs="Arial" w:eastAsia="Arial" w:hAnsi="Arial"/>
                <w:sz w:val="18"/>
                <w:szCs w:val="18"/>
                <w:color w:val="0000FF"/>
                <w:w w:val="92"/>
              </w:rPr>
            </w:pPr>
            <w:hyperlink r:id="rId247">
              <w:r>
                <w:rPr>
                  <w:rFonts w:ascii="Arial" w:cs="Arial" w:eastAsia="Arial" w:hAnsi="Arial"/>
                  <w:sz w:val="18"/>
                  <w:szCs w:val="18"/>
                  <w:color w:val="0000FF"/>
                  <w:w w:val="92"/>
                </w:rPr>
                <w:t>3.1 of Cabot’s Quarterly Report on Form 10-Q for the quarterly period ended December 31, 2008, fle reference 1-5667, fled</w:t>
              </w:r>
            </w:hyperlink>
          </w:p>
        </w:tc>
        <w:tc>
          <w:tcPr>
            <w:tcW w:w="26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rFonts w:ascii="Arial" w:cs="Arial" w:eastAsia="Arial" w:hAnsi="Arial"/>
                <w:sz w:val="18"/>
                <w:szCs w:val="18"/>
                <w:color w:val="0000FF"/>
                <w:w w:val="88"/>
              </w:rPr>
            </w:pPr>
            <w:hyperlink r:id="rId247">
              <w:r>
                <w:rPr>
                  <w:rFonts w:ascii="Arial" w:cs="Arial" w:eastAsia="Arial" w:hAnsi="Arial"/>
                  <w:sz w:val="18"/>
                  <w:szCs w:val="18"/>
                  <w:color w:val="0000FF"/>
                  <w:w w:val="88"/>
                </w:rPr>
                <w:t>with the SEC on February 9, 2009).</w:t>
              </w:r>
            </w:hyperlink>
          </w:p>
        </w:tc>
        <w:tc>
          <w:tcPr>
            <w:tcW w:w="6860" w:type="dxa"/>
            <w:vAlign w:val="bottom"/>
            <w:gridSpan w:val="12"/>
          </w:tcPr>
          <w:p>
            <w:pPr>
              <w:spacing w:after="0"/>
              <w:rPr>
                <w:sz w:val="17"/>
                <w:szCs w:val="17"/>
                <w:color w:val="auto"/>
              </w:rPr>
            </w:pPr>
          </w:p>
        </w:tc>
      </w:tr>
      <w:tr>
        <w:trPr>
          <w:trHeight w:val="385"/>
        </w:trPr>
        <w:tc>
          <w:tcPr>
            <w:tcW w:w="1060" w:type="dxa"/>
            <w:vAlign w:val="bottom"/>
          </w:tcPr>
          <w:p>
            <w:pPr>
              <w:ind w:left="20"/>
              <w:spacing w:after="0"/>
              <w:rPr>
                <w:sz w:val="20"/>
                <w:szCs w:val="20"/>
                <w:color w:val="auto"/>
              </w:rPr>
            </w:pPr>
            <w:r>
              <w:rPr>
                <w:rFonts w:ascii="Arial" w:cs="Arial" w:eastAsia="Arial" w:hAnsi="Arial"/>
                <w:sz w:val="18"/>
                <w:szCs w:val="18"/>
                <w:color w:val="auto"/>
              </w:rPr>
              <w:t>Exhibit 3.2*</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14"/>
          </w:tcPr>
          <w:p>
            <w:pPr>
              <w:spacing w:after="0"/>
              <w:rPr>
                <w:sz w:val="20"/>
                <w:szCs w:val="20"/>
                <w:color w:val="auto"/>
              </w:rPr>
            </w:pPr>
            <w:r>
              <w:rPr>
                <w:rFonts w:ascii="Arial" w:cs="Arial" w:eastAsia="Arial" w:hAnsi="Arial"/>
                <w:sz w:val="18"/>
                <w:szCs w:val="18"/>
                <w:color w:val="0000FF"/>
              </w:rPr>
              <w:t>The By-laws of Cabot Corporaton as amended May 11, 2023</w:t>
            </w:r>
          </w:p>
        </w:tc>
      </w:tr>
      <w:tr>
        <w:trPr>
          <w:trHeight w:val="20"/>
        </w:trPr>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160" w:type="dxa"/>
            <w:vAlign w:val="bottom"/>
            <w:tcBorders>
              <w:right w:val="single" w:sz="8" w:color="0000EE"/>
            </w:tcBorders>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060" w:type="dxa"/>
            <w:vAlign w:val="bottom"/>
          </w:tcPr>
          <w:p>
            <w:pPr>
              <w:ind w:left="20"/>
              <w:spacing w:after="0"/>
              <w:rPr>
                <w:sz w:val="20"/>
                <w:szCs w:val="20"/>
                <w:color w:val="auto"/>
              </w:rPr>
            </w:pPr>
            <w:r>
              <w:rPr>
                <w:rFonts w:ascii="Arial" w:cs="Arial" w:eastAsia="Arial" w:hAnsi="Arial"/>
                <w:sz w:val="18"/>
                <w:szCs w:val="18"/>
                <w:color w:val="auto"/>
              </w:rPr>
              <w:t>Exhibit 10.1*</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Amendment No. 1, dated as of April 21, 2023, to Credit Agreement dated as of August 6, 2021, by and among Cabot</w:t>
            </w:r>
          </w:p>
        </w:tc>
        <w:tc>
          <w:tcPr>
            <w:tcW w:w="90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8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3"/>
              </w:rPr>
              <w:t>Corporaton, the designated borrowers, the lenders party thereto, and the Administratve Agent</w:t>
            </w:r>
          </w:p>
        </w:tc>
        <w:tc>
          <w:tcPr>
            <w:tcW w:w="2400" w:type="dxa"/>
            <w:vAlign w:val="bottom"/>
            <w:gridSpan w:val="9"/>
          </w:tcPr>
          <w:p>
            <w:pPr>
              <w:spacing w:after="0"/>
              <w:rPr>
                <w:sz w:val="17"/>
                <w:szCs w:val="17"/>
                <w:color w:val="auto"/>
              </w:rPr>
            </w:pPr>
          </w:p>
        </w:tc>
      </w:tr>
      <w:tr>
        <w:trPr>
          <w:trHeight w:val="385"/>
        </w:trPr>
        <w:tc>
          <w:tcPr>
            <w:tcW w:w="1060" w:type="dxa"/>
            <w:vAlign w:val="bottom"/>
          </w:tcPr>
          <w:p>
            <w:pPr>
              <w:ind w:left="20"/>
              <w:spacing w:after="0"/>
              <w:rPr>
                <w:sz w:val="20"/>
                <w:szCs w:val="20"/>
                <w:color w:val="auto"/>
              </w:rPr>
            </w:pPr>
            <w:r>
              <w:rPr>
                <w:rFonts w:ascii="Arial" w:cs="Arial" w:eastAsia="Arial" w:hAnsi="Arial"/>
                <w:sz w:val="18"/>
                <w:szCs w:val="18"/>
                <w:color w:val="auto"/>
              </w:rPr>
              <w:t>Exhibit 10.2*</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Amendment No. 2, dated as of July 27, 2023 to Credit Agreement dated as of August 6, 2021, by and among Cabot Corporaton,</w:t>
            </w:r>
          </w:p>
        </w:tc>
        <w:tc>
          <w:tcPr>
            <w:tcW w:w="4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3"/>
              </w:rPr>
              <w:t>the designated borrowers, the lenders party thereto, and the Administratve Agent</w:t>
            </w:r>
          </w:p>
        </w:tc>
        <w:tc>
          <w:tcPr>
            <w:tcW w:w="3360" w:type="dxa"/>
            <w:vAlign w:val="bottom"/>
            <w:gridSpan w:val="10"/>
          </w:tcPr>
          <w:p>
            <w:pPr>
              <w:spacing w:after="0"/>
              <w:rPr>
                <w:sz w:val="17"/>
                <w:szCs w:val="17"/>
                <w:color w:val="auto"/>
              </w:rPr>
            </w:pPr>
          </w:p>
        </w:tc>
      </w:tr>
      <w:tr>
        <w:trPr>
          <w:trHeight w:val="385"/>
        </w:trPr>
        <w:tc>
          <w:tcPr>
            <w:tcW w:w="1060" w:type="dxa"/>
            <w:vAlign w:val="bottom"/>
          </w:tcPr>
          <w:p>
            <w:pPr>
              <w:ind w:left="20"/>
              <w:spacing w:after="0"/>
              <w:rPr>
                <w:sz w:val="20"/>
                <w:szCs w:val="20"/>
                <w:color w:val="auto"/>
              </w:rPr>
            </w:pPr>
            <w:r>
              <w:rPr>
                <w:rFonts w:ascii="Arial" w:cs="Arial" w:eastAsia="Arial" w:hAnsi="Arial"/>
                <w:sz w:val="18"/>
                <w:szCs w:val="18"/>
                <w:color w:val="auto"/>
              </w:rPr>
              <w:t>Exhibit 10.3*</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Credit Agreement, dated as of May 17, 2023, among certain subsidiaries of Cabot Corporaton, guaranteed by Cabot</w:t>
            </w:r>
          </w:p>
        </w:tc>
        <w:tc>
          <w:tcPr>
            <w:tcW w:w="90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2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1"/>
              </w:rPr>
              <w:t>Corporaton, PNC Bank, Natonal Associaton, ING Bank. N.V., Dublin branch, U.S. Bank Natonal Associaton, and Mizuho Bank,</w:t>
            </w:r>
          </w:p>
        </w:tc>
        <w:tc>
          <w:tcPr>
            <w:tcW w:w="16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14"/>
          </w:tcPr>
          <w:p>
            <w:pPr>
              <w:spacing w:after="0" w:line="196" w:lineRule="exact"/>
              <w:rPr>
                <w:sz w:val="20"/>
                <w:szCs w:val="20"/>
                <w:color w:val="auto"/>
              </w:rPr>
            </w:pPr>
            <w:r>
              <w:rPr>
                <w:rFonts w:ascii="Arial" w:cs="Arial" w:eastAsia="Arial" w:hAnsi="Arial"/>
                <w:sz w:val="18"/>
                <w:szCs w:val="18"/>
                <w:color w:val="0000FF"/>
              </w:rPr>
              <w:t>Ltd.</w:t>
            </w:r>
          </w:p>
        </w:tc>
      </w:tr>
      <w:tr>
        <w:trPr>
          <w:trHeight w:val="20"/>
        </w:trPr>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r>
      <w:tr>
        <w:trPr>
          <w:trHeight w:val="385"/>
        </w:trPr>
        <w:tc>
          <w:tcPr>
            <w:tcW w:w="1060" w:type="dxa"/>
            <w:vAlign w:val="bottom"/>
          </w:tcPr>
          <w:p>
            <w:pPr>
              <w:ind w:left="20"/>
              <w:spacing w:after="0"/>
              <w:rPr>
                <w:sz w:val="20"/>
                <w:szCs w:val="20"/>
                <w:color w:val="auto"/>
              </w:rPr>
            </w:pPr>
            <w:r>
              <w:rPr>
                <w:rFonts w:ascii="Arial" w:cs="Arial" w:eastAsia="Arial" w:hAnsi="Arial"/>
                <w:sz w:val="18"/>
                <w:szCs w:val="18"/>
                <w:color w:val="auto"/>
              </w:rPr>
              <w:t>Exhibit 31.1*</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14"/>
          </w:tcPr>
          <w:p>
            <w:pPr>
              <w:spacing w:after="0"/>
              <w:rPr>
                <w:sz w:val="20"/>
                <w:szCs w:val="20"/>
                <w:color w:val="auto"/>
              </w:rPr>
            </w:pPr>
            <w:r>
              <w:rPr>
                <w:rFonts w:ascii="Arial" w:cs="Arial" w:eastAsia="Arial" w:hAnsi="Arial"/>
                <w:sz w:val="18"/>
                <w:szCs w:val="18"/>
                <w:color w:val="0000FF"/>
              </w:rPr>
              <w:t>Certfcaton of Principal Executve Ofcer required by Rule 13a-14(a) or Rule 15d-14(a) of the Exchange Act.</w:t>
            </w:r>
          </w:p>
        </w:tc>
      </w:tr>
      <w:tr>
        <w:trPr>
          <w:trHeight w:val="385"/>
        </w:trPr>
        <w:tc>
          <w:tcPr>
            <w:tcW w:w="1060" w:type="dxa"/>
            <w:vAlign w:val="bottom"/>
          </w:tcPr>
          <w:p>
            <w:pPr>
              <w:ind w:left="20"/>
              <w:spacing w:after="0"/>
              <w:rPr>
                <w:sz w:val="20"/>
                <w:szCs w:val="20"/>
                <w:color w:val="auto"/>
              </w:rPr>
            </w:pPr>
            <w:r>
              <w:rPr>
                <w:rFonts w:ascii="Arial" w:cs="Arial" w:eastAsia="Arial" w:hAnsi="Arial"/>
                <w:sz w:val="18"/>
                <w:szCs w:val="18"/>
                <w:color w:val="auto"/>
              </w:rPr>
              <w:t>Exhibit 31.2*</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2"/>
              </w:rPr>
              <w:t>Certfcaton of Principal Financial Ofcer required by Rule 13a-14(a) or Rule 15d-14(a) of the Exchange Act.</w:t>
            </w:r>
          </w:p>
        </w:tc>
        <w:tc>
          <w:tcPr>
            <w:tcW w:w="40" w:type="dxa"/>
            <w:vAlign w:val="bottom"/>
            <w:tcBorders>
              <w:top w:val="single" w:sz="8" w:color="0000FF"/>
            </w:tcBorders>
          </w:tcPr>
          <w:p>
            <w:pPr>
              <w:spacing w:after="0"/>
              <w:rPr>
                <w:sz w:val="24"/>
                <w:szCs w:val="24"/>
                <w:color w:val="auto"/>
              </w:rPr>
            </w:pPr>
          </w:p>
        </w:tc>
        <w:tc>
          <w:tcPr>
            <w:tcW w:w="1540" w:type="dxa"/>
            <w:vAlign w:val="bottom"/>
            <w:gridSpan w:val="7"/>
          </w:tcPr>
          <w:p>
            <w:pPr>
              <w:spacing w:after="0"/>
              <w:rPr>
                <w:sz w:val="24"/>
                <w:szCs w:val="24"/>
                <w:color w:val="auto"/>
              </w:rPr>
            </w:pPr>
          </w:p>
        </w:tc>
      </w:tr>
      <w:tr>
        <w:trPr>
          <w:trHeight w:val="385"/>
        </w:trPr>
        <w:tc>
          <w:tcPr>
            <w:tcW w:w="1060" w:type="dxa"/>
            <w:vAlign w:val="bottom"/>
          </w:tcPr>
          <w:p>
            <w:pPr>
              <w:ind w:left="20"/>
              <w:spacing w:after="0"/>
              <w:rPr>
                <w:sz w:val="20"/>
                <w:szCs w:val="20"/>
                <w:color w:val="auto"/>
              </w:rPr>
            </w:pPr>
            <w:r>
              <w:rPr>
                <w:rFonts w:ascii="Arial" w:cs="Arial" w:eastAsia="Arial" w:hAnsi="Arial"/>
                <w:sz w:val="18"/>
                <w:szCs w:val="18"/>
                <w:color w:val="auto"/>
              </w:rPr>
              <w:t>Exhibit 32**</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14"/>
          </w:tcPr>
          <w:p>
            <w:pPr>
              <w:spacing w:after="0"/>
              <w:rPr>
                <w:sz w:val="20"/>
                <w:szCs w:val="20"/>
                <w:color w:val="auto"/>
              </w:rPr>
            </w:pPr>
            <w:r>
              <w:rPr>
                <w:rFonts w:ascii="Arial" w:cs="Arial" w:eastAsia="Arial" w:hAnsi="Arial"/>
                <w:sz w:val="18"/>
                <w:szCs w:val="18"/>
                <w:color w:val="0000FF"/>
              </w:rPr>
              <w:t>Certfcatons of the Principal Executve Ofcer and the Principal Financial Ofcer pursuant to 18 U.S.C. Secton 1350.</w:t>
            </w:r>
          </w:p>
        </w:tc>
      </w:tr>
      <w:tr>
        <w:trPr>
          <w:trHeight w:val="20"/>
        </w:trPr>
        <w:tc>
          <w:tcPr>
            <w:tcW w:w="1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60" w:type="dxa"/>
            <w:vAlign w:val="bottom"/>
            <w:gridSpan w:val="8"/>
            <w:shd w:val="clear" w:color="auto" w:fill="0000FF"/>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r>
      <w:tr>
        <w:trPr>
          <w:trHeight w:val="407"/>
        </w:trPr>
        <w:tc>
          <w:tcPr>
            <w:tcW w:w="1840" w:type="dxa"/>
            <w:vAlign w:val="bottom"/>
            <w:gridSpan w:val="3"/>
          </w:tcPr>
          <w:p>
            <w:pPr>
              <w:ind w:left="20"/>
              <w:spacing w:after="0"/>
              <w:rPr>
                <w:sz w:val="20"/>
                <w:szCs w:val="20"/>
                <w:color w:val="auto"/>
              </w:rPr>
            </w:pPr>
            <w:r>
              <w:rPr>
                <w:rFonts w:ascii="Arial" w:cs="Arial" w:eastAsia="Arial" w:hAnsi="Arial"/>
                <w:sz w:val="18"/>
                <w:szCs w:val="18"/>
                <w:color w:val="auto"/>
              </w:rPr>
              <w:t>Exhibit 101.INS*</w:t>
            </w:r>
          </w:p>
        </w:tc>
        <w:tc>
          <w:tcPr>
            <w:tcW w:w="20" w:type="dxa"/>
            <w:vAlign w:val="bottom"/>
          </w:tcPr>
          <w:p>
            <w:pPr>
              <w:spacing w:after="0"/>
              <w:rPr>
                <w:sz w:val="24"/>
                <w:szCs w:val="24"/>
                <w:color w:val="auto"/>
              </w:rPr>
            </w:pPr>
          </w:p>
        </w:tc>
        <w:tc>
          <w:tcPr>
            <w:tcW w:w="9380" w:type="dxa"/>
            <w:vAlign w:val="bottom"/>
            <w:gridSpan w:val="14"/>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Interactve Data File because its XBRL tags are</w:t>
            </w:r>
          </w:p>
        </w:tc>
      </w:tr>
      <w:tr>
        <w:trPr>
          <w:trHeight w:val="227"/>
        </w:trPr>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1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05"/>
        </w:trPr>
        <w:tc>
          <w:tcPr>
            <w:tcW w:w="1840" w:type="dxa"/>
            <w:vAlign w:val="bottom"/>
            <w:gridSpan w:val="3"/>
          </w:tcPr>
          <w:p>
            <w:pPr>
              <w:ind w:left="20"/>
              <w:spacing w:after="0"/>
              <w:rPr>
                <w:sz w:val="20"/>
                <w:szCs w:val="20"/>
                <w:color w:val="auto"/>
              </w:rPr>
            </w:pPr>
            <w:r>
              <w:rPr>
                <w:rFonts w:ascii="Arial" w:cs="Arial" w:eastAsia="Arial" w:hAnsi="Arial"/>
                <w:sz w:val="18"/>
                <w:szCs w:val="18"/>
                <w:color w:val="auto"/>
              </w:rPr>
              <w:t>Exhibit 101.SCH*</w:t>
            </w:r>
          </w:p>
        </w:tc>
        <w:tc>
          <w:tcPr>
            <w:tcW w:w="20" w:type="dxa"/>
            <w:vAlign w:val="bottom"/>
          </w:tcPr>
          <w:p>
            <w:pPr>
              <w:spacing w:after="0"/>
              <w:rPr>
                <w:sz w:val="24"/>
                <w:szCs w:val="24"/>
                <w:color w:val="auto"/>
              </w:rPr>
            </w:pPr>
          </w:p>
        </w:tc>
        <w:tc>
          <w:tcPr>
            <w:tcW w:w="938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05"/>
        </w:trPr>
        <w:tc>
          <w:tcPr>
            <w:tcW w:w="1840" w:type="dxa"/>
            <w:vAlign w:val="bottom"/>
            <w:gridSpan w:val="3"/>
          </w:tcPr>
          <w:p>
            <w:pPr>
              <w:ind w:left="20"/>
              <w:spacing w:after="0"/>
              <w:rPr>
                <w:sz w:val="20"/>
                <w:szCs w:val="20"/>
                <w:color w:val="auto"/>
              </w:rPr>
            </w:pPr>
            <w:r>
              <w:rPr>
                <w:rFonts w:ascii="Arial" w:cs="Arial" w:eastAsia="Arial" w:hAnsi="Arial"/>
                <w:sz w:val="18"/>
                <w:szCs w:val="18"/>
                <w:color w:val="auto"/>
              </w:rPr>
              <w:t>Exhibit 101.CAL*</w:t>
            </w:r>
          </w:p>
        </w:tc>
        <w:tc>
          <w:tcPr>
            <w:tcW w:w="20" w:type="dxa"/>
            <w:vAlign w:val="bottom"/>
          </w:tcPr>
          <w:p>
            <w:pPr>
              <w:spacing w:after="0"/>
              <w:rPr>
                <w:sz w:val="24"/>
                <w:szCs w:val="24"/>
                <w:color w:val="auto"/>
              </w:rPr>
            </w:pPr>
          </w:p>
        </w:tc>
        <w:tc>
          <w:tcPr>
            <w:tcW w:w="938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Calculaton Linkbase Document.</w:t>
            </w:r>
          </w:p>
        </w:tc>
      </w:tr>
      <w:tr>
        <w:trPr>
          <w:trHeight w:val="405"/>
        </w:trPr>
        <w:tc>
          <w:tcPr>
            <w:tcW w:w="1840" w:type="dxa"/>
            <w:vAlign w:val="bottom"/>
            <w:gridSpan w:val="3"/>
          </w:tcPr>
          <w:p>
            <w:pPr>
              <w:ind w:left="20"/>
              <w:spacing w:after="0"/>
              <w:rPr>
                <w:sz w:val="20"/>
                <w:szCs w:val="20"/>
                <w:color w:val="auto"/>
              </w:rPr>
            </w:pPr>
            <w:r>
              <w:rPr>
                <w:rFonts w:ascii="Arial" w:cs="Arial" w:eastAsia="Arial" w:hAnsi="Arial"/>
                <w:sz w:val="18"/>
                <w:szCs w:val="18"/>
                <w:color w:val="auto"/>
              </w:rPr>
              <w:t>Exhibit 101.DEF*</w:t>
            </w:r>
          </w:p>
        </w:tc>
        <w:tc>
          <w:tcPr>
            <w:tcW w:w="20" w:type="dxa"/>
            <w:vAlign w:val="bottom"/>
          </w:tcPr>
          <w:p>
            <w:pPr>
              <w:spacing w:after="0"/>
              <w:rPr>
                <w:sz w:val="24"/>
                <w:szCs w:val="24"/>
                <w:color w:val="auto"/>
              </w:rPr>
            </w:pPr>
          </w:p>
        </w:tc>
        <w:tc>
          <w:tcPr>
            <w:tcW w:w="9380" w:type="dxa"/>
            <w:vAlign w:val="bottom"/>
            <w:gridSpan w:val="14"/>
          </w:tcPr>
          <w:p>
            <w:pPr>
              <w:spacing w:after="0"/>
              <w:rPr>
                <w:sz w:val="20"/>
                <w:szCs w:val="20"/>
                <w:color w:val="auto"/>
              </w:rPr>
            </w:pPr>
            <w:r>
              <w:rPr>
                <w:rFonts w:ascii="Arial" w:cs="Arial" w:eastAsia="Arial" w:hAnsi="Arial"/>
                <w:sz w:val="18"/>
                <w:szCs w:val="18"/>
                <w:color w:val="auto"/>
              </w:rPr>
              <w:t>Inline XBRL Taxonomy Extension Defniton Linkbase Document.</w:t>
            </w:r>
          </w:p>
        </w:tc>
      </w:tr>
      <w:tr>
        <w:trPr>
          <w:trHeight w:val="405"/>
        </w:trPr>
        <w:tc>
          <w:tcPr>
            <w:tcW w:w="1840" w:type="dxa"/>
            <w:vAlign w:val="bottom"/>
            <w:gridSpan w:val="3"/>
          </w:tcPr>
          <w:p>
            <w:pPr>
              <w:ind w:left="20"/>
              <w:spacing w:after="0"/>
              <w:rPr>
                <w:sz w:val="20"/>
                <w:szCs w:val="20"/>
                <w:color w:val="auto"/>
              </w:rPr>
            </w:pPr>
            <w:r>
              <w:rPr>
                <w:rFonts w:ascii="Arial" w:cs="Arial" w:eastAsia="Arial" w:hAnsi="Arial"/>
                <w:sz w:val="18"/>
                <w:szCs w:val="18"/>
                <w:color w:val="auto"/>
              </w:rPr>
              <w:t>Exhibit 101.LAB*</w:t>
            </w:r>
          </w:p>
        </w:tc>
        <w:tc>
          <w:tcPr>
            <w:tcW w:w="20" w:type="dxa"/>
            <w:vAlign w:val="bottom"/>
          </w:tcPr>
          <w:p>
            <w:pPr>
              <w:spacing w:after="0"/>
              <w:rPr>
                <w:sz w:val="24"/>
                <w:szCs w:val="24"/>
                <w:color w:val="auto"/>
              </w:rPr>
            </w:pPr>
          </w:p>
        </w:tc>
        <w:tc>
          <w:tcPr>
            <w:tcW w:w="938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05"/>
        </w:trPr>
        <w:tc>
          <w:tcPr>
            <w:tcW w:w="1840" w:type="dxa"/>
            <w:vAlign w:val="bottom"/>
            <w:gridSpan w:val="3"/>
          </w:tcPr>
          <w:p>
            <w:pPr>
              <w:ind w:left="20"/>
              <w:spacing w:after="0"/>
              <w:rPr>
                <w:sz w:val="20"/>
                <w:szCs w:val="20"/>
                <w:color w:val="auto"/>
              </w:rPr>
            </w:pPr>
            <w:r>
              <w:rPr>
                <w:rFonts w:ascii="Arial" w:cs="Arial" w:eastAsia="Arial" w:hAnsi="Arial"/>
                <w:sz w:val="18"/>
                <w:szCs w:val="18"/>
                <w:color w:val="auto"/>
              </w:rPr>
              <w:t>Exhibit 101.PRE*</w:t>
            </w:r>
          </w:p>
        </w:tc>
        <w:tc>
          <w:tcPr>
            <w:tcW w:w="20" w:type="dxa"/>
            <w:vAlign w:val="bottom"/>
          </w:tcPr>
          <w:p>
            <w:pPr>
              <w:spacing w:after="0"/>
              <w:rPr>
                <w:sz w:val="24"/>
                <w:szCs w:val="24"/>
                <w:color w:val="auto"/>
              </w:rPr>
            </w:pPr>
          </w:p>
        </w:tc>
        <w:tc>
          <w:tcPr>
            <w:tcW w:w="938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Presentaton Linkbase Document.</w:t>
            </w:r>
          </w:p>
        </w:tc>
      </w:tr>
      <w:tr>
        <w:trPr>
          <w:trHeight w:val="394"/>
        </w:trPr>
        <w:tc>
          <w:tcPr>
            <w:tcW w:w="1060" w:type="dxa"/>
            <w:vAlign w:val="bottom"/>
          </w:tcPr>
          <w:p>
            <w:pPr>
              <w:ind w:left="20"/>
              <w:spacing w:after="0"/>
              <w:rPr>
                <w:sz w:val="20"/>
                <w:szCs w:val="20"/>
                <w:color w:val="auto"/>
              </w:rPr>
            </w:pPr>
            <w:r>
              <w:rPr>
                <w:rFonts w:ascii="Arial" w:cs="Arial" w:eastAsia="Arial" w:hAnsi="Arial"/>
                <w:sz w:val="18"/>
                <w:szCs w:val="18"/>
                <w:color w:val="auto"/>
              </w:rPr>
              <w:t>Exhibit 104*</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14"/>
          </w:tcPr>
          <w:p>
            <w:pPr>
              <w:spacing w:after="0"/>
              <w:rPr>
                <w:sz w:val="20"/>
                <w:szCs w:val="20"/>
                <w:color w:val="auto"/>
              </w:rPr>
            </w:pPr>
            <w:r>
              <w:rPr>
                <w:rFonts w:ascii="Arial" w:cs="Arial" w:eastAsia="Arial" w:hAnsi="Arial"/>
                <w:sz w:val="18"/>
                <w:szCs w:val="18"/>
                <w:color w:val="auto"/>
                <w:w w:val="94"/>
              </w:rPr>
              <w:t>The cover page from the Company’s Quarterly Report on Form 10-Q for the quarter ended June 30, 2023, formated in Inline</w:t>
            </w:r>
          </w:p>
        </w:tc>
      </w:tr>
      <w:tr>
        <w:trPr>
          <w:trHeight w:val="227"/>
        </w:trPr>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14"/>
          </w:tcPr>
          <w:p>
            <w:pPr>
              <w:spacing w:after="0"/>
              <w:rPr>
                <w:sz w:val="20"/>
                <w:szCs w:val="20"/>
                <w:color w:val="auto"/>
              </w:rPr>
            </w:pPr>
            <w:r>
              <w:rPr>
                <w:rFonts w:ascii="Arial" w:cs="Arial" w:eastAsia="Arial" w:hAnsi="Arial"/>
                <w:sz w:val="18"/>
                <w:szCs w:val="18"/>
                <w:color w:val="auto"/>
              </w:rPr>
              <w:t>XBRL (included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1912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3" w:name="page34"/>
    <w:bookmarkEnd w:id="33"/>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ind w:firstLine="509"/>
        <w:spacing w:after="0" w:line="273" w:lineRule="auto"/>
        <w:rPr>
          <w:sz w:val="20"/>
          <w:szCs w:val="20"/>
          <w:color w:val="auto"/>
        </w:rPr>
      </w:pPr>
      <w:r>
        <w:rPr>
          <w:rFonts w:ascii="Arial" w:cs="Arial" w:eastAsia="Arial" w:hAnsi="Arial"/>
          <w:sz w:val="18"/>
          <w:szCs w:val="18"/>
          <w:color w:val="auto"/>
        </w:rPr>
        <w:t>Pursuant to the requirements of the Securites Exchange Act of 1934, the registrant has duly caused this report to be signed on its behalf by the undersigned thereunto duly authorized.</w:t>
      </w:r>
    </w:p>
    <w:p>
      <w:pPr>
        <w:spacing w:after="0" w:line="1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CABOT CORPORATION</w:t>
      </w:r>
    </w:p>
    <w:p>
      <w:pPr>
        <w:spacing w:after="0" w:line="333" w:lineRule="exact"/>
        <w:rPr>
          <w:sz w:val="20"/>
          <w:szCs w:val="20"/>
          <w:color w:val="auto"/>
        </w:rPr>
      </w:pPr>
    </w:p>
    <w:p>
      <w:pPr>
        <w:ind w:left="20"/>
        <w:spacing w:after="0"/>
        <w:tabs>
          <w:tab w:leader="none" w:pos="6380" w:val="left"/>
          <w:tab w:leader="none" w:pos="832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rica</w:t>
      </w:r>
      <w:r>
        <w:rPr>
          <w:rFonts w:ascii="Arial" w:cs="Arial" w:eastAsia="Arial" w:hAnsi="Arial"/>
          <w:sz w:val="18"/>
          <w:szCs w:val="18"/>
          <w:color w:val="auto"/>
        </w:rPr>
        <w:t xml:space="preserve"> M</w:t>
      </w:r>
      <w:r>
        <w:rPr>
          <w:rFonts w:ascii="Arial" w:cs="Arial" w:eastAsia="Arial" w:hAnsi="Arial"/>
          <w:sz w:val="12"/>
          <w:szCs w:val="12"/>
          <w:color w:val="auto"/>
        </w:rPr>
        <w:t>c</w:t>
      </w:r>
      <w:r>
        <w:rPr>
          <w:rFonts w:ascii="Arial" w:cs="Arial" w:eastAsia="Arial" w:hAnsi="Arial"/>
          <w:sz w:val="18"/>
          <w:szCs w:val="18"/>
          <w:color w:val="auto"/>
        </w:rPr>
        <w:t>L</w:t>
      </w:r>
      <w:r>
        <w:rPr>
          <w:rFonts w:ascii="Arial" w:cs="Arial" w:eastAsia="Arial" w:hAnsi="Arial"/>
          <w:sz w:val="12"/>
          <w:szCs w:val="12"/>
          <w:color w:val="auto"/>
        </w:rPr>
        <w:t>aughlin</w:t>
      </w:r>
    </w:p>
    <w:p>
      <w:pPr>
        <w:spacing w:after="0" w:line="48" w:lineRule="exact"/>
        <w:rPr>
          <w:sz w:val="20"/>
          <w:szCs w:val="20"/>
          <w:color w:val="auto"/>
        </w:rPr>
      </w:pPr>
    </w:p>
    <w:p>
      <w:pPr>
        <w:jc w:val="center"/>
        <w:ind w:left="6760"/>
        <w:spacing w:after="0"/>
        <w:rPr>
          <w:sz w:val="20"/>
          <w:szCs w:val="20"/>
          <w:color w:val="auto"/>
        </w:rPr>
      </w:pPr>
      <w:r>
        <w:rPr>
          <w:rFonts w:ascii="Arial" w:cs="Arial" w:eastAsia="Arial" w:hAnsi="Arial"/>
          <w:sz w:val="18"/>
          <w:szCs w:val="18"/>
          <w:b w:val="1"/>
          <w:bCs w:val="1"/>
          <w:color w:val="auto"/>
        </w:rPr>
        <w:t>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-126365</wp:posOffset>
            </wp:positionV>
            <wp:extent cx="28378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Arial" w:cs="Arial" w:eastAsia="Arial" w:hAnsi="Arial"/>
          <w:sz w:val="16"/>
          <w:szCs w:val="16"/>
          <w:b w:val="1"/>
          <w:bCs w:val="1"/>
          <w:color w:val="auto"/>
        </w:rPr>
        <w:t>Executve Vice President and Chief Financial Ofcer</w:t>
      </w:r>
    </w:p>
    <w:p>
      <w:pPr>
        <w:spacing w:after="0" w:line="59" w:lineRule="exact"/>
        <w:rPr>
          <w:sz w:val="20"/>
          <w:szCs w:val="20"/>
          <w:color w:val="auto"/>
        </w:rPr>
      </w:pPr>
    </w:p>
    <w:p>
      <w:pPr>
        <w:jc w:val="center"/>
        <w:ind w:left="6760"/>
        <w:spacing w:after="0"/>
        <w:rPr>
          <w:sz w:val="20"/>
          <w:szCs w:val="20"/>
          <w:color w:val="auto"/>
        </w:rPr>
      </w:pPr>
      <w:r>
        <w:rPr>
          <w:rFonts w:ascii="Arial" w:cs="Arial" w:eastAsia="Arial" w:hAnsi="Arial"/>
          <w:sz w:val="18"/>
          <w:szCs w:val="18"/>
          <w:b w:val="1"/>
          <w:bCs w:val="1"/>
          <w:color w:val="auto"/>
        </w:rPr>
        <w:t>(Duly Authorized Ofcer)</w:t>
      </w: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6380" w:val="left"/>
          <w:tab w:leader="none" w:pos="838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L</w:t>
      </w:r>
      <w:r>
        <w:rPr>
          <w:rFonts w:ascii="Arial" w:cs="Arial" w:eastAsia="Arial" w:hAnsi="Arial"/>
          <w:sz w:val="12"/>
          <w:szCs w:val="12"/>
          <w:color w:val="auto"/>
        </w:rPr>
        <w:t>isa m</w:t>
      </w:r>
      <w:r>
        <w:rPr>
          <w:rFonts w:ascii="Arial" w:cs="Arial" w:eastAsia="Arial" w:hAnsi="Arial"/>
          <w:sz w:val="18"/>
          <w:szCs w:val="18"/>
          <w:color w:val="auto"/>
        </w:rPr>
        <w:t>. D</w:t>
      </w:r>
      <w:r>
        <w:rPr>
          <w:rFonts w:ascii="Arial" w:cs="Arial" w:eastAsia="Arial" w:hAnsi="Arial"/>
          <w:sz w:val="12"/>
          <w:szCs w:val="12"/>
          <w:color w:val="auto"/>
        </w:rPr>
        <w:t>umont</w:t>
      </w:r>
    </w:p>
    <w:p>
      <w:pPr>
        <w:spacing w:after="0" w:line="48"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Lisa M. Dumont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-126365</wp:posOffset>
            </wp:positionV>
            <wp:extent cx="28378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spacing w:after="0" w:line="16"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Vice President and Controller</w:t>
      </w:r>
    </w:p>
    <w:p>
      <w:pPr>
        <w:spacing w:after="0" w:line="24"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(Chief Accountng Ofcer)</w:t>
      </w:r>
    </w:p>
    <w:p>
      <w:pPr>
        <w:spacing w:after="0" w:line="200" w:lineRule="exact"/>
        <w:rPr>
          <w:sz w:val="20"/>
          <w:szCs w:val="20"/>
          <w:color w:val="auto"/>
        </w:rPr>
      </w:pPr>
    </w:p>
    <w:p>
      <w:pPr>
        <w:spacing w:after="0" w:line="20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21" w:right="619"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Arial" w:cs="Arial" w:eastAsia="Arial" w:hAnsi="Arial"/>
          <w:sz w:val="20"/>
          <w:szCs w:val="20"/>
          <w:color w:val="auto"/>
        </w:rPr>
        <w:t>Exhibit 3.2</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CABOT CORPORATION</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Amended through May 11, 2023)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 LAW, CERTIFICATE OF INCORPORATION AND BY-LAWS</w:t>
      </w:r>
    </w:p>
    <w:p>
      <w:pPr>
        <w:spacing w:after="0" w:line="229"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1.1 These by-laws are subject to the certificate of incorporation of the corporation. In these by-laws, references to law, the certificate of incorporation and by-laws mean all applicable law, the provisions of the certificate of incorporation of the corporation and these by-laws as from time to time in effect.</w:t>
      </w: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2. STOCKHOLDERS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stockholders shall be held on such date and at such time as shall be designated by the board of directors each year (which date and time may subsequently be changed at any time, including the year any such designation occurs).</w:t>
      </w:r>
    </w:p>
    <w:p>
      <w:pPr>
        <w:spacing w:after="0" w:line="6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Special Meetings</w:t>
      </w:r>
      <w:r>
        <w:rPr>
          <w:rFonts w:ascii="Arial" w:cs="Arial" w:eastAsia="Arial" w:hAnsi="Arial"/>
          <w:sz w:val="18"/>
          <w:szCs w:val="18"/>
          <w:color w:val="auto"/>
        </w:rPr>
        <w:t>. A special meeting of the stockholders may be called at any time by the board of directors. Any such call shall state the place, if any, time, and purposes of the meeting and the means of remote communication, if any, by which stockholders and proxy holders may be deemed present and vote at such meeting.</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Place of Meeting; Adjournment</w:t>
      </w:r>
      <w:r>
        <w:rPr>
          <w:rFonts w:ascii="Arial" w:cs="Arial" w:eastAsia="Arial" w:hAnsi="Arial"/>
          <w:sz w:val="18"/>
          <w:szCs w:val="18"/>
          <w:color w:val="auto"/>
        </w:rPr>
        <w:t>. Meetings of the stockholders may be held at such place within or without the State of Delaware as may be designated by the board of directors in the call thereof. The board of directors may, in its sole discretion, determine that a meeting of the stockholders shall not be held at any place, but may instead be held solely by means of remote communication in the manner authorized by the Delaware General Corporation Law. When any meeting is convened, the officer presiding at such meeting, if directed by the board of directors, may adjourn the meeting for a period of time not to exceed 30 days if (a) no quorum is present for the transaction of business or (b) the board of directors determines that adjournment is necessary or appropriate to enable the stockholders (i) to consider fully information which the board of directors determines has not been made sufficiently or timely available to stockholders or (ii) otherwise to exercise effectively their voting rights. Notice of an adjourned meeting shall be given in the manner provided in Section 2.4 of these by-laws.</w:t>
      </w:r>
    </w:p>
    <w:p>
      <w:pPr>
        <w:spacing w:after="0" w:line="21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Except as otherwise provided by law, a written notice of each meeting of stockholders stating the place, if any, day and hour thereof, the means of remote communication, if any, by which stockholders and proxy holders may be deemed present and vote at such meeting and, in the case of a special meeting, the purposes for which the meeting is called, shall be given not less than ten nor more than 60 days before the meeting, to each stockholder entitled to vote thereat, and to each stockholder who, by law, by the certificate of incorporation or by these by-laws, is entitled to notice, by leaving such notice at the stockholder’s residence or usual place of business, or by depositing it in the United States mail, postage prepaid, and addressed to such stockholder at the stockholder’s address as it appears in the records of the corporation. Such notice shall be given by the secretary or an assistant secretary, or in the case of their death, incapacity or refusal, by another officer or person designated by the board of directors. As to any adjourned session of any meeting of stockholders, notice of the adjourned meeting need not be given if the time and place, if any, thereof and the means of remote communications, if any, by which stockholders and proxy holders may be deemed present and vote at such postponed meeting are provided in accordance with the Delaware General Corporation Law, except that if the adjournment is for more than 30 days or if after the adjournment a new record date is set for the adjourned session, notice of any such adjourned session of the meeting shall be given in the manner heretofore described. No notice of any meeting of stockholders or any adjourned session thereof need be given to a stockholder if a written waiver of notice, executed before or after the meeting or such adjourned session by such stockholder, is filed with the records of the meeting or if the stockholder attends such meeting without objecting at the beginning of the meeting to the transaction of any business because the meeting is not lawfully called or convened. Neither the business to be transacted at, nor the purpose of, any meeting of the stockholders or any adjourned session thereof need be specified in any written waiver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6" w:name="page37"/>
    <w:bookmarkEnd w:id="36"/>
    <w:p>
      <w:pPr>
        <w:spacing w:after="0" w:line="273"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Quorum of Stockholders</w:t>
      </w:r>
      <w:r>
        <w:rPr>
          <w:rFonts w:ascii="Arial" w:cs="Arial" w:eastAsia="Arial" w:hAnsi="Arial"/>
          <w:sz w:val="17"/>
          <w:szCs w:val="17"/>
          <w:color w:val="auto"/>
        </w:rPr>
        <w:t xml:space="preserve">. At any meeting of the stockholders, a quorum as to any matter shall consist of a majority of the votes entitled to be cast on the matter, except where a larger quorum is required by law, by the certificate of incorporation or by these by-laws. If a quorum is present at an original meeting, a quorum need not be present at an adjourned session of that meeting.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limit the right of any corporation to vote stock, including but not limited to its own stock, held by it in a fiduciary capacity.</w:t>
      </w:r>
    </w:p>
    <w:p>
      <w:pPr>
        <w:spacing w:after="0" w:line="7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Required Vote for Election of Directors</w:t>
      </w:r>
      <w:r>
        <w:rPr>
          <w:rFonts w:ascii="Arial" w:cs="Arial" w:eastAsia="Arial" w:hAnsi="Arial"/>
          <w:sz w:val="16"/>
          <w:szCs w:val="16"/>
          <w:color w:val="auto"/>
        </w:rPr>
        <w:t xml:space="preserve">. When a quorum is present at any meeting, a nominee for director shall be elected if the votes properly cast for such nominee’s election exceed the votes properly cast against such nominee’s election (abstentions shall not be considered to be votes cast);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directors shall be elected by a plurality of the votes properly cast at any meeting of stockholders for which (i) the corporation receives a notice that a stockholder has nominated a person for election as a director in compliance with the provisions for advance notice of nominations in Section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2.12 of these by-laws and (ii) such nomination has not been withdrawn on or prior to the tenth day preceding the date on which the corporation mails notice of the meeting to the stockholders. If nominees for director are to be elected by a plurality of the votes properly cast, stockholders shall not be permitted to vote against a nominee.</w:t>
      </w:r>
    </w:p>
    <w:p>
      <w:pPr>
        <w:spacing w:after="0" w:line="8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Required Vote for Other Matters</w:t>
      </w:r>
      <w:r>
        <w:rPr>
          <w:rFonts w:ascii="Arial" w:cs="Arial" w:eastAsia="Arial" w:hAnsi="Arial"/>
          <w:sz w:val="18"/>
          <w:szCs w:val="18"/>
          <w:color w:val="auto"/>
        </w:rPr>
        <w:t>. When a quorum is present at any meeting, a majority of the votes properly cast shall decide the question, except as otherwise required by law, by the certificate of incorporation or by these by-laws. If the corporation issues fractional shares of stock entitled to vote, holders of such fractional shares shall be entitled to exercise voting rights.</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No Action Without Meetings</w:t>
      </w:r>
      <w:r>
        <w:rPr>
          <w:rFonts w:ascii="Arial" w:cs="Arial" w:eastAsia="Arial" w:hAnsi="Arial"/>
          <w:sz w:val="18"/>
          <w:szCs w:val="18"/>
          <w:color w:val="auto"/>
        </w:rPr>
        <w:t>. Any action required or permitted to be taken by stockholders of the corporation must be taken at a duly called annual or special meeting of the corporation and may not be taken by any consent in writing by such stockholders.</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Proxy Representation</w:t>
      </w:r>
      <w:r>
        <w:rPr>
          <w:rFonts w:ascii="Arial" w:cs="Arial" w:eastAsia="Arial" w:hAnsi="Arial"/>
          <w:sz w:val="16"/>
          <w:szCs w:val="16"/>
          <w:color w:val="auto"/>
        </w:rPr>
        <w:t xml:space="preserve">. Every stockholder may authorize another person or persons to act for him or her by proxy in all matters in which a stockholder is entitled to participate, whether by waiving notice of any meeting, objecting to or voting or participating at a meeting. Every proxy must be signed by the stockholder or by his or her attorney-in-fact. No proxy shall be voted or acted upon after three years from its date unless such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proxy limits its authorization to a meeting or meetings of stockholders, unless otherwise specifically provided, such proxy shall entitle the holder thereof to vote at any adjourned session but shall not be valid after the final adjournment thereof. Any stockholder directly or indirectly soliciting proxies from other stockholders must use a proxy card color other than white, which shall be reserved for exclusive use by the corporation.</w:t>
      </w:r>
    </w:p>
    <w:p>
      <w:pPr>
        <w:spacing w:after="0" w:line="58"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Inspectors</w:t>
      </w:r>
      <w:r>
        <w:rPr>
          <w:rFonts w:ascii="Arial" w:cs="Arial" w:eastAsia="Arial" w:hAnsi="Arial"/>
          <w:sz w:val="17"/>
          <w:szCs w:val="17"/>
          <w:color w:val="auto"/>
        </w:rPr>
        <w:t>. The directors or the person presiding at the meeting shall appoint one or more inspectors of election and may appoint any substitute inspectors to act at the meeting or any adjournment thereof. Each inspector, before entering upon the discharge of his or her duties, shall take and sign an oath faithfully to execute the duties of inspector at such meeting with strict impartiality and according to the best of his or her ability. The inspector or inspectors shall have the duties prescribed by law. On request of the person presiding at the meeting, the inspectors shall make a report in writing of any challenge, question or matter determined by them and execute a certificate of any fact found by them.</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List of Stockholders</w:t>
      </w:r>
      <w:r>
        <w:rPr>
          <w:rFonts w:ascii="Arial" w:cs="Arial" w:eastAsia="Arial" w:hAnsi="Arial"/>
          <w:sz w:val="18"/>
          <w:szCs w:val="18"/>
          <w:color w:val="auto"/>
        </w:rPr>
        <w:t>. The secretary shall prepare and make, or cause to be prepared and made, no later than the 10th day before each meeting of stockholders, a complete list of the stockholders entitled to vote at such meeting, arranged in alphabetical order and showing the address of each stockholder and the number of shares registered in the name of each stockholder. The original or duplicate stock ledger shall be the only evidence as to who are stockholders entitled to examine such list or to vote in person or by proxy at such meeting.</w:t>
      </w:r>
    </w:p>
    <w:p>
      <w:pPr>
        <w:spacing w:after="0" w:line="7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Advance Notice of Stockholder Proposals and Nominations</w:t>
      </w:r>
      <w:r>
        <w:rPr>
          <w:rFonts w:ascii="Arial" w:cs="Arial" w:eastAsia="Arial" w:hAnsi="Arial"/>
          <w:sz w:val="18"/>
          <w:szCs w:val="18"/>
          <w:color w:val="auto"/>
        </w:rPr>
        <w:t>. Unless otherwise determined by the board of directors prior to a meeting of the stockholders, the officer presiding at such meeting, determined in accordance with these by-laws, shall determine the order of business and shall have the authority in his or her discretion to regulate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7" w:name="page38"/>
    <w:bookmarkEnd w:id="37"/>
    <w:p>
      <w:pPr>
        <w:ind w:right="120"/>
        <w:spacing w:after="0" w:line="286" w:lineRule="auto"/>
        <w:rPr>
          <w:sz w:val="20"/>
          <w:szCs w:val="20"/>
          <w:color w:val="auto"/>
        </w:rPr>
      </w:pPr>
      <w:r>
        <w:rPr>
          <w:rFonts w:ascii="Arial" w:cs="Arial" w:eastAsia="Arial" w:hAnsi="Arial"/>
          <w:sz w:val="17"/>
          <w:szCs w:val="17"/>
          <w:color w:val="auto"/>
        </w:rPr>
        <w:t>the conduct of such meeting, including, without limitation, to impose restrictions on the persons (other than stockholders of the corporation or their duly appointed proxies) who may attend such meeting, to regulate and restrict the making of statements or asking of questions at such meeting and to cause the removal from such meeting of any person who has disrupted or appears likely to disrupt the proceedings at such meeting.</w:t>
      </w:r>
    </w:p>
    <w:p>
      <w:pPr>
        <w:spacing w:after="0" w:line="16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At a meeting of the stockholders, only such business shall be conducted as shall have been properly brought before the meeting. To be properly brought before any meeting of the stockholders, nominations of directors and the proposals of other business to be conducted must be (a) specified in the notice of meeting (or any supplement thereto) given by or at the direction of the board of directors, (b) otherwise properly brought before the meeting by or at the direction of the board of directors, or (c) properly brought before the meeting by a stockholder who is a stockholder of record at the time of the giving by such stockholder of the notice provided for in this Section 2.12 below, who shall be entitled to vote for such matters at the meeting and who complies with the requirements of this Section 2.12 with respect to any business sought to be brought before the meeting or the nomination of directors. Clause (c) of this paragraph shall be the exclusive means for a stockholder to make nominations or propose other business (other than matters properly brought under Rule 14a-8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included in the Corporation’s notice of meeting) before a meeting of the stockholders. In addition, unless the board of directors has determined that directors will be elected at a special meeting of the stockholders, no stockholder may nominate directors for election at any special meeting of the stockholders.</w:t>
      </w:r>
    </w:p>
    <w:p>
      <w:pPr>
        <w:spacing w:after="0" w:line="16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for business to be properly brought before a meeting by a stockholder, the stockholder must appear at the meeting to present such business; if the stockholder does not appear, any such proposal or nomination shall be disregarded and such proposed business shall not be transacted, notwithstanding that proxies in respect of such vote may have been received by the corporation.</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addition to any other applicable requirements, in order for any proposal or nomination to be properly brought before the meeting by a stockholder (other than a stockholder proposal included in the corporation’s proxy statement pursuant to Rule 14a-8 under the Exchange Act) the stockholder must have given timely notice thereof in writing to the secretary of the corporation. To be timely, (a) with respect to an annual meeting of the stockholders held pursuant to Section 2.1 of these by-laws, a stockholder’s notice must be received at the principal executive offices of the corporation not less than 90 days nor more than 120 days prior to the anniversary date of the immediately preceding annual meeting of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that the annual meeting of stockholders is called for a date (including any change in a date designated by the board of directors pursuant to Section 2.1) more than 60 days prior to such anniversary date, notice by the stockholder to be timely must be so received not later than the close of business on the 10th day following the day on which public disclosure of the date of such meeting was made, and (b) with respect to a special meeting of the stockholders held pursuant to Section 2.2 of these by-laws, a stockholder’s notice must be received at the principal executive offices of the corporation by the close of business on the 10th day following the day on which public disclosure of the date of such meeting was made. In no event shall any adjournment or postponement of an annual or special meeting of the stockholders or the announcement thereof commence a new time period for the delivery of such notice by a stockholder. For the avoidance of doubt, a stockholder shall not be entitled to make additional or substitute nominations following the expiration of the time periods set forth in these by-laws for timely written notice.</w:t>
      </w:r>
    </w:p>
    <w:p>
      <w:pPr>
        <w:spacing w:after="0" w:line="18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 stockholder’s notice to the secretary shall set forth as to each proposal or nomination the stockholder proposes to bring before the meeting (a) the name and address of the stockholder making such proposal, (b) the class and number of shares of capital stock of the corporation directly or indirectly held of record, owned beneficially and represented by proxy by such stockholder as of the date of such notice by the stockholder, (c) a representation that such stockholder is a holder of record or beneficial owner, as the case may be, of shares of the corporation entitled to vote at the meeting and intend to appear in person at the meeting, (d) any “derivative security” (as that term is defined in Rule 16a-1(c) under the Exchange Act) directly or indirectly owned beneficially by the stockholder and any other “pecuniary interest” or “indirect pecuniary interest” (as those terms are defined in Rule 16a-1(a)(2) under the Exchange Act) in the shares of capital stock of the corporation, (e) any proxy, contract, arrangement, understanding or relationship pursuant to which such stockholder has a right to vote any securities of the corporation, (f) any performance-related fees (other than an asset-based fee) that such stockholder is entitled to based on any increase or decrease in the value of the shares of stock of the corporation, (g) a certification as to whether or not such stockholder has complied with all applicable federal, state and other legal requirements in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8" w:name="page39"/>
    <w:bookmarkEnd w:id="38"/>
    <w:p>
      <w:pPr>
        <w:spacing w:after="0" w:line="254" w:lineRule="auto"/>
        <w:rPr>
          <w:sz w:val="20"/>
          <w:szCs w:val="20"/>
          <w:color w:val="auto"/>
        </w:rPr>
      </w:pPr>
      <w:r>
        <w:rPr>
          <w:rFonts w:ascii="Arial" w:cs="Arial" w:eastAsia="Arial" w:hAnsi="Arial"/>
          <w:sz w:val="18"/>
          <w:szCs w:val="18"/>
          <w:color w:val="auto"/>
        </w:rPr>
        <w:t>connection with such stockholder’s acquisition of shares of capital stock or other securities of the corporation, (h) a representation as to whether such stockholder intends to deliver a proxy statement and form of proxy to holders of a sufficient number of holders of the corporation’s voting shares to elect such nominee or nominees and, if applicable, in accordance with Rule 14a-19 under the Exchange Act, or to carry such proposal, (i) to the extent known by such stockholder, the name and address of any other stockholder supporting the proposal on the date of such stockholder’s notice, and (j) all other information that would be required to be included in a proxy statement required to be filed with the Securities and Exchange Commission if, with respect to any such proposal or nomination, such stockholder were a participant in a solicitation subject to Regulation 14A under the Exchange Act (the “Proxy Rules”).</w:t>
      </w:r>
    </w:p>
    <w:p>
      <w:pPr>
        <w:spacing w:after="0" w:line="19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addition, if the notice involves a proposal for business, a stockholder’s notice to the secretary shall set forth as to each proposal a brief description of the proposal desired to be brought before the meeting, the reasons for making such proposal at the meeting and any material interest that the stockholder has in the proposal. If the notice involves the nomination of a director, a stockholder’s notice to the secretary shall set forth (a) as to each person whom the stockholder proposes to nominate for election or re-election as a director, (i) the name, age, business address or residence address of the person, (ii) the principal occupation or employment of the person, (iii) the class and number of shares of capital stock of the corporation, if any, which are beneficially owned by the person, the date or dates on which such shares were acquired and the investment intent of such acquisition, (iv) a representation that the person is not and will not become a party to any agreement, arrangement or understanding (whether written or oral) with, and has not given any commitment or assurance to, any person or entity as to how such person, if elected as a director of the corporation, will act or vote on any issue or question that has not been disclosed to the corporation or that could limit or interfere with such person’s ability to comply, if elected a director of the corporation, with such person’s fiduciary duties under applicable law, (v) any other information relating to the nominee as would be required to be included in a proxy statement or other filings required to be filed pursuant to the Proxy Rules (including without limitation the written consent of the nominee to being named in the proxy statement as a nominee and to serve as a director if elected) and (vi) a statement signed by the person confirming that, if elected, he or she will comply with the corporation’s Global Ethics and Compliance Standards, Policy on Transactions in Securities, Corporate Governance Guidelines and any other applicable rule, regulation, policy or standard of conduct applicable to the directors; and (b) as to the stockholder giving the notice, (i) a representation that the stockholder intends to appear in person or by proxy at the meeting to nominate the person or persons specified in the notice, (ii) a representation as to whether such stockholder intends to solicit proxies or votes from stockholders for any director nominees in accordance with Rule 14a-19 under the Exchange Act, and (iii) a description of all direct and indirect compensation and other material monetary arrangements, agreements or understandings during the past three years, and any other material relationship, if any, between or concerning the stockholder and its respective affiliates or associates, or others with whom they are acting in concert, on the one hand, and each person nominated by the stockholder, and his or her respective affiliates, associates and others with whom any of them are acting in concert on the other hand. In addition, any person nominated by the stockholder shall complete a questionnaire, in a form available from the corporation, and such completed questionnaire shall be submitted with the stockholder notice contemplated by this Section 2.12.</w:t>
      </w:r>
    </w:p>
    <w:p>
      <w:pPr>
        <w:spacing w:after="0" w:line="39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If the stockholder holds its shares by or through a nominee, the information required to be provided in a notice of the stockholder contemplated by this Section 2.12 shall be provided about the person who has the power to direct the voting and disposition of the shares of capital stock of the corporation and who has a pecuniary interest in such shares in lieu of the stockholder.</w:t>
      </w:r>
    </w:p>
    <w:p>
      <w:pPr>
        <w:spacing w:after="0" w:line="18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 stockholder shall further update and supplement its notice of any nomination to be brought before a meeting, if necessary, so that the information provided or required to be provided in such notice pursuant to this Section 2.12 shall be true and correct (a) as of the record date for the meeting and (b) as of the date that is ten business days prior to the meeting or any adjournment, recess, rescheduling or postponement thereof. Such update and supplement shall be delivered to the secretary not later than three business days after the later of the record date or the date notice of the record date is first publicly announced (in the case of the update and supplement required to be made as of the record date for the meeting) and not later than seven business days prior to the date for the meeting, if practicable (or, if not practicable, on the first practicable date prior to the meeting), or any adjournment, recess, rescheduling or postponement thereof (in the case of the update and supplement required to be made as of ten business days prior to the meeting or any adjournment, recess, rescheduling or postponement thereof).</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9" w:name="page40"/>
    <w:bookmarkEnd w:id="39"/>
    <w:p>
      <w:pPr>
        <w:spacing w:after="0" w:line="257" w:lineRule="auto"/>
        <w:rPr>
          <w:sz w:val="20"/>
          <w:szCs w:val="20"/>
          <w:color w:val="auto"/>
        </w:rPr>
      </w:pPr>
      <w:r>
        <w:rPr>
          <w:rFonts w:ascii="Arial" w:cs="Arial" w:eastAsia="Arial" w:hAnsi="Arial"/>
          <w:sz w:val="18"/>
          <w:szCs w:val="18"/>
          <w:color w:val="auto"/>
        </w:rPr>
        <w:t>Notwithstanding anything in the by-laws to the contrary, no business pertaining to this Section 2.12 shall be conducted at any meeting except in accordance with the procedures set forth in this Section 2.12. The officer presiding at the meeting shall, if the facts warrant, determine and declare to the meeting that any proposal or nomination, as the case may be, was not properly brought before the meeting in accordance with the provisions of this Section 2.12 and, if the presiding officer should so determine, any proposal not properly brought before the meeting shall not be discussed or voted on and any defective nomination shall be disregarded.</w:t>
      </w:r>
    </w:p>
    <w:p>
      <w:pPr>
        <w:spacing w:after="0" w:line="18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Rule 14a-19(b)</w:t>
      </w:r>
      <w:r>
        <w:rPr>
          <w:rFonts w:ascii="Arial" w:cs="Arial" w:eastAsia="Arial" w:hAnsi="Arial"/>
          <w:sz w:val="18"/>
          <w:szCs w:val="18"/>
          <w:color w:val="auto"/>
        </w:rPr>
        <w:t>. Without limiting the other provisions and requirements of this Section 2, unless otherwise required by law, if any stockholder (a) provides notice pursuant to Rule 14a-19(b) under the Exchange Act and (b) subsequently fails to comply with the requirements of Rule 14a-19(a)(2) and Rule 14a-19(a)(3) under the Exchange Act, then the corporation shall disregard any proxies or votes solicited for such stockholder’s nominees. Upon request by the corporation, if any stockholder provides notice pursuant to Rule 14a-19(b) under the Exchange Act, such stockholder shall deliver to the corporation, no later than five business days prior to the applicable meeting, reasonable evidence that it has met the requirements of Rule 14a-19(a)(3) under the Exchange 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 BOARD OF DIRECTORS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Number</w:t>
      </w:r>
      <w:r>
        <w:rPr>
          <w:rFonts w:ascii="Arial" w:cs="Arial" w:eastAsia="Arial" w:hAnsi="Arial"/>
          <w:sz w:val="17"/>
          <w:szCs w:val="17"/>
          <w:color w:val="auto"/>
        </w:rPr>
        <w:t>. The number of directors which shall constitute the whole board shall be not less than three nor more than 17 in number. Within the foregoing limits, the board of directors shall determine the number of directors, and the number of directors may be increased at any time or from time to time by the directors by vote of a majority of the directors then in office. The number of directors may be decreased to any number permitted by the foregoing at any time by the directors by vote of a majority of the directors then in office. The directors shall be classified, with respect to the time for which they severally hold office, into three classes as nearly equal in number as possible: one class whose term expired at the first annual meeting of stockholders after January 21, 1969 (the “Adoption Date”); one class whose term expired at the second annual meeting of stockholders after the Adoption Date; and another class whose term expired at the third annual meeting of stockholders after the Adoption Date, with each such class holding office until its successors were elected and qualified. At each annual meeting of stockholders after the Adoption Date, the successors of the class of directors whose term expires at that meeting shall be elected to hold office for a term expiring at the annual meeting of stockholders held in the third year following the year of their election. Directors need not be stockholders.</w:t>
      </w:r>
    </w:p>
    <w:p>
      <w:pPr>
        <w:spacing w:after="0" w:line="2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of incorporation or by these by-laws, each director shall hold office until a successor is elected and qualified, or until such director sooner dies, resigns or is removed.</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who shall have and may exercise all the powers of the corporation and do all such lawful acts and things as are not by law, the certificate of incorporation or these by-laws directed or required to be exercised or done by the stockholders.</w:t>
      </w:r>
    </w:p>
    <w:p>
      <w:pPr>
        <w:spacing w:after="0" w:line="7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Vacancies of Directors</w:t>
      </w:r>
      <w:r>
        <w:rPr>
          <w:rFonts w:ascii="Arial" w:cs="Arial" w:eastAsia="Arial" w:hAnsi="Arial"/>
          <w:sz w:val="17"/>
          <w:szCs w:val="17"/>
          <w:color w:val="auto"/>
        </w:rPr>
        <w:t>. Vacancies and any newly created directorships resulting from any increase in the number of directors may be filled by a majority of the directors then in office, although less than a quorum, or by a sole remaining director. Any director or directors so chosen shall hold office until the annual meeting of stockholders at which the term of office of the class to which they have been elected expires and until their successors are duly elected and shall qualify, unless they sooner die, resign or are removed.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w:t>
      </w:r>
    </w:p>
    <w:p>
      <w:pPr>
        <w:spacing w:after="0" w:line="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Committees</w:t>
      </w:r>
      <w:r>
        <w:rPr>
          <w:rFonts w:ascii="Arial" w:cs="Arial" w:eastAsia="Arial" w:hAnsi="Arial"/>
          <w:sz w:val="18"/>
          <w:szCs w:val="18"/>
          <w:color w:val="auto"/>
        </w:rPr>
        <w:t>. Subject to Section 3.6 of these by-laws, the board of directors may, by vote of a majority of the whole board,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of the board of directors in the management of the business and affairs of the corporation, including the power to authorize the seal of the corporation to be affixed to all papers which require it and the power and authority to declare dividends or to</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0" w:name="page41"/>
    <w:bookmarkEnd w:id="40"/>
    <w:p>
      <w:pPr>
        <w:ind w:right="160"/>
        <w:spacing w:after="0" w:line="272" w:lineRule="auto"/>
        <w:rPr>
          <w:sz w:val="20"/>
          <w:szCs w:val="20"/>
          <w:color w:val="auto"/>
        </w:rPr>
      </w:pPr>
      <w:r>
        <w:rPr>
          <w:rFonts w:ascii="Arial" w:cs="Arial" w:eastAsia="Arial" w:hAnsi="Arial"/>
          <w:sz w:val="17"/>
          <w:szCs w:val="17"/>
          <w:color w:val="auto"/>
        </w:rPr>
        <w:t>authorize the issuance of stock; excepting, however, such powers which by law, by the certificate of incorporation or by these by-laws they are prohibited from so delegating. In the absence or disqualification of any member of such committee and his or her alternate, if any, the member or members thereof present at any meeting and not disqualified from voting, whether or not constituting a quorum, may unanimously appoint another member of the board of directors to act at the meeting in the place of any such absent or disqualified member. Except as the board of directors may otherwise determine, any committee may make rules for the conduct of its business, but unless otherwise provided by the board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spacing w:after="0" w:line="2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Executive Committee</w:t>
      </w:r>
      <w:r>
        <w:rPr>
          <w:rFonts w:ascii="Arial" w:cs="Arial" w:eastAsia="Arial" w:hAnsi="Arial"/>
          <w:sz w:val="18"/>
          <w:szCs w:val="18"/>
          <w:color w:val="auto"/>
        </w:rPr>
        <w:t>. The board of directors shall, by vote of a majority of the whole board, elect from its own number an executive committee, to consist of not less than two members in addition to the chief executive officer, and may from time to time designate or alter, within the limits permitted by this Section 3.6, the duties and powers of such committee, or change its membership.</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executive committee shall have and may exercise all the powers and authority of the board of directors in the management of the business and affairs of the corporation to the extent permitted by Section 141 of the Delaware General Corporation Law, and may authorize the seal of the corporation to be affixed to all papers which may require it, including the power and authority to declare a dividend, to authorize the issuance of stock and to adopt a certificate of ownership and merger; provided that the executive committee shall not have the power or authority in reference to amending the certificate of incorporation of this corporation (except that the executive committee may, to the extent authorized in the vote or votes providing for the issuance of shares of stock adopted by the board of directors, fix the designations and any of the preferences or rights of such shares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amending these by-laws, electing or appointing the chief executive officer, treasurer or secretary or filling vacancies in the board of directors or the executive committee. Each member of the executive committee shall hold office until the first meeting of the board of directors following the next annual meeting of the stockholders and until his or her successor is elected and qualified, or until he or she sooner dies, resigns, is removed, or becomes disqualified by ceasing to be a director. One-third of the members of the executive committee then in office, but in no case less than two members, shall constitute a quorum for the transaction of business, but any meeting may be adjourned from time to time by a majority of the votes cast upon the question, whether or not a quorum is present, and the meeting may be held as adjourned without further notice.</w:t>
      </w:r>
    </w:p>
    <w:p>
      <w:pPr>
        <w:spacing w:after="0" w:line="6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without call or notice at such places (if any) within or without the State of Delaware and at such times as the board may from time to time determine; notice of the first regular meeting following any such determination shall be given to absent directors. A regular meeting of the directors may be held without call or notice immediately after and at the same place as the annual meeting of stockholders.</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held at any time and at any place (if any) within or without the State of Delaware designated in the notice of the meeting, when called by the chairman of the board, the vice chairman of the board, the president, or by two or more directors, reasonable notice thereof being given to each director by the secretary or an assistant secretary or by the chairman of the board, the vice chairman of the board, the president or by any one of the directors calling the meeting.</w:t>
      </w:r>
    </w:p>
    <w:p>
      <w:pPr>
        <w:spacing w:after="0" w:line="21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Notice</w:t>
      </w:r>
      <w:r>
        <w:rPr>
          <w:rFonts w:ascii="Arial" w:cs="Arial" w:eastAsia="Arial" w:hAnsi="Arial"/>
          <w:sz w:val="16"/>
          <w:szCs w:val="16"/>
          <w:color w:val="auto"/>
        </w:rPr>
        <w:t>. It shall be reasonable and sufficient notice to a director to send notice by mail at least 48 hours before the meeting addressed to such director at his or her usual or last known business or residence address or to give notice to a director in person or by telephone or electronic communication at least 24 hours before the meeting. Notice of a meeting need not be given to any director if a written waiver of notice, executed by a director before or after the meeting, is filed with the records of the meeting, or to any director who attends the meeting without protesting prior thereto or at its commencement the lack of notice to such director. Neither notice of a meeting nor a waiver of a notice need specify the purposes of the meeting.</w:t>
      </w:r>
    </w:p>
    <w:p>
      <w:pPr>
        <w:spacing w:after="0" w:line="53"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Quorum</w:t>
      </w:r>
      <w:r>
        <w:rPr>
          <w:rFonts w:ascii="Arial" w:cs="Arial" w:eastAsia="Arial" w:hAnsi="Arial"/>
          <w:sz w:val="18"/>
          <w:szCs w:val="18"/>
          <w:color w:val="auto"/>
        </w:rPr>
        <w:t>. Except as may be otherwise provided by law, by the certificate of incorporation or by these by-laws, at any meeting of the directors a majority of the directors then in office shall constitute a quorum, but in no case less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1" w:name="page42"/>
    <w:bookmarkEnd w:id="41"/>
    <w:p>
      <w:pPr>
        <w:ind w:right="100"/>
        <w:spacing w:after="0" w:line="277" w:lineRule="auto"/>
        <w:rPr>
          <w:sz w:val="20"/>
          <w:szCs w:val="20"/>
          <w:color w:val="auto"/>
        </w:rPr>
      </w:pPr>
      <w:r>
        <w:rPr>
          <w:rFonts w:ascii="Arial" w:cs="Arial" w:eastAsia="Arial" w:hAnsi="Arial"/>
          <w:sz w:val="18"/>
          <w:szCs w:val="18"/>
          <w:color w:val="auto"/>
        </w:rPr>
        <w:t>than two directors. Any meeting may be adjourned from time to time by a majority of the votes cast upon the question, whether or not a quorum is present, and the meeting may be held as adjourned without further notice.</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Action by Vote</w:t>
      </w:r>
      <w:r>
        <w:rPr>
          <w:rFonts w:ascii="Arial" w:cs="Arial" w:eastAsia="Arial" w:hAnsi="Arial"/>
          <w:sz w:val="18"/>
          <w:szCs w:val="18"/>
          <w:color w:val="auto"/>
        </w:rPr>
        <w:t>. Except as may be otherwise provided by law, by the certificate of incorporation or by these by-laws, when a quorum is present at any meeting the vote of a majority of the directors present shall be the act of the board of directors.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Any action required or permitted to be taken at any meeting of the board of directors or a committee thereof may be taken without a meeting if all the members of the board or of such committee, as the case may be, consent thereto in writing, and such writing or writings are filed with the records of the meetings of the board or of such committee. Such consent shall be treated for all purposes as the act of the board or of such committee, as the case may be.</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Participation in Meetings by Conference Telephone</w:t>
      </w:r>
      <w:r>
        <w:rPr>
          <w:rFonts w:ascii="Arial" w:cs="Arial" w:eastAsia="Arial" w:hAnsi="Arial"/>
          <w:sz w:val="16"/>
          <w:szCs w:val="16"/>
          <w:color w:val="auto"/>
        </w:rPr>
        <w:t>. Members of the board of directors, or any committee designated by such board, may participate in a meeting of such board or committee by means of conference telephone or similar communications equipment by means of which all persons participating in the meeting can hear each other or by any other means permitted by law. Such participation shall constitute presence in person at such meeting.</w:t>
      </w:r>
    </w:p>
    <w:p>
      <w:pPr>
        <w:spacing w:after="0" w:line="4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Compensation</w:t>
      </w:r>
      <w:r>
        <w:rPr>
          <w:rFonts w:ascii="Arial" w:cs="Arial" w:eastAsia="Arial" w:hAnsi="Arial"/>
          <w:sz w:val="17"/>
          <w:szCs w:val="17"/>
          <w:color w:val="auto"/>
        </w:rPr>
        <w:t>. In the discretion of the board of directors, the directors may be paid their expenses, if any, of attendance at each meeting of the board of directors and may be paid a fixed sum for attendance at each meeting of the board of directors or a stated salary as director. Nothing contained in this section shall be construed to preclude any director from serving the corporation in any other capacity and receiving compensation therefor. Members of special or standing committees may be allowed like compensation for attending committee meetings.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Interested Directors and Officers</w:t>
      </w:r>
      <w:r>
        <w:rPr>
          <w:rFonts w:ascii="Arial" w:cs="Arial" w:eastAsia="Arial" w:hAnsi="Arial"/>
          <w:sz w:val="18"/>
          <w:szCs w:val="18"/>
          <w:color w:val="auto"/>
        </w:rPr>
        <w:t>.</w:t>
      </w:r>
    </w:p>
    <w:p>
      <w:pPr>
        <w:spacing w:after="0" w:line="117" w:lineRule="exact"/>
        <w:rPr>
          <w:sz w:val="20"/>
          <w:szCs w:val="20"/>
          <w:color w:val="auto"/>
        </w:rPr>
      </w:pPr>
    </w:p>
    <w:p>
      <w:pPr>
        <w:ind w:right="100" w:firstLine="8"/>
        <w:spacing w:after="0" w:line="257"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the vote or votes of such director or officer are counted for such purpose, if:</w:t>
      </w:r>
    </w:p>
    <w:p>
      <w:pPr>
        <w:spacing w:after="0" w:line="80" w:lineRule="exact"/>
        <w:rPr>
          <w:sz w:val="20"/>
          <w:szCs w:val="20"/>
          <w:color w:val="auto"/>
        </w:rPr>
      </w:pPr>
    </w:p>
    <w:p>
      <w:pPr>
        <w:ind w:firstLine="8"/>
        <w:spacing w:after="0" w:line="263" w:lineRule="auto"/>
        <w:tabs>
          <w:tab w:leader="none" w:pos="2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material facts as to the relationship or interest of such director or officer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75" w:lineRule="exact"/>
        <w:rPr>
          <w:rFonts w:ascii="Arial" w:cs="Arial" w:eastAsia="Arial" w:hAnsi="Arial"/>
          <w:sz w:val="18"/>
          <w:szCs w:val="18"/>
          <w:color w:val="auto"/>
        </w:rPr>
      </w:pPr>
    </w:p>
    <w:p>
      <w:pPr>
        <w:ind w:right="460" w:firstLine="8"/>
        <w:spacing w:after="0" w:line="308" w:lineRule="auto"/>
        <w:tabs>
          <w:tab w:leader="none" w:pos="2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material facts as to the relationship or interest of such director or officer and as to the contract or transaction are disclosed or are known to the stockholders entitled to vote thereon, and the contract or transaction is specifically approved in good faith by vote of the stockholders; or</w:t>
      </w:r>
    </w:p>
    <w:p>
      <w:pPr>
        <w:spacing w:after="0" w:line="38" w:lineRule="exact"/>
        <w:rPr>
          <w:rFonts w:ascii="Arial" w:cs="Arial" w:eastAsia="Arial" w:hAnsi="Arial"/>
          <w:sz w:val="17"/>
          <w:szCs w:val="17"/>
          <w:color w:val="auto"/>
        </w:rPr>
      </w:pPr>
    </w:p>
    <w:p>
      <w:pPr>
        <w:ind w:right="580" w:firstLine="8"/>
        <w:spacing w:after="0" w:line="277" w:lineRule="auto"/>
        <w:tabs>
          <w:tab w:leader="none" w:pos="2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contract or transaction is fair as to the corporation as of the time it is authorized, approved or ratified, by the board of directors, a committee thereof, or the stockholders.</w:t>
      </w:r>
    </w:p>
    <w:p>
      <w:pPr>
        <w:spacing w:after="0" w:line="62" w:lineRule="exact"/>
        <w:rPr>
          <w:sz w:val="20"/>
          <w:szCs w:val="20"/>
          <w:color w:val="auto"/>
        </w:rPr>
      </w:pPr>
    </w:p>
    <w:p>
      <w:pPr>
        <w:ind w:right="40" w:firstLine="8"/>
        <w:spacing w:after="0" w:line="277"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Common or interested directors may be counted in determining the presence of a quorum at a meeting of the board of directors or of a committee which authorizes the contract or transaction.</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4. OFFICERS AND AGENTS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Enumeration; Qualification</w:t>
      </w:r>
      <w:r>
        <w:rPr>
          <w:rFonts w:ascii="Arial" w:cs="Arial" w:eastAsia="Arial" w:hAnsi="Arial"/>
          <w:sz w:val="18"/>
          <w:szCs w:val="18"/>
          <w:color w:val="auto"/>
        </w:rPr>
        <w:t>. The officers of the corporation shall be a president, a treasurer, a secretary and such other officers, if any, as the board of directors from time to time may in its discretion elect or appoint including without limitation a chief financial officer, one or more other vice presidents, a general counsel and a controller. The corporation may also have such agents, if any, as the board of directors from time to time may in its discretion choose. Any two or more offices may be held by the same person.</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Powers</w:t>
      </w:r>
      <w:r>
        <w:rPr>
          <w:rFonts w:ascii="Arial" w:cs="Arial" w:eastAsia="Arial" w:hAnsi="Arial"/>
          <w:sz w:val="18"/>
          <w:szCs w:val="18"/>
          <w:color w:val="auto"/>
        </w:rPr>
        <w:t>. Subject to law, to the certificate of incorporation and to the other provisions of these by-laws, each officer shall have, in addition to the duties and powers herein set forth, such duties and powers as are commonly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incident to his or her office and such additional duties and powers as the board of directors may from time to time designate.</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Election</w:t>
      </w:r>
      <w:r>
        <w:rPr>
          <w:rFonts w:ascii="Arial" w:cs="Arial" w:eastAsia="Arial" w:hAnsi="Arial"/>
          <w:sz w:val="16"/>
          <w:szCs w:val="16"/>
          <w:color w:val="auto"/>
        </w:rPr>
        <w:t>. The officers may be elected by the board of directors at their first meeting following the annual meeting of the stockholders or at any other time. At any time or from time to time the directors may delegate to any officer their power to elect or appoint any other officer or any agents.</w:t>
      </w:r>
    </w:p>
    <w:p>
      <w:pPr>
        <w:spacing w:after="0" w:line="1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Tenure</w:t>
      </w:r>
      <w:r>
        <w:rPr>
          <w:rFonts w:ascii="Arial" w:cs="Arial" w:eastAsia="Arial" w:hAnsi="Arial"/>
          <w:sz w:val="17"/>
          <w:szCs w:val="17"/>
          <w:color w:val="auto"/>
        </w:rPr>
        <w:t>. Officers shall hold office until the first meeting of the board of directors following the next annual meeting of the stockholders and until their respective successors are chosen and qualified unless a shorter period shall have been specified by the terms of their election or appointment, or in each case until they sooner die, resign, are removed or become disqualified. Agents shall retain their authority at the pleasure of the directors, or the officer by whom they were appointed or by the officer who then holds agent appointive power.</w:t>
      </w:r>
    </w:p>
    <w:p>
      <w:pPr>
        <w:spacing w:after="0" w:line="6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President and Vice President</w:t>
      </w:r>
      <w:r>
        <w:rPr>
          <w:rFonts w:ascii="Arial" w:cs="Arial" w:eastAsia="Arial" w:hAnsi="Arial"/>
          <w:sz w:val="18"/>
          <w:szCs w:val="18"/>
          <w:color w:val="auto"/>
        </w:rPr>
        <w:t>. The president shall have such duties and powers as shall be designated from time to time by the board of directors or by the chief executive officer. Any vice presidents shall have such duties and powers as shall be set forth in these by-laws or as shall be designated from time to time by the board of directors or by the chief executive officer.</w:t>
      </w:r>
    </w:p>
    <w:p>
      <w:pPr>
        <w:spacing w:after="0" w:line="21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of the corporation shall be responsible for developing, recommending and implementing financial policies of the corporation and have general responsibility for protecting its financial position. The chief financial officer shall represent the corporation with banks and other financial institutions.</w:t>
      </w:r>
    </w:p>
    <w:p>
      <w:pPr>
        <w:spacing w:after="0" w:line="7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General Counsel and Assistant General Counsels</w:t>
      </w:r>
      <w:r>
        <w:rPr>
          <w:rFonts w:ascii="Arial" w:cs="Arial" w:eastAsia="Arial" w:hAnsi="Arial"/>
          <w:sz w:val="17"/>
          <w:szCs w:val="17"/>
          <w:color w:val="auto"/>
        </w:rPr>
        <w:t>. The general counsel shall be the chief counseling officer of the corporation in all legal matters and, subject to the oversight by the board of directors, the general counsel shall have charge of all matters of legal import to the corporation. The general counsel’s relationship to the corporation shall in all respects be that of an attorney to a client. The general counsel shall have charge of all litigation of the corporation and keep advised of the progress of all legal proceedings and claims by and against the corporation, or in which it is interested by reason of its ownership and control of other corporations. The general counsel shall maintain records of all suits and actions of every nature in which the corporation may be a party, or in which it is interested and such records and the papers relating thereto shall be open at all times to the inspection of the directors and the executive officers of the corporation.</w:t>
      </w:r>
    </w:p>
    <w:p>
      <w:pPr>
        <w:spacing w:after="0" w:line="17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general counsel may, in his or her discretion, retain such independent attorneys, or law firms, in any and all parts of the world, as the general counsel may deem necessary to assist him or her in the performance of his or her duties and to protect and further the interests of the corporation.</w:t>
      </w:r>
    </w:p>
    <w:p>
      <w:pPr>
        <w:spacing w:after="0" w:line="146"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general counsel shall have power and authority to execute in the name of the corporation any and all bonds or stipulations for costs or other purposes connected with legal proceedings in any of the courts of justice, for the protection or enforcement of the rights and interest of this corporation; and, by instrument in writing, the general counsel may delegate to any such authority like power and authority to execute such bonds or stipulations.</w:t>
      </w:r>
    </w:p>
    <w:p>
      <w:pPr>
        <w:spacing w:after="0" w:line="1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assistant general counsel, or, if there are more than one, the assistant general counsels, shall, in the order determined by the general counsel, in the absence or disability of the general counsel perform the duties and exercise the powers of the general counsel and shall perform such other duties and have such other powers as the board of directors and the general counsel may from time to time prescribe.</w:t>
      </w:r>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Treasurer and Assistant Treasurers</w:t>
      </w:r>
      <w:r>
        <w:rPr>
          <w:rFonts w:ascii="Arial" w:cs="Arial" w:eastAsia="Arial" w:hAnsi="Arial"/>
          <w:sz w:val="18"/>
          <w:szCs w:val="18"/>
          <w:color w:val="auto"/>
        </w:rPr>
        <w:t>. The treasurer shall be in charge of the corporate funds and securities and shall keep, or cause to be kept, full and accurate account of receipts and disbursements in books belonging to the corporation and shall deposit or cause to be deposited all monies and other valuable effects in the name and to the credit of the corporation. The treasurer may invest surplus funds in such investments as the treasurer shall deem appropriate and pursuant to this authority may buy and sell securities on behalf of the corporation from time to time. The treasurer shall disburse or cause to be disbursed the funds of the corporation as may be ordered by the board of directors, the chief executive officer, the chief financial officer or such other officer as the chief financial officer may from time to time designate, taking proper vouchers for such disbursements. The treasurer shall be subject to the direction of the chief financial officer.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p>
      <w:pPr>
        <w:ind w:right="20"/>
        <w:spacing w:after="0" w:line="263" w:lineRule="auto"/>
        <w:rPr>
          <w:sz w:val="20"/>
          <w:szCs w:val="20"/>
          <w:color w:val="auto"/>
        </w:rPr>
      </w:pPr>
      <w:r>
        <w:rPr>
          <w:rFonts w:ascii="Arial" w:cs="Arial" w:eastAsia="Arial" w:hAnsi="Arial"/>
          <w:sz w:val="18"/>
          <w:szCs w:val="18"/>
          <w:color w:val="auto"/>
        </w:rPr>
        <w:t>The assistant treasurer, if any, shall in the absence or disability of the treasurer perform the duties and exercise the powers of the treasurer and shall perform such other duties and have such other powers as the board of directors and the treasurer may from time to time prescribe and shall be subject to the direction of the treasurer.</w:t>
      </w:r>
    </w:p>
    <w:p>
      <w:pPr>
        <w:spacing w:after="0" w:line="7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Controller and Assistant Controllers</w:t>
      </w:r>
      <w:r>
        <w:rPr>
          <w:rFonts w:ascii="Arial" w:cs="Arial" w:eastAsia="Arial" w:hAnsi="Arial"/>
          <w:sz w:val="16"/>
          <w:szCs w:val="16"/>
          <w:color w:val="auto"/>
        </w:rPr>
        <w:t>. The controller shall be the chief accounting officer of the corporation, shall be in charge of its books of account and accounting records, and shall be in charge of the corporation’s accounting policies and procedures. The controller shall be subject to the direction of the chief financial officer. The controller shall, with the approval of the board of directors, arrange for annual audits by independent public accounts.</w:t>
      </w:r>
    </w:p>
    <w:p>
      <w:pPr>
        <w:spacing w:after="0" w:line="14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assistant controller, if any, shall in the absence or disability of the controller perform the duties and exercise the powers of the controller and shall perform such other duties and have such other powers as the board of directors and the controller may from time to time prescribe and shall be subject to the direction of the controller.</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Secretary and Assistant Secretaries</w:t>
      </w:r>
      <w:r>
        <w:rPr>
          <w:rFonts w:ascii="Arial" w:cs="Arial" w:eastAsia="Arial" w:hAnsi="Arial"/>
          <w:sz w:val="17"/>
          <w:szCs w:val="17"/>
          <w:color w:val="auto"/>
        </w:rPr>
        <w:t>. The secretary shall record all proceedings of the meetings of the stockholders and of the board of directors and its committees in a book or books to be kept for that purpose and shall file therein all actions by written consent of directors. The secretary shall give or cause to be given notice of all meetings of the stockholders and meetings of the board of directors and shall perform such other duties as may be prescribed by the board of directors or by the chief executive officer. The secretary shall keep in safe custody the seal of the corporation and, when authorized by the board of directors, the chief executive officer, or these by-laws, affix the same to any instrument requiring it and, when so affixed, it shall be attested by the secretary’s signature or by the signature of an assistant secretary.</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secretary shall have charge of the stock ledger (which may, however, be kept by any transfer agent or agents of the corporation under the direction of the secretary).</w:t>
      </w:r>
    </w:p>
    <w:p>
      <w:pPr>
        <w:spacing w:after="0" w:line="19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assistant secretary, or if there are more than one, the assistant secretaries, in the order determined by the secretary, shall in the absence or disability of the secretary perform the duties and exercise the powers of the secretary and shall perform such other duties and have such other powers as the board of directors and the secretary may from time to time prescribe.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5. RESIGNATIONS AND REMOVALS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5.1 Any director or officer may resign at any time by delivering his or her resignation in writing to the chairman of the board, any vice chairman of the board, the president, or the secretary or to a meeting of the board of directors. Such resignation shall be effective upon receipt unless specified to be effective at some other time, and without in either case the necessity of its being accepted unless the resignation shall so state. A director (including persons elected by directors to fill vacancies in the board) may be removed from office with cause by the vote of the holders of a majority of the shares issued and outstanding and entitled to vote in the election of directors. The board of directors may at any time remove any officer either with or without cause. The board of directors may at any time terminate or modify the authority of any agent. Except where a right to receive compensation shall be expressly provided in a duly authorized written agreement with the corporation or severance or other benefit plan or arrangement approved by the board of directors, no director or officer resigning and no director or officer removed shall have any right to any compensation as such director or officer for any period following such director’s or officer’s resignation or removal, or any right to damages on account of such removal, whether such compensation be by the month or by the year or otherwise; unless, in the case of a resignation, the directors, or, in the case of removal, the body acting on the removal, shall in their or its discretion provide for compensation.</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6. VACANCIES OF OFFICERS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6.1 If the office of any officer becomes vacant, the directors may elect a successor by vote of a majority of the directors present and voting at a meeting. Such successors shall hold office for the unexpired term, and until their respective successors are chosen and qualified or in each case until they sooner die, resign, are removed or become disqualified. Any vacancy of a directorship shall be filled as specified in Section 3.4 of these by-laws.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8"/>
          <w:szCs w:val="18"/>
          <w:b w:val="1"/>
          <w:bCs w:val="1"/>
          <w:color w:val="auto"/>
        </w:rPr>
        <w:t>Section 7. CAPITAL STOCK</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Stock Certificates</w:t>
      </w:r>
      <w:r>
        <w:rPr>
          <w:rFonts w:ascii="Arial" w:cs="Arial" w:eastAsia="Arial" w:hAnsi="Arial"/>
          <w:sz w:val="18"/>
          <w:szCs w:val="18"/>
          <w:color w:val="auto"/>
        </w:rPr>
        <w:t>. The shares of capital stock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a certificate stating the number and the class and the designation of the series, if any, of the shares held by him or her, in such form as shall, in conformity to law, the certificate of incorporation and the by-laws, be prescribed from time to time by the board of directors. Such certificate shall be signed by any two authorized officers of the corporation.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w:t>
      </w:r>
    </w:p>
    <w:p>
      <w:pPr>
        <w:spacing w:after="0" w:line="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Loss of Certificates</w:t>
      </w:r>
      <w:r>
        <w:rPr>
          <w:rFonts w:ascii="Arial" w:cs="Arial" w:eastAsia="Arial" w:hAnsi="Arial"/>
          <w:sz w:val="18"/>
          <w:szCs w:val="18"/>
          <w:color w:val="auto"/>
        </w:rPr>
        <w:t>. In the case of the alleged theft, loss, destruction or mutilation of a certificate of stock, a duplicate certificate may be issued in place thereof, upon such terms, including receipt of a bond sufficient to indemnify the corporation against any claim on account thereof, as the board of directors may prescribe.</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8. TRANSFER OF SHARES OF STOCK</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Transfer on Books</w:t>
      </w:r>
      <w:r>
        <w:rPr>
          <w:rFonts w:ascii="Arial" w:cs="Arial" w:eastAsia="Arial" w:hAnsi="Arial"/>
          <w:sz w:val="17"/>
          <w:szCs w:val="17"/>
          <w:color w:val="auto"/>
        </w:rPr>
        <w:t>. Subject to the restrictions, if any, stated or noted on the stock certificate, or otherwise in force,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Uncertificated shares of stock may be transferred on the books of the corporation upon receipt of proper transfer instructions from the registered owner of the uncertificated shares, an instruction from an approved source duly authorized by such owner or from an attorney lawfully constituted.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Record Date and Closing Transfer Books</w:t>
      </w:r>
      <w:r>
        <w:rPr>
          <w:rFonts w:ascii="Arial" w:cs="Arial" w:eastAsia="Arial" w:hAnsi="Arial"/>
          <w:sz w:val="17"/>
          <w:szCs w:val="17"/>
          <w:color w:val="auto"/>
        </w:rPr>
        <w:t xml:space="preserve">. In order that the corporation may determine the stockholders entitled to notice of or to vote at any meeting of stockholders or any adjournment thereof, the board of directors may fix a record date, which record date shall not precede the date upon which the vote fixing the record date is adopted by the board of directors, and which record date shall not be more than 60 days nor less than ten days before the date of such meeting. If no such record date is fixed by the board of directors, the record date for determining the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of directors may fix a new record date for the adjourned meeting. In order that the corporation may determine the stockholders entitled to receive payment of any dividend declared pursuant to Section 9 of these by-laws or other distribution or allotment of any rights or to exercise any rights in respect of any change, conversion or exchange of stock, or for the purpose of any other lawful action, the board of directors may fix a record date, which record date shall not precede the date upon which the vote fixing the record date is adopted, and which record date shall be not more than 60 days prior to such payment, exercise or other action. If no such record date is fixed, the record date for determining stockholders for any such purpose shall be at the close of business on the day on which the board of directors adopts the vote relating thereto.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Section 9. DIVIDENDS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9.1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10. CONTRIBUTIONS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10.1 The directors of this corporation are authorized to make charitable contributions as defined in the United States Internal Revenue Code, as from time to time amended, in such amounts as the directors may determine to be reasonable.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11. CORPORATE SEAL</w:t>
      </w:r>
    </w:p>
    <w:p>
      <w:pPr>
        <w:spacing w:after="0" w:line="2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11.1 Subject to alteration by the directors, the seal of the corporation shall consist of a flat-faced circular die with the word “Delaware” and the name of the corporation cut or engraved thereon, together with such other words, dates or images as may be approved from time to time by the directors. The corporate seal of the corporation may be used by causing it or a facsimile thereof to be impressed or affixed or reproduced or otherwise.</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12. EXECUTION OF PAPERS</w:t>
      </w:r>
    </w:p>
    <w:p>
      <w:pPr>
        <w:spacing w:after="0" w:line="22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12.1 Except as the board of directors may generally or in particular cases authorize the execution thereof in some other manner, all deeds, leases, transfers, sales of securities, contracts, proxies, bonds, notes, checks, drafts and other obligations, agreements and undertakings made, accepted or endorsed by the corporation shall be signed by the chairman of the board, the vice chairman of the board, the president, any vice president or the treasurer, and, if such papers require a seal, the seal of the corporation shall be affixed thereto and attested by the secretary or an assistant secretary.</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13. FISCAL YEAR</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13.1 Except as from time to time otherwise provided by the board of directors, the fiscal year of the corporation shall commence on the first day of October of each year.</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14. INDEMNIFICATION</w:t>
      </w:r>
    </w:p>
    <w:p>
      <w:pPr>
        <w:spacing w:after="0" w:line="22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14.1 The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claim or counterclaim, whether civil, criminal, administrative or investigative, by reason of the fact that such person is or was or has agreed to be a director, officer, employee or agent of this corporation or while a director, officer, employee or agent is or was serving at the request of this corporation as a director, officer, partner, trustee, fiduciary, employee or agent of any corporation, partnership, joint venture, trust or other enterprise, including service with respect to employee benefit plans, against expenses (including attorney’s fees and expenses), judgments, fines, penalties and amounts paid in settlement or incurred in connection with the investigation, preparation to defend or defense of such action, suit, proceeding, claim or counterclaim;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require this corporation to indemnify or advance expenses to any person in connection with any action, suit, proceeding, claim or counterclaim initiated by or on behalf of such person, other than an action to enforce indemnification rights. Such indemnification shall not be exclusive of other indemnification rights arising under any agreement, vote of directors or stockholders or otherwise and shall inure to the benefit of the heirs and legal representatives of such person. Any such person seeking indemnification under this Section 14.1 shall be deemed to have met the standard of conduct required for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46" w:name="page47"/>
    <w:bookmarkEnd w:id="46"/>
    <w:p>
      <w:pPr>
        <w:ind w:right="20"/>
        <w:spacing w:after="0" w:line="342" w:lineRule="auto"/>
        <w:rPr>
          <w:sz w:val="20"/>
          <w:szCs w:val="20"/>
          <w:color w:val="auto"/>
        </w:rPr>
      </w:pPr>
      <w:r>
        <w:rPr>
          <w:rFonts w:ascii="Arial" w:cs="Arial" w:eastAsia="Arial" w:hAnsi="Arial"/>
          <w:sz w:val="16"/>
          <w:szCs w:val="16"/>
          <w:color w:val="auto"/>
        </w:rPr>
        <w:t>such indemnification unless the contrary shall be established. The corporation shall have the power to provide indemnification and advance expenses to any other person, including stockholders purporting to act on behalf of the corporation, to the extent permitted by the law of the State of Delaware.</w:t>
      </w: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15. AMENDMENTS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15.1 These by-laws may be altered, amended or repealed by (i) the affirmative vote of the holders of at least 75 percent of the voting power of the then outstanding shares of stock of all classes and series of this corporation entitled to vote generally in the election of directors, voting together as a single class or (ii) a vote of the majority of the directors then in office at any annual, regular or special stockholders or directors meeting, called for that purpose, the notice of which shall specify the subject matter of the proposed new by-law or the alteration, amendment or repeal of an existing by-law or the articles to be affected thereby. Any by-law, whether made, altered, amended or repealed by the stockholders or directors, may be repealed, amended, further amended or reinstated, as the case may be, by either the stockholders or the directors as aforesaid.</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16. EXCLUSIVE FORUM</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u w:val="single" w:color="auto"/>
          <w:color w:val="auto"/>
        </w:rPr>
        <w:t>Exclusive Forum</w:t>
      </w:r>
      <w:r>
        <w:rPr>
          <w:rFonts w:ascii="Arial" w:cs="Arial" w:eastAsia="Arial" w:hAnsi="Arial"/>
          <w:sz w:val="16"/>
          <w:szCs w:val="16"/>
          <w:color w:val="auto"/>
        </w:rPr>
        <w:t>. Unless the corporation consents in writing to the selection of an alternative forum, the sole and exclusive forum for (i) any derivative action or proceeding brought on behalf of the corporation, (ii) any action asserting a claim of breach of a fiduciary duty owed by any director or officer or other employee of the corporation to the corporation or the corporation’s stockholders, (iii) any action asserting a claim against the corporation or any director or officer or other employee of the corporation arising pursuant to any provision of the Delaware General Corporation Law or the certificate of incorporation or these by-laws (as either may be amended from time to time), or (iv) any action asserting a claim against the corporation or any director or officer or other employee of the corporation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Any person or entity purchasing or otherwise acquiring any interest in the shares of capital stock of the corporation will be deemed to have notice of and consented to the provisions of this Section 16.</w:t>
      </w:r>
    </w:p>
    <w:p>
      <w:pPr>
        <w:spacing w:after="0" w:line="5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auto"/>
        </w:rPr>
        <w:t>Foreign Actions</w:t>
      </w:r>
      <w:r>
        <w:rPr>
          <w:rFonts w:ascii="Arial" w:cs="Arial" w:eastAsia="Arial" w:hAnsi="Arial"/>
          <w:sz w:val="16"/>
          <w:szCs w:val="16"/>
          <w:color w:val="auto"/>
        </w:rPr>
        <w:t>. If any Foreign Action (as defined below) is filed in the name of any stockholder, such stockholder will be deemed to have consented to (i) the personal jurisdiction of the state and federal courts located within the State of Delaware in connection with any action brought in any such court to enforce Section 16.1 above (an “</w:t>
      </w:r>
      <w:r>
        <w:rPr>
          <w:rFonts w:ascii="Arial" w:cs="Arial" w:eastAsia="Arial" w:hAnsi="Arial"/>
          <w:sz w:val="16"/>
          <w:szCs w:val="16"/>
          <w:u w:val="single" w:color="auto"/>
          <w:color w:val="auto"/>
        </w:rPr>
        <w:t>FSC Enforcement Action</w:t>
      </w:r>
      <w:r>
        <w:rPr>
          <w:rFonts w:ascii="Arial" w:cs="Arial" w:eastAsia="Arial" w:hAnsi="Arial"/>
          <w:sz w:val="16"/>
          <w:szCs w:val="16"/>
          <w:color w:val="auto"/>
        </w:rPr>
        <w:t>”) and (ii) having service of process made upon such stockholder in any such FSC Enforcement Action by service upon such stockholder’s counsel in the Foreign Action as agent for such stockholder. A “</w:t>
      </w:r>
      <w:r>
        <w:rPr>
          <w:rFonts w:ascii="Arial" w:cs="Arial" w:eastAsia="Arial" w:hAnsi="Arial"/>
          <w:sz w:val="16"/>
          <w:szCs w:val="16"/>
          <w:u w:val="single" w:color="auto"/>
          <w:color w:val="auto"/>
        </w:rPr>
        <w:t>Foreign Action</w:t>
      </w:r>
      <w:r>
        <w:rPr>
          <w:rFonts w:ascii="Arial" w:cs="Arial" w:eastAsia="Arial" w:hAnsi="Arial"/>
          <w:sz w:val="16"/>
          <w:szCs w:val="16"/>
          <w:color w:val="auto"/>
        </w:rPr>
        <w:t>” means any action the subject matter of which is within the scope of Section 16.1 that is filed in a court other than a court located within the State of Delaware.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rFonts w:ascii="Arial" w:cs="Arial" w:eastAsia="Arial" w:hAnsi="Arial"/>
          <w:sz w:val="20"/>
          <w:szCs w:val="20"/>
          <w:color w:val="auto"/>
        </w:rPr>
        <w:t>Exhibit 10.1</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COPY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NO.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April 21, 2023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CREDIT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August 6, 2021</w:t>
      </w:r>
    </w:p>
    <w:p>
      <w:pPr>
        <w:spacing w:after="0" w:line="229"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as of April 21, 2023 by and among Cabot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Lenders party hereto and JPMorgan Chase Bank, N.A., in its capacity as administrative agent for the Lenders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under that certain Credit Agreement dated as of August 6, 2021, by and among the Company, the Designated Borrowers from time to time party thereto, the Lenders from time to time party thereto and the Administrative Agent (as amended, restated, supplemented or otherwise modified from time to time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and not otherwise defined herein shall have the respective meanings given to them in the Credit Agreement.</w:t>
      </w:r>
    </w:p>
    <w:p>
      <w:pPr>
        <w:spacing w:after="0" w:line="5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WHEREAS, the Company requested that the requisite Lenders agree to make certain amendments to the Credit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92"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WHEREAS, the Company, the Lenders party hereto and the Administrative Agent have agreed to amend the Credit Agreement on the terms and conditions set forth herein;</w:t>
      </w:r>
    </w:p>
    <w:p>
      <w:pPr>
        <w:spacing w:after="0" w:line="69"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NOW, THEREFORE, in consideration of the premises set forth above, the terms and conditions contained herein, and other good and valuable consideration, the receipt and sufficiency of which are hereby acknowledged, the Company, the Lenders party hereto and the Administrative Agent hereby agree to enter into this Amendment.</w:t>
      </w:r>
    </w:p>
    <w:p>
      <w:pPr>
        <w:spacing w:after="0" w:line="78" w:lineRule="exact"/>
        <w:rPr>
          <w:sz w:val="20"/>
          <w:szCs w:val="20"/>
          <w:color w:val="auto"/>
        </w:rPr>
      </w:pPr>
    </w:p>
    <w:p>
      <w:pPr>
        <w:jc w:val="both"/>
        <w:ind w:firstLine="1505"/>
        <w:spacing w:after="0" w:line="243" w:lineRule="auto"/>
        <w:tabs>
          <w:tab w:leader="none" w:pos="2036"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Amendments to the Credit Agreement</w:t>
      </w:r>
      <w:r>
        <w:rPr>
          <w:rFonts w:ascii="Arial" w:cs="Arial" w:eastAsia="Arial" w:hAnsi="Arial"/>
          <w:sz w:val="20"/>
          <w:szCs w:val="20"/>
          <w:color w:val="auto"/>
        </w:rPr>
        <w:t xml:space="preserve">. Effective as of the date of satisfaction of the conditions precedent set forth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below (such date,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xml:space="preserve">”) the parties hereto agree that the Credit Agreement (including the Exhibits thereto) shall be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color w:val="0000FF"/>
        </w:rPr>
        <w:t>double-underlined text</w:t>
      </w:r>
      <w:r>
        <w:rPr>
          <w:rFonts w:ascii="Arial" w:cs="Arial" w:eastAsia="Arial" w:hAnsi="Arial"/>
          <w:sz w:val="20"/>
          <w:szCs w:val="20"/>
          <w:color w:val="auto"/>
        </w:rPr>
        <w:t xml:space="preserve">) as set forth in the pages of the Credit Agreement (including the Exhibits thereto) attached as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hereto (the Credit Agreement as so amended, the “</w:t>
      </w:r>
      <w:r>
        <w:rPr>
          <w:rFonts w:ascii="Arial" w:cs="Arial" w:eastAsia="Arial" w:hAnsi="Arial"/>
          <w:sz w:val="20"/>
          <w:szCs w:val="20"/>
          <w:u w:val="single" w:color="auto"/>
          <w:color w:val="auto"/>
        </w:rPr>
        <w:t>Amended Credit Agreement</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ind w:firstLine="1505"/>
        <w:spacing w:after="0" w:line="260" w:lineRule="auto"/>
        <w:tabs>
          <w:tab w:leader="none" w:pos="2036"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Conditions of Effectiveness</w:t>
      </w:r>
      <w:r>
        <w:rPr>
          <w:rFonts w:ascii="Arial" w:cs="Arial" w:eastAsia="Arial" w:hAnsi="Arial"/>
          <w:sz w:val="20"/>
          <w:szCs w:val="20"/>
          <w:color w:val="auto"/>
        </w:rPr>
        <w:t>. This Amendment shall become effective as of the first date on which each of the following conditions shall have been satisfied:</w:t>
      </w:r>
    </w:p>
    <w:p>
      <w:pPr>
        <w:spacing w:after="0" w:line="177" w:lineRule="exact"/>
        <w:rPr>
          <w:sz w:val="20"/>
          <w:szCs w:val="20"/>
          <w:color w:val="auto"/>
        </w:rPr>
      </w:pPr>
    </w:p>
    <w:p>
      <w:pPr>
        <w:ind w:firstLine="1505"/>
        <w:spacing w:after="0" w:line="287" w:lineRule="auto"/>
        <w:tabs>
          <w:tab w:leader="none" w:pos="2036"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Administrative Agent (or its counsel) shall have received counterparts of this Amendment duly executed by the Company, each of the Lenders, each of the Issuing Banks, the Swingline Lender and the Administrative Agent.</w:t>
      </w:r>
    </w:p>
    <w:p>
      <w:pPr>
        <w:spacing w:after="0" w:line="152" w:lineRule="exact"/>
        <w:rPr>
          <w:rFonts w:ascii="Arial" w:cs="Arial" w:eastAsia="Arial" w:hAnsi="Arial"/>
          <w:sz w:val="19"/>
          <w:szCs w:val="19"/>
          <w:color w:val="auto"/>
        </w:rPr>
      </w:pPr>
    </w:p>
    <w:p>
      <w:pPr>
        <w:jc w:val="both"/>
        <w:ind w:firstLine="1505"/>
        <w:spacing w:after="0" w:line="291" w:lineRule="auto"/>
        <w:tabs>
          <w:tab w:leader="none" w:pos="20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Administrative Agent shall have received, or, substantially concurrently herewith shall receive, all fees and other amounts due and payable on or prior to the Amendment Effective Date, including, to the extent invoiced, reimbursement or payment of all out-of-pocket expenses required to be reimbursed or paid by the Borrowers pursuant to the terms of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|US-DOCS\139062026.4||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ind w:firstLine="749"/>
        <w:spacing w:after="0" w:line="260" w:lineRule="auto"/>
        <w:rPr>
          <w:sz w:val="20"/>
          <w:szCs w:val="20"/>
          <w:color w:val="auto"/>
        </w:rPr>
      </w:pPr>
      <w:r>
        <w:rPr>
          <w:rFonts w:ascii="Arial" w:cs="Arial" w:eastAsia="Arial" w:hAnsi="Arial"/>
          <w:sz w:val="20"/>
          <w:szCs w:val="20"/>
          <w:color w:val="auto"/>
        </w:rPr>
        <w:t>The Administrative Agent shall notify the Company and the Lenders of the Amendment Effective Date, and such notice shall be conclusive and binding.</w:t>
      </w:r>
    </w:p>
    <w:p>
      <w:pPr>
        <w:spacing w:after="0" w:line="190" w:lineRule="exact"/>
        <w:rPr>
          <w:sz w:val="20"/>
          <w:szCs w:val="20"/>
          <w:color w:val="auto"/>
        </w:rPr>
      </w:pPr>
    </w:p>
    <w:p>
      <w:pPr>
        <w:jc w:val="both"/>
        <w:ind w:firstLine="1505"/>
        <w:spacing w:after="0" w:line="244" w:lineRule="auto"/>
        <w:tabs>
          <w:tab w:leader="none" w:pos="2036"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the Company</w:t>
      </w:r>
      <w:r>
        <w:rPr>
          <w:rFonts w:ascii="Arial" w:cs="Arial" w:eastAsia="Arial" w:hAnsi="Arial"/>
          <w:sz w:val="20"/>
          <w:szCs w:val="20"/>
          <w:color w:val="auto"/>
        </w:rPr>
        <w:t>. The Company hereby represents and warrants to the Lenders on the Amendment Effective Date that each of this Amendment and the Amended Credit Agreement constitutes a legal, valid and binding obligation of each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4" w:lineRule="exact"/>
        <w:rPr>
          <w:rFonts w:ascii="Arial" w:cs="Arial" w:eastAsia="Arial" w:hAnsi="Arial"/>
          <w:sz w:val="20"/>
          <w:szCs w:val="20"/>
          <w:color w:val="auto"/>
        </w:rPr>
      </w:pPr>
    </w:p>
    <w:p>
      <w:pPr>
        <w:ind w:left="2040" w:hanging="535"/>
        <w:spacing w:after="0"/>
        <w:tabs>
          <w:tab w:leader="none" w:pos="204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Reference to and Effect on the Credit Agreement</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46" w:lineRule="auto"/>
        <w:tabs>
          <w:tab w:leader="none" w:pos="2036" w:val="left"/>
        </w:tabs>
        <w:numPr>
          <w:ilvl w:val="0"/>
          <w:numId w:val="19"/>
        </w:numPr>
        <w:rPr>
          <w:rFonts w:ascii="Arial" w:cs="Arial" w:eastAsia="Arial" w:hAnsi="Arial"/>
          <w:sz w:val="20"/>
          <w:szCs w:val="20"/>
          <w:color w:val="auto"/>
        </w:rPr>
      </w:pPr>
      <w:r>
        <w:rPr>
          <w:rFonts w:ascii="Arial" w:cs="Arial" w:eastAsia="Arial" w:hAnsi="Arial"/>
          <w:sz w:val="20"/>
          <w:szCs w:val="20"/>
          <w:color w:val="auto"/>
        </w:rPr>
        <w:t>From and after the effectiveness of the amendment to the Credit Agreement evidenced hereby, the terms “Agreement”, “this Agreement”, “herein”, “hereinafter”, “hereto”, “hereof” and words of similar import, as used in the Amended Credit Agreement, shall, unless the context otherwise requires, refer to the Amended Credit Agreement, and the term “Credit Agreement”, as used in the other Loan Documents, shall mean the Amended Credit Agreement.</w:t>
      </w:r>
    </w:p>
    <w:p>
      <w:pPr>
        <w:spacing w:after="0" w:line="191" w:lineRule="exact"/>
        <w:rPr>
          <w:rFonts w:ascii="Arial" w:cs="Arial" w:eastAsia="Arial" w:hAnsi="Arial"/>
          <w:sz w:val="20"/>
          <w:szCs w:val="20"/>
          <w:color w:val="auto"/>
        </w:rPr>
      </w:pPr>
    </w:p>
    <w:p>
      <w:pPr>
        <w:ind w:firstLine="1505"/>
        <w:spacing w:after="0" w:line="260" w:lineRule="auto"/>
        <w:tabs>
          <w:tab w:leader="none" w:pos="2036" w:val="left"/>
        </w:tabs>
        <w:numPr>
          <w:ilvl w:val="0"/>
          <w:numId w:val="19"/>
        </w:numPr>
        <w:rPr>
          <w:rFonts w:ascii="Arial" w:cs="Arial" w:eastAsia="Arial" w:hAnsi="Arial"/>
          <w:sz w:val="20"/>
          <w:szCs w:val="20"/>
          <w:color w:val="auto"/>
        </w:rPr>
      </w:pPr>
      <w:r>
        <w:rPr>
          <w:rFonts w:ascii="Arial" w:cs="Arial" w:eastAsia="Arial" w:hAnsi="Arial"/>
          <w:sz w:val="20"/>
          <w:szCs w:val="20"/>
          <w:color w:val="auto"/>
        </w:rPr>
        <w:t>Each Loan Document and all other documents, instruments and agreements executed and/or delivered in connection therewith shall remain in full force and effect and are hereby ratified and confirmed.</w:t>
      </w:r>
    </w:p>
    <w:p>
      <w:pPr>
        <w:spacing w:after="0" w:line="176" w:lineRule="exact"/>
        <w:rPr>
          <w:rFonts w:ascii="Arial" w:cs="Arial" w:eastAsia="Arial" w:hAnsi="Arial"/>
          <w:sz w:val="20"/>
          <w:szCs w:val="20"/>
          <w:color w:val="auto"/>
        </w:rPr>
      </w:pPr>
    </w:p>
    <w:p>
      <w:pPr>
        <w:jc w:val="both"/>
        <w:ind w:firstLine="1505"/>
        <w:spacing w:after="0" w:line="250" w:lineRule="auto"/>
        <w:tabs>
          <w:tab w:leader="none" w:pos="2036"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Amendment shall not operate as a waiver of any right, power or remedy of the Administrative Agent or the Lenders, nor constitute a waiver of any provision of the Credit Agreement, the Loan Documents or any other documents, instruments and agreements executed and/or delivered in connection therewith.</w:t>
      </w:r>
    </w:p>
    <w:p>
      <w:pPr>
        <w:spacing w:after="0" w:line="185" w:lineRule="exact"/>
        <w:rPr>
          <w:rFonts w:ascii="Arial" w:cs="Arial" w:eastAsia="Arial" w:hAnsi="Arial"/>
          <w:sz w:val="20"/>
          <w:szCs w:val="20"/>
          <w:color w:val="auto"/>
        </w:rPr>
      </w:pPr>
    </w:p>
    <w:p>
      <w:pPr>
        <w:ind w:left="2040" w:hanging="535"/>
        <w:spacing w:after="0"/>
        <w:tabs>
          <w:tab w:leader="none" w:pos="20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This Amendment shall be a Loan Document.</w:t>
      </w:r>
    </w:p>
    <w:p>
      <w:pPr>
        <w:spacing w:after="0" w:line="216" w:lineRule="exact"/>
        <w:rPr>
          <w:sz w:val="20"/>
          <w:szCs w:val="20"/>
          <w:color w:val="auto"/>
        </w:rPr>
      </w:pPr>
    </w:p>
    <w:p>
      <w:pPr>
        <w:ind w:left="2040" w:hanging="535"/>
        <w:spacing w:after="0"/>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Amendment shall be construed in accordance with and governed by the law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State of New York.</w:t>
      </w:r>
    </w:p>
    <w:p>
      <w:pPr>
        <w:spacing w:after="0" w:line="199" w:lineRule="exact"/>
        <w:rPr>
          <w:rFonts w:ascii="Arial" w:cs="Arial" w:eastAsia="Arial" w:hAnsi="Arial"/>
          <w:sz w:val="18"/>
          <w:szCs w:val="18"/>
          <w:color w:val="auto"/>
        </w:rPr>
      </w:pPr>
    </w:p>
    <w:p>
      <w:pPr>
        <w:ind w:firstLine="1505"/>
        <w:spacing w:after="0" w:line="260" w:lineRule="auto"/>
        <w:tabs>
          <w:tab w:leader="none" w:pos="2036"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Amendment are included herein for convenience of reference only and shall not constitute a part of this Amendment for any other purpose.</w:t>
      </w:r>
    </w:p>
    <w:p>
      <w:pPr>
        <w:spacing w:after="0" w:line="176" w:lineRule="exact"/>
        <w:rPr>
          <w:rFonts w:ascii="Arial" w:cs="Arial" w:eastAsia="Arial" w:hAnsi="Arial"/>
          <w:sz w:val="20"/>
          <w:szCs w:val="20"/>
          <w:color w:val="auto"/>
        </w:rPr>
      </w:pPr>
    </w:p>
    <w:p>
      <w:pPr>
        <w:jc w:val="both"/>
        <w:ind w:firstLine="1505"/>
        <w:spacing w:after="0" w:line="273" w:lineRule="auto"/>
        <w:tabs>
          <w:tab w:leader="none" w:pos="203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electronic deliveries or the keeping of records in electronic form, each of which shall be of the same legal effect, validity or enforceability as a manually executed signature, physical delivery thereof or the use of a paper-based recordkeeping system, as the case may be. As used herein, “Electronic Signatures” means any electronic symbol or process attached to, or associated with, any contract or other record and adopted by a person with the intent to sign, authenticate or accept such contract or record.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0" w:name="page51"/>
    <w:bookmarkEnd w:id="50"/>
    <w:p>
      <w:pPr>
        <w:ind w:firstLine="219"/>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respective authorized officers as of the day and year first above written.</w:t>
      </w:r>
    </w:p>
    <w:p>
      <w:pPr>
        <w:spacing w:after="0" w:line="6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CABOT CORPORATION,</w:t>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as the Company and a Borrower</w:t>
      </w:r>
    </w:p>
    <w:p>
      <w:pPr>
        <w:spacing w:after="0" w:line="200" w:lineRule="exact"/>
        <w:rPr>
          <w:sz w:val="20"/>
          <w:szCs w:val="20"/>
          <w:color w:val="auto"/>
        </w:rPr>
      </w:pPr>
    </w:p>
    <w:p>
      <w:pPr>
        <w:spacing w:after="0" w:line="24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_/s/ Steven J. Delahunt__</w:t>
      </w:r>
      <w:r>
        <w:rPr>
          <w:rFonts w:ascii="Arial" w:cs="Arial" w:eastAsia="Arial" w:hAnsi="Arial"/>
          <w:sz w:val="20"/>
          <w:szCs w:val="20"/>
          <w:color w:val="auto"/>
        </w:rPr>
        <w:t>________________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Steven J. Delahunt</w:t>
      </w:r>
    </w:p>
    <w:p>
      <w:pPr>
        <w:ind w:left="450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 dated as of August 6,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1" w:name="page52"/>
    <w:bookmarkEnd w:id="51"/>
    <w:p>
      <w:pPr>
        <w:ind w:left="338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ind w:left="3380"/>
        <w:spacing w:after="0" w:line="244" w:lineRule="auto"/>
        <w:rPr>
          <w:sz w:val="20"/>
          <w:szCs w:val="20"/>
          <w:color w:val="auto"/>
        </w:rPr>
      </w:pPr>
      <w:r>
        <w:rPr>
          <w:rFonts w:ascii="Arial" w:cs="Arial" w:eastAsia="Arial" w:hAnsi="Arial"/>
          <w:sz w:val="20"/>
          <w:szCs w:val="20"/>
          <w:color w:val="auto"/>
        </w:rPr>
        <w:t>individually as a Lender, as an Issuing Bank, as the Swingline Lender and as the Administrative Agent</w:t>
      </w:r>
    </w:p>
    <w:p>
      <w:pPr>
        <w:spacing w:after="0" w:line="200" w:lineRule="exact"/>
        <w:rPr>
          <w:sz w:val="20"/>
          <w:szCs w:val="20"/>
          <w:color w:val="auto"/>
        </w:rPr>
      </w:pPr>
    </w:p>
    <w:p>
      <w:pPr>
        <w:spacing w:after="0" w:line="234"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_/s/ Jonathan Bennett_</w:t>
      </w:r>
      <w:r>
        <w:rPr>
          <w:rFonts w:ascii="Arial" w:cs="Arial" w:eastAsia="Arial" w:hAnsi="Arial"/>
          <w:sz w:val="20"/>
          <w:szCs w:val="20"/>
          <w:color w:val="auto"/>
        </w:rPr>
        <w:t>________________</w:t>
      </w:r>
    </w:p>
    <w:p>
      <w:pPr>
        <w:spacing w:after="0" w:line="15"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Name: Jonathan Bennett</w:t>
      </w:r>
    </w:p>
    <w:p>
      <w:pPr>
        <w:ind w:left="338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3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Signature Page to Amendment No. 1 to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Credit Agreement dated as of August 6, 2021</w:t>
      </w:r>
    </w:p>
    <w:p>
      <w:pPr>
        <w:spacing w:after="0" w:line="3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40"/>
          </w:cols>
          <w:pgMar w:left="1440" w:top="352" w:right="1019" w:bottom="1440" w:gutter="0" w:footer="0" w:header="0"/>
        </w:sectPr>
      </w:pPr>
    </w:p>
    <w:bookmarkStart w:id="52" w:name="page53"/>
    <w:bookmarkEnd w:id="52"/>
    <w:p>
      <w:pPr>
        <w:ind w:left="3380"/>
        <w:spacing w:after="0"/>
        <w:rPr>
          <w:sz w:val="20"/>
          <w:szCs w:val="20"/>
          <w:color w:val="auto"/>
        </w:rPr>
      </w:pPr>
      <w:r>
        <w:rPr>
          <w:rFonts w:ascii="Arial" w:cs="Arial" w:eastAsia="Arial" w:hAnsi="Arial"/>
          <w:sz w:val="20"/>
          <w:szCs w:val="20"/>
          <w:color w:val="auto"/>
        </w:rPr>
        <w:t>CITIBANK, N.A.,</w:t>
      </w:r>
    </w:p>
    <w:p>
      <w:pPr>
        <w:spacing w:after="0" w:line="16"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individually as a Lender and as an Issuing Bank</w:t>
      </w:r>
    </w:p>
    <w:p>
      <w:pPr>
        <w:spacing w:after="0" w:line="200" w:lineRule="exact"/>
        <w:rPr>
          <w:sz w:val="20"/>
          <w:szCs w:val="20"/>
          <w:color w:val="auto"/>
        </w:rPr>
      </w:pPr>
    </w:p>
    <w:p>
      <w:pPr>
        <w:spacing w:after="0" w:line="289"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By:</w:t>
      </w:r>
      <w:r>
        <w:rPr>
          <w:rFonts w:ascii="Arial" w:cs="Arial" w:eastAsia="Arial" w:hAnsi="Arial"/>
          <w:sz w:val="16"/>
          <w:szCs w:val="16"/>
          <w:u w:val="single" w:color="auto"/>
          <w:color w:val="auto"/>
        </w:rPr>
        <w:t>_/s/ Stephanie Epkins__</w:t>
      </w:r>
      <w:r>
        <w:rPr>
          <w:rFonts w:ascii="Arial" w:cs="Arial" w:eastAsia="Arial" w:hAnsi="Arial"/>
          <w:sz w:val="16"/>
          <w:szCs w:val="16"/>
          <w:color w:val="auto"/>
        </w:rPr>
        <w:t>________________</w:t>
      </w:r>
    </w:p>
    <w:p>
      <w:pPr>
        <w:spacing w:after="0" w:line="61"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Name: Stephanie Epkins</w:t>
      </w:r>
    </w:p>
    <w:p>
      <w:pPr>
        <w:ind w:left="33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dated as of August 6, 2021</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53" w:name="page54"/>
    <w:bookmarkEnd w:id="53"/>
    <w:p>
      <w:pPr>
        <w:ind w:left="3380"/>
        <w:spacing w:after="0"/>
        <w:rPr>
          <w:sz w:val="20"/>
          <w:szCs w:val="20"/>
          <w:color w:val="auto"/>
        </w:rPr>
      </w:pPr>
      <w:r>
        <w:rPr>
          <w:rFonts w:ascii="Arial" w:cs="Arial" w:eastAsia="Arial" w:hAnsi="Arial"/>
          <w:sz w:val="20"/>
          <w:szCs w:val="20"/>
          <w:color w:val="auto"/>
        </w:rPr>
        <w:t>MIZUHO BANK, LTD.,</w:t>
      </w:r>
    </w:p>
    <w:p>
      <w:pPr>
        <w:spacing w:after="0" w:line="16"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_/s/ Donna DeMagistris_</w:t>
      </w:r>
      <w:r>
        <w:rPr>
          <w:rFonts w:ascii="Arial" w:cs="Arial" w:eastAsia="Arial" w:hAnsi="Arial"/>
          <w:sz w:val="18"/>
          <w:szCs w:val="18"/>
          <w:color w:val="auto"/>
        </w:rPr>
        <w:t>________________</w:t>
      </w:r>
    </w:p>
    <w:p>
      <w:pPr>
        <w:spacing w:after="0" w:line="38"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Name: Donna DeMagistris</w:t>
      </w:r>
    </w:p>
    <w:p>
      <w:pPr>
        <w:ind w:left="338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dated as of August 6, 2021</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54" w:name="page55"/>
    <w:bookmarkEnd w:id="54"/>
    <w:p>
      <w:pPr>
        <w:ind w:left="3380" w:right="939"/>
        <w:spacing w:after="0" w:line="260" w:lineRule="auto"/>
        <w:rPr>
          <w:sz w:val="20"/>
          <w:szCs w:val="20"/>
          <w:color w:val="auto"/>
        </w:rPr>
      </w:pPr>
      <w:r>
        <w:rPr>
          <w:rFonts w:ascii="Arial" w:cs="Arial" w:eastAsia="Arial" w:hAnsi="Arial"/>
          <w:sz w:val="20"/>
          <w:szCs w:val="20"/>
          <w:color w:val="auto"/>
        </w:rPr>
        <w:t>TORONTO DOMINION BANK, NEW YORK BRANCH, as a Lender</w:t>
      </w:r>
    </w:p>
    <w:p>
      <w:pPr>
        <w:spacing w:after="0" w:line="200" w:lineRule="exact"/>
        <w:rPr>
          <w:sz w:val="20"/>
          <w:szCs w:val="20"/>
          <w:color w:val="auto"/>
        </w:rPr>
      </w:pPr>
    </w:p>
    <w:p>
      <w:pPr>
        <w:spacing w:after="0" w:line="220"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_/s/ Victoria Roberts__</w:t>
      </w:r>
      <w:r>
        <w:rPr>
          <w:rFonts w:ascii="Arial" w:cs="Arial" w:eastAsia="Arial" w:hAnsi="Arial"/>
          <w:sz w:val="20"/>
          <w:szCs w:val="20"/>
          <w:color w:val="auto"/>
        </w:rPr>
        <w:t>________________</w:t>
      </w:r>
    </w:p>
    <w:p>
      <w:pPr>
        <w:spacing w:after="0" w:line="15"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Name: Victoria Roberts</w:t>
      </w:r>
    </w:p>
    <w:p>
      <w:pPr>
        <w:ind w:left="33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dated as of August 6, 2021</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55" w:name="page56"/>
    <w:bookmarkEnd w:id="55"/>
    <w:p>
      <w:pPr>
        <w:ind w:left="338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_/s/ Robert C. Morgan_</w:t>
      </w:r>
      <w:r>
        <w:rPr>
          <w:rFonts w:ascii="Arial" w:cs="Arial" w:eastAsia="Arial" w:hAnsi="Arial"/>
          <w:sz w:val="18"/>
          <w:szCs w:val="18"/>
          <w:color w:val="auto"/>
        </w:rPr>
        <w:t>________________</w:t>
      </w:r>
    </w:p>
    <w:p>
      <w:pPr>
        <w:spacing w:after="0" w:line="38"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Name: Robert C. Morgan</w:t>
      </w:r>
    </w:p>
    <w:p>
      <w:pPr>
        <w:ind w:left="33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dated as of August 6, 2021</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56" w:name="page57"/>
    <w:bookmarkEnd w:id="56"/>
    <w:p>
      <w:pPr>
        <w:ind w:left="3380"/>
        <w:spacing w:after="0"/>
        <w:rPr>
          <w:sz w:val="20"/>
          <w:szCs w:val="20"/>
          <w:color w:val="auto"/>
        </w:rPr>
      </w:pPr>
      <w:r>
        <w:rPr>
          <w:rFonts w:ascii="Arial" w:cs="Arial" w:eastAsia="Arial" w:hAnsi="Arial"/>
          <w:sz w:val="19"/>
          <w:szCs w:val="19"/>
          <w:color w:val="auto"/>
        </w:rPr>
        <w:t>U.S. BANK NATIONAL ASSOCIATION,</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_/s/ Kelsey Hunter_</w:t>
      </w:r>
      <w:r>
        <w:rPr>
          <w:rFonts w:ascii="Arial" w:cs="Arial" w:eastAsia="Arial" w:hAnsi="Arial"/>
          <w:sz w:val="18"/>
          <w:szCs w:val="18"/>
          <w:color w:val="auto"/>
        </w:rPr>
        <w:t>________________</w:t>
      </w:r>
    </w:p>
    <w:p>
      <w:pPr>
        <w:spacing w:after="0" w:line="38"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Name: Kelsey Hunter</w:t>
      </w:r>
    </w:p>
    <w:p>
      <w:pPr>
        <w:ind w:left="33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dated as of August 6, 2021</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57" w:name="page58"/>
    <w:bookmarkEnd w:id="57"/>
    <w:p>
      <w:pPr>
        <w:ind w:left="3380"/>
        <w:spacing w:after="0"/>
        <w:rPr>
          <w:sz w:val="20"/>
          <w:szCs w:val="20"/>
          <w:color w:val="auto"/>
        </w:rPr>
      </w:pPr>
      <w:r>
        <w:rPr>
          <w:rFonts w:ascii="Arial" w:cs="Arial" w:eastAsia="Arial" w:hAnsi="Arial"/>
          <w:sz w:val="19"/>
          <w:szCs w:val="19"/>
          <w:color w:val="auto"/>
        </w:rPr>
        <w:t>WELLS FARGO BANK, NATIONAL ASSOCIATION,</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_/s/ Christopher S. Allen_</w:t>
      </w:r>
      <w:r>
        <w:rPr>
          <w:rFonts w:ascii="Arial" w:cs="Arial" w:eastAsia="Arial" w:hAnsi="Arial"/>
          <w:sz w:val="20"/>
          <w:szCs w:val="20"/>
          <w:color w:val="auto"/>
        </w:rPr>
        <w:t>_______________</w:t>
      </w:r>
    </w:p>
    <w:p>
      <w:pPr>
        <w:spacing w:after="0" w:line="15"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Name: Christopher S. Allen</w:t>
      </w:r>
    </w:p>
    <w:p>
      <w:pPr>
        <w:ind w:left="3380"/>
        <w:spacing w:after="0"/>
        <w:rPr>
          <w:sz w:val="20"/>
          <w:szCs w:val="20"/>
          <w:color w:val="auto"/>
        </w:rPr>
      </w:pPr>
      <w:r>
        <w:rPr>
          <w:rFonts w:ascii="Arial" w:cs="Arial" w:eastAsia="Arial" w:hAnsi="Arial"/>
          <w:sz w:val="20"/>
          <w:szCs w:val="20"/>
          <w:color w:val="auto"/>
        </w:rPr>
        <w:t>Title: Senior Vice President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dated as of August 6, 2021</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58" w:name="page59"/>
    <w:bookmarkEnd w:id="58"/>
    <w:p>
      <w:pPr>
        <w:ind w:left="3380"/>
        <w:spacing w:after="0"/>
        <w:rPr>
          <w:sz w:val="20"/>
          <w:szCs w:val="20"/>
          <w:color w:val="auto"/>
        </w:rPr>
      </w:pPr>
      <w:r>
        <w:rPr>
          <w:rFonts w:ascii="Arial" w:cs="Arial" w:eastAsia="Arial" w:hAnsi="Arial"/>
          <w:sz w:val="19"/>
          <w:szCs w:val="19"/>
          <w:color w:val="auto"/>
        </w:rPr>
        <w:t>BANK OF CHINA, NEW YORK BRANCH,</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_/s/ Raymond Qiao_</w:t>
      </w:r>
      <w:r>
        <w:rPr>
          <w:rFonts w:ascii="Arial" w:cs="Arial" w:eastAsia="Arial" w:hAnsi="Arial"/>
          <w:sz w:val="18"/>
          <w:szCs w:val="18"/>
          <w:color w:val="auto"/>
        </w:rPr>
        <w:t>________________</w:t>
      </w:r>
    </w:p>
    <w:p>
      <w:pPr>
        <w:spacing w:after="0" w:line="38"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Name: Raymond Qiao</w:t>
      </w:r>
    </w:p>
    <w:p>
      <w:pPr>
        <w:ind w:left="3380"/>
        <w:spacing w:after="0"/>
        <w:rPr>
          <w:sz w:val="20"/>
          <w:szCs w:val="20"/>
          <w:color w:val="auto"/>
        </w:rPr>
      </w:pPr>
      <w:r>
        <w:rPr>
          <w:rFonts w:ascii="Arial" w:cs="Arial" w:eastAsia="Arial" w:hAnsi="Arial"/>
          <w:sz w:val="20"/>
          <w:szCs w:val="20"/>
          <w:color w:val="auto"/>
        </w:rPr>
        <w:t>Title: Executive Vice President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dated as of August 6, 2021</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59" w:name="page60"/>
    <w:bookmarkEnd w:id="59"/>
    <w:p>
      <w:pPr>
        <w:ind w:left="3380"/>
        <w:spacing w:after="0"/>
        <w:rPr>
          <w:sz w:val="20"/>
          <w:szCs w:val="20"/>
          <w:color w:val="auto"/>
        </w:rPr>
      </w:pPr>
      <w:r>
        <w:rPr>
          <w:rFonts w:ascii="Arial" w:cs="Arial" w:eastAsia="Arial" w:hAnsi="Arial"/>
          <w:sz w:val="19"/>
          <w:szCs w:val="19"/>
          <w:color w:val="auto"/>
        </w:rPr>
        <w:t>PNC BANK, NATIONAL ASSOCIATION,</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_/s/ Mourad Liousfi_</w:t>
      </w:r>
      <w:r>
        <w:rPr>
          <w:rFonts w:ascii="Arial" w:cs="Arial" w:eastAsia="Arial" w:hAnsi="Arial"/>
          <w:sz w:val="18"/>
          <w:szCs w:val="18"/>
          <w:color w:val="auto"/>
        </w:rPr>
        <w:t>________________</w:t>
      </w:r>
    </w:p>
    <w:p>
      <w:pPr>
        <w:spacing w:after="0" w:line="38"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Name: Mourad Liousfi</w:t>
      </w:r>
    </w:p>
    <w:p>
      <w:pPr>
        <w:ind w:left="33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dated as of August 6, 2021</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60" w:name="page61"/>
    <w:bookmarkEnd w:id="60"/>
    <w:p>
      <w:pPr>
        <w:ind w:left="3380"/>
        <w:spacing w:after="0"/>
        <w:rPr>
          <w:sz w:val="20"/>
          <w:szCs w:val="20"/>
          <w:color w:val="auto"/>
        </w:rPr>
      </w:pPr>
      <w:r>
        <w:rPr>
          <w:rFonts w:ascii="Arial" w:cs="Arial" w:eastAsia="Arial" w:hAnsi="Arial"/>
          <w:sz w:val="19"/>
          <w:szCs w:val="19"/>
          <w:color w:val="auto"/>
        </w:rPr>
        <w:t>HSBC BANK USA, NATIONAL ASSOCIATION,</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_/s/ Andrew Everett__</w:t>
      </w:r>
      <w:r>
        <w:rPr>
          <w:rFonts w:ascii="Arial" w:cs="Arial" w:eastAsia="Arial" w:hAnsi="Arial"/>
          <w:sz w:val="20"/>
          <w:szCs w:val="20"/>
          <w:color w:val="auto"/>
        </w:rPr>
        <w:t>________________</w:t>
      </w:r>
    </w:p>
    <w:p>
      <w:pPr>
        <w:spacing w:after="0" w:line="15"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Name: Andrew Everett</w:t>
      </w:r>
    </w:p>
    <w:p>
      <w:pPr>
        <w:ind w:left="3380"/>
        <w:spacing w:after="0"/>
        <w:rPr>
          <w:sz w:val="20"/>
          <w:szCs w:val="20"/>
          <w:color w:val="auto"/>
        </w:rPr>
      </w:pPr>
      <w:r>
        <w:rPr>
          <w:rFonts w:ascii="Arial" w:cs="Arial" w:eastAsia="Arial" w:hAnsi="Arial"/>
          <w:sz w:val="20"/>
          <w:szCs w:val="20"/>
          <w:color w:val="auto"/>
        </w:rPr>
        <w:t>Title: Senior Vice President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dated as of August 6, 2021</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0"/>
          <w:szCs w:val="20"/>
          <w:color w:val="auto"/>
        </w:rPr>
        <w:t>ANNEX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Amended Credit Agreement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1189355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2" w:right="1440" w:bottom="1440" w:gutter="0" w:footer="0" w:header="0"/>
        </w:sectPr>
      </w:pPr>
    </w:p>
    <w:bookmarkStart w:id="62" w:name="page63"/>
    <w:bookmarkEnd w:id="62"/>
    <w:p>
      <w:pPr>
        <w:jc w:val="center"/>
        <w:ind w:right="-1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3079750</wp:posOffset>
            </wp:positionH>
            <wp:positionV relativeFrom="page">
              <wp:posOffset>380365</wp:posOffset>
            </wp:positionV>
            <wp:extent cx="1354455" cy="3086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1354455" cy="308610"/>
                    </a:xfrm>
                    <a:prstGeom prst="rect">
                      <a:avLst/>
                    </a:prstGeom>
                    <a:noFill/>
                  </pic:spPr>
                </pic:pic>
              </a:graphicData>
            </a:graphic>
          </wp:anchor>
        </w:drawing>
        <w:t>CREDIT AGREEMENT</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August 6, 2021,</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6"/>
          <w:szCs w:val="16"/>
          <w:u w:val="single" w:color="auto"/>
          <w:color w:val="0000FF"/>
        </w:rPr>
        <w:t>as amended by Amendment No. 1 to Credit Agreement, dated April 21, 2023</w:t>
      </w:r>
    </w:p>
    <w:p>
      <w:pPr>
        <w:spacing w:after="0" w:line="234"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CABOT CORPORATION</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 Certain of its Subsidiaries,</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Borrowers,</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Lead Left Bookrunner and Administrative Agent</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JPMORGAN CHASE BANK, N.A., and</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CITIBANK, N.A.,</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Joint Lead Arrangers and Joint Bookrunners,</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MIZUHO BANK, LTD.,</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BANK OF AMERICA, N.A. and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Joint Lead Arrangers and Co-Documentation Agents</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Co-Documentation Agent</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J.P. MORGAN SECURITIES LLC and</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Co-Sustainability Structuring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40"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0"/>
        </w:trPr>
        <w:tc>
          <w:tcPr>
            <w:tcW w:w="1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20" w:type="dxa"/>
            <w:vAlign w:val="bottom"/>
            <w:gridSpan w:val="14"/>
          </w:tcPr>
          <w:p>
            <w:pPr>
              <w:spacing w:after="0"/>
              <w:rPr>
                <w:sz w:val="20"/>
                <w:szCs w:val="20"/>
                <w:color w:val="auto"/>
              </w:rPr>
            </w:pPr>
            <w:r>
              <w:rPr>
                <w:rFonts w:ascii="Arial" w:cs="Arial" w:eastAsia="Arial" w:hAnsi="Arial"/>
                <w:sz w:val="20"/>
                <w:szCs w:val="20"/>
                <w:color w:val="auto"/>
              </w:rPr>
              <w:t>TABLE OF CONTENTS</w:t>
            </w:r>
          </w:p>
        </w:tc>
        <w:tc>
          <w:tcPr>
            <w:tcW w:w="0" w:type="dxa"/>
            <w:vAlign w:val="bottom"/>
          </w:tcPr>
          <w:p>
            <w:pPr>
              <w:spacing w:after="0"/>
              <w:rPr>
                <w:sz w:val="1"/>
                <w:szCs w:val="1"/>
                <w:color w:val="auto"/>
              </w:rPr>
            </w:pPr>
          </w:p>
        </w:tc>
      </w:tr>
      <w:tr>
        <w:trPr>
          <w:trHeight w:val="401"/>
        </w:trPr>
        <w:tc>
          <w:tcPr>
            <w:tcW w:w="1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60" w:type="dxa"/>
            <w:vAlign w:val="bottom"/>
            <w:gridSpan w:val="2"/>
          </w:tcPr>
          <w:p>
            <w:pPr>
              <w:ind w:left="3880"/>
              <w:spacing w:after="0"/>
              <w:rPr>
                <w:sz w:val="20"/>
                <w:szCs w:val="20"/>
                <w:color w:val="auto"/>
              </w:rPr>
            </w:pPr>
            <w:r>
              <w:rPr>
                <w:rFonts w:ascii="Arial" w:cs="Arial" w:eastAsia="Arial" w:hAnsi="Arial"/>
                <w:sz w:val="20"/>
                <w:szCs w:val="20"/>
                <w:color w:val="auto"/>
                <w:w w:val="76"/>
              </w:rPr>
              <w:t>Page</w:t>
            </w:r>
          </w:p>
        </w:tc>
        <w:tc>
          <w:tcPr>
            <w:tcW w:w="0" w:type="dxa"/>
            <w:vAlign w:val="bottom"/>
          </w:tcPr>
          <w:p>
            <w:pPr>
              <w:spacing w:after="0"/>
              <w:rPr>
                <w:sz w:val="1"/>
                <w:szCs w:val="1"/>
                <w:color w:val="auto"/>
              </w:rPr>
            </w:pPr>
          </w:p>
        </w:tc>
      </w:tr>
      <w:tr>
        <w:trPr>
          <w:trHeight w:val="470"/>
        </w:trPr>
        <w:tc>
          <w:tcPr>
            <w:tcW w:w="2240" w:type="dxa"/>
            <w:vAlign w:val="bottom"/>
            <w:gridSpan w:val="2"/>
          </w:tcPr>
          <w:p>
            <w:pPr>
              <w:spacing w:after="0"/>
              <w:rPr>
                <w:sz w:val="20"/>
                <w:szCs w:val="20"/>
                <w:color w:val="auto"/>
              </w:rPr>
            </w:pPr>
            <w:r>
              <w:rPr>
                <w:rFonts w:ascii="Arial" w:cs="Arial" w:eastAsia="Arial" w:hAnsi="Arial"/>
                <w:sz w:val="20"/>
                <w:szCs w:val="20"/>
                <w:color w:val="auto"/>
              </w:rPr>
              <w:t>ARTICLE I Definitions 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1.01</w:t>
            </w:r>
          </w:p>
        </w:tc>
        <w:tc>
          <w:tcPr>
            <w:tcW w:w="1440" w:type="dxa"/>
            <w:vAlign w:val="bottom"/>
            <w:gridSpan w:val="8"/>
          </w:tcPr>
          <w:p>
            <w:pPr>
              <w:ind w:left="100"/>
              <w:spacing w:after="0"/>
              <w:rPr>
                <w:sz w:val="20"/>
                <w:szCs w:val="20"/>
                <w:color w:val="auto"/>
              </w:rPr>
            </w:pPr>
            <w:r>
              <w:rPr>
                <w:rFonts w:ascii="Arial" w:cs="Arial" w:eastAsia="Arial" w:hAnsi="Arial"/>
                <w:sz w:val="20"/>
                <w:szCs w:val="20"/>
                <w:color w:val="auto"/>
              </w:rPr>
              <w:t>Defined Terms</w:t>
            </w:r>
          </w:p>
        </w:tc>
        <w:tc>
          <w:tcPr>
            <w:tcW w:w="200" w:type="dxa"/>
            <w:vAlign w:val="bottom"/>
          </w:tcPr>
          <w:p>
            <w:pPr>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580" w:type="dxa"/>
            <w:vAlign w:val="bottom"/>
          </w:tcPr>
          <w:p>
            <w:pPr>
              <w:ind w:left="260"/>
              <w:spacing w:after="0" w:line="212" w:lineRule="exact"/>
              <w:rPr>
                <w:sz w:val="20"/>
                <w:szCs w:val="20"/>
                <w:color w:val="auto"/>
              </w:rPr>
            </w:pPr>
            <w:r>
              <w:rPr>
                <w:rFonts w:ascii="Arial" w:cs="Arial" w:eastAsia="Arial" w:hAnsi="Arial"/>
                <w:sz w:val="20"/>
                <w:szCs w:val="20"/>
                <w:color w:val="auto"/>
                <w:w w:val="97"/>
              </w:rPr>
              <w:t>SECTION 1.02</w:t>
            </w:r>
          </w:p>
        </w:tc>
        <w:tc>
          <w:tcPr>
            <w:tcW w:w="3420" w:type="dxa"/>
            <w:vAlign w:val="bottom"/>
            <w:gridSpan w:val="22"/>
          </w:tcPr>
          <w:p>
            <w:pPr>
              <w:ind w:left="100"/>
              <w:spacing w:after="0" w:line="212" w:lineRule="exact"/>
              <w:rPr>
                <w:sz w:val="20"/>
                <w:szCs w:val="20"/>
                <w:color w:val="auto"/>
              </w:rPr>
            </w:pPr>
            <w:r>
              <w:rPr>
                <w:rFonts w:ascii="Arial" w:cs="Arial" w:eastAsia="Arial" w:hAnsi="Arial"/>
                <w:sz w:val="20"/>
                <w:szCs w:val="20"/>
                <w:color w:val="auto"/>
                <w:w w:val="95"/>
              </w:rPr>
              <w:t>Classification of Loans and Borrowings</w:t>
            </w:r>
          </w:p>
        </w:tc>
        <w:tc>
          <w:tcPr>
            <w:tcW w:w="200" w:type="dxa"/>
            <w:vAlign w:val="bottom"/>
          </w:tcPr>
          <w:p>
            <w:pPr>
              <w:jc w:val="right"/>
              <w:spacing w:after="0" w:line="212" w:lineRule="exact"/>
              <w:rPr>
                <w:sz w:val="20"/>
                <w:szCs w:val="20"/>
                <w:color w:val="auto"/>
              </w:rPr>
            </w:pPr>
            <w:r>
              <w:rPr>
                <w:rFonts w:ascii="Arial" w:cs="Arial" w:eastAsia="Arial" w:hAnsi="Arial"/>
                <w:sz w:val="20"/>
                <w:szCs w:val="20"/>
                <w:color w:val="FF0000"/>
                <w:strike w:val="1"/>
                <w:w w:val="80"/>
              </w:rPr>
              <w:t>37</w:t>
            </w:r>
          </w:p>
        </w:tc>
        <w:tc>
          <w:tcPr>
            <w:tcW w:w="400" w:type="dxa"/>
            <w:vAlign w:val="bottom"/>
            <w:gridSpan w:val="2"/>
          </w:tcPr>
          <w:p>
            <w:pPr>
              <w:jc w:val="right"/>
              <w:ind w:right="101"/>
              <w:spacing w:after="0" w:line="212" w:lineRule="exact"/>
              <w:rPr>
                <w:sz w:val="20"/>
                <w:szCs w:val="20"/>
                <w:color w:val="auto"/>
              </w:rPr>
            </w:pPr>
            <w:r>
              <w:rPr>
                <w:rFonts w:ascii="Arial" w:cs="Arial" w:eastAsia="Arial" w:hAnsi="Arial"/>
                <w:sz w:val="20"/>
                <w:szCs w:val="20"/>
                <w:color w:val="0000FF"/>
                <w:w w:val="80"/>
              </w:rPr>
              <w:t>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1.03</w:t>
            </w:r>
          </w:p>
        </w:tc>
        <w:tc>
          <w:tcPr>
            <w:tcW w:w="1440" w:type="dxa"/>
            <w:vAlign w:val="bottom"/>
            <w:gridSpan w:val="8"/>
          </w:tcPr>
          <w:p>
            <w:pPr>
              <w:ind w:left="100"/>
              <w:spacing w:after="0"/>
              <w:rPr>
                <w:sz w:val="20"/>
                <w:szCs w:val="20"/>
                <w:color w:val="auto"/>
              </w:rPr>
            </w:pPr>
            <w:r>
              <w:rPr>
                <w:rFonts w:ascii="Arial" w:cs="Arial" w:eastAsia="Arial" w:hAnsi="Arial"/>
                <w:sz w:val="20"/>
                <w:szCs w:val="20"/>
                <w:color w:val="auto"/>
                <w:w w:val="89"/>
              </w:rPr>
              <w:t>Terms Generally</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38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35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20" w:type="dxa"/>
            <w:vAlign w:val="bottom"/>
            <w:gridSpan w:val="14"/>
          </w:tcPr>
          <w:p>
            <w:pPr>
              <w:ind w:left="260"/>
              <w:spacing w:after="0"/>
              <w:rPr>
                <w:sz w:val="20"/>
                <w:szCs w:val="20"/>
                <w:color w:val="auto"/>
              </w:rPr>
            </w:pPr>
            <w:r>
              <w:rPr>
                <w:rFonts w:ascii="Arial" w:cs="Arial" w:eastAsia="Arial" w:hAnsi="Arial"/>
                <w:sz w:val="20"/>
                <w:szCs w:val="20"/>
                <w:color w:val="auto"/>
                <w:w w:val="95"/>
              </w:rPr>
              <w:t>SECTION 1.04  Accounting Terms; GAAP</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38</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36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1.05</w:t>
            </w:r>
          </w:p>
        </w:tc>
        <w:tc>
          <w:tcPr>
            <w:tcW w:w="2240" w:type="dxa"/>
            <w:vAlign w:val="bottom"/>
            <w:gridSpan w:val="13"/>
          </w:tcPr>
          <w:p>
            <w:pPr>
              <w:ind w:left="100"/>
              <w:spacing w:after="0"/>
              <w:rPr>
                <w:sz w:val="20"/>
                <w:szCs w:val="20"/>
                <w:color w:val="auto"/>
              </w:rPr>
            </w:pPr>
            <w:r>
              <w:rPr>
                <w:rFonts w:ascii="Arial" w:cs="Arial" w:eastAsia="Arial" w:hAnsi="Arial"/>
                <w:sz w:val="20"/>
                <w:szCs w:val="20"/>
                <w:color w:val="auto"/>
                <w:w w:val="97"/>
              </w:rPr>
              <w:t>Letter of Credit Amounts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38</w:t>
            </w:r>
          </w:p>
        </w:tc>
        <w:tc>
          <w:tcPr>
            <w:tcW w:w="340" w:type="dxa"/>
            <w:vAlign w:val="bottom"/>
            <w:gridSpan w:val="3"/>
          </w:tcPr>
          <w:p>
            <w:pPr>
              <w:jc w:val="right"/>
              <w:ind w:right="41"/>
              <w:spacing w:after="0"/>
              <w:rPr>
                <w:sz w:val="20"/>
                <w:szCs w:val="20"/>
                <w:color w:val="auto"/>
              </w:rPr>
            </w:pPr>
            <w:r>
              <w:rPr>
                <w:rFonts w:ascii="Arial" w:cs="Arial" w:eastAsia="Arial" w:hAnsi="Arial"/>
                <w:sz w:val="20"/>
                <w:szCs w:val="20"/>
                <w:color w:val="0000FF"/>
                <w:w w:val="80"/>
              </w:rPr>
              <w:t>36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1.06</w:t>
            </w:r>
          </w:p>
        </w:tc>
        <w:tc>
          <w:tcPr>
            <w:tcW w:w="1060" w:type="dxa"/>
            <w:vAlign w:val="bottom"/>
            <w:gridSpan w:val="4"/>
          </w:tcPr>
          <w:p>
            <w:pPr>
              <w:ind w:left="100"/>
              <w:spacing w:after="0"/>
              <w:rPr>
                <w:sz w:val="20"/>
                <w:szCs w:val="20"/>
                <w:color w:val="auto"/>
              </w:rPr>
            </w:pPr>
            <w:r>
              <w:rPr>
                <w:rFonts w:ascii="Arial" w:cs="Arial" w:eastAsia="Arial" w:hAnsi="Arial"/>
                <w:sz w:val="20"/>
                <w:szCs w:val="20"/>
                <w:color w:val="auto"/>
              </w:rPr>
              <w:t>Divisions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38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71"/>
              </w:rPr>
              <w:t>36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1.07</w:t>
            </w:r>
          </w:p>
        </w:tc>
        <w:tc>
          <w:tcPr>
            <w:tcW w:w="1300" w:type="dxa"/>
            <w:vAlign w:val="bottom"/>
            <w:gridSpan w:val="7"/>
          </w:tcPr>
          <w:p>
            <w:pPr>
              <w:ind w:left="100"/>
              <w:spacing w:after="0"/>
              <w:rPr>
                <w:sz w:val="20"/>
                <w:szCs w:val="20"/>
                <w:color w:val="auto"/>
              </w:rPr>
            </w:pPr>
            <w:r>
              <w:rPr>
                <w:rFonts w:ascii="Arial" w:cs="Arial" w:eastAsia="Arial" w:hAnsi="Arial"/>
                <w:sz w:val="20"/>
                <w:szCs w:val="20"/>
                <w:color w:val="auto"/>
                <w:w w:val="90"/>
              </w:rPr>
              <w:t>Interest Rates;</w:t>
            </w:r>
          </w:p>
        </w:tc>
        <w:tc>
          <w:tcPr>
            <w:tcW w:w="580" w:type="dxa"/>
            <w:vAlign w:val="bottom"/>
            <w:gridSpan w:val="4"/>
          </w:tcPr>
          <w:p>
            <w:pPr>
              <w:spacing w:after="0"/>
              <w:rPr>
                <w:sz w:val="20"/>
                <w:szCs w:val="20"/>
                <w:color w:val="auto"/>
              </w:rPr>
            </w:pPr>
            <w:r>
              <w:rPr>
                <w:rFonts w:ascii="Arial" w:cs="Arial" w:eastAsia="Arial" w:hAnsi="Arial"/>
                <w:sz w:val="20"/>
                <w:szCs w:val="20"/>
                <w:color w:val="FF0000"/>
                <w:strike w:val="1"/>
                <w:w w:val="93"/>
              </w:rPr>
              <w:t>LIBOR</w:t>
            </w:r>
          </w:p>
        </w:tc>
        <w:tc>
          <w:tcPr>
            <w:tcW w:w="2340" w:type="dxa"/>
            <w:vAlign w:val="bottom"/>
            <w:gridSpan w:val="15"/>
          </w:tcPr>
          <w:p>
            <w:pPr>
              <w:jc w:val="right"/>
              <w:ind w:right="321"/>
              <w:spacing w:after="0"/>
              <w:rPr>
                <w:sz w:val="20"/>
                <w:szCs w:val="20"/>
                <w:color w:val="auto"/>
              </w:rPr>
            </w:pPr>
            <w:r>
              <w:rPr>
                <w:rFonts w:ascii="Arial" w:cs="Arial" w:eastAsia="Arial" w:hAnsi="Arial"/>
                <w:sz w:val="20"/>
                <w:szCs w:val="20"/>
                <w:color w:val="0000FF"/>
                <w:w w:val="92"/>
              </w:rPr>
              <w:t xml:space="preserve">Benchmark </w:t>
            </w:r>
            <w:r>
              <w:rPr>
                <w:rFonts w:ascii="Arial" w:cs="Arial" w:eastAsia="Arial" w:hAnsi="Arial"/>
                <w:sz w:val="20"/>
                <w:szCs w:val="20"/>
                <w:color w:val="000000"/>
                <w:w w:val="92"/>
              </w:rPr>
              <w:t>Notification</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39</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000FF"/>
                <w:w w:val="80"/>
              </w:rPr>
              <w:t>36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240" w:type="dxa"/>
            <w:vAlign w:val="bottom"/>
            <w:gridSpan w:val="2"/>
          </w:tcPr>
          <w:p>
            <w:pPr>
              <w:spacing w:after="0"/>
              <w:rPr>
                <w:sz w:val="20"/>
                <w:szCs w:val="20"/>
                <w:color w:val="auto"/>
              </w:rPr>
            </w:pPr>
            <w:r>
              <w:rPr>
                <w:rFonts w:ascii="Arial" w:cs="Arial" w:eastAsia="Arial" w:hAnsi="Arial"/>
                <w:sz w:val="20"/>
                <w:szCs w:val="20"/>
                <w:color w:val="auto"/>
              </w:rPr>
              <w:t>ARTICLE II The Credits</w:t>
            </w:r>
          </w:p>
        </w:tc>
        <w:tc>
          <w:tcPr>
            <w:tcW w:w="340" w:type="dxa"/>
            <w:vAlign w:val="bottom"/>
            <w:gridSpan w:val="2"/>
          </w:tcPr>
          <w:p>
            <w:pPr>
              <w:jc w:val="right"/>
              <w:spacing w:after="0"/>
              <w:rPr>
                <w:sz w:val="20"/>
                <w:szCs w:val="20"/>
                <w:color w:val="auto"/>
              </w:rPr>
            </w:pPr>
            <w:r>
              <w:rPr>
                <w:rFonts w:ascii="Arial" w:cs="Arial" w:eastAsia="Arial" w:hAnsi="Arial"/>
                <w:sz w:val="20"/>
                <w:szCs w:val="20"/>
                <w:color w:val="FF0000"/>
                <w:strike w:val="1"/>
              </w:rPr>
              <w:t>40</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37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2.01</w:t>
            </w:r>
          </w:p>
        </w:tc>
        <w:tc>
          <w:tcPr>
            <w:tcW w:w="1440" w:type="dxa"/>
            <w:vAlign w:val="bottom"/>
            <w:gridSpan w:val="8"/>
          </w:tcPr>
          <w:p>
            <w:pPr>
              <w:ind w:left="100"/>
              <w:spacing w:after="0"/>
              <w:rPr>
                <w:sz w:val="20"/>
                <w:szCs w:val="20"/>
                <w:color w:val="auto"/>
              </w:rPr>
            </w:pPr>
            <w:r>
              <w:rPr>
                <w:rFonts w:ascii="Arial" w:cs="Arial" w:eastAsia="Arial" w:hAnsi="Arial"/>
                <w:sz w:val="20"/>
                <w:szCs w:val="20"/>
                <w:color w:val="auto"/>
              </w:rPr>
              <w:t>Commitments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40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37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2.02</w:t>
            </w:r>
          </w:p>
        </w:tc>
        <w:tc>
          <w:tcPr>
            <w:tcW w:w="2240" w:type="dxa"/>
            <w:vAlign w:val="bottom"/>
            <w:gridSpan w:val="13"/>
          </w:tcPr>
          <w:p>
            <w:pPr>
              <w:ind w:left="100"/>
              <w:spacing w:after="0"/>
              <w:rPr>
                <w:sz w:val="20"/>
                <w:szCs w:val="20"/>
                <w:color w:val="auto"/>
              </w:rPr>
            </w:pPr>
            <w:r>
              <w:rPr>
                <w:rFonts w:ascii="Arial" w:cs="Arial" w:eastAsia="Arial" w:hAnsi="Arial"/>
                <w:sz w:val="20"/>
                <w:szCs w:val="20"/>
                <w:color w:val="auto"/>
              </w:rPr>
              <w:t>Loans and Borrowings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40</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37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20" w:type="dxa"/>
            <w:vAlign w:val="bottom"/>
            <w:gridSpan w:val="21"/>
          </w:tcPr>
          <w:p>
            <w:pPr>
              <w:ind w:left="260"/>
              <w:spacing w:after="0"/>
              <w:rPr>
                <w:sz w:val="20"/>
                <w:szCs w:val="20"/>
                <w:color w:val="auto"/>
              </w:rPr>
            </w:pPr>
            <w:r>
              <w:rPr>
                <w:rFonts w:ascii="Arial" w:cs="Arial" w:eastAsia="Arial" w:hAnsi="Arial"/>
                <w:sz w:val="20"/>
                <w:szCs w:val="20"/>
                <w:color w:val="auto"/>
                <w:w w:val="94"/>
              </w:rPr>
              <w:t>SECTION 2.03  Requests for Revolving Borrowings</w:t>
            </w:r>
          </w:p>
        </w:tc>
        <w:tc>
          <w:tcPr>
            <w:tcW w:w="180" w:type="dxa"/>
            <w:vAlign w:val="bottom"/>
          </w:tcPr>
          <w:p>
            <w:pPr>
              <w:spacing w:after="0"/>
              <w:rPr>
                <w:sz w:val="20"/>
                <w:szCs w:val="20"/>
                <w:color w:val="auto"/>
              </w:rPr>
            </w:pPr>
            <w:r>
              <w:rPr>
                <w:rFonts w:ascii="Arial" w:cs="Arial" w:eastAsia="Arial" w:hAnsi="Arial"/>
                <w:sz w:val="20"/>
                <w:szCs w:val="20"/>
                <w:color w:val="FF0000"/>
                <w:strike w:val="1"/>
                <w:w w:val="71"/>
              </w:rPr>
              <w:t>41</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38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2.04</w:t>
            </w:r>
          </w:p>
        </w:tc>
        <w:tc>
          <w:tcPr>
            <w:tcW w:w="3040" w:type="dxa"/>
            <w:vAlign w:val="bottom"/>
            <w:gridSpan w:val="20"/>
          </w:tcPr>
          <w:p>
            <w:pPr>
              <w:ind w:left="100"/>
              <w:spacing w:after="0"/>
              <w:rPr>
                <w:sz w:val="20"/>
                <w:szCs w:val="20"/>
                <w:color w:val="auto"/>
              </w:rPr>
            </w:pPr>
            <w:r>
              <w:rPr>
                <w:rFonts w:ascii="Arial" w:cs="Arial" w:eastAsia="Arial" w:hAnsi="Arial"/>
                <w:sz w:val="20"/>
                <w:szCs w:val="20"/>
                <w:color w:val="auto"/>
              </w:rPr>
              <w:t>Determination of Dollar Amounts</w:t>
            </w:r>
          </w:p>
        </w:tc>
        <w:tc>
          <w:tcPr>
            <w:tcW w:w="180" w:type="dxa"/>
            <w:vAlign w:val="bottom"/>
          </w:tcPr>
          <w:p>
            <w:pPr>
              <w:spacing w:after="0"/>
              <w:rPr>
                <w:sz w:val="20"/>
                <w:szCs w:val="20"/>
                <w:color w:val="auto"/>
              </w:rPr>
            </w:pPr>
            <w:r>
              <w:rPr>
                <w:rFonts w:ascii="Arial" w:cs="Arial" w:eastAsia="Arial" w:hAnsi="Arial"/>
                <w:sz w:val="20"/>
                <w:szCs w:val="20"/>
                <w:color w:val="FF0000"/>
                <w:strike w:val="1"/>
                <w:w w:val="71"/>
              </w:rPr>
              <w:t>42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39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2.05</w:t>
            </w:r>
          </w:p>
        </w:tc>
        <w:tc>
          <w:tcPr>
            <w:tcW w:w="1440" w:type="dxa"/>
            <w:vAlign w:val="bottom"/>
            <w:gridSpan w:val="8"/>
          </w:tcPr>
          <w:p>
            <w:pPr>
              <w:ind w:left="100"/>
              <w:spacing w:after="0"/>
              <w:rPr>
                <w:sz w:val="20"/>
                <w:szCs w:val="20"/>
                <w:color w:val="auto"/>
              </w:rPr>
            </w:pPr>
            <w:r>
              <w:rPr>
                <w:rFonts w:ascii="Arial" w:cs="Arial" w:eastAsia="Arial" w:hAnsi="Arial"/>
                <w:sz w:val="20"/>
                <w:szCs w:val="20"/>
                <w:color w:val="auto"/>
                <w:w w:val="90"/>
              </w:rPr>
              <w:t>Swingline Loans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39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20" w:type="dxa"/>
            <w:vAlign w:val="bottom"/>
            <w:gridSpan w:val="9"/>
          </w:tcPr>
          <w:p>
            <w:pPr>
              <w:ind w:left="260"/>
              <w:spacing w:after="0"/>
              <w:rPr>
                <w:sz w:val="20"/>
                <w:szCs w:val="20"/>
                <w:color w:val="auto"/>
              </w:rPr>
            </w:pPr>
            <w:r>
              <w:rPr>
                <w:rFonts w:ascii="Arial" w:cs="Arial" w:eastAsia="Arial" w:hAnsi="Arial"/>
                <w:sz w:val="20"/>
                <w:szCs w:val="20"/>
                <w:color w:val="auto"/>
                <w:w w:val="95"/>
              </w:rPr>
              <w:t>SECTION 2.06  Letters of Credit</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44</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41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2.07</w:t>
            </w:r>
          </w:p>
        </w:tc>
        <w:tc>
          <w:tcPr>
            <w:tcW w:w="2240" w:type="dxa"/>
            <w:vAlign w:val="bottom"/>
            <w:gridSpan w:val="13"/>
          </w:tcPr>
          <w:p>
            <w:pPr>
              <w:ind w:left="100"/>
              <w:spacing w:after="0"/>
              <w:rPr>
                <w:sz w:val="20"/>
                <w:szCs w:val="20"/>
                <w:color w:val="auto"/>
              </w:rPr>
            </w:pPr>
            <w:r>
              <w:rPr>
                <w:rFonts w:ascii="Arial" w:cs="Arial" w:eastAsia="Arial" w:hAnsi="Arial"/>
                <w:sz w:val="20"/>
                <w:szCs w:val="20"/>
                <w:color w:val="auto"/>
              </w:rPr>
              <w:t>Funding of Borrowings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48</w:t>
            </w:r>
          </w:p>
        </w:tc>
        <w:tc>
          <w:tcPr>
            <w:tcW w:w="340" w:type="dxa"/>
            <w:vAlign w:val="bottom"/>
            <w:gridSpan w:val="3"/>
          </w:tcPr>
          <w:p>
            <w:pPr>
              <w:jc w:val="right"/>
              <w:ind w:right="41"/>
              <w:spacing w:after="0"/>
              <w:rPr>
                <w:sz w:val="20"/>
                <w:szCs w:val="20"/>
                <w:color w:val="auto"/>
              </w:rPr>
            </w:pPr>
            <w:r>
              <w:rPr>
                <w:rFonts w:ascii="Arial" w:cs="Arial" w:eastAsia="Arial" w:hAnsi="Arial"/>
                <w:sz w:val="20"/>
                <w:szCs w:val="20"/>
                <w:color w:val="0000FF"/>
                <w:w w:val="80"/>
              </w:rPr>
              <w:t>45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2.08</w:t>
            </w:r>
          </w:p>
        </w:tc>
        <w:tc>
          <w:tcPr>
            <w:tcW w:w="1840" w:type="dxa"/>
            <w:vAlign w:val="bottom"/>
            <w:gridSpan w:val="10"/>
          </w:tcPr>
          <w:p>
            <w:pPr>
              <w:ind w:left="100"/>
              <w:spacing w:after="0"/>
              <w:rPr>
                <w:sz w:val="20"/>
                <w:szCs w:val="20"/>
                <w:color w:val="auto"/>
              </w:rPr>
            </w:pPr>
            <w:r>
              <w:rPr>
                <w:rFonts w:ascii="Arial" w:cs="Arial" w:eastAsia="Arial" w:hAnsi="Arial"/>
                <w:sz w:val="20"/>
                <w:szCs w:val="20"/>
                <w:color w:val="auto"/>
              </w:rPr>
              <w:t>Interest Elections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45</w:t>
            </w:r>
          </w:p>
        </w:tc>
        <w:tc>
          <w:tcPr>
            <w:tcW w:w="20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2.09</w:t>
            </w:r>
          </w:p>
        </w:tc>
        <w:tc>
          <w:tcPr>
            <w:tcW w:w="3820" w:type="dxa"/>
            <w:vAlign w:val="bottom"/>
            <w:gridSpan w:val="24"/>
          </w:tcPr>
          <w:p>
            <w:pPr>
              <w:ind w:left="100"/>
              <w:spacing w:after="0"/>
              <w:rPr>
                <w:sz w:val="20"/>
                <w:szCs w:val="20"/>
                <w:color w:val="auto"/>
              </w:rPr>
            </w:pPr>
            <w:r>
              <w:rPr>
                <w:rFonts w:ascii="Arial" w:cs="Arial" w:eastAsia="Arial" w:hAnsi="Arial"/>
                <w:sz w:val="20"/>
                <w:szCs w:val="20"/>
                <w:color w:val="auto"/>
                <w:w w:val="94"/>
              </w:rPr>
              <w:t>Termination and Reduction of Commitments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50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47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2.10</w:t>
            </w:r>
          </w:p>
        </w:tc>
        <w:tc>
          <w:tcPr>
            <w:tcW w:w="3420" w:type="dxa"/>
            <w:vAlign w:val="bottom"/>
            <w:gridSpan w:val="22"/>
          </w:tcPr>
          <w:p>
            <w:pPr>
              <w:ind w:left="100"/>
              <w:spacing w:after="0"/>
              <w:rPr>
                <w:sz w:val="20"/>
                <w:szCs w:val="20"/>
                <w:color w:val="auto"/>
              </w:rPr>
            </w:pPr>
            <w:r>
              <w:rPr>
                <w:rFonts w:ascii="Arial" w:cs="Arial" w:eastAsia="Arial" w:hAnsi="Arial"/>
                <w:sz w:val="20"/>
                <w:szCs w:val="20"/>
                <w:color w:val="auto"/>
                <w:w w:val="94"/>
              </w:rPr>
              <w:t>Repayment of Loans; Evidence of Debt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50</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000FF"/>
                <w:w w:val="80"/>
              </w:rPr>
              <w:t>47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20" w:type="dxa"/>
            <w:vAlign w:val="bottom"/>
            <w:gridSpan w:val="11"/>
          </w:tcPr>
          <w:p>
            <w:pPr>
              <w:ind w:left="260"/>
              <w:spacing w:after="0"/>
              <w:rPr>
                <w:sz w:val="20"/>
                <w:szCs w:val="20"/>
                <w:color w:val="auto"/>
              </w:rPr>
            </w:pPr>
            <w:r>
              <w:rPr>
                <w:rFonts w:ascii="Arial" w:cs="Arial" w:eastAsia="Arial" w:hAnsi="Arial"/>
                <w:sz w:val="20"/>
                <w:szCs w:val="20"/>
                <w:color w:val="auto"/>
                <w:w w:val="93"/>
              </w:rPr>
              <w:t>SECTION 2.11  Prepayment of Loans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51</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48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2.12</w:t>
            </w:r>
          </w:p>
        </w:tc>
        <w:tc>
          <w:tcPr>
            <w:tcW w:w="660" w:type="dxa"/>
            <w:vAlign w:val="bottom"/>
          </w:tcPr>
          <w:p>
            <w:pPr>
              <w:ind w:left="100"/>
              <w:spacing w:after="0"/>
              <w:rPr>
                <w:sz w:val="20"/>
                <w:szCs w:val="20"/>
                <w:color w:val="auto"/>
              </w:rPr>
            </w:pPr>
            <w:r>
              <w:rPr>
                <w:rFonts w:ascii="Arial" w:cs="Arial" w:eastAsia="Arial" w:hAnsi="Arial"/>
                <w:sz w:val="20"/>
                <w:szCs w:val="20"/>
                <w:color w:val="auto"/>
              </w:rPr>
              <w:t>Fees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52</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49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2.13</w:t>
            </w:r>
          </w:p>
        </w:tc>
        <w:tc>
          <w:tcPr>
            <w:tcW w:w="1060" w:type="dxa"/>
            <w:vAlign w:val="bottom"/>
            <w:gridSpan w:val="4"/>
          </w:tcPr>
          <w:p>
            <w:pPr>
              <w:ind w:left="100"/>
              <w:spacing w:after="0"/>
              <w:rPr>
                <w:sz w:val="20"/>
                <w:szCs w:val="20"/>
                <w:color w:val="auto"/>
              </w:rPr>
            </w:pPr>
            <w:r>
              <w:rPr>
                <w:rFonts w:ascii="Arial" w:cs="Arial" w:eastAsia="Arial" w:hAnsi="Arial"/>
                <w:sz w:val="20"/>
                <w:szCs w:val="20"/>
                <w:color w:val="auto"/>
              </w:rPr>
              <w:t>Interest</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53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71"/>
              </w:rPr>
              <w:t>50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2.14</w:t>
            </w:r>
          </w:p>
        </w:tc>
        <w:tc>
          <w:tcPr>
            <w:tcW w:w="2240" w:type="dxa"/>
            <w:vAlign w:val="bottom"/>
            <w:gridSpan w:val="13"/>
          </w:tcPr>
          <w:p>
            <w:pPr>
              <w:ind w:left="100"/>
              <w:spacing w:after="0"/>
              <w:rPr>
                <w:sz w:val="20"/>
                <w:szCs w:val="20"/>
                <w:color w:val="auto"/>
              </w:rPr>
            </w:pPr>
            <w:r>
              <w:rPr>
                <w:rFonts w:ascii="Arial" w:cs="Arial" w:eastAsia="Arial" w:hAnsi="Arial"/>
                <w:sz w:val="20"/>
                <w:szCs w:val="20"/>
                <w:color w:val="auto"/>
                <w:w w:val="95"/>
              </w:rPr>
              <w:t>Alternate Rate of Interest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54</w:t>
            </w:r>
          </w:p>
        </w:tc>
        <w:tc>
          <w:tcPr>
            <w:tcW w:w="340" w:type="dxa"/>
            <w:vAlign w:val="bottom"/>
            <w:gridSpan w:val="3"/>
          </w:tcPr>
          <w:p>
            <w:pPr>
              <w:jc w:val="right"/>
              <w:ind w:right="41"/>
              <w:spacing w:after="0"/>
              <w:rPr>
                <w:sz w:val="20"/>
                <w:szCs w:val="20"/>
                <w:color w:val="auto"/>
              </w:rPr>
            </w:pPr>
            <w:r>
              <w:rPr>
                <w:rFonts w:ascii="Arial" w:cs="Arial" w:eastAsia="Arial" w:hAnsi="Arial"/>
                <w:sz w:val="20"/>
                <w:szCs w:val="20"/>
                <w:color w:val="0000FF"/>
                <w:w w:val="80"/>
              </w:rPr>
              <w:t>51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2.15</w:t>
            </w:r>
          </w:p>
        </w:tc>
        <w:tc>
          <w:tcPr>
            <w:tcW w:w="1440" w:type="dxa"/>
            <w:vAlign w:val="bottom"/>
            <w:gridSpan w:val="8"/>
          </w:tcPr>
          <w:p>
            <w:pPr>
              <w:ind w:left="100"/>
              <w:spacing w:after="0"/>
              <w:rPr>
                <w:sz w:val="20"/>
                <w:szCs w:val="20"/>
                <w:color w:val="auto"/>
              </w:rPr>
            </w:pPr>
            <w:r>
              <w:rPr>
                <w:rFonts w:ascii="Arial" w:cs="Arial" w:eastAsia="Arial" w:hAnsi="Arial"/>
                <w:sz w:val="20"/>
                <w:szCs w:val="20"/>
                <w:color w:val="auto"/>
                <w:w w:val="91"/>
              </w:rPr>
              <w:t>Increased Costs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57</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54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2.16</w:t>
            </w:r>
          </w:p>
        </w:tc>
        <w:tc>
          <w:tcPr>
            <w:tcW w:w="2240" w:type="dxa"/>
            <w:vAlign w:val="bottom"/>
            <w:gridSpan w:val="13"/>
          </w:tcPr>
          <w:p>
            <w:pPr>
              <w:ind w:left="100"/>
              <w:spacing w:after="0"/>
              <w:rPr>
                <w:sz w:val="20"/>
                <w:szCs w:val="20"/>
                <w:color w:val="auto"/>
              </w:rPr>
            </w:pPr>
            <w:r>
              <w:rPr>
                <w:rFonts w:ascii="Arial" w:cs="Arial" w:eastAsia="Arial" w:hAnsi="Arial"/>
                <w:sz w:val="20"/>
                <w:szCs w:val="20"/>
                <w:color w:val="auto"/>
                <w:w w:val="94"/>
              </w:rPr>
              <w:t>Break Funding Payments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59</w:t>
            </w:r>
          </w:p>
        </w:tc>
        <w:tc>
          <w:tcPr>
            <w:tcW w:w="340" w:type="dxa"/>
            <w:vAlign w:val="bottom"/>
            <w:gridSpan w:val="3"/>
          </w:tcPr>
          <w:p>
            <w:pPr>
              <w:jc w:val="right"/>
              <w:ind w:right="41"/>
              <w:spacing w:after="0"/>
              <w:rPr>
                <w:sz w:val="20"/>
                <w:szCs w:val="20"/>
                <w:color w:val="auto"/>
              </w:rPr>
            </w:pPr>
            <w:r>
              <w:rPr>
                <w:rFonts w:ascii="Arial" w:cs="Arial" w:eastAsia="Arial" w:hAnsi="Arial"/>
                <w:sz w:val="20"/>
                <w:szCs w:val="20"/>
                <w:color w:val="0000FF"/>
                <w:w w:val="80"/>
              </w:rPr>
              <w:t>56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2.17</w:t>
            </w:r>
          </w:p>
        </w:tc>
        <w:tc>
          <w:tcPr>
            <w:tcW w:w="660" w:type="dxa"/>
            <w:vAlign w:val="bottom"/>
          </w:tcPr>
          <w:p>
            <w:pPr>
              <w:ind w:left="100"/>
              <w:spacing w:after="0"/>
              <w:rPr>
                <w:sz w:val="20"/>
                <w:szCs w:val="20"/>
                <w:color w:val="auto"/>
              </w:rPr>
            </w:pPr>
            <w:r>
              <w:rPr>
                <w:rFonts w:ascii="Arial" w:cs="Arial" w:eastAsia="Arial" w:hAnsi="Arial"/>
                <w:sz w:val="20"/>
                <w:szCs w:val="20"/>
                <w:color w:val="auto"/>
                <w:w w:val="99"/>
              </w:rPr>
              <w:t>Taxes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59</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56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80" w:type="dxa"/>
            <w:vAlign w:val="bottom"/>
            <w:gridSpan w:val="31"/>
          </w:tcPr>
          <w:p>
            <w:pPr>
              <w:ind w:left="260"/>
              <w:spacing w:after="0"/>
              <w:rPr>
                <w:sz w:val="20"/>
                <w:szCs w:val="20"/>
                <w:color w:val="auto"/>
              </w:rPr>
            </w:pPr>
            <w:r>
              <w:rPr>
                <w:rFonts w:ascii="Arial" w:cs="Arial" w:eastAsia="Arial" w:hAnsi="Arial"/>
                <w:sz w:val="20"/>
                <w:szCs w:val="20"/>
                <w:color w:val="auto"/>
                <w:w w:val="91"/>
              </w:rPr>
              <w:t>SECTION 2.18  Payments Generally; Pro Rata Treatment; Sharing of Set-offs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65</w:t>
            </w:r>
          </w:p>
        </w:tc>
        <w:tc>
          <w:tcPr>
            <w:tcW w:w="4460" w:type="dxa"/>
            <w:vAlign w:val="bottom"/>
            <w:gridSpan w:val="3"/>
          </w:tcPr>
          <w:p>
            <w:pPr>
              <w:jc w:val="right"/>
              <w:ind w:right="4260"/>
              <w:spacing w:after="0"/>
              <w:rPr>
                <w:sz w:val="20"/>
                <w:szCs w:val="20"/>
                <w:color w:val="auto"/>
              </w:rPr>
            </w:pPr>
            <w:r>
              <w:rPr>
                <w:rFonts w:ascii="Arial" w:cs="Arial" w:eastAsia="Arial" w:hAnsi="Arial"/>
                <w:sz w:val="20"/>
                <w:szCs w:val="20"/>
                <w:color w:val="0000FF"/>
                <w:w w:val="80"/>
              </w:rPr>
              <w:t>62</w:t>
            </w:r>
          </w:p>
        </w:tc>
        <w:tc>
          <w:tcPr>
            <w:tcW w:w="0" w:type="dxa"/>
            <w:vAlign w:val="bottom"/>
          </w:tcPr>
          <w:p>
            <w:pPr>
              <w:spacing w:after="0"/>
              <w:rPr>
                <w:sz w:val="1"/>
                <w:szCs w:val="1"/>
                <w:color w:val="auto"/>
              </w:rPr>
            </w:pPr>
          </w:p>
        </w:tc>
      </w:tr>
      <w:tr>
        <w:trPr>
          <w:trHeight w:val="237"/>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2.19</w:t>
            </w:r>
          </w:p>
        </w:tc>
        <w:tc>
          <w:tcPr>
            <w:tcW w:w="4220" w:type="dxa"/>
            <w:vAlign w:val="bottom"/>
            <w:gridSpan w:val="26"/>
          </w:tcPr>
          <w:p>
            <w:pPr>
              <w:ind w:left="100"/>
              <w:spacing w:after="0"/>
              <w:rPr>
                <w:sz w:val="20"/>
                <w:szCs w:val="20"/>
                <w:color w:val="auto"/>
              </w:rPr>
            </w:pPr>
            <w:r>
              <w:rPr>
                <w:rFonts w:ascii="Arial" w:cs="Arial" w:eastAsia="Arial" w:hAnsi="Arial"/>
                <w:sz w:val="20"/>
                <w:szCs w:val="20"/>
                <w:color w:val="auto"/>
                <w:w w:val="97"/>
              </w:rPr>
              <w:t>Mitigation Obligations; Replacement of Lenders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66</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000FF"/>
                <w:w w:val="80"/>
              </w:rPr>
              <w:t>63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2.20</w:t>
            </w:r>
          </w:p>
        </w:tc>
        <w:tc>
          <w:tcPr>
            <w:tcW w:w="1840" w:type="dxa"/>
            <w:vAlign w:val="bottom"/>
            <w:gridSpan w:val="10"/>
          </w:tcPr>
          <w:p>
            <w:pPr>
              <w:ind w:left="100"/>
              <w:spacing w:after="0"/>
              <w:rPr>
                <w:sz w:val="20"/>
                <w:szCs w:val="20"/>
                <w:color w:val="auto"/>
              </w:rPr>
            </w:pPr>
            <w:r>
              <w:rPr>
                <w:rFonts w:ascii="Arial" w:cs="Arial" w:eastAsia="Arial" w:hAnsi="Arial"/>
                <w:sz w:val="20"/>
                <w:szCs w:val="20"/>
                <w:color w:val="auto"/>
              </w:rPr>
              <w:t>Defaulting Lenders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67</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64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2.21</w:t>
            </w:r>
          </w:p>
        </w:tc>
        <w:tc>
          <w:tcPr>
            <w:tcW w:w="1840" w:type="dxa"/>
            <w:vAlign w:val="bottom"/>
            <w:gridSpan w:val="10"/>
          </w:tcPr>
          <w:p>
            <w:pPr>
              <w:ind w:left="100"/>
              <w:spacing w:after="0"/>
              <w:rPr>
                <w:sz w:val="20"/>
                <w:szCs w:val="20"/>
                <w:color w:val="auto"/>
              </w:rPr>
            </w:pPr>
            <w:r>
              <w:rPr>
                <w:rFonts w:ascii="Arial" w:cs="Arial" w:eastAsia="Arial" w:hAnsi="Arial"/>
                <w:sz w:val="20"/>
                <w:szCs w:val="20"/>
                <w:color w:val="auto"/>
              </w:rPr>
              <w:t>Expansion Option</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68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65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2.22</w:t>
            </w:r>
          </w:p>
        </w:tc>
        <w:tc>
          <w:tcPr>
            <w:tcW w:w="1840" w:type="dxa"/>
            <w:vAlign w:val="bottom"/>
            <w:gridSpan w:val="10"/>
          </w:tcPr>
          <w:p>
            <w:pPr>
              <w:ind w:left="100"/>
              <w:spacing w:after="0"/>
              <w:rPr>
                <w:sz w:val="20"/>
                <w:szCs w:val="20"/>
                <w:color w:val="auto"/>
              </w:rPr>
            </w:pPr>
            <w:r>
              <w:rPr>
                <w:rFonts w:ascii="Arial" w:cs="Arial" w:eastAsia="Arial" w:hAnsi="Arial"/>
                <w:sz w:val="20"/>
                <w:szCs w:val="20"/>
                <w:color w:val="auto"/>
                <w:w w:val="98"/>
              </w:rPr>
              <w:t>Judgment Currency</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70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67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2.23</w:t>
            </w:r>
          </w:p>
        </w:tc>
        <w:tc>
          <w:tcPr>
            <w:tcW w:w="2240" w:type="dxa"/>
            <w:vAlign w:val="bottom"/>
            <w:gridSpan w:val="13"/>
          </w:tcPr>
          <w:p>
            <w:pPr>
              <w:ind w:left="100"/>
              <w:spacing w:after="0"/>
              <w:rPr>
                <w:sz w:val="20"/>
                <w:szCs w:val="20"/>
                <w:color w:val="auto"/>
              </w:rPr>
            </w:pPr>
            <w:r>
              <w:rPr>
                <w:rFonts w:ascii="Arial" w:cs="Arial" w:eastAsia="Arial" w:hAnsi="Arial"/>
                <w:sz w:val="20"/>
                <w:szCs w:val="20"/>
                <w:color w:val="auto"/>
              </w:rPr>
              <w:t>Designated Borrowers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70</w:t>
            </w:r>
          </w:p>
        </w:tc>
        <w:tc>
          <w:tcPr>
            <w:tcW w:w="340" w:type="dxa"/>
            <w:vAlign w:val="bottom"/>
            <w:gridSpan w:val="3"/>
          </w:tcPr>
          <w:p>
            <w:pPr>
              <w:jc w:val="right"/>
              <w:ind w:right="41"/>
              <w:spacing w:after="0"/>
              <w:rPr>
                <w:sz w:val="20"/>
                <w:szCs w:val="20"/>
                <w:color w:val="auto"/>
              </w:rPr>
            </w:pPr>
            <w:r>
              <w:rPr>
                <w:rFonts w:ascii="Arial" w:cs="Arial" w:eastAsia="Arial" w:hAnsi="Arial"/>
                <w:sz w:val="20"/>
                <w:szCs w:val="20"/>
                <w:color w:val="0000FF"/>
                <w:w w:val="80"/>
              </w:rPr>
              <w:t>67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2.24</w:t>
            </w:r>
          </w:p>
        </w:tc>
        <w:tc>
          <w:tcPr>
            <w:tcW w:w="1840" w:type="dxa"/>
            <w:vAlign w:val="bottom"/>
            <w:gridSpan w:val="10"/>
          </w:tcPr>
          <w:p>
            <w:pPr>
              <w:ind w:left="100"/>
              <w:spacing w:after="0"/>
              <w:rPr>
                <w:sz w:val="20"/>
                <w:szCs w:val="20"/>
                <w:color w:val="auto"/>
              </w:rPr>
            </w:pPr>
            <w:r>
              <w:rPr>
                <w:rFonts w:ascii="Arial" w:cs="Arial" w:eastAsia="Arial" w:hAnsi="Arial"/>
                <w:sz w:val="20"/>
                <w:szCs w:val="20"/>
                <w:color w:val="auto"/>
              </w:rPr>
              <w:t>Extension Options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72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69</w:t>
            </w:r>
          </w:p>
        </w:tc>
        <w:tc>
          <w:tcPr>
            <w:tcW w:w="20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820" w:type="dxa"/>
            <w:vAlign w:val="bottom"/>
            <w:gridSpan w:val="14"/>
          </w:tcPr>
          <w:p>
            <w:pPr>
              <w:jc w:val="right"/>
              <w:ind w:right="101"/>
              <w:spacing w:after="0"/>
              <w:rPr>
                <w:sz w:val="20"/>
                <w:szCs w:val="20"/>
                <w:color w:val="auto"/>
              </w:rPr>
            </w:pPr>
            <w:r>
              <w:rPr>
                <w:rFonts w:ascii="Arial" w:cs="Arial" w:eastAsia="Arial" w:hAnsi="Arial"/>
                <w:sz w:val="20"/>
                <w:szCs w:val="20"/>
                <w:color w:val="auto"/>
                <w:w w:val="90"/>
              </w:rPr>
              <w:t>ARTICLE III Representations and Warranties</w:t>
            </w:r>
          </w:p>
        </w:tc>
        <w:tc>
          <w:tcPr>
            <w:tcW w:w="340" w:type="dxa"/>
            <w:vAlign w:val="bottom"/>
            <w:gridSpan w:val="2"/>
          </w:tcPr>
          <w:p>
            <w:pPr>
              <w:jc w:val="right"/>
              <w:spacing w:after="0"/>
              <w:rPr>
                <w:sz w:val="20"/>
                <w:szCs w:val="20"/>
                <w:color w:val="auto"/>
              </w:rPr>
            </w:pPr>
            <w:r>
              <w:rPr>
                <w:rFonts w:ascii="Arial" w:cs="Arial" w:eastAsia="Arial" w:hAnsi="Arial"/>
                <w:sz w:val="20"/>
                <w:szCs w:val="20"/>
                <w:color w:val="FF0000"/>
                <w:strike w:val="1"/>
              </w:rPr>
              <w:t>74</w:t>
            </w:r>
          </w:p>
        </w:tc>
        <w:tc>
          <w:tcPr>
            <w:tcW w:w="220" w:type="dxa"/>
            <w:vAlign w:val="bottom"/>
            <w:gridSpan w:val="3"/>
          </w:tcPr>
          <w:p>
            <w:pPr>
              <w:jc w:val="right"/>
              <w:ind w:right="20"/>
              <w:spacing w:after="0"/>
              <w:rPr>
                <w:sz w:val="20"/>
                <w:szCs w:val="20"/>
                <w:color w:val="auto"/>
              </w:rPr>
            </w:pPr>
            <w:r>
              <w:rPr>
                <w:rFonts w:ascii="Arial" w:cs="Arial" w:eastAsia="Arial" w:hAnsi="Arial"/>
                <w:sz w:val="20"/>
                <w:szCs w:val="20"/>
                <w:color w:val="0000FF"/>
                <w:w w:val="80"/>
              </w:rPr>
              <w:t>71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84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3.01</w:t>
            </w:r>
          </w:p>
        </w:tc>
        <w:tc>
          <w:tcPr>
            <w:tcW w:w="1840" w:type="dxa"/>
            <w:vAlign w:val="bottom"/>
            <w:gridSpan w:val="10"/>
          </w:tcPr>
          <w:p>
            <w:pPr>
              <w:ind w:left="100"/>
              <w:spacing w:after="0"/>
              <w:rPr>
                <w:sz w:val="20"/>
                <w:szCs w:val="20"/>
                <w:color w:val="auto"/>
              </w:rPr>
            </w:pPr>
            <w:r>
              <w:rPr>
                <w:rFonts w:ascii="Arial" w:cs="Arial" w:eastAsia="Arial" w:hAnsi="Arial"/>
                <w:sz w:val="20"/>
                <w:szCs w:val="20"/>
                <w:color w:val="auto"/>
                <w:w w:val="89"/>
              </w:rPr>
              <w:t>Organization; Powers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74</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71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3.02</w:t>
            </w:r>
          </w:p>
        </w:tc>
        <w:tc>
          <w:tcPr>
            <w:tcW w:w="2640" w:type="dxa"/>
            <w:vAlign w:val="bottom"/>
            <w:gridSpan w:val="16"/>
          </w:tcPr>
          <w:p>
            <w:pPr>
              <w:ind w:left="100"/>
              <w:spacing w:after="0"/>
              <w:rPr>
                <w:sz w:val="20"/>
                <w:szCs w:val="20"/>
                <w:color w:val="auto"/>
              </w:rPr>
            </w:pPr>
            <w:r>
              <w:rPr>
                <w:rFonts w:ascii="Arial" w:cs="Arial" w:eastAsia="Arial" w:hAnsi="Arial"/>
                <w:sz w:val="20"/>
                <w:szCs w:val="20"/>
                <w:color w:val="auto"/>
              </w:rPr>
              <w:t>Authorization; Enforceability</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74</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71</w:t>
            </w:r>
          </w:p>
        </w:tc>
        <w:tc>
          <w:tcPr>
            <w:tcW w:w="38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3.03</w:t>
            </w:r>
          </w:p>
        </w:tc>
        <w:tc>
          <w:tcPr>
            <w:tcW w:w="3420" w:type="dxa"/>
            <w:vAlign w:val="bottom"/>
            <w:gridSpan w:val="22"/>
          </w:tcPr>
          <w:p>
            <w:pPr>
              <w:ind w:left="100"/>
              <w:spacing w:after="0"/>
              <w:rPr>
                <w:sz w:val="20"/>
                <w:szCs w:val="20"/>
                <w:color w:val="auto"/>
              </w:rPr>
            </w:pPr>
            <w:r>
              <w:rPr>
                <w:rFonts w:ascii="Arial" w:cs="Arial" w:eastAsia="Arial" w:hAnsi="Arial"/>
                <w:sz w:val="20"/>
                <w:szCs w:val="20"/>
                <w:color w:val="auto"/>
                <w:w w:val="97"/>
              </w:rPr>
              <w:t>Governmental Approvals; No Conflicts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74</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000FF"/>
                <w:w w:val="80"/>
              </w:rPr>
              <w:t>71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620" w:type="dxa"/>
            <w:vAlign w:val="bottom"/>
            <w:gridSpan w:val="2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3.04</w:t>
            </w:r>
          </w:p>
        </w:tc>
        <w:tc>
          <w:tcPr>
            <w:tcW w:w="4220" w:type="dxa"/>
            <w:vAlign w:val="bottom"/>
            <w:gridSpan w:val="26"/>
          </w:tcPr>
          <w:p>
            <w:pPr>
              <w:ind w:left="100"/>
              <w:spacing w:after="0"/>
              <w:rPr>
                <w:sz w:val="20"/>
                <w:szCs w:val="20"/>
                <w:color w:val="auto"/>
              </w:rPr>
            </w:pPr>
            <w:r>
              <w:rPr>
                <w:rFonts w:ascii="Arial" w:cs="Arial" w:eastAsia="Arial" w:hAnsi="Arial"/>
                <w:sz w:val="20"/>
                <w:szCs w:val="20"/>
                <w:color w:val="auto"/>
                <w:w w:val="93"/>
              </w:rPr>
              <w:t>Financial Condition; No Material Adverse Change</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74</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000FF"/>
                <w:w w:val="80"/>
              </w:rPr>
              <w:t>71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3.05</w:t>
            </w:r>
          </w:p>
        </w:tc>
        <w:tc>
          <w:tcPr>
            <w:tcW w:w="3420" w:type="dxa"/>
            <w:vAlign w:val="bottom"/>
            <w:gridSpan w:val="22"/>
          </w:tcPr>
          <w:p>
            <w:pPr>
              <w:ind w:left="100"/>
              <w:spacing w:after="0"/>
              <w:rPr>
                <w:sz w:val="20"/>
                <w:szCs w:val="20"/>
                <w:color w:val="auto"/>
              </w:rPr>
            </w:pPr>
            <w:r>
              <w:rPr>
                <w:rFonts w:ascii="Arial" w:cs="Arial" w:eastAsia="Arial" w:hAnsi="Arial"/>
                <w:sz w:val="20"/>
                <w:szCs w:val="20"/>
                <w:color w:val="auto"/>
              </w:rPr>
              <w:t>Litigation and Environmental Matters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75</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000FF"/>
                <w:w w:val="80"/>
              </w:rPr>
              <w:t>72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620" w:type="dxa"/>
            <w:vAlign w:val="bottom"/>
            <w:gridSpan w:val="2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3.06</w:t>
            </w:r>
          </w:p>
        </w:tc>
        <w:tc>
          <w:tcPr>
            <w:tcW w:w="4620" w:type="dxa"/>
            <w:vAlign w:val="bottom"/>
            <w:gridSpan w:val="28"/>
          </w:tcPr>
          <w:p>
            <w:pPr>
              <w:ind w:left="100"/>
              <w:spacing w:after="0"/>
              <w:rPr>
                <w:sz w:val="20"/>
                <w:szCs w:val="20"/>
                <w:color w:val="auto"/>
              </w:rPr>
            </w:pPr>
            <w:r>
              <w:rPr>
                <w:rFonts w:ascii="Arial" w:cs="Arial" w:eastAsia="Arial" w:hAnsi="Arial"/>
                <w:sz w:val="20"/>
                <w:szCs w:val="20"/>
                <w:color w:val="auto"/>
                <w:w w:val="98"/>
              </w:rPr>
              <w:t>Compliance with Laws and Agreements; No Default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75</w:t>
            </w:r>
          </w:p>
        </w:tc>
        <w:tc>
          <w:tcPr>
            <w:tcW w:w="4840" w:type="dxa"/>
            <w:vAlign w:val="bottom"/>
            <w:gridSpan w:val="5"/>
          </w:tcPr>
          <w:p>
            <w:pPr>
              <w:jc w:val="right"/>
              <w:ind w:right="4660"/>
              <w:spacing w:after="0"/>
              <w:rPr>
                <w:sz w:val="20"/>
                <w:szCs w:val="20"/>
                <w:color w:val="auto"/>
              </w:rPr>
            </w:pPr>
            <w:r>
              <w:rPr>
                <w:rFonts w:ascii="Arial" w:cs="Arial" w:eastAsia="Arial" w:hAnsi="Arial"/>
                <w:sz w:val="20"/>
                <w:szCs w:val="20"/>
                <w:color w:val="0000FF"/>
                <w:w w:val="71"/>
              </w:rPr>
              <w:t>72</w:t>
            </w:r>
          </w:p>
        </w:tc>
        <w:tc>
          <w:tcPr>
            <w:tcW w:w="0" w:type="dxa"/>
            <w:vAlign w:val="bottom"/>
          </w:tcPr>
          <w:p>
            <w:pPr>
              <w:spacing w:after="0"/>
              <w:rPr>
                <w:sz w:val="1"/>
                <w:szCs w:val="1"/>
                <w:color w:val="auto"/>
              </w:rPr>
            </w:pPr>
          </w:p>
        </w:tc>
      </w:tr>
      <w:tr>
        <w:trPr>
          <w:trHeight w:val="236"/>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3.07</w:t>
            </w:r>
          </w:p>
        </w:tc>
        <w:tc>
          <w:tcPr>
            <w:tcW w:w="4220" w:type="dxa"/>
            <w:vAlign w:val="bottom"/>
            <w:gridSpan w:val="26"/>
          </w:tcPr>
          <w:p>
            <w:pPr>
              <w:ind w:left="100"/>
              <w:spacing w:after="0"/>
              <w:rPr>
                <w:sz w:val="20"/>
                <w:szCs w:val="20"/>
                <w:color w:val="auto"/>
              </w:rPr>
            </w:pPr>
            <w:r>
              <w:rPr>
                <w:rFonts w:ascii="Arial" w:cs="Arial" w:eastAsia="Arial" w:hAnsi="Arial"/>
                <w:sz w:val="20"/>
                <w:szCs w:val="20"/>
                <w:color w:val="auto"/>
                <w:w w:val="94"/>
              </w:rPr>
              <w:t>Investment Company Status; Margin Regulations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75</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000FF"/>
                <w:w w:val="80"/>
              </w:rPr>
              <w:t>72</w:t>
            </w:r>
          </w:p>
        </w:tc>
        <w:tc>
          <w:tcPr>
            <w:tcW w:w="18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3.08</w:t>
            </w:r>
          </w:p>
        </w:tc>
        <w:tc>
          <w:tcPr>
            <w:tcW w:w="660" w:type="dxa"/>
            <w:vAlign w:val="bottom"/>
          </w:tcPr>
          <w:p>
            <w:pPr>
              <w:ind w:left="100"/>
              <w:spacing w:after="0"/>
              <w:rPr>
                <w:sz w:val="20"/>
                <w:szCs w:val="20"/>
                <w:color w:val="auto"/>
              </w:rPr>
            </w:pPr>
            <w:r>
              <w:rPr>
                <w:rFonts w:ascii="Arial" w:cs="Arial" w:eastAsia="Arial" w:hAnsi="Arial"/>
                <w:sz w:val="20"/>
                <w:szCs w:val="20"/>
                <w:color w:val="auto"/>
                <w:w w:val="99"/>
              </w:rPr>
              <w:t>Taxes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75</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72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80" w:type="dxa"/>
            <w:vAlign w:val="bottom"/>
          </w:tcPr>
          <w:p>
            <w:pPr>
              <w:ind w:left="260"/>
              <w:spacing w:after="0"/>
              <w:rPr>
                <w:sz w:val="20"/>
                <w:szCs w:val="20"/>
                <w:color w:val="auto"/>
              </w:rPr>
            </w:pPr>
            <w:r>
              <w:rPr>
                <w:rFonts w:ascii="Arial" w:cs="Arial" w:eastAsia="Arial" w:hAnsi="Arial"/>
                <w:sz w:val="20"/>
                <w:szCs w:val="20"/>
                <w:color w:val="auto"/>
                <w:w w:val="97"/>
              </w:rPr>
              <w:t>SECTION 3.09</w:t>
            </w:r>
          </w:p>
        </w:tc>
        <w:tc>
          <w:tcPr>
            <w:tcW w:w="1060" w:type="dxa"/>
            <w:vAlign w:val="bottom"/>
            <w:gridSpan w:val="4"/>
          </w:tcPr>
          <w:p>
            <w:pPr>
              <w:ind w:left="100"/>
              <w:spacing w:after="0"/>
              <w:rPr>
                <w:sz w:val="20"/>
                <w:szCs w:val="20"/>
                <w:color w:val="auto"/>
              </w:rPr>
            </w:pPr>
            <w:r>
              <w:rPr>
                <w:rFonts w:ascii="Arial" w:cs="Arial" w:eastAsia="Arial" w:hAnsi="Arial"/>
                <w:sz w:val="20"/>
                <w:szCs w:val="20"/>
                <w:color w:val="auto"/>
              </w:rPr>
              <w:t>ERISA</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75</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71"/>
              </w:rPr>
              <w:t>72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20"/>
                <w:szCs w:val="20"/>
                <w:color w:val="auto"/>
              </w:rPr>
              <w:t>-i-</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5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1640" w:type="dxa"/>
            <w:vAlign w:val="bottom"/>
          </w:tcPr>
          <w:p>
            <w:pPr>
              <w:ind w:left="260"/>
              <w:spacing w:after="0"/>
              <w:rPr>
                <w:sz w:val="20"/>
                <w:szCs w:val="20"/>
                <w:color w:val="auto"/>
              </w:rPr>
            </w:pPr>
            <w:r>
              <w:rPr>
                <w:rFonts w:ascii="Arial" w:cs="Arial" w:eastAsia="Arial" w:hAnsi="Arial"/>
                <w:sz w:val="20"/>
                <w:szCs w:val="20"/>
                <w:color w:val="auto"/>
              </w:rPr>
              <w:t>SECTION 3.10</w:t>
            </w:r>
          </w:p>
        </w:tc>
        <w:tc>
          <w:tcPr>
            <w:tcW w:w="1000" w:type="dxa"/>
            <w:vAlign w:val="bottom"/>
            <w:gridSpan w:val="7"/>
          </w:tcPr>
          <w:p>
            <w:pPr>
              <w:ind w:left="40"/>
              <w:spacing w:after="0"/>
              <w:rPr>
                <w:sz w:val="20"/>
                <w:szCs w:val="20"/>
                <w:color w:val="auto"/>
              </w:rPr>
            </w:pPr>
            <w:r>
              <w:rPr>
                <w:rFonts w:ascii="Arial" w:cs="Arial" w:eastAsia="Arial" w:hAnsi="Arial"/>
                <w:sz w:val="20"/>
                <w:szCs w:val="20"/>
                <w:color w:val="auto"/>
              </w:rPr>
              <w:t>Disclosure</w:t>
            </w:r>
          </w:p>
        </w:tc>
        <w:tc>
          <w:tcPr>
            <w:tcW w:w="200" w:type="dxa"/>
            <w:vAlign w:val="bottom"/>
            <w:gridSpan w:val="2"/>
          </w:tcPr>
          <w:p>
            <w:pPr>
              <w:spacing w:after="0"/>
              <w:rPr>
                <w:sz w:val="20"/>
                <w:szCs w:val="20"/>
                <w:color w:val="auto"/>
              </w:rPr>
            </w:pPr>
            <w:r>
              <w:rPr>
                <w:rFonts w:ascii="Arial" w:cs="Arial" w:eastAsia="Arial" w:hAnsi="Arial"/>
                <w:sz w:val="20"/>
                <w:szCs w:val="20"/>
                <w:color w:val="FF0000"/>
                <w:strike w:val="1"/>
                <w:w w:val="80"/>
              </w:rPr>
              <w:t>76</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71"/>
              </w:rPr>
              <w:t>73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rPr>
              <w:t>SECTION 3.11</w:t>
            </w:r>
          </w:p>
        </w:tc>
        <w:tc>
          <w:tcPr>
            <w:tcW w:w="1380" w:type="dxa"/>
            <w:vAlign w:val="bottom"/>
            <w:gridSpan w:val="12"/>
          </w:tcPr>
          <w:p>
            <w:pPr>
              <w:ind w:left="40"/>
              <w:spacing w:after="0"/>
              <w:rPr>
                <w:sz w:val="20"/>
                <w:szCs w:val="20"/>
                <w:color w:val="auto"/>
              </w:rPr>
            </w:pPr>
            <w:r>
              <w:rPr>
                <w:rFonts w:ascii="Arial" w:cs="Arial" w:eastAsia="Arial" w:hAnsi="Arial"/>
                <w:sz w:val="20"/>
                <w:szCs w:val="20"/>
                <w:color w:val="auto"/>
              </w:rPr>
              <w:t>Subsidiaries</w:t>
            </w:r>
          </w:p>
        </w:tc>
        <w:tc>
          <w:tcPr>
            <w:tcW w:w="200" w:type="dxa"/>
            <w:vAlign w:val="bottom"/>
            <w:gridSpan w:val="3"/>
          </w:tcPr>
          <w:p>
            <w:pPr>
              <w:spacing w:after="0"/>
              <w:rPr>
                <w:sz w:val="20"/>
                <w:szCs w:val="20"/>
                <w:color w:val="auto"/>
              </w:rPr>
            </w:pPr>
            <w:r>
              <w:rPr>
                <w:rFonts w:ascii="Arial" w:cs="Arial" w:eastAsia="Arial" w:hAnsi="Arial"/>
                <w:sz w:val="20"/>
                <w:szCs w:val="20"/>
                <w:color w:val="FF0000"/>
                <w:strike w:val="1"/>
                <w:w w:val="80"/>
              </w:rPr>
              <w:t>76</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73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rPr>
              <w:t>SECTION 3.12</w:t>
            </w:r>
          </w:p>
        </w:tc>
        <w:tc>
          <w:tcPr>
            <w:tcW w:w="3360" w:type="dxa"/>
            <w:vAlign w:val="bottom"/>
            <w:gridSpan w:val="31"/>
          </w:tcPr>
          <w:p>
            <w:pPr>
              <w:ind w:left="40"/>
              <w:spacing w:after="0"/>
              <w:rPr>
                <w:sz w:val="20"/>
                <w:szCs w:val="20"/>
                <w:color w:val="auto"/>
              </w:rPr>
            </w:pPr>
            <w:r>
              <w:rPr>
                <w:rFonts w:ascii="Arial" w:cs="Arial" w:eastAsia="Arial" w:hAnsi="Arial"/>
                <w:sz w:val="20"/>
                <w:szCs w:val="20"/>
                <w:color w:val="auto"/>
                <w:w w:val="94"/>
              </w:rPr>
              <w:t>Representations as to Foreign Obligors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76</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000FF"/>
                <w:w w:val="80"/>
              </w:rPr>
              <w:t>73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rPr>
              <w:t>SECTION 3.13</w:t>
            </w:r>
          </w:p>
        </w:tc>
        <w:tc>
          <w:tcPr>
            <w:tcW w:w="1380" w:type="dxa"/>
            <w:vAlign w:val="bottom"/>
            <w:gridSpan w:val="12"/>
          </w:tcPr>
          <w:p>
            <w:pPr>
              <w:ind w:left="40"/>
              <w:spacing w:after="0"/>
              <w:rPr>
                <w:sz w:val="20"/>
                <w:szCs w:val="20"/>
                <w:color w:val="auto"/>
              </w:rPr>
            </w:pPr>
            <w:r>
              <w:rPr>
                <w:rFonts w:ascii="Arial" w:cs="Arial" w:eastAsia="Arial" w:hAnsi="Arial"/>
                <w:sz w:val="20"/>
                <w:szCs w:val="20"/>
                <w:color w:val="auto"/>
                <w:w w:val="89"/>
              </w:rPr>
              <w:t>Use of Proceeds</w:t>
            </w:r>
          </w:p>
        </w:tc>
        <w:tc>
          <w:tcPr>
            <w:tcW w:w="200" w:type="dxa"/>
            <w:vAlign w:val="bottom"/>
            <w:gridSpan w:val="3"/>
          </w:tcPr>
          <w:p>
            <w:pPr>
              <w:spacing w:after="0"/>
              <w:rPr>
                <w:sz w:val="20"/>
                <w:szCs w:val="20"/>
                <w:color w:val="auto"/>
              </w:rPr>
            </w:pPr>
            <w:r>
              <w:rPr>
                <w:rFonts w:ascii="Arial" w:cs="Arial" w:eastAsia="Arial" w:hAnsi="Arial"/>
                <w:sz w:val="20"/>
                <w:szCs w:val="20"/>
                <w:color w:val="FF0000"/>
                <w:strike w:val="1"/>
                <w:w w:val="80"/>
              </w:rPr>
              <w:t>77</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74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rPr>
              <w:t>SECTION 3.14</w:t>
            </w:r>
          </w:p>
        </w:tc>
        <w:tc>
          <w:tcPr>
            <w:tcW w:w="3360" w:type="dxa"/>
            <w:vAlign w:val="bottom"/>
            <w:gridSpan w:val="31"/>
          </w:tcPr>
          <w:p>
            <w:pPr>
              <w:ind w:left="40"/>
              <w:spacing w:after="0"/>
              <w:rPr>
                <w:sz w:val="20"/>
                <w:szCs w:val="20"/>
                <w:color w:val="auto"/>
              </w:rPr>
            </w:pPr>
            <w:r>
              <w:rPr>
                <w:rFonts w:ascii="Arial" w:cs="Arial" w:eastAsia="Arial" w:hAnsi="Arial"/>
                <w:sz w:val="20"/>
                <w:szCs w:val="20"/>
                <w:color w:val="auto"/>
              </w:rPr>
              <w:t>Anti-Corruption Laws and Sanctions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77</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000FF"/>
                <w:w w:val="80"/>
              </w:rPr>
              <w:t>74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40" w:type="dxa"/>
            <w:vAlign w:val="bottom"/>
          </w:tcPr>
          <w:p>
            <w:pPr>
              <w:ind w:left="260"/>
              <w:spacing w:after="0"/>
              <w:rPr>
                <w:sz w:val="20"/>
                <w:szCs w:val="20"/>
                <w:color w:val="auto"/>
              </w:rPr>
            </w:pPr>
            <w:r>
              <w:rPr>
                <w:rFonts w:ascii="Arial" w:cs="Arial" w:eastAsia="Arial" w:hAnsi="Arial"/>
                <w:sz w:val="20"/>
                <w:szCs w:val="20"/>
                <w:color w:val="auto"/>
              </w:rPr>
              <w:t>SECTION 3.15</w:t>
            </w:r>
          </w:p>
        </w:tc>
        <w:tc>
          <w:tcPr>
            <w:tcW w:w="2580" w:type="dxa"/>
            <w:vAlign w:val="bottom"/>
            <w:gridSpan w:val="26"/>
          </w:tcPr>
          <w:p>
            <w:pPr>
              <w:ind w:left="40"/>
              <w:spacing w:after="0"/>
              <w:rPr>
                <w:sz w:val="20"/>
                <w:szCs w:val="20"/>
                <w:color w:val="auto"/>
              </w:rPr>
            </w:pPr>
            <w:r>
              <w:rPr>
                <w:rFonts w:ascii="Arial" w:cs="Arial" w:eastAsia="Arial" w:hAnsi="Arial"/>
                <w:sz w:val="20"/>
                <w:szCs w:val="20"/>
                <w:color w:val="auto"/>
                <w:w w:val="96"/>
              </w:rPr>
              <w:t>Affected Financial Institutions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77</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74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380" w:type="dxa"/>
            <w:vAlign w:val="bottom"/>
            <w:gridSpan w:val="5"/>
          </w:tcPr>
          <w:p>
            <w:pPr>
              <w:spacing w:after="0"/>
              <w:rPr>
                <w:sz w:val="20"/>
                <w:szCs w:val="20"/>
                <w:color w:val="auto"/>
              </w:rPr>
            </w:pPr>
            <w:r>
              <w:rPr>
                <w:rFonts w:ascii="Arial" w:cs="Arial" w:eastAsia="Arial" w:hAnsi="Arial"/>
                <w:sz w:val="20"/>
                <w:szCs w:val="20"/>
                <w:color w:val="auto"/>
              </w:rPr>
              <w:t>ARTICLE IV Conditions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77</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74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40" w:type="dxa"/>
            <w:vAlign w:val="bottom"/>
          </w:tcPr>
          <w:p>
            <w:pPr>
              <w:ind w:left="260"/>
              <w:spacing w:after="0"/>
              <w:rPr>
                <w:sz w:val="20"/>
                <w:szCs w:val="20"/>
                <w:color w:val="auto"/>
              </w:rPr>
            </w:pPr>
            <w:r>
              <w:rPr>
                <w:rFonts w:ascii="Arial" w:cs="Arial" w:eastAsia="Arial" w:hAnsi="Arial"/>
                <w:sz w:val="20"/>
                <w:szCs w:val="20"/>
                <w:color w:val="auto"/>
              </w:rPr>
              <w:t>SECTION 4.01</w:t>
            </w:r>
          </w:p>
        </w:tc>
        <w:tc>
          <w:tcPr>
            <w:tcW w:w="1380" w:type="dxa"/>
            <w:vAlign w:val="bottom"/>
            <w:gridSpan w:val="12"/>
          </w:tcPr>
          <w:p>
            <w:pPr>
              <w:ind w:left="40"/>
              <w:spacing w:after="0"/>
              <w:rPr>
                <w:sz w:val="20"/>
                <w:szCs w:val="20"/>
                <w:color w:val="auto"/>
              </w:rPr>
            </w:pPr>
            <w:r>
              <w:rPr>
                <w:rFonts w:ascii="Arial" w:cs="Arial" w:eastAsia="Arial" w:hAnsi="Arial"/>
                <w:sz w:val="20"/>
                <w:szCs w:val="20"/>
                <w:color w:val="auto"/>
              </w:rPr>
              <w:t>Effective Date</w:t>
            </w:r>
          </w:p>
        </w:tc>
        <w:tc>
          <w:tcPr>
            <w:tcW w:w="200" w:type="dxa"/>
            <w:vAlign w:val="bottom"/>
            <w:gridSpan w:val="3"/>
          </w:tcPr>
          <w:p>
            <w:pPr>
              <w:spacing w:after="0"/>
              <w:rPr>
                <w:sz w:val="20"/>
                <w:szCs w:val="20"/>
                <w:color w:val="auto"/>
              </w:rPr>
            </w:pPr>
            <w:r>
              <w:rPr>
                <w:rFonts w:ascii="Arial" w:cs="Arial" w:eastAsia="Arial" w:hAnsi="Arial"/>
                <w:sz w:val="20"/>
                <w:szCs w:val="20"/>
                <w:color w:val="FF0000"/>
                <w:strike w:val="1"/>
                <w:w w:val="80"/>
              </w:rPr>
              <w:t>77</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74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rPr>
              <w:t>SECTION 4.02</w:t>
            </w:r>
          </w:p>
        </w:tc>
        <w:tc>
          <w:tcPr>
            <w:tcW w:w="1780" w:type="dxa"/>
            <w:vAlign w:val="bottom"/>
            <w:gridSpan w:val="18"/>
          </w:tcPr>
          <w:p>
            <w:pPr>
              <w:ind w:left="40"/>
              <w:spacing w:after="0"/>
              <w:rPr>
                <w:sz w:val="20"/>
                <w:szCs w:val="20"/>
                <w:color w:val="auto"/>
              </w:rPr>
            </w:pPr>
            <w:r>
              <w:rPr>
                <w:rFonts w:ascii="Arial" w:cs="Arial" w:eastAsia="Arial" w:hAnsi="Arial"/>
                <w:sz w:val="20"/>
                <w:szCs w:val="20"/>
                <w:color w:val="auto"/>
              </w:rPr>
              <w:t>Each Credit Event</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78</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75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rPr>
              <w:t>SECTION 4.03</w:t>
            </w:r>
          </w:p>
        </w:tc>
        <w:tc>
          <w:tcPr>
            <w:tcW w:w="4160" w:type="dxa"/>
            <w:vAlign w:val="bottom"/>
            <w:gridSpan w:val="35"/>
          </w:tcPr>
          <w:p>
            <w:pPr>
              <w:ind w:left="40"/>
              <w:spacing w:after="0"/>
              <w:rPr>
                <w:sz w:val="20"/>
                <w:szCs w:val="20"/>
                <w:color w:val="auto"/>
              </w:rPr>
            </w:pPr>
            <w:r>
              <w:rPr>
                <w:rFonts w:ascii="Arial" w:cs="Arial" w:eastAsia="Arial" w:hAnsi="Arial"/>
                <w:sz w:val="20"/>
                <w:szCs w:val="20"/>
                <w:color w:val="auto"/>
                <w:w w:val="97"/>
              </w:rPr>
              <w:t>Initial Credit Event for each Additional Borrower</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79</w:t>
            </w:r>
          </w:p>
        </w:tc>
        <w:tc>
          <w:tcPr>
            <w:tcW w:w="520" w:type="dxa"/>
            <w:vAlign w:val="bottom"/>
            <w:gridSpan w:val="2"/>
          </w:tcPr>
          <w:p>
            <w:pPr>
              <w:jc w:val="right"/>
              <w:ind w:right="320"/>
              <w:spacing w:after="0"/>
              <w:rPr>
                <w:sz w:val="20"/>
                <w:szCs w:val="20"/>
                <w:color w:val="auto"/>
              </w:rPr>
            </w:pPr>
            <w:r>
              <w:rPr>
                <w:rFonts w:ascii="Arial" w:cs="Arial" w:eastAsia="Arial" w:hAnsi="Arial"/>
                <w:sz w:val="20"/>
                <w:szCs w:val="20"/>
                <w:color w:val="0000FF"/>
                <w:w w:val="80"/>
              </w:rPr>
              <w:t>76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020" w:type="dxa"/>
            <w:vAlign w:val="bottom"/>
            <w:gridSpan w:val="13"/>
          </w:tcPr>
          <w:p>
            <w:pPr>
              <w:spacing w:after="0"/>
              <w:rPr>
                <w:sz w:val="20"/>
                <w:szCs w:val="20"/>
                <w:color w:val="auto"/>
              </w:rPr>
            </w:pPr>
            <w:r>
              <w:rPr>
                <w:rFonts w:ascii="Arial" w:cs="Arial" w:eastAsia="Arial" w:hAnsi="Arial"/>
                <w:sz w:val="20"/>
                <w:szCs w:val="20"/>
                <w:color w:val="auto"/>
                <w:w w:val="98"/>
              </w:rPr>
              <w:t>ARTICLE V Affirmative Covenants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79</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71"/>
              </w:rPr>
              <w:t>76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40" w:type="dxa"/>
            <w:vAlign w:val="bottom"/>
          </w:tcPr>
          <w:p>
            <w:pPr>
              <w:ind w:left="260"/>
              <w:spacing w:after="0"/>
              <w:rPr>
                <w:sz w:val="20"/>
                <w:szCs w:val="20"/>
                <w:color w:val="auto"/>
              </w:rPr>
            </w:pPr>
            <w:r>
              <w:rPr>
                <w:rFonts w:ascii="Arial" w:cs="Arial" w:eastAsia="Arial" w:hAnsi="Arial"/>
                <w:sz w:val="20"/>
                <w:szCs w:val="20"/>
                <w:color w:val="auto"/>
              </w:rPr>
              <w:t>SECTION 5.01</w:t>
            </w:r>
          </w:p>
        </w:tc>
        <w:tc>
          <w:tcPr>
            <w:tcW w:w="3760" w:type="dxa"/>
            <w:vAlign w:val="bottom"/>
            <w:gridSpan w:val="33"/>
          </w:tcPr>
          <w:p>
            <w:pPr>
              <w:ind w:left="40"/>
              <w:spacing w:after="0"/>
              <w:rPr>
                <w:sz w:val="20"/>
                <w:szCs w:val="20"/>
                <w:color w:val="auto"/>
              </w:rPr>
            </w:pPr>
            <w:r>
              <w:rPr>
                <w:rFonts w:ascii="Arial" w:cs="Arial" w:eastAsia="Arial" w:hAnsi="Arial"/>
                <w:sz w:val="20"/>
                <w:szCs w:val="20"/>
                <w:color w:val="auto"/>
                <w:w w:val="95"/>
              </w:rPr>
              <w:t>Financial Statements and Other Information</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79</w:t>
            </w:r>
          </w:p>
        </w:tc>
        <w:tc>
          <w:tcPr>
            <w:tcW w:w="920" w:type="dxa"/>
            <w:vAlign w:val="bottom"/>
            <w:gridSpan w:val="4"/>
          </w:tcPr>
          <w:p>
            <w:pPr>
              <w:jc w:val="right"/>
              <w:ind w:right="720"/>
              <w:spacing w:after="0"/>
              <w:rPr>
                <w:sz w:val="20"/>
                <w:szCs w:val="20"/>
                <w:color w:val="auto"/>
              </w:rPr>
            </w:pPr>
            <w:r>
              <w:rPr>
                <w:rFonts w:ascii="Arial" w:cs="Arial" w:eastAsia="Arial" w:hAnsi="Arial"/>
                <w:sz w:val="20"/>
                <w:szCs w:val="20"/>
                <w:color w:val="0000FF"/>
                <w:w w:val="80"/>
              </w:rPr>
              <w:t>76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rPr>
              <w:t>SECTION 5.02</w:t>
            </w:r>
          </w:p>
        </w:tc>
        <w:tc>
          <w:tcPr>
            <w:tcW w:w="2180" w:type="dxa"/>
            <w:vAlign w:val="bottom"/>
            <w:gridSpan w:val="23"/>
          </w:tcPr>
          <w:p>
            <w:pPr>
              <w:ind w:left="40"/>
              <w:spacing w:after="0"/>
              <w:rPr>
                <w:sz w:val="20"/>
                <w:szCs w:val="20"/>
                <w:color w:val="auto"/>
              </w:rPr>
            </w:pPr>
            <w:r>
              <w:rPr>
                <w:rFonts w:ascii="Arial" w:cs="Arial" w:eastAsia="Arial" w:hAnsi="Arial"/>
                <w:sz w:val="20"/>
                <w:szCs w:val="20"/>
                <w:color w:val="auto"/>
                <w:w w:val="91"/>
              </w:rPr>
              <w:t>Notices of Material Events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81</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78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40" w:type="dxa"/>
            <w:vAlign w:val="bottom"/>
          </w:tcPr>
          <w:p>
            <w:pPr>
              <w:ind w:left="260"/>
              <w:spacing w:after="0"/>
              <w:rPr>
                <w:sz w:val="20"/>
                <w:szCs w:val="20"/>
                <w:color w:val="auto"/>
              </w:rPr>
            </w:pPr>
            <w:r>
              <w:rPr>
                <w:rFonts w:ascii="Arial" w:cs="Arial" w:eastAsia="Arial" w:hAnsi="Arial"/>
                <w:sz w:val="20"/>
                <w:szCs w:val="20"/>
                <w:color w:val="auto"/>
              </w:rPr>
              <w:t>SECTION 5.03</w:t>
            </w:r>
          </w:p>
        </w:tc>
        <w:tc>
          <w:tcPr>
            <w:tcW w:w="2580" w:type="dxa"/>
            <w:vAlign w:val="bottom"/>
            <w:gridSpan w:val="26"/>
          </w:tcPr>
          <w:p>
            <w:pPr>
              <w:ind w:left="40"/>
              <w:spacing w:after="0"/>
              <w:rPr>
                <w:sz w:val="20"/>
                <w:szCs w:val="20"/>
                <w:color w:val="auto"/>
              </w:rPr>
            </w:pPr>
            <w:r>
              <w:rPr>
                <w:rFonts w:ascii="Arial" w:cs="Arial" w:eastAsia="Arial" w:hAnsi="Arial"/>
                <w:sz w:val="20"/>
                <w:szCs w:val="20"/>
                <w:color w:val="auto"/>
                <w:w w:val="89"/>
              </w:rPr>
              <w:t>Existence; Conduct of Business</w:t>
            </w:r>
          </w:p>
        </w:tc>
        <w:tc>
          <w:tcPr>
            <w:tcW w:w="3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FF0000"/>
                <w:strike w:val="1"/>
                <w:w w:val="71"/>
              </w:rPr>
              <w:t>81</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rPr>
              <w:t>SECTION 5.04</w:t>
            </w:r>
          </w:p>
        </w:tc>
        <w:tc>
          <w:tcPr>
            <w:tcW w:w="2180" w:type="dxa"/>
            <w:vAlign w:val="bottom"/>
            <w:gridSpan w:val="23"/>
          </w:tcPr>
          <w:p>
            <w:pPr>
              <w:ind w:left="40"/>
              <w:spacing w:after="0"/>
              <w:rPr>
                <w:sz w:val="20"/>
                <w:szCs w:val="20"/>
                <w:color w:val="auto"/>
              </w:rPr>
            </w:pPr>
            <w:r>
              <w:rPr>
                <w:rFonts w:ascii="Arial" w:cs="Arial" w:eastAsia="Arial" w:hAnsi="Arial"/>
                <w:sz w:val="20"/>
                <w:szCs w:val="20"/>
                <w:color w:val="auto"/>
              </w:rPr>
              <w:t>Payment of Obligations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82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rPr>
              <w:t>SECTION 5.05</w:t>
            </w:r>
          </w:p>
        </w:tc>
        <w:tc>
          <w:tcPr>
            <w:tcW w:w="3360" w:type="dxa"/>
            <w:vAlign w:val="bottom"/>
            <w:gridSpan w:val="31"/>
          </w:tcPr>
          <w:p>
            <w:pPr>
              <w:ind w:left="40"/>
              <w:spacing w:after="0"/>
              <w:rPr>
                <w:sz w:val="20"/>
                <w:szCs w:val="20"/>
                <w:color w:val="auto"/>
              </w:rPr>
            </w:pPr>
            <w:r>
              <w:rPr>
                <w:rFonts w:ascii="Arial" w:cs="Arial" w:eastAsia="Arial" w:hAnsi="Arial"/>
                <w:sz w:val="20"/>
                <w:szCs w:val="20"/>
                <w:color w:val="auto"/>
                <w:w w:val="99"/>
              </w:rPr>
              <w:t>Maintenance of Properties; Insurance</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82</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000FF"/>
                <w:w w:val="80"/>
              </w:rPr>
              <w:t>79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rPr>
              <w:t>SECTION 5.06</w:t>
            </w:r>
          </w:p>
        </w:tc>
        <w:tc>
          <w:tcPr>
            <w:tcW w:w="3360" w:type="dxa"/>
            <w:vAlign w:val="bottom"/>
            <w:gridSpan w:val="31"/>
          </w:tcPr>
          <w:p>
            <w:pPr>
              <w:ind w:left="40"/>
              <w:spacing w:after="0"/>
              <w:rPr>
                <w:sz w:val="20"/>
                <w:szCs w:val="20"/>
                <w:color w:val="auto"/>
              </w:rPr>
            </w:pPr>
            <w:r>
              <w:rPr>
                <w:rFonts w:ascii="Arial" w:cs="Arial" w:eastAsia="Arial" w:hAnsi="Arial"/>
                <w:sz w:val="20"/>
                <w:szCs w:val="20"/>
                <w:color w:val="auto"/>
                <w:w w:val="97"/>
              </w:rPr>
              <w:t>Books and Records; Inspection Rights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82</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000FF"/>
                <w:w w:val="80"/>
              </w:rPr>
              <w:t>79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rPr>
              <w:t>SECTION 5.07</w:t>
            </w:r>
          </w:p>
        </w:tc>
        <w:tc>
          <w:tcPr>
            <w:tcW w:w="2180" w:type="dxa"/>
            <w:vAlign w:val="bottom"/>
            <w:gridSpan w:val="23"/>
          </w:tcPr>
          <w:p>
            <w:pPr>
              <w:ind w:left="40"/>
              <w:spacing w:after="0"/>
              <w:rPr>
                <w:sz w:val="20"/>
                <w:szCs w:val="20"/>
                <w:color w:val="auto"/>
              </w:rPr>
            </w:pPr>
            <w:r>
              <w:rPr>
                <w:rFonts w:ascii="Arial" w:cs="Arial" w:eastAsia="Arial" w:hAnsi="Arial"/>
                <w:sz w:val="20"/>
                <w:szCs w:val="20"/>
                <w:color w:val="auto"/>
              </w:rPr>
              <w:t>Compliance with Laws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82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40" w:type="dxa"/>
            <w:vAlign w:val="bottom"/>
          </w:tcPr>
          <w:p>
            <w:pPr>
              <w:ind w:left="260"/>
              <w:spacing w:after="0"/>
              <w:rPr>
                <w:sz w:val="20"/>
                <w:szCs w:val="20"/>
                <w:color w:val="auto"/>
              </w:rPr>
            </w:pPr>
            <w:r>
              <w:rPr>
                <w:rFonts w:ascii="Arial" w:cs="Arial" w:eastAsia="Arial" w:hAnsi="Arial"/>
                <w:sz w:val="20"/>
                <w:szCs w:val="20"/>
                <w:color w:val="auto"/>
              </w:rPr>
              <w:t>SECTION 5.08</w:t>
            </w:r>
          </w:p>
        </w:tc>
        <w:tc>
          <w:tcPr>
            <w:tcW w:w="1380" w:type="dxa"/>
            <w:vAlign w:val="bottom"/>
            <w:gridSpan w:val="12"/>
          </w:tcPr>
          <w:p>
            <w:pPr>
              <w:ind w:left="40"/>
              <w:spacing w:after="0"/>
              <w:rPr>
                <w:sz w:val="20"/>
                <w:szCs w:val="20"/>
                <w:color w:val="auto"/>
              </w:rPr>
            </w:pPr>
            <w:r>
              <w:rPr>
                <w:rFonts w:ascii="Arial" w:cs="Arial" w:eastAsia="Arial" w:hAnsi="Arial"/>
                <w:sz w:val="20"/>
                <w:szCs w:val="20"/>
                <w:color w:val="auto"/>
                <w:w w:val="89"/>
              </w:rPr>
              <w:t>Use of Proceeds</w:t>
            </w:r>
          </w:p>
        </w:tc>
        <w:tc>
          <w:tcPr>
            <w:tcW w:w="200" w:type="dxa"/>
            <w:vAlign w:val="bottom"/>
            <w:gridSpan w:val="3"/>
          </w:tcPr>
          <w:p>
            <w:pPr>
              <w:spacing w:after="0"/>
              <w:rPr>
                <w:sz w:val="20"/>
                <w:szCs w:val="20"/>
                <w:color w:val="auto"/>
              </w:rPr>
            </w:pPr>
            <w:r>
              <w:rPr>
                <w:rFonts w:ascii="Arial" w:cs="Arial" w:eastAsia="Arial" w:hAnsi="Arial"/>
                <w:sz w:val="20"/>
                <w:szCs w:val="20"/>
                <w:color w:val="FF0000"/>
                <w:strike w:val="1"/>
                <w:w w:val="80"/>
              </w:rPr>
              <w:t>83</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80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780" w:type="dxa"/>
            <w:vAlign w:val="bottom"/>
            <w:gridSpan w:val="9"/>
          </w:tcPr>
          <w:p>
            <w:pPr>
              <w:spacing w:after="0"/>
              <w:rPr>
                <w:sz w:val="20"/>
                <w:szCs w:val="20"/>
                <w:color w:val="auto"/>
              </w:rPr>
            </w:pPr>
            <w:r>
              <w:rPr>
                <w:rFonts w:ascii="Arial" w:cs="Arial" w:eastAsia="Arial" w:hAnsi="Arial"/>
                <w:sz w:val="20"/>
                <w:szCs w:val="20"/>
                <w:color w:val="auto"/>
                <w:w w:val="93"/>
              </w:rPr>
              <w:t>ARTICLE VI Negative Covenants</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83</w:t>
            </w:r>
          </w:p>
        </w:tc>
        <w:tc>
          <w:tcPr>
            <w:tcW w:w="340" w:type="dxa"/>
            <w:vAlign w:val="bottom"/>
            <w:gridSpan w:val="5"/>
          </w:tcPr>
          <w:p>
            <w:pPr>
              <w:jc w:val="right"/>
              <w:ind w:right="41"/>
              <w:spacing w:after="0"/>
              <w:rPr>
                <w:sz w:val="20"/>
                <w:szCs w:val="20"/>
                <w:color w:val="auto"/>
              </w:rPr>
            </w:pPr>
            <w:r>
              <w:rPr>
                <w:rFonts w:ascii="Arial" w:cs="Arial" w:eastAsia="Arial" w:hAnsi="Arial"/>
                <w:sz w:val="20"/>
                <w:szCs w:val="20"/>
                <w:color w:val="0000FF"/>
                <w:w w:val="80"/>
              </w:rPr>
              <w:t>80</w:t>
            </w:r>
          </w:p>
        </w:tc>
        <w:tc>
          <w:tcPr>
            <w:tcW w:w="1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40" w:type="dxa"/>
            <w:vAlign w:val="bottom"/>
          </w:tcPr>
          <w:p>
            <w:pPr>
              <w:ind w:left="260"/>
              <w:spacing w:after="0"/>
              <w:rPr>
                <w:sz w:val="20"/>
                <w:szCs w:val="20"/>
                <w:color w:val="auto"/>
              </w:rPr>
            </w:pPr>
            <w:r>
              <w:rPr>
                <w:rFonts w:ascii="Arial" w:cs="Arial" w:eastAsia="Arial" w:hAnsi="Arial"/>
                <w:sz w:val="20"/>
                <w:szCs w:val="20"/>
                <w:color w:val="auto"/>
              </w:rPr>
              <w:t>SECTION 6.01</w:t>
            </w:r>
          </w:p>
        </w:tc>
        <w:tc>
          <w:tcPr>
            <w:tcW w:w="600" w:type="dxa"/>
            <w:vAlign w:val="bottom"/>
            <w:gridSpan w:val="3"/>
          </w:tcPr>
          <w:p>
            <w:pPr>
              <w:ind w:left="40"/>
              <w:spacing w:after="0"/>
              <w:rPr>
                <w:sz w:val="20"/>
                <w:szCs w:val="20"/>
                <w:color w:val="auto"/>
              </w:rPr>
            </w:pPr>
            <w:r>
              <w:rPr>
                <w:rFonts w:ascii="Arial" w:cs="Arial" w:eastAsia="Arial" w:hAnsi="Arial"/>
                <w:sz w:val="20"/>
                <w:szCs w:val="20"/>
                <w:color w:val="auto"/>
              </w:rPr>
              <w:t>Liens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83</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80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rPr>
              <w:t>SECTION 6.02</w:t>
            </w:r>
          </w:p>
        </w:tc>
        <w:tc>
          <w:tcPr>
            <w:tcW w:w="2180" w:type="dxa"/>
            <w:vAlign w:val="bottom"/>
            <w:gridSpan w:val="23"/>
          </w:tcPr>
          <w:p>
            <w:pPr>
              <w:ind w:left="40"/>
              <w:spacing w:after="0"/>
              <w:rPr>
                <w:sz w:val="20"/>
                <w:szCs w:val="20"/>
                <w:color w:val="auto"/>
              </w:rPr>
            </w:pPr>
            <w:r>
              <w:rPr>
                <w:rFonts w:ascii="Arial" w:cs="Arial" w:eastAsia="Arial" w:hAnsi="Arial"/>
                <w:sz w:val="20"/>
                <w:szCs w:val="20"/>
                <w:color w:val="auto"/>
              </w:rPr>
              <w:t>Fundamental Changes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84</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rPr>
              <w:t>SECTION 6.03</w:t>
            </w:r>
          </w:p>
        </w:tc>
        <w:tc>
          <w:tcPr>
            <w:tcW w:w="4880" w:type="dxa"/>
            <w:vAlign w:val="bottom"/>
            <w:gridSpan w:val="38"/>
          </w:tcPr>
          <w:p>
            <w:pPr>
              <w:ind w:left="40"/>
              <w:spacing w:after="0"/>
              <w:rPr>
                <w:sz w:val="20"/>
                <w:szCs w:val="20"/>
                <w:color w:val="auto"/>
              </w:rPr>
            </w:pPr>
            <w:r>
              <w:rPr>
                <w:rFonts w:ascii="Arial" w:cs="Arial" w:eastAsia="Arial" w:hAnsi="Arial"/>
                <w:sz w:val="20"/>
                <w:szCs w:val="20"/>
                <w:color w:val="auto"/>
                <w:w w:val="89"/>
              </w:rPr>
              <w:t>Investments, Loans, Advances, Guarantees and Acquisitions</w:t>
            </w:r>
          </w:p>
        </w:tc>
        <w:tc>
          <w:tcPr>
            <w:tcW w:w="260" w:type="dxa"/>
            <w:vAlign w:val="bottom"/>
          </w:tcPr>
          <w:p>
            <w:pPr>
              <w:ind w:left="60"/>
              <w:spacing w:after="0"/>
              <w:rPr>
                <w:sz w:val="20"/>
                <w:szCs w:val="20"/>
                <w:color w:val="auto"/>
              </w:rPr>
            </w:pPr>
            <w:r>
              <w:rPr>
                <w:rFonts w:ascii="Arial" w:cs="Arial" w:eastAsia="Arial" w:hAnsi="Arial"/>
                <w:sz w:val="20"/>
                <w:szCs w:val="20"/>
                <w:color w:val="FF0000"/>
                <w:strike w:val="1"/>
                <w:w w:val="80"/>
              </w:rPr>
              <w:t>85</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82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40" w:type="dxa"/>
            <w:vAlign w:val="bottom"/>
          </w:tcPr>
          <w:p>
            <w:pPr>
              <w:ind w:left="260"/>
              <w:spacing w:after="0"/>
              <w:rPr>
                <w:sz w:val="20"/>
                <w:szCs w:val="20"/>
                <w:color w:val="auto"/>
              </w:rPr>
            </w:pPr>
            <w:r>
              <w:rPr>
                <w:rFonts w:ascii="Arial" w:cs="Arial" w:eastAsia="Arial" w:hAnsi="Arial"/>
                <w:sz w:val="20"/>
                <w:szCs w:val="20"/>
                <w:color w:val="auto"/>
              </w:rPr>
              <w:t>SECTION 6.04</w:t>
            </w:r>
          </w:p>
        </w:tc>
        <w:tc>
          <w:tcPr>
            <w:tcW w:w="2580" w:type="dxa"/>
            <w:vAlign w:val="bottom"/>
            <w:gridSpan w:val="26"/>
          </w:tcPr>
          <w:p>
            <w:pPr>
              <w:ind w:left="40"/>
              <w:spacing w:after="0"/>
              <w:rPr>
                <w:sz w:val="20"/>
                <w:szCs w:val="20"/>
                <w:color w:val="auto"/>
              </w:rPr>
            </w:pPr>
            <w:r>
              <w:rPr>
                <w:rFonts w:ascii="Arial" w:cs="Arial" w:eastAsia="Arial" w:hAnsi="Arial"/>
                <w:sz w:val="20"/>
                <w:szCs w:val="20"/>
                <w:color w:val="auto"/>
              </w:rPr>
              <w:t>Transactions with Affiliates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85</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82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rPr>
              <w:t>SECTION 6.05</w:t>
            </w:r>
          </w:p>
        </w:tc>
        <w:tc>
          <w:tcPr>
            <w:tcW w:w="1780" w:type="dxa"/>
            <w:vAlign w:val="bottom"/>
            <w:gridSpan w:val="18"/>
          </w:tcPr>
          <w:p>
            <w:pPr>
              <w:ind w:left="40"/>
              <w:spacing w:after="0"/>
              <w:rPr>
                <w:sz w:val="20"/>
                <w:szCs w:val="20"/>
                <w:color w:val="auto"/>
              </w:rPr>
            </w:pPr>
            <w:r>
              <w:rPr>
                <w:rFonts w:ascii="Arial" w:cs="Arial" w:eastAsia="Arial" w:hAnsi="Arial"/>
                <w:sz w:val="20"/>
                <w:szCs w:val="20"/>
                <w:color w:val="auto"/>
              </w:rPr>
              <w:t>Financial Covenant</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85</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82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rPr>
              <w:t>SECTION 6.06</w:t>
            </w:r>
          </w:p>
        </w:tc>
        <w:tc>
          <w:tcPr>
            <w:tcW w:w="2180" w:type="dxa"/>
            <w:vAlign w:val="bottom"/>
            <w:gridSpan w:val="23"/>
          </w:tcPr>
          <w:p>
            <w:pPr>
              <w:ind w:left="40"/>
              <w:spacing w:after="0"/>
              <w:rPr>
                <w:sz w:val="20"/>
                <w:szCs w:val="20"/>
                <w:color w:val="auto"/>
              </w:rPr>
            </w:pPr>
            <w:r>
              <w:rPr>
                <w:rFonts w:ascii="Arial" w:cs="Arial" w:eastAsia="Arial" w:hAnsi="Arial"/>
                <w:sz w:val="20"/>
                <w:szCs w:val="20"/>
                <w:color w:val="auto"/>
                <w:w w:val="96"/>
              </w:rPr>
              <w:t>Organization Documents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85</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40" w:type="dxa"/>
            <w:vAlign w:val="bottom"/>
          </w:tcPr>
          <w:p>
            <w:pPr>
              <w:ind w:left="260"/>
              <w:spacing w:after="0"/>
              <w:rPr>
                <w:sz w:val="20"/>
                <w:szCs w:val="20"/>
                <w:color w:val="auto"/>
              </w:rPr>
            </w:pPr>
            <w:r>
              <w:rPr>
                <w:rFonts w:ascii="Arial" w:cs="Arial" w:eastAsia="Arial" w:hAnsi="Arial"/>
                <w:sz w:val="20"/>
                <w:szCs w:val="20"/>
                <w:color w:val="auto"/>
              </w:rPr>
              <w:t>SECTION 6.07</w:t>
            </w:r>
          </w:p>
        </w:tc>
        <w:tc>
          <w:tcPr>
            <w:tcW w:w="1380" w:type="dxa"/>
            <w:vAlign w:val="bottom"/>
            <w:gridSpan w:val="12"/>
          </w:tcPr>
          <w:p>
            <w:pPr>
              <w:ind w:left="40"/>
              <w:spacing w:after="0"/>
              <w:rPr>
                <w:sz w:val="20"/>
                <w:szCs w:val="20"/>
                <w:color w:val="auto"/>
              </w:rPr>
            </w:pPr>
            <w:r>
              <w:rPr>
                <w:rFonts w:ascii="Arial" w:cs="Arial" w:eastAsia="Arial" w:hAnsi="Arial"/>
                <w:sz w:val="20"/>
                <w:szCs w:val="20"/>
                <w:color w:val="auto"/>
                <w:w w:val="89"/>
              </w:rPr>
              <w:t>Use of Proceeds</w:t>
            </w:r>
          </w:p>
        </w:tc>
        <w:tc>
          <w:tcPr>
            <w:tcW w:w="200" w:type="dxa"/>
            <w:vAlign w:val="bottom"/>
            <w:gridSpan w:val="3"/>
          </w:tcPr>
          <w:p>
            <w:pPr>
              <w:spacing w:after="0"/>
              <w:rPr>
                <w:sz w:val="20"/>
                <w:szCs w:val="20"/>
                <w:color w:val="auto"/>
              </w:rPr>
            </w:pPr>
            <w:r>
              <w:rPr>
                <w:rFonts w:ascii="Arial" w:cs="Arial" w:eastAsia="Arial" w:hAnsi="Arial"/>
                <w:sz w:val="20"/>
                <w:szCs w:val="20"/>
                <w:color w:val="FF0000"/>
                <w:strike w:val="1"/>
                <w:w w:val="80"/>
              </w:rPr>
              <w:t>85</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82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rPr>
              <w:t>SECTION 6.08</w:t>
            </w:r>
          </w:p>
        </w:tc>
        <w:tc>
          <w:tcPr>
            <w:tcW w:w="2180" w:type="dxa"/>
            <w:vAlign w:val="bottom"/>
            <w:gridSpan w:val="23"/>
          </w:tcPr>
          <w:p>
            <w:pPr>
              <w:ind w:left="40"/>
              <w:spacing w:after="0"/>
              <w:rPr>
                <w:sz w:val="20"/>
                <w:szCs w:val="20"/>
                <w:color w:val="auto"/>
              </w:rPr>
            </w:pPr>
            <w:r>
              <w:rPr>
                <w:rFonts w:ascii="Arial" w:cs="Arial" w:eastAsia="Arial" w:hAnsi="Arial"/>
                <w:sz w:val="20"/>
                <w:szCs w:val="20"/>
                <w:color w:val="auto"/>
                <w:w w:val="96"/>
              </w:rPr>
              <w:t>Subsidiary Indebtedness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86</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780" w:type="dxa"/>
            <w:vAlign w:val="bottom"/>
            <w:gridSpan w:val="9"/>
          </w:tcPr>
          <w:p>
            <w:pPr>
              <w:spacing w:after="0"/>
              <w:rPr>
                <w:sz w:val="20"/>
                <w:szCs w:val="20"/>
                <w:color w:val="auto"/>
              </w:rPr>
            </w:pPr>
            <w:r>
              <w:rPr>
                <w:rFonts w:ascii="Arial" w:cs="Arial" w:eastAsia="Arial" w:hAnsi="Arial"/>
                <w:sz w:val="20"/>
                <w:szCs w:val="20"/>
                <w:color w:val="auto"/>
              </w:rPr>
              <w:t>ARTICLE VII Events of Default</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86</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83</w:t>
            </w:r>
          </w:p>
        </w:tc>
        <w:tc>
          <w:tcPr>
            <w:tcW w:w="14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420" w:type="dxa"/>
            <w:vAlign w:val="bottom"/>
            <w:gridSpan w:val="19"/>
          </w:tcPr>
          <w:p>
            <w:pPr>
              <w:spacing w:after="0"/>
              <w:rPr>
                <w:sz w:val="20"/>
                <w:szCs w:val="20"/>
                <w:color w:val="auto"/>
              </w:rPr>
            </w:pPr>
            <w:r>
              <w:rPr>
                <w:rFonts w:ascii="Arial" w:cs="Arial" w:eastAsia="Arial" w:hAnsi="Arial"/>
                <w:sz w:val="20"/>
                <w:szCs w:val="20"/>
                <w:color w:val="auto"/>
                <w:w w:val="97"/>
              </w:rPr>
              <w:t>ARTICLE VIII The Administrative Agent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88</w:t>
            </w:r>
          </w:p>
        </w:tc>
        <w:tc>
          <w:tcPr>
            <w:tcW w:w="260" w:type="dxa"/>
            <w:vAlign w:val="bottom"/>
            <w:gridSpan w:val="3"/>
          </w:tcPr>
          <w:p>
            <w:pPr>
              <w:jc w:val="right"/>
              <w:ind w:right="60"/>
              <w:spacing w:after="0"/>
              <w:rPr>
                <w:sz w:val="20"/>
                <w:szCs w:val="20"/>
                <w:color w:val="auto"/>
              </w:rPr>
            </w:pPr>
            <w:r>
              <w:rPr>
                <w:rFonts w:ascii="Arial" w:cs="Arial" w:eastAsia="Arial" w:hAnsi="Arial"/>
                <w:sz w:val="20"/>
                <w:szCs w:val="20"/>
                <w:color w:val="0000FF"/>
                <w:w w:val="80"/>
              </w:rPr>
              <w:t>85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980" w:type="dxa"/>
            <w:vAlign w:val="bottom"/>
            <w:gridSpan w:val="2"/>
          </w:tcPr>
          <w:p>
            <w:pPr>
              <w:spacing w:after="0"/>
              <w:rPr>
                <w:sz w:val="20"/>
                <w:szCs w:val="20"/>
                <w:color w:val="auto"/>
              </w:rPr>
            </w:pPr>
            <w:r>
              <w:rPr>
                <w:rFonts w:ascii="Arial" w:cs="Arial" w:eastAsia="Arial" w:hAnsi="Arial"/>
                <w:sz w:val="20"/>
                <w:szCs w:val="20"/>
                <w:color w:val="auto"/>
                <w:w w:val="99"/>
              </w:rPr>
              <w:t>ARTICLE IX Guaranty</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91</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88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380" w:type="dxa"/>
            <w:vAlign w:val="bottom"/>
            <w:gridSpan w:val="5"/>
          </w:tcPr>
          <w:p>
            <w:pPr>
              <w:spacing w:after="0"/>
              <w:rPr>
                <w:sz w:val="20"/>
                <w:szCs w:val="20"/>
                <w:color w:val="auto"/>
              </w:rPr>
            </w:pPr>
            <w:r>
              <w:rPr>
                <w:rFonts w:ascii="Arial" w:cs="Arial" w:eastAsia="Arial" w:hAnsi="Arial"/>
                <w:sz w:val="20"/>
                <w:szCs w:val="20"/>
                <w:color w:val="auto"/>
              </w:rPr>
              <w:t>ARTICLE X Miscellaneous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92</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89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40" w:type="dxa"/>
            <w:vAlign w:val="bottom"/>
          </w:tcPr>
          <w:p>
            <w:pPr>
              <w:ind w:left="260"/>
              <w:spacing w:after="0"/>
              <w:rPr>
                <w:sz w:val="20"/>
                <w:szCs w:val="20"/>
                <w:color w:val="auto"/>
              </w:rPr>
            </w:pPr>
            <w:r>
              <w:rPr>
                <w:rFonts w:ascii="Arial" w:cs="Arial" w:eastAsia="Arial" w:hAnsi="Arial"/>
                <w:sz w:val="20"/>
                <w:szCs w:val="20"/>
                <w:color w:val="auto"/>
                <w:w w:val="94"/>
              </w:rPr>
              <w:t>SECTION 10.01</w:t>
            </w:r>
          </w:p>
        </w:tc>
        <w:tc>
          <w:tcPr>
            <w:tcW w:w="740" w:type="dxa"/>
            <w:vAlign w:val="bottom"/>
            <w:gridSpan w:val="4"/>
          </w:tcPr>
          <w:p>
            <w:pPr>
              <w:ind w:left="40"/>
              <w:spacing w:after="0"/>
              <w:rPr>
                <w:sz w:val="20"/>
                <w:szCs w:val="20"/>
                <w:color w:val="auto"/>
              </w:rPr>
            </w:pPr>
            <w:r>
              <w:rPr>
                <w:rFonts w:ascii="Arial" w:cs="Arial" w:eastAsia="Arial" w:hAnsi="Arial"/>
                <w:sz w:val="20"/>
                <w:szCs w:val="20"/>
                <w:color w:val="auto"/>
              </w:rPr>
              <w:t>Notices</w:t>
            </w:r>
          </w:p>
        </w:tc>
        <w:tc>
          <w:tcPr>
            <w:tcW w:w="260" w:type="dxa"/>
            <w:vAlign w:val="bottom"/>
            <w:gridSpan w:val="3"/>
          </w:tcPr>
          <w:p>
            <w:pPr>
              <w:spacing w:after="0"/>
              <w:rPr>
                <w:sz w:val="24"/>
                <w:szCs w:val="24"/>
                <w:color w:val="auto"/>
              </w:rPr>
            </w:pPr>
          </w:p>
        </w:tc>
        <w:tc>
          <w:tcPr>
            <w:tcW w:w="200" w:type="dxa"/>
            <w:vAlign w:val="bottom"/>
            <w:gridSpan w:val="2"/>
          </w:tcPr>
          <w:p>
            <w:pPr>
              <w:spacing w:after="0"/>
              <w:rPr>
                <w:sz w:val="20"/>
                <w:szCs w:val="20"/>
                <w:color w:val="auto"/>
              </w:rPr>
            </w:pPr>
            <w:r>
              <w:rPr>
                <w:rFonts w:ascii="Arial" w:cs="Arial" w:eastAsia="Arial" w:hAnsi="Arial"/>
                <w:sz w:val="20"/>
                <w:szCs w:val="20"/>
                <w:color w:val="FF0000"/>
                <w:strike w:val="1"/>
                <w:w w:val="80"/>
              </w:rPr>
              <w:t>92</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71"/>
              </w:rPr>
              <w:t>89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w w:val="94"/>
              </w:rPr>
              <w:t>SECTION 10.02</w:t>
            </w:r>
          </w:p>
        </w:tc>
        <w:tc>
          <w:tcPr>
            <w:tcW w:w="2180" w:type="dxa"/>
            <w:vAlign w:val="bottom"/>
            <w:gridSpan w:val="23"/>
          </w:tcPr>
          <w:p>
            <w:pPr>
              <w:ind w:left="40"/>
              <w:spacing w:after="0"/>
              <w:rPr>
                <w:sz w:val="20"/>
                <w:szCs w:val="20"/>
                <w:color w:val="auto"/>
              </w:rPr>
            </w:pPr>
            <w:r>
              <w:rPr>
                <w:rFonts w:ascii="Arial" w:cs="Arial" w:eastAsia="Arial" w:hAnsi="Arial"/>
                <w:sz w:val="20"/>
                <w:szCs w:val="20"/>
                <w:color w:val="auto"/>
              </w:rPr>
              <w:t>Waivers; Amendments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95</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40" w:type="dxa"/>
            <w:vAlign w:val="bottom"/>
          </w:tcPr>
          <w:p>
            <w:pPr>
              <w:ind w:left="260"/>
              <w:spacing w:after="0"/>
              <w:rPr>
                <w:sz w:val="20"/>
                <w:szCs w:val="20"/>
                <w:color w:val="auto"/>
              </w:rPr>
            </w:pPr>
            <w:r>
              <w:rPr>
                <w:rFonts w:ascii="Arial" w:cs="Arial" w:eastAsia="Arial" w:hAnsi="Arial"/>
                <w:sz w:val="20"/>
                <w:szCs w:val="20"/>
                <w:color w:val="auto"/>
                <w:w w:val="94"/>
              </w:rPr>
              <w:t>SECTION 10.03</w:t>
            </w:r>
          </w:p>
        </w:tc>
        <w:tc>
          <w:tcPr>
            <w:tcW w:w="3360" w:type="dxa"/>
            <w:vAlign w:val="bottom"/>
            <w:gridSpan w:val="31"/>
          </w:tcPr>
          <w:p>
            <w:pPr>
              <w:ind w:left="40"/>
              <w:spacing w:after="0"/>
              <w:rPr>
                <w:sz w:val="20"/>
                <w:szCs w:val="20"/>
                <w:color w:val="auto"/>
              </w:rPr>
            </w:pPr>
            <w:r>
              <w:rPr>
                <w:rFonts w:ascii="Arial" w:cs="Arial" w:eastAsia="Arial" w:hAnsi="Arial"/>
                <w:sz w:val="20"/>
                <w:szCs w:val="20"/>
                <w:color w:val="auto"/>
                <w:w w:val="97"/>
              </w:rPr>
              <w:t>Expenses; Indemnity; Damage Waiver</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96</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000FF"/>
                <w:w w:val="80"/>
              </w:rPr>
              <w:t>93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w w:val="94"/>
              </w:rPr>
              <w:t>SECTION 10.04</w:t>
            </w:r>
          </w:p>
        </w:tc>
        <w:tc>
          <w:tcPr>
            <w:tcW w:w="2180" w:type="dxa"/>
            <w:vAlign w:val="bottom"/>
            <w:gridSpan w:val="23"/>
          </w:tcPr>
          <w:p>
            <w:pPr>
              <w:ind w:left="40"/>
              <w:spacing w:after="0"/>
              <w:rPr>
                <w:sz w:val="20"/>
                <w:szCs w:val="20"/>
                <w:color w:val="auto"/>
              </w:rPr>
            </w:pPr>
            <w:r>
              <w:rPr>
                <w:rFonts w:ascii="Arial" w:cs="Arial" w:eastAsia="Arial" w:hAnsi="Arial"/>
                <w:sz w:val="20"/>
                <w:szCs w:val="20"/>
                <w:color w:val="auto"/>
                <w:w w:val="97"/>
              </w:rPr>
              <w:t>Successors and Assigns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98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w w:val="94"/>
              </w:rPr>
              <w:t>SECTION 10.05</w:t>
            </w:r>
          </w:p>
        </w:tc>
        <w:tc>
          <w:tcPr>
            <w:tcW w:w="740" w:type="dxa"/>
            <w:vAlign w:val="bottom"/>
            <w:gridSpan w:val="4"/>
          </w:tcPr>
          <w:p>
            <w:pPr>
              <w:ind w:left="40"/>
              <w:spacing w:after="0"/>
              <w:rPr>
                <w:sz w:val="20"/>
                <w:szCs w:val="20"/>
                <w:color w:val="auto"/>
              </w:rPr>
            </w:pPr>
            <w:r>
              <w:rPr>
                <w:rFonts w:ascii="Arial" w:cs="Arial" w:eastAsia="Arial" w:hAnsi="Arial"/>
                <w:sz w:val="20"/>
                <w:szCs w:val="20"/>
                <w:color w:val="auto"/>
                <w:w w:val="95"/>
              </w:rPr>
              <w:t>Survival</w:t>
            </w:r>
          </w:p>
        </w:tc>
        <w:tc>
          <w:tcPr>
            <w:tcW w:w="260" w:type="dxa"/>
            <w:vAlign w:val="bottom"/>
            <w:gridSpan w:val="3"/>
          </w:tcPr>
          <w:p>
            <w:pPr>
              <w:spacing w:after="0"/>
              <w:rPr>
                <w:sz w:val="20"/>
                <w:szCs w:val="20"/>
                <w:color w:val="auto"/>
              </w:rPr>
            </w:pPr>
          </w:p>
        </w:tc>
        <w:tc>
          <w:tcPr>
            <w:tcW w:w="280" w:type="dxa"/>
            <w:vAlign w:val="bottom"/>
            <w:gridSpan w:val="3"/>
          </w:tcPr>
          <w:p>
            <w:pPr>
              <w:spacing w:after="0"/>
              <w:rPr>
                <w:sz w:val="20"/>
                <w:szCs w:val="20"/>
                <w:color w:val="auto"/>
              </w:rPr>
            </w:pPr>
            <w:r>
              <w:rPr>
                <w:rFonts w:ascii="Arial" w:cs="Arial" w:eastAsia="Arial" w:hAnsi="Arial"/>
                <w:sz w:val="20"/>
                <w:szCs w:val="20"/>
                <w:color w:val="FF0000"/>
                <w:strike w:val="1"/>
                <w:w w:val="77"/>
              </w:rPr>
              <w:t>101</w:t>
            </w:r>
          </w:p>
        </w:tc>
        <w:tc>
          <w:tcPr>
            <w:tcW w:w="260" w:type="dxa"/>
            <w:vAlign w:val="bottom"/>
            <w:gridSpan w:val="4"/>
          </w:tcPr>
          <w:p>
            <w:pPr>
              <w:jc w:val="right"/>
              <w:ind w:right="60"/>
              <w:spacing w:after="0"/>
              <w:rPr>
                <w:sz w:val="20"/>
                <w:szCs w:val="20"/>
                <w:color w:val="auto"/>
              </w:rPr>
            </w:pPr>
            <w:r>
              <w:rPr>
                <w:rFonts w:ascii="Arial" w:cs="Arial" w:eastAsia="Arial" w:hAnsi="Arial"/>
                <w:sz w:val="20"/>
                <w:szCs w:val="20"/>
                <w:color w:val="0000FF"/>
                <w:w w:val="80"/>
              </w:rPr>
              <w:t>98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80" w:type="dxa"/>
            <w:vAlign w:val="bottom"/>
            <w:gridSpan w:val="10"/>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236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40" w:type="dxa"/>
            <w:vAlign w:val="bottom"/>
          </w:tcPr>
          <w:p>
            <w:pPr>
              <w:ind w:left="260"/>
              <w:spacing w:after="0"/>
              <w:rPr>
                <w:sz w:val="20"/>
                <w:szCs w:val="20"/>
                <w:color w:val="auto"/>
              </w:rPr>
            </w:pPr>
            <w:r>
              <w:rPr>
                <w:rFonts w:ascii="Arial" w:cs="Arial" w:eastAsia="Arial" w:hAnsi="Arial"/>
                <w:sz w:val="20"/>
                <w:szCs w:val="20"/>
                <w:color w:val="auto"/>
                <w:w w:val="94"/>
              </w:rPr>
              <w:t>SECTION 10.06</w:t>
            </w:r>
          </w:p>
        </w:tc>
        <w:tc>
          <w:tcPr>
            <w:tcW w:w="5340" w:type="dxa"/>
            <w:vAlign w:val="bottom"/>
            <w:gridSpan w:val="41"/>
          </w:tcPr>
          <w:p>
            <w:pPr>
              <w:ind w:left="40"/>
              <w:spacing w:after="0"/>
              <w:rPr>
                <w:sz w:val="20"/>
                <w:szCs w:val="20"/>
                <w:color w:val="auto"/>
              </w:rPr>
            </w:pPr>
            <w:r>
              <w:rPr>
                <w:rFonts w:ascii="Arial" w:cs="Arial" w:eastAsia="Arial" w:hAnsi="Arial"/>
                <w:sz w:val="20"/>
                <w:szCs w:val="20"/>
                <w:color w:val="auto"/>
                <w:w w:val="97"/>
              </w:rPr>
              <w:t>Counterparts; Integration; Effectiveness; Electronic Execution</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101</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98</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40" w:type="dxa"/>
            <w:vAlign w:val="bottom"/>
          </w:tcPr>
          <w:p>
            <w:pPr>
              <w:ind w:left="260"/>
              <w:spacing w:after="0"/>
              <w:rPr>
                <w:sz w:val="20"/>
                <w:szCs w:val="20"/>
                <w:color w:val="auto"/>
              </w:rPr>
            </w:pPr>
            <w:r>
              <w:rPr>
                <w:rFonts w:ascii="Arial" w:cs="Arial" w:eastAsia="Arial" w:hAnsi="Arial"/>
                <w:sz w:val="20"/>
                <w:szCs w:val="20"/>
                <w:color w:val="auto"/>
                <w:w w:val="94"/>
              </w:rPr>
              <w:t>SECTION 10.07</w:t>
            </w:r>
          </w:p>
        </w:tc>
        <w:tc>
          <w:tcPr>
            <w:tcW w:w="1380" w:type="dxa"/>
            <w:vAlign w:val="bottom"/>
            <w:gridSpan w:val="12"/>
          </w:tcPr>
          <w:p>
            <w:pPr>
              <w:ind w:left="40"/>
              <w:spacing w:after="0"/>
              <w:rPr>
                <w:sz w:val="20"/>
                <w:szCs w:val="20"/>
                <w:color w:val="auto"/>
              </w:rPr>
            </w:pPr>
            <w:r>
              <w:rPr>
                <w:rFonts w:ascii="Arial" w:cs="Arial" w:eastAsia="Arial" w:hAnsi="Arial"/>
                <w:sz w:val="20"/>
                <w:szCs w:val="20"/>
                <w:color w:val="auto"/>
              </w:rPr>
              <w:t>Severability</w:t>
            </w:r>
          </w:p>
        </w:tc>
        <w:tc>
          <w:tcPr>
            <w:tcW w:w="300" w:type="dxa"/>
            <w:vAlign w:val="bottom"/>
            <w:gridSpan w:val="4"/>
          </w:tcPr>
          <w:p>
            <w:pPr>
              <w:spacing w:after="0"/>
              <w:rPr>
                <w:sz w:val="20"/>
                <w:szCs w:val="20"/>
                <w:color w:val="auto"/>
              </w:rPr>
            </w:pPr>
            <w:r>
              <w:rPr>
                <w:rFonts w:ascii="Arial" w:cs="Arial" w:eastAsia="Arial" w:hAnsi="Arial"/>
                <w:sz w:val="20"/>
                <w:szCs w:val="20"/>
                <w:color w:val="FF0000"/>
                <w:strike w:val="1"/>
                <w:w w:val="83"/>
              </w:rPr>
              <w:t>102</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99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60"/>
              <w:spacing w:after="0"/>
              <w:rPr>
                <w:sz w:val="20"/>
                <w:szCs w:val="20"/>
                <w:color w:val="auto"/>
              </w:rPr>
            </w:pPr>
            <w:r>
              <w:rPr>
                <w:rFonts w:ascii="Arial" w:cs="Arial" w:eastAsia="Arial" w:hAnsi="Arial"/>
                <w:sz w:val="20"/>
                <w:szCs w:val="20"/>
                <w:color w:val="auto"/>
                <w:w w:val="94"/>
              </w:rPr>
              <w:t>SECTION 10.08</w:t>
            </w:r>
          </w:p>
        </w:tc>
        <w:tc>
          <w:tcPr>
            <w:tcW w:w="1380" w:type="dxa"/>
            <w:vAlign w:val="bottom"/>
            <w:gridSpan w:val="12"/>
          </w:tcPr>
          <w:p>
            <w:pPr>
              <w:ind w:left="40"/>
              <w:spacing w:after="0"/>
              <w:rPr>
                <w:sz w:val="20"/>
                <w:szCs w:val="20"/>
                <w:color w:val="auto"/>
              </w:rPr>
            </w:pPr>
            <w:r>
              <w:rPr>
                <w:rFonts w:ascii="Arial" w:cs="Arial" w:eastAsia="Arial" w:hAnsi="Arial"/>
                <w:sz w:val="20"/>
                <w:szCs w:val="20"/>
                <w:color w:val="auto"/>
              </w:rPr>
              <w:t>Right of Setoff</w:t>
            </w:r>
          </w:p>
        </w:tc>
        <w:tc>
          <w:tcPr>
            <w:tcW w:w="300" w:type="dxa"/>
            <w:vAlign w:val="bottom"/>
            <w:gridSpan w:val="4"/>
          </w:tcPr>
          <w:p>
            <w:pPr>
              <w:spacing w:after="0"/>
              <w:rPr>
                <w:sz w:val="20"/>
                <w:szCs w:val="20"/>
                <w:color w:val="auto"/>
              </w:rPr>
            </w:pPr>
            <w:r>
              <w:rPr>
                <w:rFonts w:ascii="Arial" w:cs="Arial" w:eastAsia="Arial" w:hAnsi="Arial"/>
                <w:sz w:val="20"/>
                <w:szCs w:val="20"/>
                <w:color w:val="FF0000"/>
                <w:strike w:val="1"/>
                <w:w w:val="83"/>
              </w:rPr>
              <w:t>102</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99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40" w:type="dxa"/>
            <w:vAlign w:val="bottom"/>
          </w:tcPr>
          <w:p>
            <w:pPr>
              <w:ind w:left="260"/>
              <w:spacing w:after="0"/>
              <w:rPr>
                <w:sz w:val="20"/>
                <w:szCs w:val="20"/>
                <w:color w:val="auto"/>
              </w:rPr>
            </w:pPr>
            <w:r>
              <w:rPr>
                <w:rFonts w:ascii="Arial" w:cs="Arial" w:eastAsia="Arial" w:hAnsi="Arial"/>
                <w:sz w:val="20"/>
                <w:szCs w:val="20"/>
                <w:color w:val="auto"/>
                <w:w w:val="94"/>
              </w:rPr>
              <w:t>SECTION 10.09</w:t>
            </w:r>
          </w:p>
        </w:tc>
        <w:tc>
          <w:tcPr>
            <w:tcW w:w="4880" w:type="dxa"/>
            <w:vAlign w:val="bottom"/>
            <w:gridSpan w:val="38"/>
          </w:tcPr>
          <w:p>
            <w:pPr>
              <w:ind w:left="40"/>
              <w:spacing w:after="0"/>
              <w:rPr>
                <w:sz w:val="20"/>
                <w:szCs w:val="20"/>
                <w:color w:val="auto"/>
              </w:rPr>
            </w:pPr>
            <w:r>
              <w:rPr>
                <w:rFonts w:ascii="Arial" w:cs="Arial" w:eastAsia="Arial" w:hAnsi="Arial"/>
                <w:sz w:val="20"/>
                <w:szCs w:val="20"/>
                <w:color w:val="auto"/>
                <w:w w:val="91"/>
              </w:rPr>
              <w:t>Governing Law; Jurisdiction; Consent to Service of Process</w:t>
            </w:r>
          </w:p>
        </w:tc>
        <w:tc>
          <w:tcPr>
            <w:tcW w:w="360" w:type="dxa"/>
            <w:vAlign w:val="bottom"/>
            <w:gridSpan w:val="2"/>
          </w:tcPr>
          <w:p>
            <w:pPr>
              <w:ind w:left="60"/>
              <w:spacing w:after="0"/>
              <w:rPr>
                <w:sz w:val="20"/>
                <w:szCs w:val="20"/>
                <w:color w:val="auto"/>
              </w:rPr>
            </w:pPr>
            <w:r>
              <w:rPr>
                <w:rFonts w:ascii="Arial" w:cs="Arial" w:eastAsia="Arial" w:hAnsi="Arial"/>
                <w:sz w:val="20"/>
                <w:szCs w:val="20"/>
                <w:color w:val="FF0000"/>
                <w:strike w:val="1"/>
                <w:w w:val="83"/>
              </w:rPr>
              <w:t>103</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40" w:type="dxa"/>
            <w:vAlign w:val="bottom"/>
          </w:tcPr>
          <w:p>
            <w:pPr>
              <w:ind w:left="260"/>
              <w:spacing w:after="0"/>
              <w:rPr>
                <w:sz w:val="20"/>
                <w:szCs w:val="20"/>
                <w:color w:val="auto"/>
              </w:rPr>
            </w:pPr>
            <w:r>
              <w:rPr>
                <w:rFonts w:ascii="Arial" w:cs="Arial" w:eastAsia="Arial" w:hAnsi="Arial"/>
                <w:sz w:val="20"/>
                <w:szCs w:val="20"/>
                <w:color w:val="auto"/>
                <w:w w:val="94"/>
              </w:rPr>
              <w:t>SECTION 10.10</w:t>
            </w:r>
          </w:p>
        </w:tc>
        <w:tc>
          <w:tcPr>
            <w:tcW w:w="2580" w:type="dxa"/>
            <w:vAlign w:val="bottom"/>
            <w:gridSpan w:val="26"/>
          </w:tcPr>
          <w:p>
            <w:pPr>
              <w:ind w:left="40"/>
              <w:spacing w:after="0"/>
              <w:rPr>
                <w:sz w:val="20"/>
                <w:szCs w:val="20"/>
                <w:color w:val="auto"/>
              </w:rPr>
            </w:pPr>
            <w:r>
              <w:rPr>
                <w:rFonts w:ascii="Arial" w:cs="Arial" w:eastAsia="Arial" w:hAnsi="Arial"/>
                <w:sz w:val="20"/>
                <w:szCs w:val="20"/>
                <w:color w:val="auto"/>
              </w:rPr>
              <w:t>WAIVER OF JURY TRIAL</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103</w:t>
            </w:r>
          </w:p>
        </w:tc>
        <w:tc>
          <w:tcPr>
            <w:tcW w:w="480" w:type="dxa"/>
            <w:vAlign w:val="bottom"/>
            <w:gridSpan w:val="3"/>
          </w:tcPr>
          <w:p>
            <w:pPr>
              <w:jc w:val="right"/>
              <w:ind w:right="101"/>
              <w:spacing w:after="0"/>
              <w:rPr>
                <w:sz w:val="20"/>
                <w:szCs w:val="20"/>
                <w:color w:val="auto"/>
              </w:rPr>
            </w:pPr>
            <w:r>
              <w:rPr>
                <w:rFonts w:ascii="Arial" w:cs="Arial" w:eastAsia="Arial" w:hAnsi="Arial"/>
                <w:sz w:val="20"/>
                <w:szCs w:val="20"/>
                <w:color w:val="0000FF"/>
                <w:w w:val="77"/>
              </w:rPr>
              <w:t>100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5"/>
            <w:vMerge w:val="restart"/>
          </w:tcPr>
          <w:p>
            <w:pPr>
              <w:ind w:left="100"/>
              <w:spacing w:after="0"/>
              <w:rPr>
                <w:sz w:val="20"/>
                <w:szCs w:val="20"/>
                <w:color w:val="auto"/>
              </w:rPr>
            </w:pPr>
            <w:r>
              <w:rPr>
                <w:rFonts w:ascii="Arial" w:cs="Arial" w:eastAsia="Arial" w:hAnsi="Arial"/>
                <w:sz w:val="20"/>
                <w:szCs w:val="20"/>
                <w:color w:val="auto"/>
              </w:rPr>
              <w:t>-ii-</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6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2380" w:type="dxa"/>
            <w:vAlign w:val="bottom"/>
            <w:gridSpan w:val="2"/>
          </w:tcPr>
          <w:p>
            <w:pPr>
              <w:spacing w:after="0"/>
              <w:rPr>
                <w:sz w:val="20"/>
                <w:szCs w:val="20"/>
                <w:color w:val="auto"/>
              </w:rPr>
            </w:pPr>
            <w:r>
              <w:rPr>
                <w:rFonts w:ascii="Arial" w:cs="Arial" w:eastAsia="Arial" w:hAnsi="Arial"/>
                <w:sz w:val="20"/>
                <w:szCs w:val="20"/>
                <w:color w:val="auto"/>
              </w:rPr>
              <w:t>SECTION 10.11 Headings</w:t>
            </w:r>
          </w:p>
        </w:tc>
        <w:tc>
          <w:tcPr>
            <w:tcW w:w="280" w:type="dxa"/>
            <w:vAlign w:val="bottom"/>
          </w:tcPr>
          <w:p>
            <w:pPr>
              <w:jc w:val="right"/>
              <w:spacing w:after="0"/>
              <w:rPr>
                <w:sz w:val="20"/>
                <w:szCs w:val="20"/>
                <w:color w:val="auto"/>
              </w:rPr>
            </w:pPr>
            <w:r>
              <w:rPr>
                <w:rFonts w:ascii="Arial" w:cs="Arial" w:eastAsia="Arial" w:hAnsi="Arial"/>
                <w:sz w:val="20"/>
                <w:szCs w:val="20"/>
                <w:color w:val="FF0000"/>
                <w:strike w:val="1"/>
                <w:w w:val="77"/>
              </w:rPr>
              <w:t>104</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7"/>
        </w:trPr>
        <w:tc>
          <w:tcPr>
            <w:tcW w:w="1380" w:type="dxa"/>
            <w:vAlign w:val="bottom"/>
          </w:tcPr>
          <w:p>
            <w:pPr>
              <w:spacing w:after="0"/>
              <w:rPr>
                <w:sz w:val="20"/>
                <w:szCs w:val="20"/>
                <w:color w:val="auto"/>
              </w:rPr>
            </w:pPr>
            <w:r>
              <w:rPr>
                <w:rFonts w:ascii="Arial" w:cs="Arial" w:eastAsia="Arial" w:hAnsi="Arial"/>
                <w:sz w:val="20"/>
                <w:szCs w:val="20"/>
                <w:color w:val="auto"/>
                <w:w w:val="94"/>
              </w:rPr>
              <w:t>SECTION 10.12</w:t>
            </w:r>
          </w:p>
        </w:tc>
        <w:tc>
          <w:tcPr>
            <w:tcW w:w="1380" w:type="dxa"/>
            <w:vAlign w:val="bottom"/>
            <w:gridSpan w:val="3"/>
          </w:tcPr>
          <w:p>
            <w:pPr>
              <w:ind w:left="40"/>
              <w:spacing w:after="0"/>
              <w:rPr>
                <w:sz w:val="20"/>
                <w:szCs w:val="20"/>
                <w:color w:val="auto"/>
              </w:rPr>
            </w:pPr>
            <w:r>
              <w:rPr>
                <w:rFonts w:ascii="Arial" w:cs="Arial" w:eastAsia="Arial" w:hAnsi="Arial"/>
                <w:sz w:val="20"/>
                <w:szCs w:val="20"/>
                <w:color w:val="auto"/>
              </w:rPr>
              <w:t>Confidentiality</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104</w:t>
            </w:r>
          </w:p>
        </w:tc>
        <w:tc>
          <w:tcPr>
            <w:tcW w:w="400" w:type="dxa"/>
            <w:vAlign w:val="bottom"/>
            <w:gridSpan w:val="3"/>
          </w:tcPr>
          <w:p>
            <w:pPr>
              <w:jc w:val="right"/>
              <w:ind w:right="100"/>
              <w:spacing w:after="0"/>
              <w:rPr>
                <w:sz w:val="20"/>
                <w:szCs w:val="20"/>
                <w:color w:val="auto"/>
              </w:rPr>
            </w:pPr>
            <w:r>
              <w:rPr>
                <w:rFonts w:ascii="Arial" w:cs="Arial" w:eastAsia="Arial" w:hAnsi="Arial"/>
                <w:sz w:val="20"/>
                <w:szCs w:val="20"/>
                <w:color w:val="0000FF"/>
                <w:w w:val="83"/>
              </w:rPr>
              <w:t>101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1380" w:type="dxa"/>
            <w:vAlign w:val="bottom"/>
          </w:tcPr>
          <w:p>
            <w:pPr>
              <w:spacing w:after="0"/>
              <w:rPr>
                <w:sz w:val="20"/>
                <w:szCs w:val="20"/>
                <w:color w:val="auto"/>
              </w:rPr>
            </w:pPr>
            <w:r>
              <w:rPr>
                <w:rFonts w:ascii="Arial" w:cs="Arial" w:eastAsia="Arial" w:hAnsi="Arial"/>
                <w:sz w:val="20"/>
                <w:szCs w:val="20"/>
                <w:color w:val="auto"/>
                <w:w w:val="94"/>
              </w:rPr>
              <w:t>SECTION 10.13</w:t>
            </w:r>
          </w:p>
        </w:tc>
        <w:tc>
          <w:tcPr>
            <w:tcW w:w="2180" w:type="dxa"/>
            <w:vAlign w:val="bottom"/>
            <w:gridSpan w:val="9"/>
          </w:tcPr>
          <w:p>
            <w:pPr>
              <w:ind w:left="40"/>
              <w:spacing w:after="0"/>
              <w:rPr>
                <w:sz w:val="20"/>
                <w:szCs w:val="20"/>
                <w:color w:val="auto"/>
              </w:rPr>
            </w:pPr>
            <w:r>
              <w:rPr>
                <w:rFonts w:ascii="Arial" w:cs="Arial" w:eastAsia="Arial" w:hAnsi="Arial"/>
                <w:sz w:val="20"/>
                <w:szCs w:val="20"/>
                <w:color w:val="auto"/>
              </w:rPr>
              <w:t>Interest Rate Limitation</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105</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102</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7"/>
        </w:trPr>
        <w:tc>
          <w:tcPr>
            <w:tcW w:w="3160" w:type="dxa"/>
            <w:vAlign w:val="bottom"/>
            <w:gridSpan w:val="7"/>
          </w:tcPr>
          <w:p>
            <w:pPr>
              <w:spacing w:after="0"/>
              <w:rPr>
                <w:sz w:val="20"/>
                <w:szCs w:val="20"/>
                <w:color w:val="auto"/>
              </w:rPr>
            </w:pPr>
            <w:r>
              <w:rPr>
                <w:rFonts w:ascii="Arial" w:cs="Arial" w:eastAsia="Arial" w:hAnsi="Arial"/>
                <w:sz w:val="20"/>
                <w:szCs w:val="20"/>
                <w:color w:val="auto"/>
                <w:w w:val="98"/>
              </w:rPr>
              <w:t>SECTION 10.14 USA PATRIOT Act</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105</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102</w:t>
            </w:r>
          </w:p>
        </w:tc>
        <w:tc>
          <w:tcPr>
            <w:tcW w:w="980" w:type="dxa"/>
            <w:vAlign w:val="bottom"/>
            <w:gridSpan w:val="3"/>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7"/>
        </w:trPr>
        <w:tc>
          <w:tcPr>
            <w:tcW w:w="1380" w:type="dxa"/>
            <w:vAlign w:val="bottom"/>
          </w:tcPr>
          <w:p>
            <w:pPr>
              <w:spacing w:after="0"/>
              <w:rPr>
                <w:sz w:val="20"/>
                <w:szCs w:val="20"/>
                <w:color w:val="auto"/>
              </w:rPr>
            </w:pPr>
            <w:r>
              <w:rPr>
                <w:rFonts w:ascii="Arial" w:cs="Arial" w:eastAsia="Arial" w:hAnsi="Arial"/>
                <w:sz w:val="20"/>
                <w:szCs w:val="20"/>
                <w:color w:val="auto"/>
                <w:w w:val="94"/>
              </w:rPr>
              <w:t>SECTION 10.15</w:t>
            </w:r>
          </w:p>
        </w:tc>
        <w:tc>
          <w:tcPr>
            <w:tcW w:w="3360" w:type="dxa"/>
            <w:vAlign w:val="bottom"/>
            <w:gridSpan w:val="13"/>
          </w:tcPr>
          <w:p>
            <w:pPr>
              <w:ind w:left="40"/>
              <w:spacing w:after="0"/>
              <w:rPr>
                <w:sz w:val="20"/>
                <w:szCs w:val="20"/>
                <w:color w:val="auto"/>
              </w:rPr>
            </w:pPr>
            <w:r>
              <w:rPr>
                <w:rFonts w:ascii="Arial" w:cs="Arial" w:eastAsia="Arial" w:hAnsi="Arial"/>
                <w:sz w:val="20"/>
                <w:szCs w:val="20"/>
                <w:color w:val="auto"/>
                <w:w w:val="95"/>
              </w:rPr>
              <w:t>No Advisory or Fiduciary Responsibility</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105</w:t>
            </w:r>
          </w:p>
        </w:tc>
        <w:tc>
          <w:tcPr>
            <w:tcW w:w="2480" w:type="dxa"/>
            <w:vAlign w:val="bottom"/>
            <w:gridSpan w:val="2"/>
          </w:tcPr>
          <w:p>
            <w:pPr>
              <w:jc w:val="right"/>
              <w:ind w:right="2180"/>
              <w:spacing w:after="0"/>
              <w:rPr>
                <w:sz w:val="20"/>
                <w:szCs w:val="20"/>
                <w:color w:val="auto"/>
              </w:rPr>
            </w:pPr>
            <w:r>
              <w:rPr>
                <w:rFonts w:ascii="Arial" w:cs="Arial" w:eastAsia="Arial" w:hAnsi="Arial"/>
                <w:sz w:val="20"/>
                <w:szCs w:val="20"/>
                <w:color w:val="0000FF"/>
                <w:w w:val="83"/>
              </w:rPr>
              <w:t>102</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1380" w:type="dxa"/>
            <w:vAlign w:val="bottom"/>
          </w:tcPr>
          <w:p>
            <w:pPr>
              <w:spacing w:after="0"/>
              <w:rPr>
                <w:sz w:val="20"/>
                <w:szCs w:val="20"/>
                <w:color w:val="auto"/>
              </w:rPr>
            </w:pPr>
            <w:r>
              <w:rPr>
                <w:rFonts w:ascii="Arial" w:cs="Arial" w:eastAsia="Arial" w:hAnsi="Arial"/>
                <w:sz w:val="20"/>
                <w:szCs w:val="20"/>
                <w:color w:val="auto"/>
                <w:w w:val="94"/>
              </w:rPr>
              <w:t>SECTION 10.16</w:t>
            </w:r>
          </w:p>
        </w:tc>
        <w:tc>
          <w:tcPr>
            <w:tcW w:w="6140" w:type="dxa"/>
            <w:vAlign w:val="bottom"/>
            <w:gridSpan w:val="16"/>
          </w:tcPr>
          <w:p>
            <w:pPr>
              <w:ind w:left="40"/>
              <w:spacing w:after="0"/>
              <w:rPr>
                <w:sz w:val="20"/>
                <w:szCs w:val="20"/>
                <w:color w:val="auto"/>
              </w:rPr>
            </w:pPr>
            <w:r>
              <w:rPr>
                <w:rFonts w:ascii="Arial" w:cs="Arial" w:eastAsia="Arial" w:hAnsi="Arial"/>
                <w:sz w:val="20"/>
                <w:szCs w:val="20"/>
                <w:color w:val="auto"/>
                <w:w w:val="92"/>
              </w:rPr>
              <w:t>Acknowledgement and Consent to Bail-In of Affected Financial Institutions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106</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103</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20"/>
                <w:szCs w:val="20"/>
                <w:color w:val="auto"/>
                <w:w w:val="94"/>
              </w:rPr>
              <w:t>SECTION 10.17</w:t>
            </w:r>
          </w:p>
        </w:tc>
        <w:tc>
          <w:tcPr>
            <w:tcW w:w="4560" w:type="dxa"/>
            <w:vAlign w:val="bottom"/>
            <w:gridSpan w:val="7"/>
          </w:tcPr>
          <w:p>
            <w:pPr>
              <w:ind w:left="40"/>
              <w:spacing w:after="0"/>
              <w:rPr>
                <w:sz w:val="20"/>
                <w:szCs w:val="20"/>
                <w:color w:val="auto"/>
              </w:rPr>
            </w:pPr>
            <w:r>
              <w:rPr>
                <w:rFonts w:ascii="Arial" w:cs="Arial" w:eastAsia="Arial" w:hAnsi="Arial"/>
                <w:sz w:val="20"/>
                <w:szCs w:val="20"/>
                <w:color w:val="auto"/>
                <w:w w:val="98"/>
              </w:rPr>
              <w:t>Acknowledgement Regarding Any Supported QFCs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106</w:t>
            </w:r>
          </w:p>
        </w:tc>
        <w:tc>
          <w:tcPr>
            <w:tcW w:w="880" w:type="dxa"/>
            <w:vAlign w:val="bottom"/>
            <w:gridSpan w:val="2"/>
          </w:tcPr>
          <w:p>
            <w:pPr>
              <w:jc w:val="right"/>
              <w:ind w:right="600"/>
              <w:spacing w:after="0"/>
              <w:rPr>
                <w:sz w:val="20"/>
                <w:szCs w:val="20"/>
                <w:color w:val="auto"/>
              </w:rPr>
            </w:pPr>
            <w:r>
              <w:rPr>
                <w:rFonts w:ascii="Arial" w:cs="Arial" w:eastAsia="Arial" w:hAnsi="Arial"/>
                <w:sz w:val="20"/>
                <w:szCs w:val="20"/>
                <w:color w:val="0000FF"/>
                <w:w w:val="77"/>
              </w:rPr>
              <w:t>103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7"/>
        </w:trPr>
        <w:tc>
          <w:tcPr>
            <w:tcW w:w="1380" w:type="dxa"/>
            <w:vAlign w:val="bottom"/>
          </w:tcPr>
          <w:p>
            <w:pPr>
              <w:spacing w:after="0"/>
              <w:rPr>
                <w:sz w:val="20"/>
                <w:szCs w:val="20"/>
                <w:color w:val="auto"/>
              </w:rPr>
            </w:pPr>
            <w:r>
              <w:rPr>
                <w:rFonts w:ascii="Arial" w:cs="Arial" w:eastAsia="Arial" w:hAnsi="Arial"/>
                <w:sz w:val="20"/>
                <w:szCs w:val="20"/>
                <w:color w:val="auto"/>
                <w:w w:val="94"/>
              </w:rPr>
              <w:t>SECTION 10.18</w:t>
            </w:r>
          </w:p>
        </w:tc>
        <w:tc>
          <w:tcPr>
            <w:tcW w:w="2180" w:type="dxa"/>
            <w:vAlign w:val="bottom"/>
            <w:gridSpan w:val="3"/>
          </w:tcPr>
          <w:p>
            <w:pPr>
              <w:ind w:left="40"/>
              <w:spacing w:after="0"/>
              <w:rPr>
                <w:sz w:val="20"/>
                <w:szCs w:val="20"/>
                <w:color w:val="auto"/>
              </w:rPr>
            </w:pPr>
            <w:r>
              <w:rPr>
                <w:rFonts w:ascii="Arial" w:cs="Arial" w:eastAsia="Arial" w:hAnsi="Arial"/>
                <w:sz w:val="20"/>
                <w:szCs w:val="20"/>
                <w:color w:val="auto"/>
              </w:rPr>
              <w:t>Certain ERISA Matters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107</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104</w:t>
            </w: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7"/>
        </w:trPr>
        <w:tc>
          <w:tcPr>
            <w:tcW w:w="1380" w:type="dxa"/>
            <w:vAlign w:val="bottom"/>
          </w:tcPr>
          <w:p>
            <w:pPr>
              <w:spacing w:after="0"/>
              <w:rPr>
                <w:sz w:val="20"/>
                <w:szCs w:val="20"/>
                <w:color w:val="auto"/>
              </w:rPr>
            </w:pPr>
            <w:r>
              <w:rPr>
                <w:rFonts w:ascii="Arial" w:cs="Arial" w:eastAsia="Arial" w:hAnsi="Arial"/>
                <w:sz w:val="20"/>
                <w:szCs w:val="20"/>
                <w:color w:val="auto"/>
                <w:w w:val="94"/>
              </w:rPr>
              <w:t>SECTION 10.19</w:t>
            </w:r>
          </w:p>
        </w:tc>
        <w:tc>
          <w:tcPr>
            <w:tcW w:w="1780" w:type="dxa"/>
            <w:vAlign w:val="bottom"/>
          </w:tcPr>
          <w:p>
            <w:pPr>
              <w:ind w:left="40"/>
              <w:spacing w:after="0"/>
              <w:rPr>
                <w:sz w:val="20"/>
                <w:szCs w:val="20"/>
                <w:color w:val="auto"/>
              </w:rPr>
            </w:pPr>
            <w:r>
              <w:rPr>
                <w:rFonts w:ascii="Arial" w:cs="Arial" w:eastAsia="Arial" w:hAnsi="Arial"/>
                <w:sz w:val="20"/>
                <w:szCs w:val="20"/>
                <w:color w:val="auto"/>
                <w:w w:val="89"/>
              </w:rPr>
              <w:t>Erroneous Payments.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108</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105</w:t>
            </w:r>
          </w:p>
        </w:tc>
        <w:tc>
          <w:tcPr>
            <w:tcW w:w="2180" w:type="dxa"/>
            <w:vAlign w:val="bottom"/>
            <w:gridSpan w:val="3"/>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6"/>
        </w:trPr>
        <w:tc>
          <w:tcPr>
            <w:tcW w:w="1380" w:type="dxa"/>
            <w:vAlign w:val="bottom"/>
          </w:tcPr>
          <w:p>
            <w:pPr>
              <w:spacing w:after="0"/>
              <w:rPr>
                <w:sz w:val="20"/>
                <w:szCs w:val="20"/>
                <w:color w:val="auto"/>
              </w:rPr>
            </w:pPr>
            <w:r>
              <w:rPr>
                <w:rFonts w:ascii="Arial" w:cs="Arial" w:eastAsia="Arial" w:hAnsi="Arial"/>
                <w:sz w:val="20"/>
                <w:szCs w:val="20"/>
                <w:color w:val="auto"/>
                <w:w w:val="94"/>
              </w:rPr>
              <w:t>SECTION 10.20</w:t>
            </w:r>
          </w:p>
        </w:tc>
        <w:tc>
          <w:tcPr>
            <w:tcW w:w="5740" w:type="dxa"/>
            <w:vAlign w:val="bottom"/>
            <w:gridSpan w:val="10"/>
          </w:tcPr>
          <w:p>
            <w:pPr>
              <w:ind w:left="40"/>
              <w:spacing w:after="0"/>
              <w:rPr>
                <w:sz w:val="20"/>
                <w:szCs w:val="20"/>
                <w:color w:val="auto"/>
              </w:rPr>
            </w:pPr>
            <w:r>
              <w:rPr>
                <w:rFonts w:ascii="Arial" w:cs="Arial" w:eastAsia="Arial" w:hAnsi="Arial"/>
                <w:sz w:val="20"/>
                <w:szCs w:val="20"/>
                <w:color w:val="auto"/>
                <w:w w:val="97"/>
              </w:rPr>
              <w:t>Termination of Commitments under the Existing Credit Agreement</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109</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106</w:t>
            </w:r>
          </w:p>
        </w:tc>
      </w:tr>
    </w:tbl>
    <w:p>
      <w:pPr>
        <w:spacing w:after="0" w:line="253"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66040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79"/>
          </w:cols>
          <w:pgMar w:left="580" w:top="328" w:right="1440" w:bottom="1440" w:gutter="0" w:footer="0" w:header="0"/>
        </w:sectPr>
      </w:pPr>
    </w:p>
    <w:bookmarkStart w:id="66" w:name="page67"/>
    <w:bookmarkEnd w:id="66"/>
    <w:p>
      <w:pPr>
        <w:spacing w:after="0"/>
        <w:rPr>
          <w:sz w:val="20"/>
          <w:szCs w:val="20"/>
          <w:color w:val="auto"/>
        </w:rPr>
      </w:pPr>
      <w:r>
        <w:rPr>
          <w:rFonts w:ascii="Arial" w:cs="Arial" w:eastAsia="Arial" w:hAnsi="Arial"/>
          <w:sz w:val="20"/>
          <w:szCs w:val="20"/>
          <w:u w:val="single" w:color="auto"/>
          <w:color w:val="auto"/>
        </w:rPr>
        <w:t>SCHEDULES</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Schedule 1.01 – Sustainability Table and Sustainability Pricing Adjustments</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Schedule 2.01 – Commitments</w:t>
      </w:r>
    </w:p>
    <w:p>
      <w:pPr>
        <w:spacing w:after="0"/>
        <w:rPr>
          <w:sz w:val="20"/>
          <w:szCs w:val="20"/>
          <w:color w:val="auto"/>
        </w:rPr>
      </w:pPr>
      <w:r>
        <w:rPr>
          <w:rFonts w:ascii="Arial" w:cs="Arial" w:eastAsia="Arial" w:hAnsi="Arial"/>
          <w:sz w:val="20"/>
          <w:szCs w:val="20"/>
          <w:color w:val="auto"/>
        </w:rPr>
        <w:t>Schedule 2.23 – Designated Borrowers</w:t>
      </w:r>
    </w:p>
    <w:p>
      <w:pPr>
        <w:spacing w:after="0"/>
        <w:rPr>
          <w:sz w:val="20"/>
          <w:szCs w:val="20"/>
          <w:color w:val="auto"/>
        </w:rPr>
      </w:pPr>
      <w:r>
        <w:rPr>
          <w:rFonts w:ascii="Arial" w:cs="Arial" w:eastAsia="Arial" w:hAnsi="Arial"/>
          <w:sz w:val="20"/>
          <w:szCs w:val="20"/>
          <w:color w:val="auto"/>
        </w:rPr>
        <w:t>Schedule 6.01 – Existing Liens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EXHIBITS</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Exhibit A – Form of Assignment and Assumption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Exhibit B – Form of U.S. Tax Compliance Certificates</w:t>
      </w:r>
    </w:p>
    <w:p>
      <w:pPr>
        <w:ind w:right="3839"/>
        <w:spacing w:after="0" w:line="239" w:lineRule="auto"/>
        <w:rPr>
          <w:sz w:val="20"/>
          <w:szCs w:val="20"/>
          <w:color w:val="auto"/>
        </w:rPr>
      </w:pPr>
      <w:r>
        <w:rPr>
          <w:rFonts w:ascii="Arial" w:cs="Arial" w:eastAsia="Arial" w:hAnsi="Arial"/>
          <w:sz w:val="20"/>
          <w:szCs w:val="20"/>
          <w:color w:val="auto"/>
        </w:rPr>
        <w:t>Exhibit C – Form of Designated Borrower Request and Assumption Agreement Exhibit D – Form of Designated Borrower Notice Exhibit E – Form of Compliance Certificate</w:t>
      </w:r>
    </w:p>
    <w:p>
      <w:pPr>
        <w:spacing w:after="0" w:line="1" w:lineRule="exact"/>
        <w:rPr>
          <w:sz w:val="20"/>
          <w:szCs w:val="20"/>
          <w:color w:val="auto"/>
        </w:rPr>
      </w:pPr>
    </w:p>
    <w:p>
      <w:pPr>
        <w:jc w:val="both"/>
        <w:ind w:right="4599"/>
        <w:spacing w:after="0" w:line="241" w:lineRule="auto"/>
        <w:rPr>
          <w:sz w:val="20"/>
          <w:szCs w:val="20"/>
          <w:color w:val="auto"/>
        </w:rPr>
      </w:pPr>
      <w:r>
        <w:rPr>
          <w:rFonts w:ascii="Arial" w:cs="Arial" w:eastAsia="Arial" w:hAnsi="Arial"/>
          <w:sz w:val="20"/>
          <w:szCs w:val="20"/>
          <w:color w:val="auto"/>
        </w:rPr>
        <w:t>Exhibit F – Form of Increasing Lender Supplement – Existing Lender Exhibit G – Form of Augmenting Lender Supplement – New Lender Exhibit H – Form of Pricing Certificate</w:t>
      </w:r>
    </w:p>
    <w:p>
      <w:pPr>
        <w:spacing w:after="0" w:line="200" w:lineRule="exact"/>
        <w:rPr>
          <w:sz w:val="20"/>
          <w:szCs w:val="20"/>
          <w:color w:val="auto"/>
        </w:rPr>
      </w:pPr>
    </w:p>
    <w:p>
      <w:pPr>
        <w:spacing w:after="0" w:line="21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2" w:right="1440" w:bottom="1440" w:gutter="0" w:footer="0" w:header="0"/>
        </w:sectPr>
      </w:pPr>
    </w:p>
    <w:bookmarkStart w:id="67" w:name="page68"/>
    <w:bookmarkEnd w:id="67"/>
    <w:p>
      <w:pPr>
        <w:jc w:val="both"/>
        <w:ind w:firstLine="749"/>
        <w:spacing w:after="0" w:line="246" w:lineRule="auto"/>
        <w:rPr>
          <w:sz w:val="20"/>
          <w:szCs w:val="20"/>
          <w:color w:val="auto"/>
        </w:rPr>
      </w:pPr>
      <w:r>
        <w:rPr>
          <w:rFonts w:ascii="Arial" w:cs="Arial" w:eastAsia="Arial" w:hAnsi="Arial"/>
          <w:sz w:val="20"/>
          <w:szCs w:val="20"/>
          <w:color w:val="auto"/>
        </w:rPr>
        <w:t>CREDIT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dated as of August 6, 2021, among CABOT CORPORATION,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certain Subsidiaries of the Company from time to time party hereto pursuant to </w:t>
      </w:r>
      <w:r>
        <w:rPr>
          <w:rFonts w:ascii="Arial" w:cs="Arial" w:eastAsia="Arial" w:hAnsi="Arial"/>
          <w:sz w:val="20"/>
          <w:szCs w:val="20"/>
          <w:u w:val="single" w:color="auto"/>
          <w:color w:val="auto"/>
        </w:rPr>
        <w:t>Section 2.23</w:t>
      </w:r>
      <w:r>
        <w:rPr>
          <w:rFonts w:ascii="Arial" w:cs="Arial" w:eastAsia="Arial" w:hAnsi="Arial"/>
          <w:sz w:val="20"/>
          <w:szCs w:val="20"/>
          <w:color w:val="auto"/>
        </w:rPr>
        <w:t xml:space="preserve"> (each, a “</w:t>
      </w:r>
      <w:r>
        <w:rPr>
          <w:rFonts w:ascii="Arial" w:cs="Arial" w:eastAsia="Arial" w:hAnsi="Arial"/>
          <w:sz w:val="20"/>
          <w:szCs w:val="20"/>
          <w:b w:val="1"/>
          <w:bCs w:val="1"/>
          <w:i w:val="1"/>
          <w:iCs w:val="1"/>
          <w:color w:val="auto"/>
        </w:rPr>
        <w:t>Designated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and, together with the Company, the “</w:t>
      </w:r>
      <w:r>
        <w:rPr>
          <w:rFonts w:ascii="Arial" w:cs="Arial" w:eastAsia="Arial" w:hAnsi="Arial"/>
          <w:sz w:val="20"/>
          <w:szCs w:val="20"/>
          <w:b w:val="1"/>
          <w:bCs w:val="1"/>
          <w:i w:val="1"/>
          <w:iCs w:val="1"/>
          <w:color w:val="auto"/>
        </w:rPr>
        <w:t>Borrowers</w:t>
      </w:r>
      <w:r>
        <w:rPr>
          <w:rFonts w:ascii="Arial" w:cs="Arial" w:eastAsia="Arial" w:hAnsi="Arial"/>
          <w:sz w:val="20"/>
          <w:szCs w:val="20"/>
          <w:color w:val="auto"/>
        </w:rPr>
        <w:t>” and each, a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the LENDERS from time to time party hereto,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JPMORGAN CHASE BANK, N.A., as Administrative Agent.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parties hereto agree as follows: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Definitions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1.01Defined Terms</w:t>
      </w:r>
      <w:r>
        <w:rPr>
          <w:rFonts w:ascii="Arial" w:cs="Arial" w:eastAsia="Arial" w:hAnsi="Arial"/>
          <w:sz w:val="20"/>
          <w:szCs w:val="20"/>
          <w:color w:val="auto"/>
        </w:rPr>
        <w:t>. As used in this Agreement, the following terms have the meanings specified below:</w:t>
      </w:r>
    </w:p>
    <w:p>
      <w:pPr>
        <w:spacing w:after="0" w:line="216"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ABR</w:t>
      </w:r>
      <w:r>
        <w:rPr>
          <w:rFonts w:ascii="Arial" w:cs="Arial" w:eastAsia="Arial" w:hAnsi="Arial"/>
          <w:sz w:val="18"/>
          <w:szCs w:val="18"/>
          <w:color w:val="auto"/>
        </w:rPr>
        <w:t xml:space="preserve">”, when used in reference to any Loan or Borrowing, refers to whether such Loan, or the Loans comprising such Borrowing, bear interest at a rate determined by reference to the Alternate Base Rate. </w:t>
      </w:r>
      <w:r>
        <w:rPr>
          <w:rFonts w:ascii="Arial" w:cs="Arial" w:eastAsia="Arial" w:hAnsi="Arial"/>
          <w:sz w:val="18"/>
          <w:szCs w:val="18"/>
          <w:u w:val="single" w:color="auto"/>
          <w:color w:val="0000FF"/>
        </w:rPr>
        <w:t>All ABR Loans shall be denominated in U.S. Dollars.</w:t>
      </w:r>
    </w:p>
    <w:p>
      <w:pPr>
        <w:spacing w:after="0" w:line="13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Acquisition</w:t>
      </w:r>
      <w:r>
        <w:rPr>
          <w:rFonts w:ascii="Arial" w:cs="Arial" w:eastAsia="Arial" w:hAnsi="Arial"/>
          <w:sz w:val="20"/>
          <w:szCs w:val="20"/>
          <w:color w:val="auto"/>
        </w:rPr>
        <w:t>”, by any Person, means the acquisition by such Person (other than a transaction that would be classified as a capital expenditure in accordance with GAAP), in a single transaction or in a series of related transactions, of all or any substantial portion (constituting a separate business unit) of the assets of another Person or at least a majority of the Equity Interests with ordinary voting power of another Person, in each case whether or not involving a merger or consolidation with such other Person and whether for cash, property, services, assumption of Indebtedness, securities or otherwise.</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10.14</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Adjusted AUD Rate</w:t>
      </w:r>
      <w:r>
        <w:rPr>
          <w:rFonts w:ascii="Arial" w:cs="Arial" w:eastAsia="Arial" w:hAnsi="Arial"/>
          <w:sz w:val="20"/>
          <w:szCs w:val="20"/>
          <w:color w:val="auto"/>
        </w:rPr>
        <w:t xml:space="preserve">” means, with respect to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Borrowing denominated in Australian Dollars for any Interest Period, an interest rate per annum equal to (a) the AUD Rate for such Interest Period multiplied by (b) the Statutory Reserve Rate.</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Adjusted CDOR Rate</w:t>
      </w:r>
      <w:r>
        <w:rPr>
          <w:rFonts w:ascii="Arial" w:cs="Arial" w:eastAsia="Arial" w:hAnsi="Arial"/>
          <w:sz w:val="20"/>
          <w:szCs w:val="20"/>
          <w:color w:val="auto"/>
        </w:rPr>
        <w:t xml:space="preserve">” means, with respect to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Borrowing denominated in Canadian Dollars for any Interest Period, an interest rate per annum equal to (a) the CDOR Rate for such Interest Period multiplied by (b) the Statutory Reserve Rate.</w:t>
      </w:r>
    </w:p>
    <w:p>
      <w:pPr>
        <w:spacing w:after="0" w:line="18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FF0000"/>
          <w:strike w:val="1"/>
        </w:rPr>
        <w:t>EURIBO Rate</w:t>
      </w:r>
      <w:r>
        <w:rPr>
          <w:rFonts w:ascii="Arial" w:cs="Arial" w:eastAsia="Arial" w:hAnsi="Arial"/>
          <w:sz w:val="18"/>
          <w:szCs w:val="18"/>
          <w:b w:val="1"/>
          <w:bCs w:val="1"/>
          <w:i w:val="1"/>
          <w:iCs w:val="1"/>
          <w:u w:val="single" w:color="auto"/>
          <w:color w:val="0000FF"/>
        </w:rPr>
        <w:t>Daily Simple RFR</w:t>
      </w:r>
      <w:r>
        <w:rPr>
          <w:rFonts w:ascii="Arial" w:cs="Arial" w:eastAsia="Arial" w:hAnsi="Arial"/>
          <w:sz w:val="18"/>
          <w:szCs w:val="18"/>
          <w:color w:val="auto"/>
        </w:rPr>
        <w:t xml:space="preserve">” means, </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with respect to any </w:t>
      </w:r>
      <w:r>
        <w:rPr>
          <w:rFonts w:ascii="Arial" w:cs="Arial" w:eastAsia="Arial" w:hAnsi="Arial"/>
          <w:sz w:val="18"/>
          <w:szCs w:val="18"/>
          <w:color w:val="FF0000"/>
          <w:strike w:val="1"/>
        </w:rPr>
        <w:t>Eurocurrency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RFR</w:t>
      </w:r>
      <w:r>
        <w:rPr>
          <w:rFonts w:ascii="Arial" w:cs="Arial" w:eastAsia="Arial" w:hAnsi="Arial"/>
          <w:sz w:val="18"/>
          <w:szCs w:val="18"/>
          <w:color w:val="auto"/>
        </w:rPr>
        <w:t xml:space="preserve"> Borrowing denominated in </w:t>
      </w:r>
      <w:r>
        <w:rPr>
          <w:rFonts w:ascii="Arial" w:cs="Arial" w:eastAsia="Arial" w:hAnsi="Arial"/>
          <w:sz w:val="18"/>
          <w:szCs w:val="18"/>
          <w:color w:val="FF0000"/>
          <w:strike w:val="1"/>
        </w:rPr>
        <w:t>Euro for</w:t>
      </w:r>
      <w:r>
        <w:rPr>
          <w:rFonts w:ascii="Arial" w:cs="Arial" w:eastAsia="Arial" w:hAnsi="Arial"/>
          <w:sz w:val="18"/>
          <w:szCs w:val="18"/>
          <w:color w:val="auto"/>
        </w:rPr>
        <w:t xml:space="preserve"> </w:t>
      </w:r>
      <w:r>
        <w:rPr>
          <w:rFonts w:ascii="Arial" w:cs="Arial" w:eastAsia="Arial" w:hAnsi="Arial"/>
          <w:sz w:val="18"/>
          <w:szCs w:val="18"/>
          <w:color w:val="FF0000"/>
          <w:strike w:val="1"/>
        </w:rPr>
        <w:t>any Interest Period</w:t>
      </w:r>
      <w:r>
        <w:rPr>
          <w:rFonts w:ascii="Arial" w:cs="Arial" w:eastAsia="Arial" w:hAnsi="Arial"/>
          <w:sz w:val="18"/>
          <w:szCs w:val="18"/>
          <w:u w:val="single" w:color="auto"/>
          <w:color w:val="0000FF"/>
          <w:strike w:val="1"/>
        </w:rPr>
        <w:t>Pounds Sterling, an interest rate per annum equal to the Daily Simple RFR for Pounds Sterling, (ii) with respect to any</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RFR Borrowing denominated in Swiss Francs, an interest rate per annum equal to the Daily Simple RFR for Swiss Francs, (iii) with respect to any RFR Borrowing denominated in Singapore Dollars, an interest rate per annum equal to the Daily Simple RFR for Singapore Dollars, and (iv) with respect to any RFR Borrowing denominated in U.S. Dollars</w:t>
      </w:r>
      <w:r>
        <w:rPr>
          <w:rFonts w:ascii="Arial" w:cs="Arial" w:eastAsia="Arial" w:hAnsi="Arial"/>
          <w:sz w:val="18"/>
          <w:szCs w:val="18"/>
          <w:color w:val="000000"/>
          <w:strike w:val="1"/>
        </w:rPr>
        <w:t>, an interest rate per annum equal to (a) the</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EURIBO Rate for such</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Interest Period multiplied by (b) the Statutory Reserve Rate</w:t>
      </w:r>
      <w:r>
        <w:rPr>
          <w:rFonts w:ascii="Arial" w:cs="Arial" w:eastAsia="Arial" w:hAnsi="Arial"/>
          <w:sz w:val="18"/>
          <w:szCs w:val="18"/>
          <w:u w:val="single" w:color="auto"/>
          <w:color w:val="0000FF"/>
          <w:strike w:val="1"/>
        </w:rPr>
        <w:t>Daily Simple RFR for U.S. Dollars, plus (b) 0.10%</w:t>
      </w:r>
      <w:r>
        <w:rPr>
          <w:rFonts w:ascii="Arial" w:cs="Arial" w:eastAsia="Arial" w:hAnsi="Arial"/>
          <w:sz w:val="18"/>
          <w:szCs w:val="18"/>
          <w:color w:val="000000"/>
          <w:strike w:val="1"/>
        </w:rPr>
        <w:t>.</w:t>
      </w:r>
    </w:p>
    <w:p>
      <w:pPr>
        <w:spacing w:after="0" w:line="16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Adjusted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FF0000"/>
          <w:strike w:val="1"/>
        </w:rPr>
        <w:t>LIBO</w:t>
      </w:r>
      <w:r>
        <w:rPr>
          <w:rFonts w:ascii="Arial" w:cs="Arial" w:eastAsia="Arial" w:hAnsi="Arial"/>
          <w:sz w:val="20"/>
          <w:szCs w:val="20"/>
          <w:b w:val="1"/>
          <w:bCs w:val="1"/>
          <w:i w:val="1"/>
          <w:iCs w:val="1"/>
          <w:u w:val="single" w:color="auto"/>
          <w:color w:val="0000FF"/>
        </w:rPr>
        <w:t>EURIBO</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Rate</w:t>
      </w:r>
      <w:r>
        <w:rPr>
          <w:rFonts w:ascii="Arial" w:cs="Arial" w:eastAsia="Arial" w:hAnsi="Arial"/>
          <w:sz w:val="20"/>
          <w:szCs w:val="20"/>
          <w:color w:val="auto"/>
        </w:rPr>
        <w:t xml:space="preserve">” means, with respect to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Borrowing </w:t>
      </w:r>
      <w:r>
        <w:rPr>
          <w:rFonts w:ascii="Arial" w:cs="Arial" w:eastAsia="Arial" w:hAnsi="Arial"/>
          <w:sz w:val="20"/>
          <w:szCs w:val="20"/>
          <w:u w:val="single" w:color="auto"/>
          <w:color w:val="0000FF"/>
        </w:rPr>
        <w:t>denominated in Euro</w:t>
      </w:r>
      <w:r>
        <w:rPr>
          <w:rFonts w:ascii="Arial" w:cs="Arial" w:eastAsia="Arial" w:hAnsi="Arial"/>
          <w:sz w:val="20"/>
          <w:szCs w:val="20"/>
          <w:color w:val="auto"/>
        </w:rPr>
        <w:t xml:space="preserve"> for any Interest Period, an interest rate per annum </w:t>
      </w:r>
      <w:r>
        <w:rPr>
          <w:rFonts w:ascii="Arial" w:cs="Arial" w:eastAsia="Arial" w:hAnsi="Arial"/>
          <w:sz w:val="20"/>
          <w:szCs w:val="20"/>
          <w:color w:val="FF0000"/>
          <w:strike w:val="1"/>
        </w:rPr>
        <w:t>(rounded upwards, if necessary, to the next 1/16 of 1%)</w:t>
      </w:r>
      <w:r>
        <w:rPr>
          <w:rFonts w:ascii="Arial" w:cs="Arial" w:eastAsia="Arial" w:hAnsi="Arial"/>
          <w:sz w:val="20"/>
          <w:szCs w:val="20"/>
          <w:color w:val="auto"/>
        </w:rPr>
        <w:t xml:space="preserve"> equal to (a) the </w:t>
      </w:r>
      <w:r>
        <w:rPr>
          <w:rFonts w:ascii="Arial" w:cs="Arial" w:eastAsia="Arial" w:hAnsi="Arial"/>
          <w:sz w:val="20"/>
          <w:szCs w:val="20"/>
          <w:color w:val="FF0000"/>
          <w:strike w:val="1"/>
        </w:rPr>
        <w:t>LIBO</w:t>
      </w:r>
      <w:r>
        <w:rPr>
          <w:rFonts w:ascii="Arial" w:cs="Arial" w:eastAsia="Arial" w:hAnsi="Arial"/>
          <w:sz w:val="20"/>
          <w:szCs w:val="20"/>
          <w:u w:val="single" w:color="auto"/>
          <w:color w:val="0000FF"/>
        </w:rPr>
        <w:t>EURIBO</w:t>
      </w:r>
      <w:r>
        <w:rPr>
          <w:rFonts w:ascii="Arial" w:cs="Arial" w:eastAsia="Arial" w:hAnsi="Arial"/>
          <w:sz w:val="20"/>
          <w:szCs w:val="20"/>
          <w:color w:val="auto"/>
        </w:rPr>
        <w:t xml:space="preserve"> Rate for such Interest Period multiplied by (b) the Statutory Reserve Rate.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8" w:name="page69"/>
    <w:bookmarkEnd w:id="68"/>
    <w:p>
      <w:pPr>
        <w:jc w:val="both"/>
        <w:ind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Adjusted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FF0000"/>
          <w:strike w:val="1"/>
        </w:rPr>
        <w:t>SIBO</w:t>
      </w:r>
      <w:r>
        <w:rPr>
          <w:rFonts w:ascii="Arial" w:cs="Arial" w:eastAsia="Arial" w:hAnsi="Arial"/>
          <w:sz w:val="19"/>
          <w:szCs w:val="19"/>
          <w:b w:val="1"/>
          <w:bCs w:val="1"/>
          <w:i w:val="1"/>
          <w:iCs w:val="1"/>
          <w:u w:val="single" w:color="auto"/>
          <w:color w:val="0000FF"/>
        </w:rPr>
        <w:t>Term SOFR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Rate</w:t>
      </w:r>
      <w:r>
        <w:rPr>
          <w:rFonts w:ascii="Arial" w:cs="Arial" w:eastAsia="Arial" w:hAnsi="Arial"/>
          <w:sz w:val="19"/>
          <w:szCs w:val="19"/>
          <w:color w:val="auto"/>
        </w:rPr>
        <w:t xml:space="preserve">” means, with respect to any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Benchmark</w:t>
      </w:r>
      <w:r>
        <w:rPr>
          <w:rFonts w:ascii="Arial" w:cs="Arial" w:eastAsia="Arial" w:hAnsi="Arial"/>
          <w:sz w:val="19"/>
          <w:szCs w:val="19"/>
          <w:color w:val="auto"/>
        </w:rPr>
        <w:t xml:space="preserve"> Borrowing denominated in </w:t>
      </w:r>
      <w:r>
        <w:rPr>
          <w:rFonts w:ascii="Arial" w:cs="Arial" w:eastAsia="Arial" w:hAnsi="Arial"/>
          <w:sz w:val="19"/>
          <w:szCs w:val="19"/>
          <w:color w:val="FF0000"/>
          <w:strike w:val="1"/>
        </w:rPr>
        <w:t>Singapore</w:t>
      </w:r>
      <w:r>
        <w:rPr>
          <w:rFonts w:ascii="Arial" w:cs="Arial" w:eastAsia="Arial" w:hAnsi="Arial"/>
          <w:sz w:val="19"/>
          <w:szCs w:val="19"/>
          <w:u w:val="single" w:color="auto"/>
          <w:color w:val="0000FF"/>
        </w:rPr>
        <w:t>U.S.</w:t>
      </w:r>
      <w:r>
        <w:rPr>
          <w:rFonts w:ascii="Arial" w:cs="Arial" w:eastAsia="Arial" w:hAnsi="Arial"/>
          <w:sz w:val="19"/>
          <w:szCs w:val="19"/>
          <w:color w:val="FF0000"/>
        </w:rPr>
        <w:t xml:space="preserve"> </w:t>
      </w:r>
      <w:r>
        <w:rPr>
          <w:rFonts w:ascii="Arial" w:cs="Arial" w:eastAsia="Arial" w:hAnsi="Arial"/>
          <w:sz w:val="19"/>
          <w:szCs w:val="19"/>
          <w:color w:val="000000"/>
        </w:rPr>
        <w:t>Dollars for any Interest Period, an interest rate per annum equal to (a) the</w:t>
      </w:r>
      <w:r>
        <w:rPr>
          <w:rFonts w:ascii="Arial" w:cs="Arial" w:eastAsia="Arial" w:hAnsi="Arial"/>
          <w:sz w:val="19"/>
          <w:szCs w:val="19"/>
          <w:color w:val="FF0000"/>
        </w:rPr>
        <w:t xml:space="preserve"> </w:t>
      </w:r>
      <w:r>
        <w:rPr>
          <w:rFonts w:ascii="Arial" w:cs="Arial" w:eastAsia="Arial" w:hAnsi="Arial"/>
          <w:sz w:val="19"/>
          <w:szCs w:val="19"/>
          <w:color w:val="FF0000"/>
          <w:strike w:val="1"/>
        </w:rPr>
        <w:t>SIBO</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00000"/>
        </w:rPr>
        <w:t>Rate for such Interest Period</w:t>
      </w:r>
      <w:r>
        <w:rPr>
          <w:rFonts w:ascii="Arial" w:cs="Arial" w:eastAsia="Arial" w:hAnsi="Arial"/>
          <w:sz w:val="19"/>
          <w:szCs w:val="19"/>
          <w:color w:val="FF0000"/>
        </w:rPr>
        <w:t xml:space="preserve"> </w:t>
      </w:r>
      <w:r>
        <w:rPr>
          <w:rFonts w:ascii="Arial" w:cs="Arial" w:eastAsia="Arial" w:hAnsi="Arial"/>
          <w:sz w:val="19"/>
          <w:szCs w:val="19"/>
          <w:color w:val="FF0000"/>
          <w:strike w:val="1"/>
        </w:rPr>
        <w:t>multiplied by (b) the Statutory Reserve Rate</w:t>
      </w:r>
      <w:r>
        <w:rPr>
          <w:rFonts w:ascii="Arial" w:cs="Arial" w:eastAsia="Arial" w:hAnsi="Arial"/>
          <w:sz w:val="19"/>
          <w:szCs w:val="19"/>
          <w:u w:val="single" w:color="auto"/>
          <w:color w:val="0000FF"/>
          <w:strike w:val="1"/>
        </w:rPr>
        <w:t>, plus (b) 0.10%; provided that if the Adjusted Term SOFR Rate as so determined would be less</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than the Floor, such rate shall be deemed to be equal to the Floor for the purposes of this Agreement</w:t>
      </w:r>
      <w:r>
        <w:rPr>
          <w:rFonts w:ascii="Arial" w:cs="Arial" w:eastAsia="Arial" w:hAnsi="Arial"/>
          <w:sz w:val="19"/>
          <w:szCs w:val="19"/>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-382270</wp:posOffset>
            </wp:positionV>
            <wp:extent cx="3175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56"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TIBO Rate</w:t>
      </w:r>
      <w:r>
        <w:rPr>
          <w:rFonts w:ascii="Arial" w:cs="Arial" w:eastAsia="Arial" w:hAnsi="Arial"/>
          <w:sz w:val="18"/>
          <w:szCs w:val="18"/>
          <w:color w:val="auto"/>
        </w:rPr>
        <w:t xml:space="preserve">” means, with respect to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Borrowing denominated in Japanese Yen for any Interest Period, an interest rate per annum equal to (a) the TIBO Rate for such Interest Period multiplied by (b) the Statutory Reserve Rate.</w:t>
      </w:r>
    </w:p>
    <w:p>
      <w:pPr>
        <w:spacing w:after="0" w:line="13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means JPMorgan Chase Bank, N.A. (including its subsidiaries and Affiliates), in its capacity as administrative agent for the Lenders hereunder.</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Agent Party</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10.01(d)(iii)</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Agent-Related Person</w:t>
      </w:r>
      <w:r>
        <w:rPr>
          <w:rFonts w:ascii="Arial" w:cs="Arial" w:eastAsia="Arial" w:hAnsi="Arial"/>
          <w:sz w:val="20"/>
          <w:szCs w:val="20"/>
          <w:u w:val="single" w:color="auto"/>
          <w:color w:val="0000FF"/>
        </w:rPr>
        <w:t>” has the meaning assigned to it in Section 10.03(c).</w:t>
      </w:r>
    </w:p>
    <w:p>
      <w:pPr>
        <w:spacing w:after="0" w:line="216"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Agreed Currencies</w:t>
      </w:r>
      <w:r>
        <w:rPr>
          <w:rFonts w:ascii="Arial" w:cs="Arial" w:eastAsia="Arial" w:hAnsi="Arial"/>
          <w:sz w:val="18"/>
          <w:szCs w:val="18"/>
          <w:color w:val="auto"/>
        </w:rPr>
        <w:t>” means (a) U.S. Dollars, (b) Euro, (c) Pounds Sterling, (d) Swiss Francs, (e) Australian Dollars, (f) Japanese Yen, (g) Canadian Dollars, (h) Singapore Dollars and (i) any other Foreign Currency acceptable to all of the Lenders and the Issuing Banks.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has the meaning assigned to such term in the preamble.</w:t>
      </w:r>
    </w:p>
    <w:p>
      <w:pPr>
        <w:spacing w:after="0" w:line="21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Alternate Base Rate</w:t>
      </w:r>
      <w:r>
        <w:rPr>
          <w:rFonts w:ascii="Arial" w:cs="Arial" w:eastAsia="Arial" w:hAnsi="Arial"/>
          <w:sz w:val="18"/>
          <w:szCs w:val="18"/>
          <w:color w:val="auto"/>
        </w:rPr>
        <w:t xml:space="preserve">” means, for any day, a rate per annum equal to the greatest of (a) the Prime Rate in effect on such day, (b) the NYFRB Rate in effect on such day plus ½ of 1% and (c) the Adjusted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Rate for a one month Interest Period </w:t>
      </w:r>
      <w:r>
        <w:rPr>
          <w:rFonts w:ascii="Arial" w:cs="Arial" w:eastAsia="Arial" w:hAnsi="Arial"/>
          <w:sz w:val="18"/>
          <w:szCs w:val="18"/>
          <w:color w:val="FF0000"/>
          <w:strike w:val="1"/>
        </w:rPr>
        <w:t>on</w:t>
      </w:r>
      <w:r>
        <w:rPr>
          <w:rFonts w:ascii="Arial" w:cs="Arial" w:eastAsia="Arial" w:hAnsi="Arial"/>
          <w:sz w:val="18"/>
          <w:szCs w:val="18"/>
          <w:u w:val="single" w:color="auto"/>
          <w:color w:val="0000FF"/>
        </w:rPr>
        <w:t>as published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two U.S. Government Securities Business Days prior to</w:t>
      </w:r>
      <w:r>
        <w:rPr>
          <w:rFonts w:ascii="Arial" w:cs="Arial" w:eastAsia="Arial" w:hAnsi="Arial"/>
          <w:sz w:val="18"/>
          <w:szCs w:val="18"/>
          <w:color w:val="0000FF"/>
        </w:rPr>
        <w:t xml:space="preserve"> </w:t>
      </w:r>
      <w:r>
        <w:rPr>
          <w:rFonts w:ascii="Arial" w:cs="Arial" w:eastAsia="Arial" w:hAnsi="Arial"/>
          <w:sz w:val="18"/>
          <w:szCs w:val="18"/>
          <w:color w:val="000000"/>
        </w:rPr>
        <w:t>such day (or if such day is not a</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U.S. Government Securities</w:t>
      </w:r>
      <w:r>
        <w:rPr>
          <w:rFonts w:ascii="Arial" w:cs="Arial" w:eastAsia="Arial" w:hAnsi="Arial"/>
          <w:sz w:val="18"/>
          <w:szCs w:val="18"/>
          <w:color w:val="0000FF"/>
        </w:rPr>
        <w:t xml:space="preserve"> </w:t>
      </w:r>
      <w:r>
        <w:rPr>
          <w:rFonts w:ascii="Arial" w:cs="Arial" w:eastAsia="Arial" w:hAnsi="Arial"/>
          <w:sz w:val="18"/>
          <w:szCs w:val="18"/>
          <w:color w:val="000000"/>
        </w:rPr>
        <w:t>Business Day, the</w:t>
      </w:r>
      <w:r>
        <w:rPr>
          <w:rFonts w:ascii="Arial" w:cs="Arial" w:eastAsia="Arial" w:hAnsi="Arial"/>
          <w:sz w:val="18"/>
          <w:szCs w:val="18"/>
          <w:color w:val="0000FF"/>
        </w:rPr>
        <w:t xml:space="preserve"> </w:t>
      </w:r>
      <w:r>
        <w:rPr>
          <w:rFonts w:ascii="Arial" w:cs="Arial" w:eastAsia="Arial" w:hAnsi="Arial"/>
          <w:sz w:val="18"/>
          <w:szCs w:val="18"/>
          <w:color w:val="000000"/>
        </w:rPr>
        <w:t xml:space="preserve">immediately preceding </w:t>
      </w:r>
      <w:r>
        <w:rPr>
          <w:rFonts w:ascii="Arial" w:cs="Arial" w:eastAsia="Arial" w:hAnsi="Arial"/>
          <w:sz w:val="18"/>
          <w:szCs w:val="18"/>
          <w:u w:val="single" w:color="auto"/>
          <w:color w:val="0000FF"/>
        </w:rPr>
        <w:t>U.S. Government Securities</w:t>
      </w:r>
      <w:r>
        <w:rPr>
          <w:rFonts w:ascii="Arial" w:cs="Arial" w:eastAsia="Arial" w:hAnsi="Arial"/>
          <w:sz w:val="18"/>
          <w:szCs w:val="18"/>
          <w:color w:val="000000"/>
        </w:rPr>
        <w:t xml:space="preserve"> Business Day) plus 1%;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for the purpose of this definition, the Adjusted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Rate for any day shall be based on the</w:t>
      </w:r>
      <w:r>
        <w:rPr>
          <w:rFonts w:ascii="Arial" w:cs="Arial" w:eastAsia="Arial" w:hAnsi="Arial"/>
          <w:sz w:val="18"/>
          <w:szCs w:val="18"/>
          <w:color w:val="FF0000"/>
        </w:rPr>
        <w:t xml:space="preserve"> </w:t>
      </w:r>
      <w:r>
        <w:rPr>
          <w:rFonts w:ascii="Arial" w:cs="Arial" w:eastAsia="Arial" w:hAnsi="Arial"/>
          <w:sz w:val="18"/>
          <w:szCs w:val="18"/>
          <w:color w:val="FF0000"/>
          <w:strike w:val="1"/>
        </w:rPr>
        <w:t>LIBO Screen Rate (or if the LIBO Screen Rate is not available for such one month</w:t>
      </w:r>
      <w:r>
        <w:rPr>
          <w:rFonts w:ascii="Arial" w:cs="Arial" w:eastAsia="Arial" w:hAnsi="Arial"/>
          <w:sz w:val="18"/>
          <w:szCs w:val="18"/>
          <w:color w:val="FF0000"/>
        </w:rPr>
        <w:t xml:space="preserve"> </w:t>
      </w:r>
      <w:r>
        <w:rPr>
          <w:rFonts w:ascii="Arial" w:cs="Arial" w:eastAsia="Arial" w:hAnsi="Arial"/>
          <w:sz w:val="18"/>
          <w:szCs w:val="18"/>
          <w:color w:val="FF0000"/>
          <w:strike w:val="1"/>
        </w:rPr>
        <w:t>Interest Period, the LIBO Interpolated Rate)</w:t>
      </w:r>
      <w:r>
        <w:rPr>
          <w:rFonts w:ascii="Arial" w:cs="Arial" w:eastAsia="Arial" w:hAnsi="Arial"/>
          <w:sz w:val="18"/>
          <w:szCs w:val="18"/>
          <w:u w:val="single" w:color="auto"/>
          <w:color w:val="0000FF"/>
        </w:rPr>
        <w:t>Term SOFR Reference Rate</w:t>
      </w:r>
      <w:r>
        <w:rPr>
          <w:rFonts w:ascii="Arial" w:cs="Arial" w:eastAsia="Arial" w:hAnsi="Arial"/>
          <w:sz w:val="18"/>
          <w:szCs w:val="18"/>
          <w:color w:val="FF0000"/>
        </w:rPr>
        <w:t xml:space="preserve"> </w:t>
      </w:r>
      <w:r>
        <w:rPr>
          <w:rFonts w:ascii="Arial" w:cs="Arial" w:eastAsia="Arial" w:hAnsi="Arial"/>
          <w:sz w:val="18"/>
          <w:szCs w:val="18"/>
          <w:color w:val="000000"/>
        </w:rPr>
        <w:t>at approximately</w:t>
      </w:r>
      <w:r>
        <w:rPr>
          <w:rFonts w:ascii="Arial" w:cs="Arial" w:eastAsia="Arial" w:hAnsi="Arial"/>
          <w:sz w:val="18"/>
          <w:szCs w:val="18"/>
          <w:color w:val="FF0000"/>
        </w:rPr>
        <w:t xml:space="preserve"> </w:t>
      </w:r>
      <w:r>
        <w:rPr>
          <w:rFonts w:ascii="Arial" w:cs="Arial" w:eastAsia="Arial" w:hAnsi="Arial"/>
          <w:sz w:val="18"/>
          <w:szCs w:val="18"/>
          <w:color w:val="FF0000"/>
          <w:strike w:val="1"/>
        </w:rPr>
        <w:t>11:00 a.m. London time on such day but shall</w:t>
      </w:r>
      <w:r>
        <w:rPr>
          <w:rFonts w:ascii="Arial" w:cs="Arial" w:eastAsia="Arial" w:hAnsi="Arial"/>
          <w:sz w:val="18"/>
          <w:szCs w:val="18"/>
          <w:color w:val="FF0000"/>
        </w:rPr>
        <w:t xml:space="preserve"> </w:t>
      </w:r>
      <w:r>
        <w:rPr>
          <w:rFonts w:ascii="Arial" w:cs="Arial" w:eastAsia="Arial" w:hAnsi="Arial"/>
          <w:sz w:val="18"/>
          <w:szCs w:val="18"/>
          <w:color w:val="FF0000"/>
          <w:strike w:val="1"/>
        </w:rPr>
        <w:t>otherwise be calculated in accordance with the definition of “LIBO Rate”, subject to the interest rate floors set forth therein</w:t>
      </w:r>
      <w:r>
        <w:rPr>
          <w:rFonts w:ascii="Arial" w:cs="Arial" w:eastAsia="Arial" w:hAnsi="Arial"/>
          <w:sz w:val="18"/>
          <w:szCs w:val="18"/>
          <w:u w:val="single" w:color="auto"/>
          <w:color w:val="0000FF"/>
          <w:strike w:val="1"/>
        </w:rPr>
        <w:t>5:00 a.m.,</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Chicago time, on such day (or any amended publication time for the Term SOFR Reference Rate, as specified by the CME Term SOFR Administrator in the Term SOFR Reference Rate methodology)</w:t>
      </w:r>
      <w:r>
        <w:rPr>
          <w:rFonts w:ascii="Arial" w:cs="Arial" w:eastAsia="Arial" w:hAnsi="Arial"/>
          <w:sz w:val="18"/>
          <w:szCs w:val="18"/>
          <w:color w:val="000000"/>
          <w:strike w:val="1"/>
        </w:rPr>
        <w:t>. Any change in the Alternate Base Rate due to a change in the Prime Rate,</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the NYFRB Rate or the Adjusted </w:t>
      </w:r>
      <w:r>
        <w:rPr>
          <w:rFonts w:ascii="Arial" w:cs="Arial" w:eastAsia="Arial" w:hAnsi="Arial"/>
          <w:sz w:val="18"/>
          <w:szCs w:val="18"/>
          <w:color w:val="FF0000"/>
          <w:strike w:val="1"/>
        </w:rPr>
        <w:t>LIBO</w:t>
      </w:r>
      <w:r>
        <w:rPr>
          <w:rFonts w:ascii="Arial" w:cs="Arial" w:eastAsia="Arial" w:hAnsi="Arial"/>
          <w:sz w:val="18"/>
          <w:szCs w:val="18"/>
          <w:u w:val="single" w:color="auto"/>
          <w:color w:val="0000FF"/>
          <w:strike w:val="1"/>
        </w:rPr>
        <w:t>Term SOFR</w:t>
      </w:r>
      <w:r>
        <w:rPr>
          <w:rFonts w:ascii="Arial" w:cs="Arial" w:eastAsia="Arial" w:hAnsi="Arial"/>
          <w:sz w:val="18"/>
          <w:szCs w:val="18"/>
          <w:color w:val="000000"/>
          <w:strike w:val="1"/>
        </w:rPr>
        <w:t xml:space="preserve"> Rate shall be effective from and including the effective date of such change in the Prime Rate, the NYFRB Rate or the Adjusted </w:t>
      </w:r>
      <w:r>
        <w:rPr>
          <w:rFonts w:ascii="Arial" w:cs="Arial" w:eastAsia="Arial" w:hAnsi="Arial"/>
          <w:sz w:val="18"/>
          <w:szCs w:val="18"/>
          <w:color w:val="FF0000"/>
          <w:strike w:val="1"/>
        </w:rPr>
        <w:t>LIBO</w:t>
      </w:r>
      <w:r>
        <w:rPr>
          <w:rFonts w:ascii="Arial" w:cs="Arial" w:eastAsia="Arial" w:hAnsi="Arial"/>
          <w:sz w:val="18"/>
          <w:szCs w:val="18"/>
          <w:u w:val="single" w:color="auto"/>
          <w:color w:val="0000FF"/>
          <w:strike w:val="1"/>
        </w:rPr>
        <w:t>Term SOFR</w:t>
      </w:r>
      <w:r>
        <w:rPr>
          <w:rFonts w:ascii="Arial" w:cs="Arial" w:eastAsia="Arial" w:hAnsi="Arial"/>
          <w:sz w:val="18"/>
          <w:szCs w:val="18"/>
          <w:color w:val="000000"/>
          <w:strike w:val="1"/>
        </w:rPr>
        <w:t xml:space="preserve">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9" w:name="page70"/>
    <w:bookmarkEnd w:id="69"/>
    <w:p>
      <w:pPr>
        <w:spacing w:after="0"/>
        <w:rPr>
          <w:sz w:val="20"/>
          <w:szCs w:val="20"/>
          <w:color w:val="auto"/>
        </w:rPr>
      </w:pPr>
      <w:r>
        <w:rPr>
          <w:rFonts w:ascii="Arial" w:cs="Arial" w:eastAsia="Arial" w:hAnsi="Arial"/>
          <w:sz w:val="20"/>
          <w:szCs w:val="20"/>
          <w:color w:val="auto"/>
        </w:rPr>
        <w:t>to the foregoing would be less than 1.00%, such rate shall be deemed to be 1.00% for purposes of this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Amendment No. 1 Effective Date</w:t>
      </w:r>
      <w:r>
        <w:rPr>
          <w:rFonts w:ascii="Arial" w:cs="Arial" w:eastAsia="Arial" w:hAnsi="Arial"/>
          <w:sz w:val="20"/>
          <w:szCs w:val="20"/>
          <w:u w:val="single" w:color="auto"/>
          <w:color w:val="0000FF"/>
        </w:rPr>
        <w:t>” means April 21, 2023.</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Ancillary Document</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10.06(b)</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Foreign Obligor Documents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3.12(a)</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Anti-Corruption Laws</w:t>
      </w:r>
      <w:r>
        <w:rPr>
          <w:rFonts w:ascii="Arial" w:cs="Arial" w:eastAsia="Arial" w:hAnsi="Arial"/>
          <w:sz w:val="20"/>
          <w:szCs w:val="20"/>
          <w:color w:val="auto"/>
        </w:rPr>
        <w:t>” means all laws, rules, and regulations of any jurisdiction applicable to any Borrower or any of its Affiliates from time to time concerning or relating to bribery or corruption.</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Margins</w:t>
      </w:r>
      <w:r>
        <w:rPr>
          <w:rFonts w:ascii="Arial" w:cs="Arial" w:eastAsia="Arial" w:hAnsi="Arial"/>
          <w:sz w:val="20"/>
          <w:szCs w:val="20"/>
          <w:color w:val="auto"/>
        </w:rPr>
        <w:t>” means the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/RFR/CBR Spread” per annum rate levels at each Tier under such heading and the “ABR/Canadian </w:t>
      </w:r>
      <w:r>
        <w:rPr>
          <w:rFonts w:ascii="Arial" w:cs="Arial" w:eastAsia="Arial" w:hAnsi="Arial"/>
          <w:sz w:val="20"/>
          <w:szCs w:val="20"/>
          <w:u w:val="single" w:color="auto"/>
          <w:color w:val="0000FF"/>
        </w:rPr>
        <w:t>Prime Rate/Japanese</w:t>
      </w:r>
      <w:r>
        <w:rPr>
          <w:rFonts w:ascii="Arial" w:cs="Arial" w:eastAsia="Arial" w:hAnsi="Arial"/>
          <w:sz w:val="20"/>
          <w:szCs w:val="20"/>
          <w:color w:val="auto"/>
        </w:rPr>
        <w:t xml:space="preserve"> Prime Rate Spread” per annum rate levels at each Tier under such heading, in each case as set forth in the table contained in the definition of “Applicable Rate”.</w:t>
      </w:r>
    </w:p>
    <w:p>
      <w:pPr>
        <w:spacing w:after="0" w:line="186"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Percentage</w:t>
      </w:r>
      <w:r>
        <w:rPr>
          <w:rFonts w:ascii="Arial" w:cs="Arial" w:eastAsia="Arial" w:hAnsi="Arial"/>
          <w:sz w:val="18"/>
          <w:szCs w:val="18"/>
          <w:color w:val="auto"/>
        </w:rPr>
        <w:t xml:space="preserve">” means, with respect to any Lender, the percentage of the total Commitments represented by such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when a Defaulting Lender shall exist, “Applicable Percentage” shall mean the percentage of the total Commitments (disregarding any Defaulting Lender’s Commitment) represented by such Lender’s Commitment. If the Commitments have terminated or expired, the Applicable Percentages shall be determined based upon the Revolving Credit Exposure then in effect, giving effect to any assignments and to any Lender’s status as a Defaulting Lender at the time of determination.</w:t>
      </w:r>
    </w:p>
    <w:p>
      <w:pPr>
        <w:spacing w:after="0" w:line="165"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Rate</w:t>
      </w:r>
      <w:r>
        <w:rPr>
          <w:rFonts w:ascii="Arial" w:cs="Arial" w:eastAsia="Arial" w:hAnsi="Arial"/>
          <w:sz w:val="16"/>
          <w:szCs w:val="16"/>
          <w:color w:val="auto"/>
        </w:rPr>
        <w:t xml:space="preserve">” means, for any day, with respect to </w:t>
      </w:r>
      <w:r>
        <w:rPr>
          <w:rFonts w:ascii="Arial" w:cs="Arial" w:eastAsia="Arial" w:hAnsi="Arial"/>
          <w:sz w:val="16"/>
          <w:szCs w:val="16"/>
          <w:u w:val="single" w:color="auto"/>
          <w:color w:val="0000FF"/>
        </w:rPr>
        <w:t>(i)</w:t>
      </w:r>
      <w:r>
        <w:rPr>
          <w:rFonts w:ascii="Arial" w:cs="Arial" w:eastAsia="Arial" w:hAnsi="Arial"/>
          <w:sz w:val="16"/>
          <w:szCs w:val="16"/>
          <w:color w:val="auto"/>
        </w:rPr>
        <w:t xml:space="preserve"> any </w:t>
      </w:r>
      <w:r>
        <w:rPr>
          <w:rFonts w:ascii="Arial" w:cs="Arial" w:eastAsia="Arial" w:hAnsi="Arial"/>
          <w:sz w:val="16"/>
          <w:szCs w:val="16"/>
          <w:u w:val="single" w:color="auto"/>
          <w:color w:val="0000FF"/>
        </w:rPr>
        <w:t>(x)</w:t>
      </w:r>
      <w:r>
        <w:rPr>
          <w:rFonts w:ascii="Arial" w:cs="Arial" w:eastAsia="Arial" w:hAnsi="Arial"/>
          <w:sz w:val="16"/>
          <w:szCs w:val="16"/>
          <w:color w:val="auto"/>
        </w:rPr>
        <w:t xml:space="preserve"> ABR Loan, </w:t>
      </w:r>
      <w:r>
        <w:rPr>
          <w:rFonts w:ascii="Arial" w:cs="Arial" w:eastAsia="Arial" w:hAnsi="Arial"/>
          <w:sz w:val="16"/>
          <w:szCs w:val="16"/>
          <w:color w:val="FF0000"/>
          <w:strike w:val="1"/>
        </w:rPr>
        <w:t>Eurocurrency Loan,</w:t>
      </w:r>
      <w:r>
        <w:rPr>
          <w:rFonts w:ascii="Arial" w:cs="Arial" w:eastAsia="Arial" w:hAnsi="Arial"/>
          <w:sz w:val="16"/>
          <w:szCs w:val="16"/>
          <w:color w:val="auto"/>
        </w:rPr>
        <w:t xml:space="preserve"> Canadian Prime Rate Loan</w:t>
      </w:r>
      <w:r>
        <w:rPr>
          <w:rFonts w:ascii="Arial" w:cs="Arial" w:eastAsia="Arial" w:hAnsi="Arial"/>
          <w:sz w:val="16"/>
          <w:szCs w:val="16"/>
          <w:color w:val="FF0000"/>
          <w:strike w:val="1"/>
        </w:rPr>
        <w:t>, RFR</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Loan, CBR Loan </w:t>
      </w:r>
      <w:r>
        <w:rPr>
          <w:rFonts w:ascii="Arial" w:cs="Arial" w:eastAsia="Arial" w:hAnsi="Arial"/>
          <w:sz w:val="16"/>
          <w:szCs w:val="16"/>
          <w:u w:val="single" w:color="auto"/>
          <w:color w:val="0000FF"/>
          <w:strike w:val="1"/>
        </w:rPr>
        <w:t>or Japanese Prime Rate Loan, the applicable rate per annum set for the below under the caption “ABR/Canadian Prime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Rate/Japanese Prime Rate Spread”, (y) Term Benchmark Loan, RFR Loan or CBR Loan, the applicable rate per annum set for the below under the caption “Term Benchmark/RFR/CBR Spread”</w:t>
      </w:r>
      <w:r>
        <w:rPr>
          <w:rFonts w:ascii="Arial" w:cs="Arial" w:eastAsia="Arial" w:hAnsi="Arial"/>
          <w:sz w:val="16"/>
          <w:szCs w:val="16"/>
          <w:color w:val="000000"/>
          <w:strike w:val="1"/>
        </w:rPr>
        <w:t>, or with respect to</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(ii)</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the facility fees payable hereunder, as the case may be, the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applicable rate per annum set forth below under the caption “</w:t>
      </w:r>
      <w:r>
        <w:rPr>
          <w:rFonts w:ascii="Arial" w:cs="Arial" w:eastAsia="Arial" w:hAnsi="Arial"/>
          <w:sz w:val="16"/>
          <w:szCs w:val="16"/>
          <w:color w:val="FF0000"/>
          <w:strike w:val="1"/>
        </w:rPr>
        <w:t>ABR/Canadian Prime Rate Spread”, “Eurocurrency/RFR/CBR Spread” or</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w:t>
      </w:r>
      <w:r>
        <w:rPr>
          <w:rFonts w:ascii="Arial" w:cs="Arial" w:eastAsia="Arial" w:hAnsi="Arial"/>
          <w:sz w:val="16"/>
          <w:szCs w:val="16"/>
          <w:color w:val="000000"/>
          <w:strike w:val="1"/>
        </w:rPr>
        <w:t>Facility Fee Rate”, as the case may be, based upon the ratings by Moody’s and S&amp;P, respectively, applicable on such date to the Index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8255" cy="24174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8255" cy="24174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116205</wp:posOffset>
            </wp:positionV>
            <wp:extent cx="8255" cy="24174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8255" cy="241744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116205</wp:posOffset>
            </wp:positionV>
            <wp:extent cx="8890" cy="24174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8890" cy="241744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116205</wp:posOffset>
            </wp:positionV>
            <wp:extent cx="8255" cy="24174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8255" cy="24174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116205</wp:posOffset>
            </wp:positionV>
            <wp:extent cx="8255" cy="24174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8255" cy="24174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116205</wp:posOffset>
            </wp:positionV>
            <wp:extent cx="1628775" cy="24174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628775" cy="2417445"/>
                    </a:xfrm>
                    <a:prstGeom prst="rect">
                      <a:avLst/>
                    </a:prstGeom>
                    <a:noFill/>
                  </pic:spPr>
                </pic:pic>
              </a:graphicData>
            </a:graphic>
          </wp:anchor>
        </w:drawing>
      </w: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Borders>
              <w:bottom w:val="single" w:sz="8" w:color="FF0000"/>
            </w:tcBorders>
            <w:gridSpan w:val="6"/>
          </w:tcPr>
          <w:p>
            <w:pPr>
              <w:spacing w:after="0"/>
              <w:rPr>
                <w:sz w:val="20"/>
                <w:szCs w:val="20"/>
                <w:color w:val="auto"/>
              </w:rPr>
            </w:pPr>
            <w:r>
              <w:rPr>
                <w:rFonts w:ascii="Arial" w:cs="Arial" w:eastAsia="Arial" w:hAnsi="Arial"/>
                <w:sz w:val="18"/>
                <w:szCs w:val="18"/>
                <w:color w:val="FF0000"/>
                <w:strike w:val="1"/>
                <w:w w:val="87"/>
              </w:rPr>
              <w:t>Eurocurrency</w:t>
            </w:r>
          </w:p>
        </w:tc>
        <w:tc>
          <w:tcPr>
            <w:tcW w:w="4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Term</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gridSpan w:val="8"/>
          </w:tcPr>
          <w:p>
            <w:pPr>
              <w:jc w:val="center"/>
              <w:ind w:right="20"/>
              <w:spacing w:after="0" w:line="196" w:lineRule="exact"/>
              <w:rPr>
                <w:sz w:val="20"/>
                <w:szCs w:val="20"/>
                <w:color w:val="auto"/>
              </w:rPr>
            </w:pPr>
            <w:r>
              <w:rPr>
                <w:rFonts w:ascii="Arial" w:cs="Arial" w:eastAsia="Arial" w:hAnsi="Arial"/>
                <w:sz w:val="18"/>
                <w:szCs w:val="18"/>
                <w:color w:val="0000FF"/>
                <w:w w:val="91"/>
              </w:rPr>
              <w:t>Benchmark</w:t>
            </w:r>
            <w:r>
              <w:rPr>
                <w:rFonts w:ascii="Arial" w:cs="Arial" w:eastAsia="Arial" w:hAnsi="Arial"/>
                <w:sz w:val="18"/>
                <w:szCs w:val="18"/>
                <w:color w:val="000000"/>
                <w:w w:val="91"/>
              </w:rPr>
              <w:t>/RFR/</w:t>
            </w:r>
          </w:p>
        </w:tc>
        <w:tc>
          <w:tcPr>
            <w:tcW w:w="2640" w:type="dxa"/>
            <w:vAlign w:val="bottom"/>
            <w:gridSpan w:val="7"/>
            <w:vMerge w:val="restart"/>
          </w:tcPr>
          <w:p>
            <w:pPr>
              <w:jc w:val="center"/>
              <w:ind w:left="890"/>
              <w:spacing w:after="0"/>
              <w:rPr>
                <w:sz w:val="20"/>
                <w:szCs w:val="20"/>
                <w:color w:val="auto"/>
              </w:rPr>
            </w:pPr>
            <w:r>
              <w:rPr>
                <w:rFonts w:ascii="Arial" w:cs="Arial" w:eastAsia="Arial" w:hAnsi="Arial"/>
                <w:sz w:val="18"/>
                <w:szCs w:val="18"/>
                <w:color w:val="auto"/>
                <w:w w:val="92"/>
              </w:rPr>
              <w:t>ABR/Canadian Prime</w:t>
            </w: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360" w:type="dxa"/>
            <w:vAlign w:val="bottom"/>
            <w:tcBorders>
              <w:top w:val="single" w:sz="8" w:color="0000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640" w:type="dxa"/>
            <w:vAlign w:val="bottom"/>
            <w:gridSpan w:val="7"/>
            <w:vMerge w:val="continue"/>
          </w:tcPr>
          <w:p>
            <w:pPr>
              <w:spacing w:after="0"/>
              <w:rPr>
                <w:sz w:val="7"/>
                <w:szCs w:val="7"/>
                <w:color w:val="auto"/>
              </w:rPr>
            </w:pPr>
          </w:p>
        </w:tc>
        <w:tc>
          <w:tcPr>
            <w:tcW w:w="1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94"/>
              </w:rPr>
              <w:t>CBR</w:t>
            </w:r>
          </w:p>
        </w:tc>
        <w:tc>
          <w:tcPr>
            <w:tcW w:w="520" w:type="dxa"/>
            <w:vAlign w:val="bottom"/>
            <w:gridSpan w:val="4"/>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5"/>
          </w:tcPr>
          <w:p>
            <w:pPr>
              <w:jc w:val="center"/>
              <w:ind w:right="80"/>
              <w:spacing w:after="0" w:line="196" w:lineRule="exact"/>
              <w:rPr>
                <w:sz w:val="20"/>
                <w:szCs w:val="20"/>
                <w:color w:val="auto"/>
              </w:rPr>
            </w:pPr>
            <w:r>
              <w:rPr>
                <w:rFonts w:ascii="Arial" w:cs="Arial" w:eastAsia="Arial" w:hAnsi="Arial"/>
                <w:sz w:val="18"/>
                <w:szCs w:val="18"/>
                <w:color w:val="auto"/>
                <w:w w:val="86"/>
              </w:rPr>
              <w:t>Rate</w:t>
            </w:r>
            <w:r>
              <w:rPr>
                <w:rFonts w:ascii="Arial" w:cs="Arial" w:eastAsia="Arial" w:hAnsi="Arial"/>
                <w:sz w:val="18"/>
                <w:szCs w:val="18"/>
                <w:color w:val="0000FF"/>
                <w:w w:val="86"/>
              </w:rPr>
              <w:t>/Japanese Prime</w:t>
            </w: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2"/>
          </w:tcPr>
          <w:p>
            <w:pPr>
              <w:jc w:val="center"/>
              <w:ind w:left="430"/>
              <w:spacing w:after="0" w:line="196" w:lineRule="exact"/>
              <w:rPr>
                <w:sz w:val="20"/>
                <w:szCs w:val="20"/>
                <w:color w:val="auto"/>
              </w:rPr>
            </w:pPr>
            <w:r>
              <w:rPr>
                <w:rFonts w:ascii="Arial" w:cs="Arial" w:eastAsia="Arial" w:hAnsi="Arial"/>
                <w:sz w:val="18"/>
                <w:szCs w:val="18"/>
                <w:color w:val="auto"/>
                <w:w w:val="96"/>
              </w:rPr>
              <w:t>Tier</w:t>
            </w:r>
          </w:p>
        </w:tc>
        <w:tc>
          <w:tcPr>
            <w:tcW w:w="1240" w:type="dxa"/>
            <w:vAlign w:val="bottom"/>
          </w:tcPr>
          <w:p>
            <w:pPr>
              <w:spacing w:after="0"/>
              <w:rPr>
                <w:sz w:val="17"/>
                <w:szCs w:val="17"/>
                <w:color w:val="auto"/>
              </w:rPr>
            </w:pPr>
          </w:p>
        </w:tc>
        <w:tc>
          <w:tcPr>
            <w:tcW w:w="1880" w:type="dxa"/>
            <w:vAlign w:val="bottom"/>
            <w:gridSpan w:val="2"/>
          </w:tcPr>
          <w:p>
            <w:pPr>
              <w:jc w:val="center"/>
              <w:ind w:right="1340"/>
              <w:spacing w:after="0" w:line="196" w:lineRule="exact"/>
              <w:rPr>
                <w:sz w:val="20"/>
                <w:szCs w:val="20"/>
                <w:color w:val="auto"/>
              </w:rPr>
            </w:pPr>
            <w:r>
              <w:rPr>
                <w:rFonts w:ascii="Arial" w:cs="Arial" w:eastAsia="Arial" w:hAnsi="Arial"/>
                <w:sz w:val="18"/>
                <w:szCs w:val="18"/>
                <w:color w:val="auto"/>
                <w:w w:val="88"/>
              </w:rPr>
              <w:t>Ratings</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6"/>
          </w:tcPr>
          <w:p>
            <w:pPr>
              <w:jc w:val="center"/>
              <w:ind w:right="460"/>
              <w:spacing w:after="0" w:line="196" w:lineRule="exact"/>
              <w:rPr>
                <w:sz w:val="20"/>
                <w:szCs w:val="20"/>
                <w:color w:val="auto"/>
              </w:rPr>
            </w:pPr>
            <w:r>
              <w:rPr>
                <w:rFonts w:ascii="Arial" w:cs="Arial" w:eastAsia="Arial" w:hAnsi="Arial"/>
                <w:sz w:val="18"/>
                <w:szCs w:val="18"/>
                <w:color w:val="auto"/>
                <w:w w:val="86"/>
              </w:rPr>
              <w:t>Spread</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4"/>
          </w:tcPr>
          <w:p>
            <w:pPr>
              <w:jc w:val="center"/>
              <w:ind w:right="360"/>
              <w:spacing w:after="0" w:line="196" w:lineRule="exact"/>
              <w:rPr>
                <w:sz w:val="20"/>
                <w:szCs w:val="20"/>
                <w:color w:val="auto"/>
              </w:rPr>
            </w:pPr>
            <w:r>
              <w:rPr>
                <w:rFonts w:ascii="Arial" w:cs="Arial" w:eastAsia="Arial" w:hAnsi="Arial"/>
                <w:sz w:val="18"/>
                <w:szCs w:val="18"/>
                <w:color w:val="0000FF"/>
                <w:w w:val="87"/>
              </w:rPr>
              <w:t xml:space="preserve">Rate </w:t>
            </w:r>
            <w:r>
              <w:rPr>
                <w:rFonts w:ascii="Arial" w:cs="Arial" w:eastAsia="Arial" w:hAnsi="Arial"/>
                <w:sz w:val="18"/>
                <w:szCs w:val="18"/>
                <w:color w:val="000000"/>
                <w:w w:val="87"/>
              </w:rPr>
              <w:t>Spread</w:t>
            </w:r>
          </w:p>
        </w:tc>
        <w:tc>
          <w:tcPr>
            <w:tcW w:w="1120" w:type="dxa"/>
            <w:vAlign w:val="bottom"/>
          </w:tcPr>
          <w:p>
            <w:pPr>
              <w:spacing w:after="0"/>
              <w:rPr>
                <w:sz w:val="17"/>
                <w:szCs w:val="17"/>
                <w:color w:val="auto"/>
              </w:rPr>
            </w:pPr>
          </w:p>
        </w:tc>
        <w:tc>
          <w:tcPr>
            <w:tcW w:w="1920" w:type="dxa"/>
            <w:vAlign w:val="bottom"/>
            <w:gridSpan w:val="2"/>
          </w:tcPr>
          <w:p>
            <w:pPr>
              <w:jc w:val="center"/>
              <w:ind w:right="700"/>
              <w:spacing w:after="0" w:line="196" w:lineRule="exact"/>
              <w:rPr>
                <w:sz w:val="20"/>
                <w:szCs w:val="20"/>
                <w:color w:val="auto"/>
              </w:rPr>
            </w:pPr>
            <w:r>
              <w:rPr>
                <w:rFonts w:ascii="Arial" w:cs="Arial" w:eastAsia="Arial" w:hAnsi="Arial"/>
                <w:sz w:val="18"/>
                <w:szCs w:val="18"/>
                <w:color w:val="auto"/>
                <w:w w:val="90"/>
              </w:rPr>
              <w:t>Facility Fee Rate</w:t>
            </w:r>
          </w:p>
        </w:tc>
        <w:tc>
          <w:tcPr>
            <w:tcW w:w="0" w:type="dxa"/>
            <w:vAlign w:val="bottom"/>
          </w:tcPr>
          <w:p>
            <w:pPr>
              <w:spacing w:after="0"/>
              <w:rPr>
                <w:sz w:val="1"/>
                <w:szCs w:val="1"/>
                <w:color w:val="auto"/>
              </w:rPr>
            </w:pPr>
          </w:p>
        </w:tc>
      </w:tr>
      <w:tr>
        <w:trPr>
          <w:trHeight w:val="142"/>
        </w:trPr>
        <w:tc>
          <w:tcPr>
            <w:tcW w:w="52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40" w:type="dxa"/>
            <w:vAlign w:val="bottom"/>
            <w:tcBorders>
              <w:top w:val="single" w:sz="8" w:color="0000FF"/>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520" w:type="dxa"/>
            <w:vAlign w:val="bottom"/>
          </w:tcPr>
          <w:p>
            <w:pPr>
              <w:spacing w:after="0"/>
              <w:rPr>
                <w:sz w:val="24"/>
                <w:szCs w:val="24"/>
                <w:color w:val="auto"/>
              </w:rPr>
            </w:pPr>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rPr>
              <w:t>I</w:t>
            </w:r>
          </w:p>
        </w:tc>
        <w:tc>
          <w:tcPr>
            <w:tcW w:w="312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 A2 / A</w:t>
            </w:r>
          </w:p>
        </w:tc>
        <w:tc>
          <w:tcPr>
            <w:tcW w:w="960" w:type="dxa"/>
            <w:vAlign w:val="bottom"/>
            <w:gridSpan w:val="6"/>
            <w:vMerge w:val="restart"/>
          </w:tcPr>
          <w:p>
            <w:pPr>
              <w:jc w:val="center"/>
              <w:ind w:left="330"/>
              <w:spacing w:after="0"/>
              <w:rPr>
                <w:sz w:val="20"/>
                <w:szCs w:val="20"/>
                <w:color w:val="auto"/>
              </w:rPr>
            </w:pPr>
            <w:r>
              <w:rPr>
                <w:rFonts w:ascii="Arial" w:cs="Arial" w:eastAsia="Arial" w:hAnsi="Arial"/>
                <w:sz w:val="18"/>
                <w:szCs w:val="18"/>
                <w:color w:val="auto"/>
                <w:w w:val="88"/>
              </w:rPr>
              <w:t>0.680%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5"/>
            <w:vMerge w:val="restart"/>
          </w:tcPr>
          <w:p>
            <w:pPr>
              <w:jc w:val="center"/>
              <w:ind w:left="1310"/>
              <w:spacing w:after="0"/>
              <w:rPr>
                <w:sz w:val="20"/>
                <w:szCs w:val="20"/>
                <w:color w:val="auto"/>
              </w:rPr>
            </w:pPr>
            <w:r>
              <w:rPr>
                <w:rFonts w:ascii="Arial" w:cs="Arial" w:eastAsia="Arial" w:hAnsi="Arial"/>
                <w:sz w:val="18"/>
                <w:szCs w:val="18"/>
                <w:color w:val="auto"/>
                <w:w w:val="92"/>
              </w:rPr>
              <w:t>0%</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2"/>
            <w:vMerge w:val="restart"/>
          </w:tcPr>
          <w:p>
            <w:pPr>
              <w:jc w:val="center"/>
              <w:ind w:left="1050"/>
              <w:spacing w:after="0"/>
              <w:rPr>
                <w:sz w:val="20"/>
                <w:szCs w:val="20"/>
                <w:color w:val="auto"/>
              </w:rPr>
            </w:pPr>
            <w:r>
              <w:rPr>
                <w:rFonts w:ascii="Arial" w:cs="Arial" w:eastAsia="Arial" w:hAnsi="Arial"/>
                <w:sz w:val="18"/>
                <w:szCs w:val="18"/>
                <w:color w:val="auto"/>
                <w:w w:val="91"/>
              </w:rPr>
              <w:t>0.070%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60" w:type="dxa"/>
            <w:vAlign w:val="bottom"/>
            <w:gridSpan w:val="6"/>
            <w:vMerge w:val="continue"/>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5"/>
            <w:vMerge w:val="continue"/>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34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&lt; A2 / A</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80" w:type="dxa"/>
            <w:vAlign w:val="bottom"/>
            <w:gridSpan w:val="2"/>
          </w:tcPr>
          <w:p>
            <w:pPr>
              <w:jc w:val="center"/>
              <w:ind w:right="1380"/>
              <w:spacing w:after="0"/>
              <w:rPr>
                <w:sz w:val="20"/>
                <w:szCs w:val="20"/>
                <w:color w:val="auto"/>
              </w:rPr>
            </w:pPr>
            <w:r>
              <w:rPr>
                <w:rFonts w:ascii="Arial" w:cs="Arial" w:eastAsia="Arial" w:hAnsi="Arial"/>
                <w:sz w:val="18"/>
                <w:szCs w:val="18"/>
                <w:color w:val="auto"/>
                <w:w w:val="86"/>
              </w:rPr>
              <w:t>and</w:t>
            </w:r>
          </w:p>
        </w:tc>
        <w:tc>
          <w:tcPr>
            <w:tcW w:w="960" w:type="dxa"/>
            <w:vAlign w:val="bottom"/>
            <w:gridSpan w:val="6"/>
            <w:vMerge w:val="restart"/>
          </w:tcPr>
          <w:p>
            <w:pPr>
              <w:jc w:val="center"/>
              <w:ind w:left="330"/>
              <w:spacing w:after="0"/>
              <w:rPr>
                <w:sz w:val="20"/>
                <w:szCs w:val="20"/>
                <w:color w:val="auto"/>
              </w:rPr>
            </w:pPr>
            <w:r>
              <w:rPr>
                <w:rFonts w:ascii="Arial" w:cs="Arial" w:eastAsia="Arial" w:hAnsi="Arial"/>
                <w:sz w:val="18"/>
                <w:szCs w:val="18"/>
                <w:color w:val="auto"/>
                <w:w w:val="88"/>
              </w:rPr>
              <w:t>0.900%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5"/>
            <w:vMerge w:val="restart"/>
          </w:tcPr>
          <w:p>
            <w:pPr>
              <w:jc w:val="center"/>
              <w:ind w:left="1310"/>
              <w:spacing w:after="0"/>
              <w:rPr>
                <w:sz w:val="20"/>
                <w:szCs w:val="20"/>
                <w:color w:val="auto"/>
              </w:rPr>
            </w:pPr>
            <w:r>
              <w:rPr>
                <w:rFonts w:ascii="Arial" w:cs="Arial" w:eastAsia="Arial" w:hAnsi="Arial"/>
                <w:sz w:val="18"/>
                <w:szCs w:val="18"/>
                <w:color w:val="auto"/>
                <w:w w:val="92"/>
              </w:rPr>
              <w:t>0%</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gridSpan w:val="2"/>
            <w:vMerge w:val="restart"/>
          </w:tcPr>
          <w:p>
            <w:pPr>
              <w:jc w:val="center"/>
              <w:ind w:left="1050"/>
              <w:spacing w:after="0"/>
              <w:rPr>
                <w:sz w:val="20"/>
                <w:szCs w:val="20"/>
                <w:color w:val="auto"/>
              </w:rPr>
            </w:pPr>
            <w:r>
              <w:rPr>
                <w:rFonts w:ascii="Arial" w:cs="Arial" w:eastAsia="Arial" w:hAnsi="Arial"/>
                <w:sz w:val="18"/>
                <w:szCs w:val="18"/>
                <w:color w:val="auto"/>
                <w:w w:val="91"/>
              </w:rPr>
              <w:t>0.100%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rPr>
              <w:t>II</w:t>
            </w:r>
          </w:p>
        </w:tc>
        <w:tc>
          <w:tcPr>
            <w:tcW w:w="312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7"/>
              </w:rPr>
              <w:t>≥ A3 / A-</w:t>
            </w:r>
          </w:p>
        </w:tc>
        <w:tc>
          <w:tcPr>
            <w:tcW w:w="960" w:type="dxa"/>
            <w:vAlign w:val="bottom"/>
            <w:gridSpan w:val="6"/>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8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4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3120" w:type="dxa"/>
            <w:vAlign w:val="bottom"/>
            <w:tcBorders>
              <w:bottom w:val="single" w:sz="8" w:color="auto"/>
            </w:tcBorders>
            <w:gridSpan w:val="3"/>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3"/>
          </w:tcPr>
          <w:p>
            <w:pPr>
              <w:jc w:val="center"/>
              <w:ind w:right="80"/>
              <w:spacing w:after="0"/>
              <w:rPr>
                <w:sz w:val="20"/>
                <w:szCs w:val="20"/>
                <w:color w:val="auto"/>
              </w:rPr>
            </w:pPr>
            <w:r>
              <w:rPr>
                <w:rFonts w:ascii="Arial" w:cs="Arial" w:eastAsia="Arial" w:hAnsi="Arial"/>
                <w:sz w:val="18"/>
                <w:szCs w:val="18"/>
                <w:color w:val="auto"/>
                <w:w w:val="96"/>
              </w:rPr>
              <w:t>&lt; A3 / A-</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80" w:type="dxa"/>
            <w:vAlign w:val="bottom"/>
            <w:gridSpan w:val="2"/>
          </w:tcPr>
          <w:p>
            <w:pPr>
              <w:jc w:val="center"/>
              <w:ind w:right="1380"/>
              <w:spacing w:after="0"/>
              <w:rPr>
                <w:sz w:val="20"/>
                <w:szCs w:val="20"/>
                <w:color w:val="auto"/>
              </w:rPr>
            </w:pPr>
            <w:r>
              <w:rPr>
                <w:rFonts w:ascii="Arial" w:cs="Arial" w:eastAsia="Arial" w:hAnsi="Arial"/>
                <w:sz w:val="18"/>
                <w:szCs w:val="18"/>
                <w:color w:val="auto"/>
                <w:w w:val="86"/>
              </w:rPr>
              <w:t>and</w:t>
            </w:r>
          </w:p>
        </w:tc>
        <w:tc>
          <w:tcPr>
            <w:tcW w:w="960" w:type="dxa"/>
            <w:vAlign w:val="bottom"/>
            <w:gridSpan w:val="6"/>
            <w:vMerge w:val="restart"/>
          </w:tcPr>
          <w:p>
            <w:pPr>
              <w:jc w:val="center"/>
              <w:ind w:left="330"/>
              <w:spacing w:after="0"/>
              <w:rPr>
                <w:sz w:val="20"/>
                <w:szCs w:val="20"/>
                <w:color w:val="auto"/>
              </w:rPr>
            </w:pPr>
            <w:r>
              <w:rPr>
                <w:rFonts w:ascii="Arial" w:cs="Arial" w:eastAsia="Arial" w:hAnsi="Arial"/>
                <w:sz w:val="18"/>
                <w:szCs w:val="18"/>
                <w:color w:val="auto"/>
                <w:w w:val="88"/>
              </w:rPr>
              <w:t>1.000%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5"/>
            <w:vMerge w:val="restart"/>
          </w:tcPr>
          <w:p>
            <w:pPr>
              <w:jc w:val="center"/>
              <w:ind w:left="1310"/>
              <w:spacing w:after="0"/>
              <w:rPr>
                <w:sz w:val="20"/>
                <w:szCs w:val="20"/>
                <w:color w:val="auto"/>
              </w:rPr>
            </w:pPr>
            <w:r>
              <w:rPr>
                <w:rFonts w:ascii="Arial" w:cs="Arial" w:eastAsia="Arial" w:hAnsi="Arial"/>
                <w:sz w:val="18"/>
                <w:szCs w:val="18"/>
                <w:color w:val="auto"/>
                <w:w w:val="92"/>
              </w:rPr>
              <w:t>0%</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gridSpan w:val="2"/>
            <w:vMerge w:val="restart"/>
          </w:tcPr>
          <w:p>
            <w:pPr>
              <w:jc w:val="center"/>
              <w:ind w:left="1050"/>
              <w:spacing w:after="0"/>
              <w:rPr>
                <w:sz w:val="20"/>
                <w:szCs w:val="20"/>
                <w:color w:val="auto"/>
              </w:rPr>
            </w:pPr>
            <w:r>
              <w:rPr>
                <w:rFonts w:ascii="Arial" w:cs="Arial" w:eastAsia="Arial" w:hAnsi="Arial"/>
                <w:sz w:val="18"/>
                <w:szCs w:val="18"/>
                <w:color w:val="auto"/>
                <w:w w:val="91"/>
              </w:rPr>
              <w:t>0.125%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rPr>
              <w:t>III</w:t>
            </w:r>
          </w:p>
        </w:tc>
        <w:tc>
          <w:tcPr>
            <w:tcW w:w="312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4"/>
              </w:rPr>
              <w:t>≥ Baa1 / BBB+</w:t>
            </w:r>
          </w:p>
        </w:tc>
        <w:tc>
          <w:tcPr>
            <w:tcW w:w="960" w:type="dxa"/>
            <w:vAlign w:val="bottom"/>
            <w:gridSpan w:val="6"/>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8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4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3120" w:type="dxa"/>
            <w:vAlign w:val="bottom"/>
            <w:tcBorders>
              <w:bottom w:val="single" w:sz="8" w:color="auto"/>
            </w:tcBorders>
            <w:gridSpan w:val="3"/>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&lt; Baa1 / BBB+ and</w:t>
            </w:r>
          </w:p>
        </w:tc>
        <w:tc>
          <w:tcPr>
            <w:tcW w:w="960" w:type="dxa"/>
            <w:vAlign w:val="bottom"/>
            <w:gridSpan w:val="6"/>
            <w:vMerge w:val="restart"/>
          </w:tcPr>
          <w:p>
            <w:pPr>
              <w:jc w:val="center"/>
              <w:ind w:left="330"/>
              <w:spacing w:after="0"/>
              <w:rPr>
                <w:sz w:val="20"/>
                <w:szCs w:val="20"/>
                <w:color w:val="auto"/>
              </w:rPr>
            </w:pPr>
            <w:r>
              <w:rPr>
                <w:rFonts w:ascii="Arial" w:cs="Arial" w:eastAsia="Arial" w:hAnsi="Arial"/>
                <w:sz w:val="18"/>
                <w:szCs w:val="18"/>
                <w:color w:val="auto"/>
                <w:w w:val="88"/>
              </w:rPr>
              <w:t>1.100%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5"/>
            <w:vMerge w:val="restart"/>
          </w:tcPr>
          <w:p>
            <w:pPr>
              <w:jc w:val="center"/>
              <w:ind w:left="1310"/>
              <w:spacing w:after="0"/>
              <w:rPr>
                <w:sz w:val="20"/>
                <w:szCs w:val="20"/>
                <w:color w:val="auto"/>
              </w:rPr>
            </w:pPr>
            <w:r>
              <w:rPr>
                <w:rFonts w:ascii="Arial" w:cs="Arial" w:eastAsia="Arial" w:hAnsi="Arial"/>
                <w:sz w:val="18"/>
                <w:szCs w:val="18"/>
                <w:color w:val="auto"/>
                <w:w w:val="91"/>
              </w:rPr>
              <w:t>0.100%</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gridSpan w:val="2"/>
            <w:vMerge w:val="restart"/>
          </w:tcPr>
          <w:p>
            <w:pPr>
              <w:jc w:val="center"/>
              <w:ind w:left="1050"/>
              <w:spacing w:after="0"/>
              <w:rPr>
                <w:sz w:val="20"/>
                <w:szCs w:val="20"/>
                <w:color w:val="auto"/>
              </w:rPr>
            </w:pPr>
            <w:r>
              <w:rPr>
                <w:rFonts w:ascii="Arial" w:cs="Arial" w:eastAsia="Arial" w:hAnsi="Arial"/>
                <w:sz w:val="18"/>
                <w:szCs w:val="18"/>
                <w:color w:val="auto"/>
                <w:w w:val="91"/>
              </w:rPr>
              <w:t>0.150%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rPr>
              <w:t>IV</w:t>
            </w:r>
          </w:p>
        </w:tc>
        <w:tc>
          <w:tcPr>
            <w:tcW w:w="312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4"/>
              </w:rPr>
              <w:t>≥ Baa2 / BBB</w:t>
            </w:r>
          </w:p>
        </w:tc>
        <w:tc>
          <w:tcPr>
            <w:tcW w:w="960" w:type="dxa"/>
            <w:vAlign w:val="bottom"/>
            <w:gridSpan w:val="6"/>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8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4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31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jc w:val="center"/>
        <w:ind w:right="174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0" w:name="page71"/>
    <w:bookmarkEnd w:id="70"/>
    <w:tbl>
      <w:tblPr>
        <w:tblLayout w:type="fixed"/>
        <w:tblInd w:w="130" w:type="dxa"/>
        <w:tblCellMar>
          <w:top w:w="0" w:type="dxa"/>
          <w:left w:w="0" w:type="dxa"/>
          <w:bottom w:w="0" w:type="dxa"/>
          <w:right w:w="0" w:type="dxa"/>
        </w:tblCellMar>
      </w:tblPr>
      <w:tr>
        <w:trPr>
          <w:trHeight w:val="459"/>
        </w:trPr>
        <w:tc>
          <w:tcPr>
            <w:tcW w:w="1320" w:type="dxa"/>
            <w:vAlign w:val="bottom"/>
            <w:tcBorders>
              <w:top w:val="single" w:sz="8" w:color="auto"/>
              <w:left w:val="single" w:sz="8" w:color="auto"/>
              <w:right w:val="single" w:sz="8" w:color="auto"/>
            </w:tcBorders>
            <w:vMerge w:val="restart"/>
          </w:tcPr>
          <w:p>
            <w:pPr>
              <w:ind w:left="600"/>
              <w:spacing w:after="0"/>
              <w:rPr>
                <w:sz w:val="20"/>
                <w:szCs w:val="20"/>
                <w:color w:val="auto"/>
              </w:rPr>
            </w:pPr>
            <w:r>
              <w:rPr>
                <w:rFonts w:ascii="Arial" w:cs="Arial" w:eastAsia="Arial" w:hAnsi="Arial"/>
                <w:sz w:val="18"/>
                <w:szCs w:val="18"/>
                <w:color w:val="auto"/>
              </w:rPr>
              <w:t>V</w:t>
            </w:r>
          </w:p>
        </w:tc>
        <w:tc>
          <w:tcPr>
            <w:tcW w:w="204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 Baa3 / BBB-</w:t>
            </w:r>
          </w:p>
        </w:tc>
        <w:tc>
          <w:tcPr>
            <w:tcW w:w="2560" w:type="dxa"/>
            <w:vAlign w:val="bottom"/>
            <w:tcBorders>
              <w:top w:val="single" w:sz="8" w:color="auto"/>
              <w:right w:val="single" w:sz="8" w:color="auto"/>
            </w:tcBorders>
            <w:vMerge w:val="restart"/>
          </w:tcPr>
          <w:p>
            <w:pPr>
              <w:jc w:val="right"/>
              <w:ind w:right="930"/>
              <w:spacing w:after="0"/>
              <w:rPr>
                <w:sz w:val="20"/>
                <w:szCs w:val="20"/>
                <w:color w:val="auto"/>
              </w:rPr>
            </w:pPr>
            <w:r>
              <w:rPr>
                <w:rFonts w:ascii="Arial" w:cs="Arial" w:eastAsia="Arial" w:hAnsi="Arial"/>
                <w:sz w:val="18"/>
                <w:szCs w:val="18"/>
                <w:color w:val="auto"/>
              </w:rPr>
              <w:t>1.200%</w:t>
            </w:r>
          </w:p>
        </w:tc>
        <w:tc>
          <w:tcPr>
            <w:tcW w:w="2540" w:type="dxa"/>
            <w:vAlign w:val="bottom"/>
            <w:tcBorders>
              <w:top w:val="single" w:sz="8" w:color="auto"/>
              <w:right w:val="single" w:sz="8" w:color="auto"/>
            </w:tcBorders>
            <w:vMerge w:val="restart"/>
          </w:tcPr>
          <w:p>
            <w:pPr>
              <w:jc w:val="right"/>
              <w:ind w:right="910"/>
              <w:spacing w:after="0"/>
              <w:rPr>
                <w:sz w:val="20"/>
                <w:szCs w:val="20"/>
                <w:color w:val="auto"/>
              </w:rPr>
            </w:pPr>
            <w:r>
              <w:rPr>
                <w:rFonts w:ascii="Arial" w:cs="Arial" w:eastAsia="Arial" w:hAnsi="Arial"/>
                <w:sz w:val="18"/>
                <w:szCs w:val="18"/>
                <w:color w:val="auto"/>
              </w:rPr>
              <w:t>0.200%</w:t>
            </w:r>
          </w:p>
        </w:tc>
        <w:tc>
          <w:tcPr>
            <w:tcW w:w="2560" w:type="dxa"/>
            <w:vAlign w:val="bottom"/>
            <w:tcBorders>
              <w:top w:val="single" w:sz="8" w:color="auto"/>
              <w:right w:val="single" w:sz="8" w:color="auto"/>
            </w:tcBorders>
            <w:vMerge w:val="restart"/>
          </w:tcPr>
          <w:p>
            <w:pPr>
              <w:jc w:val="right"/>
              <w:ind w:right="930"/>
              <w:spacing w:after="0"/>
              <w:rPr>
                <w:sz w:val="20"/>
                <w:szCs w:val="20"/>
                <w:color w:val="auto"/>
              </w:rPr>
            </w:pPr>
            <w:r>
              <w:rPr>
                <w:rFonts w:ascii="Arial" w:cs="Arial" w:eastAsia="Arial" w:hAnsi="Arial"/>
                <w:sz w:val="18"/>
                <w:szCs w:val="18"/>
                <w:color w:val="auto"/>
              </w:rPr>
              <w:t>0.175%</w:t>
            </w:r>
          </w:p>
        </w:tc>
        <w:tc>
          <w:tcPr>
            <w:tcW w:w="0" w:type="dxa"/>
            <w:vAlign w:val="bottom"/>
          </w:tcPr>
          <w:p>
            <w:pPr>
              <w:spacing w:after="0"/>
              <w:rPr>
                <w:sz w:val="1"/>
                <w:szCs w:val="1"/>
                <w:color w:val="auto"/>
              </w:rPr>
            </w:pPr>
          </w:p>
        </w:tc>
      </w:tr>
      <w:tr>
        <w:trPr>
          <w:trHeight w:val="108"/>
        </w:trPr>
        <w:tc>
          <w:tcPr>
            <w:tcW w:w="1320" w:type="dxa"/>
            <w:vAlign w:val="bottom"/>
            <w:tcBorders>
              <w:left w:val="single" w:sz="8" w:color="auto"/>
              <w:right w:val="single" w:sz="8" w:color="auto"/>
            </w:tcBorders>
            <w:vMerge w:val="continue"/>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3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254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56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c>
          <w:tcPr>
            <w:tcW w:w="2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For purposes of the foregoing, (i) if either Moody’s or S&amp;P shall not have in effect a rating for the Index Debt (other than by reason of the circumstances referred to in the last sentence of this definition), then such rating agency shall be deemed to have established a rating equivalent to the Moody’s or S&amp;P, as applicable, rating then in effect (unless the absence of any such rating is due to the termination of the ratings engagement by the Company with Moody’s or S&amp;P, as applicable, in which case, the applicable rating shall be deemed to be Tier V);</w:t>
      </w:r>
    </w:p>
    <w:p>
      <w:pPr>
        <w:spacing w:after="0" w:line="3" w:lineRule="exact"/>
        <w:rPr>
          <w:sz w:val="20"/>
          <w:szCs w:val="20"/>
          <w:color w:val="auto"/>
        </w:rPr>
      </w:pPr>
    </w:p>
    <w:p>
      <w:pPr>
        <w:jc w:val="both"/>
        <w:ind w:firstLine="8"/>
        <w:spacing w:after="0" w:line="268" w:lineRule="auto"/>
        <w:tabs>
          <w:tab w:leader="none" w:pos="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if the ratings established or deemed to have been established by Moody’s and S&amp;P for the Index Debt shall fall within different Tiers, the Applicable Rate shall be based on the higher of the two ratings unless one of the two ratings is two or more Tiers lower than the other, in which case the Applicable Rate shall be determined by reference to the Tier next above that of the lower of the two ratings; and (iii) 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irrespective of when notice of such change shall have been furnished by the Company to the Administrative Agent and the Lenders pursuant to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or otherwise. Each change in the Applicable Rate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180"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 xml:space="preserve">It is hereby understood and agreed that (a) the Facility Fee Rate shall be adjusted from time to time based upon the Sustainability Fee Adjustment (as defined and to be calculated and applied as set forth in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and (b) the Applicable Margins shall be adjusted from time to time based upon the Sustainability Margin Adjustment (as defined and to be calculated and applied as set forth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of the Facility Rate or any Applicable Margin be less than 0% per annum.</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Applicant Borrower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2.23(b)</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Approved Fund</w:t>
      </w:r>
      <w:r>
        <w:rPr>
          <w:rFonts w:ascii="Arial" w:cs="Arial" w:eastAsia="Arial" w:hAnsi="Arial"/>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Arrangers</w:t>
      </w:r>
      <w:r>
        <w:rPr>
          <w:rFonts w:ascii="Arial" w:cs="Arial" w:eastAsia="Arial" w:hAnsi="Arial"/>
          <w:sz w:val="20"/>
          <w:szCs w:val="20"/>
          <w:color w:val="auto"/>
        </w:rPr>
        <w:t>” means, collectively, (i) JPMorgan Chase Bank, N.A. and Citibank, N.A., in their capacity as Joint Lead Arrangers and Joint Bookrunners, and (ii) Mizuho Bank, Ltd., TD Securities (USA) LLC, Bank of America, N.A. and U.S. Bank National Association, in their capacity as Joint Lead Arrangers.</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Assignment and Assumption</w:t>
      </w:r>
      <w:r>
        <w:rPr>
          <w:rFonts w:ascii="Arial" w:cs="Arial" w:eastAsia="Arial" w:hAnsi="Arial"/>
          <w:sz w:val="20"/>
          <w:szCs w:val="20"/>
          <w:color w:val="auto"/>
        </w:rPr>
        <w:t xml:space="preserve">” means an assignment and assumption entered into by a Lender and an assignee (with the consent of any party whose consent is required by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and accepted by the Administrative Agent,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any other form approved by the Administrative Agent.</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AUD Interpolated Rate</w:t>
      </w:r>
      <w:r>
        <w:rPr>
          <w:rFonts w:ascii="Arial" w:cs="Arial" w:eastAsia="Arial" w:hAnsi="Arial"/>
          <w:sz w:val="20"/>
          <w:szCs w:val="20"/>
          <w:color w:val="FF0000"/>
          <w:strike w:val="1"/>
        </w:rPr>
        <w:t>” means, at any time, with respect to any Eurocurrency Borrowing denominated in Australian Dollars and for any Interest Period, the rate per annum determined by the Administrative Agent (which determination shall be conclusive and binding absent manifest error) to be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6" w:right="339" w:bottom="1440" w:gutter="0" w:footer="0" w:header="0"/>
        </w:sectPr>
      </w:pPr>
    </w:p>
    <w:bookmarkStart w:id="71" w:name="page72"/>
    <w:bookmarkEnd w:id="71"/>
    <w:p>
      <w:pPr>
        <w:jc w:val="both"/>
        <w:spacing w:after="0" w:line="244" w:lineRule="auto"/>
        <w:rPr>
          <w:sz w:val="20"/>
          <w:szCs w:val="20"/>
          <w:color w:val="auto"/>
        </w:rPr>
      </w:pPr>
      <w:r>
        <w:rPr>
          <w:rFonts w:ascii="Arial" w:cs="Arial" w:eastAsia="Arial" w:hAnsi="Arial"/>
          <w:sz w:val="20"/>
          <w:szCs w:val="20"/>
          <w:color w:val="FF0000"/>
          <w:strike w:val="1"/>
        </w:rPr>
        <w:t xml:space="preserve">equal to the rate that results from interpolating on a linear basis between: (a) the AUD Screen Rate for the longest period (for which the AUD Screen Rate is available for Australian Dollars) that is shorter than the Impacted AUD Rate Interest Period; and (b) the AUD Screen Rate for the shortest period (for which the AUD Screen Rate is available for Australian Dollars) that exceeds the Impacted AUD Rate Interest Period, in each case, at such time; </w:t>
      </w:r>
      <w:r>
        <w:rPr>
          <w:rFonts w:ascii="Arial" w:cs="Arial" w:eastAsia="Arial" w:hAnsi="Arial"/>
          <w:sz w:val="20"/>
          <w:szCs w:val="20"/>
          <w:u w:val="single" w:color="auto"/>
          <w:color w:val="FF0000"/>
          <w:strike w:val="1"/>
        </w:rPr>
        <w:t>provided</w:t>
      </w:r>
      <w:r>
        <w:rPr>
          <w:rFonts w:ascii="Arial" w:cs="Arial" w:eastAsia="Arial" w:hAnsi="Arial"/>
          <w:sz w:val="20"/>
          <w:szCs w:val="20"/>
          <w:color w:val="FF0000"/>
          <w:strike w:val="1"/>
        </w:rPr>
        <w:t xml:space="preserve"> that if any AUD Interpolated Rate as so determined would be less than zero, such rate shall be deemed to be zero for the purposes of this Agreement.</w:t>
      </w:r>
    </w:p>
    <w:p>
      <w:pPr>
        <w:spacing w:after="0" w:line="19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AUD Rate</w:t>
      </w:r>
      <w:r>
        <w:rPr>
          <w:rFonts w:ascii="Arial" w:cs="Arial" w:eastAsia="Arial" w:hAnsi="Arial"/>
          <w:sz w:val="20"/>
          <w:szCs w:val="20"/>
          <w:color w:val="auto"/>
        </w:rPr>
        <w:t xml:space="preserve">” means, with respect to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Borrowing denominated in Australian Dollars and for any Interest Period, the AUD Screen Rate at approximately 11:00 a.m., Sydney, Australia time, on the first day of such Interest Period</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provided</w:t>
      </w:r>
      <w:r>
        <w:rPr>
          <w:rFonts w:ascii="Arial" w:cs="Arial" w:eastAsia="Arial" w:hAnsi="Arial"/>
          <w:sz w:val="20"/>
          <w:szCs w:val="20"/>
          <w:color w:val="auto"/>
        </w:rPr>
        <w:t xml:space="preserve"> </w:t>
      </w:r>
      <w:r>
        <w:rPr>
          <w:rFonts w:ascii="Arial" w:cs="Arial" w:eastAsia="Arial" w:hAnsi="Arial"/>
          <w:sz w:val="20"/>
          <w:szCs w:val="20"/>
          <w:color w:val="FF0000"/>
          <w:strike w:val="1"/>
        </w:rPr>
        <w:t>that if the AUD Screen Rate shall not be available at such time for such Interest Period (an “</w:t>
      </w:r>
      <w:r>
        <w:rPr>
          <w:rFonts w:ascii="Arial" w:cs="Arial" w:eastAsia="Arial" w:hAnsi="Arial"/>
          <w:sz w:val="20"/>
          <w:szCs w:val="20"/>
          <w:b w:val="1"/>
          <w:bCs w:val="1"/>
          <w:i w:val="1"/>
          <w:iCs w:val="1"/>
          <w:color w:val="FF0000"/>
          <w:strike w:val="1"/>
        </w:rPr>
        <w:t>Impacted AUD Rate Interest Period</w:t>
      </w:r>
      <w:r>
        <w:rPr>
          <w:rFonts w:ascii="Arial" w:cs="Arial" w:eastAsia="Arial" w:hAnsi="Arial"/>
          <w:sz w:val="20"/>
          <w:szCs w:val="20"/>
          <w:color w:val="FF0000"/>
          <w:strike w:val="1"/>
        </w:rPr>
        <w:t>”) with respect to Australian Dollars then the AUD Rate shall be the AUD Interpolated Rate</w:t>
      </w:r>
      <w:r>
        <w:rPr>
          <w:rFonts w:ascii="Arial" w:cs="Arial" w:eastAsia="Arial" w:hAnsi="Arial"/>
          <w:sz w:val="20"/>
          <w:szCs w:val="20"/>
          <w:color w:val="000000"/>
          <w:strike w:val="1"/>
        </w:rPr>
        <w:t>.</w:t>
      </w:r>
    </w:p>
    <w:p>
      <w:pPr>
        <w:spacing w:after="0" w:line="19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AUD Screen Rate</w:t>
      </w:r>
      <w:r>
        <w:rPr>
          <w:rFonts w:ascii="Arial" w:cs="Arial" w:eastAsia="Arial" w:hAnsi="Arial"/>
          <w:sz w:val="20"/>
          <w:szCs w:val="20"/>
          <w:color w:val="auto"/>
        </w:rPr>
        <w:t>” means, for any day and time, for any Interest Period, the average bid reference rate administered by ASX Benchmarks Pty Limited (ACN 616 075 417) (or any other Person that takes over the administration of such rate) for Australian dollar bills of exchange with a tenor equal in length to 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as shall be selected by the Administrative Agent from time to time in its reasonable discretion). If the AUD Screen Rate as so determined would be less than zero, the AUD Screen Rate shall be deemed to be zero for purposes of this Agreement.</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Augmenting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2.21(a)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Australian Dollars</w:t>
      </w:r>
      <w:r>
        <w:rPr>
          <w:rFonts w:ascii="Arial" w:cs="Arial" w:eastAsia="Arial" w:hAnsi="Arial"/>
          <w:sz w:val="20"/>
          <w:szCs w:val="20"/>
          <w:color w:val="auto"/>
        </w:rPr>
        <w:t>” means the lawful currency of Australia.</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Availability Period</w:t>
      </w:r>
      <w:r>
        <w:rPr>
          <w:rFonts w:ascii="Arial" w:cs="Arial" w:eastAsia="Arial" w:hAnsi="Arial"/>
          <w:sz w:val="20"/>
          <w:szCs w:val="20"/>
          <w:color w:val="auto"/>
        </w:rPr>
        <w:t>” means the period from and including the Effective Date to but excluding the earlier of the Maturity Date and the date of termination of the Commitments.</w:t>
      </w:r>
    </w:p>
    <w:p>
      <w:pPr>
        <w:spacing w:after="0" w:line="17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Available Tenor</w:t>
      </w:r>
      <w:r>
        <w:rPr>
          <w:rFonts w:ascii="Arial" w:cs="Arial" w:eastAsia="Arial" w:hAnsi="Arial"/>
          <w:sz w:val="20"/>
          <w:szCs w:val="20"/>
          <w:color w:val="auto"/>
        </w:rPr>
        <w:t xml:space="preserve">”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(f) of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9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w:t>
      </w:r>
      <w:r>
        <w:rPr>
          <w:rFonts w:ascii="Arial" w:cs="Arial" w:eastAsia="Arial" w:hAnsi="Arial"/>
          <w:sz w:val="19"/>
          <w:szCs w:val="19"/>
          <w:u w:val="single" w:color="auto"/>
          <w:color w:val="0000FF"/>
        </w:rPr>
        <w:t>,</w:t>
      </w:r>
      <w:r>
        <w:rPr>
          <w:rFonts w:ascii="Arial" w:cs="Arial" w:eastAsia="Arial" w:hAnsi="Arial"/>
          <w:sz w:val="19"/>
          <w:szCs w:val="19"/>
          <w:color w:val="auto"/>
        </w:rPr>
        <w:t xml:space="preserve">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2" w:name="page73"/>
    <w:bookmarkEnd w:id="72"/>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Bankruptcy Code</w:t>
      </w:r>
      <w:r>
        <w:rPr>
          <w:rFonts w:ascii="Arial" w:cs="Arial" w:eastAsia="Arial" w:hAnsi="Arial"/>
          <w:sz w:val="20"/>
          <w:szCs w:val="20"/>
          <w:color w:val="auto"/>
        </w:rPr>
        <w:t>” means Title 11 of the United States Code entitled “Bankruptcy”, as now and hereafter in effect, or any successor statute.</w:t>
      </w:r>
    </w:p>
    <w:p>
      <w:pPr>
        <w:spacing w:after="0" w:line="17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Bankruptcy Event</w:t>
      </w:r>
      <w:r>
        <w:rPr>
          <w:rFonts w:ascii="Arial" w:cs="Arial" w:eastAsia="Arial" w:hAnsi="Arial"/>
          <w:sz w:val="19"/>
          <w:szCs w:val="19"/>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of America or from the enforcement of judgments or writs of attachment on its assets or permit such Person (or such Governmental Authority or instrumentality) to reject, repudiate, disavow or disaffirm any contracts or agreements made by such Person.</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BBSY</w:t>
      </w:r>
      <w:r>
        <w:rPr>
          <w:rFonts w:ascii="Arial" w:cs="Arial" w:eastAsia="Arial" w:hAnsi="Arial"/>
          <w:sz w:val="20"/>
          <w:szCs w:val="20"/>
          <w:color w:val="FF0000"/>
          <w:strike w:val="1"/>
        </w:rPr>
        <w:t xml:space="preserve">” has the meaning assigned to such term in </w:t>
      </w:r>
      <w:r>
        <w:rPr>
          <w:rFonts w:ascii="Arial" w:cs="Arial" w:eastAsia="Arial" w:hAnsi="Arial"/>
          <w:sz w:val="20"/>
          <w:szCs w:val="20"/>
          <w:u w:val="single" w:color="auto"/>
          <w:color w:val="FF0000"/>
          <w:strike w:val="1"/>
        </w:rPr>
        <w:t>Section 1.07</w:t>
      </w:r>
      <w:r>
        <w:rPr>
          <w:rFonts w:ascii="Arial" w:cs="Arial" w:eastAsia="Arial" w:hAnsi="Arial"/>
          <w:sz w:val="20"/>
          <w:szCs w:val="20"/>
          <w:color w:val="FF0000"/>
          <w:strike w:val="1"/>
        </w:rPr>
        <w:t>.</w:t>
      </w:r>
    </w:p>
    <w:p>
      <w:pPr>
        <w:spacing w:after="0" w:line="21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Benchmark</w:t>
      </w:r>
      <w:r>
        <w:rPr>
          <w:rFonts w:ascii="Arial" w:cs="Arial" w:eastAsia="Arial" w:hAnsi="Arial"/>
          <w:sz w:val="18"/>
          <w:szCs w:val="18"/>
          <w:color w:val="auto"/>
        </w:rPr>
        <w:t xml:space="preserve">” means, initially, with respect to any (i) RFR Loan in any Agreed Currency, the applicable Relevant </w:t>
      </w:r>
      <w:r>
        <w:rPr>
          <w:rFonts w:ascii="Arial" w:cs="Arial" w:eastAsia="Arial" w:hAnsi="Arial"/>
          <w:sz w:val="18"/>
          <w:szCs w:val="18"/>
          <w:u w:val="single" w:color="auto"/>
          <w:color w:val="0000FF"/>
        </w:rPr>
        <w:t>Adjusted</w:t>
      </w:r>
      <w:r>
        <w:rPr>
          <w:rFonts w:ascii="Arial" w:cs="Arial" w:eastAsia="Arial" w:hAnsi="Arial"/>
          <w:sz w:val="18"/>
          <w:szCs w:val="18"/>
          <w:color w:val="auto"/>
        </w:rPr>
        <w:t xml:space="preserve"> Rate for such Agreed Currency or (ii)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Loan </w:t>
      </w:r>
      <w:r>
        <w:rPr>
          <w:rFonts w:ascii="Arial" w:cs="Arial" w:eastAsia="Arial" w:hAnsi="Arial"/>
          <w:sz w:val="18"/>
          <w:szCs w:val="18"/>
          <w:color w:val="0000FF"/>
        </w:rPr>
        <w:t>in any Agreed Currency</w:t>
      </w:r>
      <w:r>
        <w:rPr>
          <w:rFonts w:ascii="Arial" w:cs="Arial" w:eastAsia="Arial" w:hAnsi="Arial"/>
          <w:sz w:val="18"/>
          <w:szCs w:val="18"/>
          <w:color w:val="auto"/>
        </w:rPr>
        <w:t xml:space="preserve">, the Relevant </w:t>
      </w:r>
      <w:r>
        <w:rPr>
          <w:rFonts w:ascii="Arial" w:cs="Arial" w:eastAsia="Arial" w:hAnsi="Arial"/>
          <w:sz w:val="18"/>
          <w:szCs w:val="18"/>
          <w:u w:val="single" w:color="auto"/>
          <w:color w:val="0000FF"/>
        </w:rPr>
        <w:t>Adjusted</w:t>
      </w:r>
      <w:r>
        <w:rPr>
          <w:rFonts w:ascii="Arial" w:cs="Arial" w:eastAsia="Arial" w:hAnsi="Arial"/>
          <w:sz w:val="18"/>
          <w:szCs w:val="18"/>
          <w:color w:val="auto"/>
        </w:rPr>
        <w:t xml:space="preserve"> Rate for such Agreed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w:t>
      </w:r>
      <w:r>
        <w:rPr>
          <w:rFonts w:ascii="Arial" w:cs="Arial" w:eastAsia="Arial" w:hAnsi="Arial"/>
          <w:sz w:val="18"/>
          <w:szCs w:val="18"/>
          <w:color w:val="FF0000"/>
          <w:strike w:val="1"/>
        </w:rPr>
        <w:t>, a Term SOFR Transition Event, an Early Opt-in Election or an Other Benchmark</w:t>
      </w:r>
      <w:r>
        <w:rPr>
          <w:rFonts w:ascii="Arial" w:cs="Arial" w:eastAsia="Arial" w:hAnsi="Arial"/>
          <w:sz w:val="18"/>
          <w:szCs w:val="18"/>
          <w:color w:val="auto"/>
        </w:rPr>
        <w:t xml:space="preserve"> </w:t>
      </w:r>
      <w:r>
        <w:rPr>
          <w:rFonts w:ascii="Arial" w:cs="Arial" w:eastAsia="Arial" w:hAnsi="Arial"/>
          <w:sz w:val="18"/>
          <w:szCs w:val="18"/>
          <w:color w:val="FF0000"/>
          <w:strike w:val="1"/>
        </w:rPr>
        <w:t>Rate Election, as applicable, and its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and the</w:t>
      </w:r>
      <w:r>
        <w:rPr>
          <w:rFonts w:ascii="Arial" w:cs="Arial" w:eastAsia="Arial" w:hAnsi="Arial"/>
          <w:sz w:val="18"/>
          <w:szCs w:val="18"/>
          <w:color w:val="FF0000"/>
        </w:rPr>
        <w:t xml:space="preserve"> </w:t>
      </w:r>
      <w:r>
        <w:rPr>
          <w:rFonts w:ascii="Arial" w:cs="Arial" w:eastAsia="Arial" w:hAnsi="Arial"/>
          <w:sz w:val="18"/>
          <w:szCs w:val="18"/>
          <w:color w:val="000000"/>
        </w:rPr>
        <w:t>related Benchmark Replacement Date have occurred with respect to the applicable Relevant</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Adjusted</w:t>
      </w:r>
      <w:r>
        <w:rPr>
          <w:rFonts w:ascii="Arial" w:cs="Arial" w:eastAsia="Arial" w:hAnsi="Arial"/>
          <w:sz w:val="18"/>
          <w:szCs w:val="18"/>
          <w:color w:val="0000FF"/>
        </w:rPr>
        <w:t xml:space="preserve"> </w:t>
      </w:r>
      <w:r>
        <w:rPr>
          <w:rFonts w:ascii="Arial" w:cs="Arial" w:eastAsia="Arial" w:hAnsi="Arial"/>
          <w:sz w:val="18"/>
          <w:szCs w:val="18"/>
          <w:color w:val="000000"/>
        </w:rPr>
        <w:t>Rate or the then-current Benchmark for such Agreed Currency, then “Benchmark” means the applicable Benchmark Replacement to</w:t>
      </w:r>
      <w:r>
        <w:rPr>
          <w:rFonts w:ascii="Arial" w:cs="Arial" w:eastAsia="Arial" w:hAnsi="Arial"/>
          <w:sz w:val="18"/>
          <w:szCs w:val="18"/>
          <w:color w:val="0000FF"/>
        </w:rPr>
        <w:t xml:space="preserve"> </w:t>
      </w:r>
      <w:r>
        <w:rPr>
          <w:rFonts w:ascii="Arial" w:cs="Arial" w:eastAsia="Arial" w:hAnsi="Arial"/>
          <w:sz w:val="18"/>
          <w:szCs w:val="18"/>
          <w:color w:val="000000"/>
        </w:rPr>
        <w:t xml:space="preserve">the extent that such Benchmark Replacement has replaced such prior benchmark rate pursuant to clause (b) </w:t>
      </w:r>
      <w:r>
        <w:rPr>
          <w:rFonts w:ascii="Arial" w:cs="Arial" w:eastAsia="Arial" w:hAnsi="Arial"/>
          <w:sz w:val="18"/>
          <w:szCs w:val="18"/>
          <w:color w:val="FF0000"/>
          <w:strike w:val="1"/>
        </w:rPr>
        <w:t>or clause (c)</w:t>
      </w:r>
      <w:r>
        <w:rPr>
          <w:rFonts w:ascii="Arial" w:cs="Arial" w:eastAsia="Arial" w:hAnsi="Arial"/>
          <w:sz w:val="18"/>
          <w:szCs w:val="18"/>
          <w:color w:val="000000"/>
        </w:rPr>
        <w:t xml:space="preserve"> of Section 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-629920</wp:posOffset>
            </wp:positionV>
            <wp:extent cx="12966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4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Benchmark Replacement</w:t>
      </w:r>
      <w:r>
        <w:rPr>
          <w:rFonts w:ascii="Arial" w:cs="Arial" w:eastAsia="Arial" w:hAnsi="Arial"/>
          <w:sz w:val="20"/>
          <w:szCs w:val="20"/>
          <w:color w:val="FF0000"/>
          <w:strike w:val="1"/>
        </w:rPr>
        <w:t xml:space="preserve">” means, for any Available Tenor, the first alternative set forth in the order below that can be determined by the Administrative Agent after consultation with the Company for the applicable Benchmark Replacement Date; </w:t>
      </w:r>
      <w:r>
        <w:rPr>
          <w:rFonts w:ascii="Arial" w:cs="Arial" w:eastAsia="Arial" w:hAnsi="Arial"/>
          <w:sz w:val="20"/>
          <w:szCs w:val="20"/>
          <w:u w:val="single" w:color="auto"/>
          <w:color w:val="FF0000"/>
          <w:strike w:val="1"/>
        </w:rPr>
        <w:t>provided</w:t>
      </w:r>
      <w:r>
        <w:rPr>
          <w:rFonts w:ascii="Arial" w:cs="Arial" w:eastAsia="Arial" w:hAnsi="Arial"/>
          <w:sz w:val="20"/>
          <w:szCs w:val="20"/>
          <w:color w:val="FF0000"/>
          <w:strike w:val="1"/>
        </w:rPr>
        <w:t xml:space="preserve"> that, in the case of any Loan denominated in a Foreign Currency or in the case of an Other Benchmark Rate Election, “Benchmark Replacement” shall mean the alternative set forth in (3) below:</w:t>
      </w:r>
    </w:p>
    <w:p>
      <w:pPr>
        <w:spacing w:after="0" w:line="191" w:lineRule="exact"/>
        <w:rPr>
          <w:sz w:val="20"/>
          <w:szCs w:val="20"/>
          <w:color w:val="auto"/>
        </w:rPr>
      </w:pPr>
    </w:p>
    <w:p>
      <w:pPr>
        <w:ind w:left="760" w:firstLine="745"/>
        <w:spacing w:after="0" w:line="260" w:lineRule="auto"/>
        <w:tabs>
          <w:tab w:leader="none" w:pos="1968" w:val="left"/>
        </w:tabs>
        <w:numPr>
          <w:ilvl w:val="1"/>
          <w:numId w:val="22"/>
        </w:numPr>
        <w:rPr>
          <w:rFonts w:ascii="Arial" w:cs="Arial" w:eastAsia="Arial" w:hAnsi="Arial"/>
          <w:sz w:val="20"/>
          <w:szCs w:val="20"/>
          <w:color w:val="FF0000"/>
          <w:strike w:val="1"/>
        </w:rPr>
      </w:pPr>
      <w:r>
        <w:rPr>
          <w:rFonts w:ascii="Arial" w:cs="Arial" w:eastAsia="Arial" w:hAnsi="Arial"/>
          <w:sz w:val="20"/>
          <w:szCs w:val="20"/>
          <w:color w:val="FF0000"/>
          <w:strike w:val="1"/>
        </w:rPr>
        <w:t>in the case of any Loan denominated in U.S. Dollars, the sum of: (a) Term SOFR and (b) the related Benchmark Replacement Adjustment;</w:t>
      </w:r>
    </w:p>
    <w:p>
      <w:pPr>
        <w:spacing w:after="0" w:line="176" w:lineRule="exact"/>
        <w:rPr>
          <w:rFonts w:ascii="Arial" w:cs="Arial" w:eastAsia="Arial" w:hAnsi="Arial"/>
          <w:sz w:val="20"/>
          <w:szCs w:val="20"/>
          <w:color w:val="FF0000"/>
          <w:strike w:val="1"/>
        </w:rPr>
      </w:pPr>
    </w:p>
    <w:p>
      <w:pPr>
        <w:ind w:left="760" w:firstLine="745"/>
        <w:spacing w:after="0" w:line="260" w:lineRule="auto"/>
        <w:tabs>
          <w:tab w:leader="none" w:pos="1983" w:val="left"/>
        </w:tabs>
        <w:numPr>
          <w:ilvl w:val="1"/>
          <w:numId w:val="22"/>
        </w:numPr>
        <w:rPr>
          <w:rFonts w:ascii="Arial" w:cs="Arial" w:eastAsia="Arial" w:hAnsi="Arial"/>
          <w:sz w:val="20"/>
          <w:szCs w:val="20"/>
          <w:color w:val="FF0000"/>
          <w:strike w:val="1"/>
        </w:rPr>
      </w:pPr>
      <w:r>
        <w:rPr>
          <w:rFonts w:ascii="Arial" w:cs="Arial" w:eastAsia="Arial" w:hAnsi="Arial"/>
          <w:sz w:val="20"/>
          <w:szCs w:val="20"/>
          <w:color w:val="FF0000"/>
          <w:strike w:val="1"/>
        </w:rPr>
        <w:t>in the case of any Loan denominated in U.S. Dollars, the sum of: (a) Daily Simple SOFR and (b) the related Benchmark Replacement Adjustment;</w:t>
      </w:r>
    </w:p>
    <w:p>
      <w:pPr>
        <w:spacing w:after="0" w:line="176" w:lineRule="exact"/>
        <w:rPr>
          <w:rFonts w:ascii="Arial" w:cs="Arial" w:eastAsia="Arial" w:hAnsi="Arial"/>
          <w:sz w:val="20"/>
          <w:szCs w:val="20"/>
          <w:color w:val="FF0000"/>
          <w:strike w:val="1"/>
        </w:rPr>
      </w:pPr>
    </w:p>
    <w:p>
      <w:pPr>
        <w:jc w:val="both"/>
        <w:ind w:firstLine="757"/>
        <w:spacing w:after="0" w:line="316" w:lineRule="auto"/>
        <w:tabs>
          <w:tab w:leader="none" w:pos="1207" w:val="left"/>
        </w:tabs>
        <w:numPr>
          <w:ilvl w:val="0"/>
          <w:numId w:val="23"/>
        </w:numPr>
        <w:rPr>
          <w:rFonts w:ascii="Arial" w:cs="Arial" w:eastAsia="Arial" w:hAnsi="Arial"/>
          <w:sz w:val="16"/>
          <w:szCs w:val="16"/>
          <w:color w:val="FF0000"/>
          <w:strike w:val="1"/>
        </w:rPr>
      </w:pPr>
      <w:r>
        <w:rPr>
          <w:rFonts w:ascii="Arial" w:cs="Arial" w:eastAsia="Arial" w:hAnsi="Arial"/>
          <w:sz w:val="16"/>
          <w:szCs w:val="16"/>
          <w:u w:val="single" w:color="auto"/>
          <w:color w:val="0000FF"/>
        </w:rPr>
        <w:t>“</w:t>
      </w:r>
      <w:r>
        <w:rPr>
          <w:rFonts w:ascii="Arial" w:cs="Arial" w:eastAsia="Arial" w:hAnsi="Arial"/>
          <w:sz w:val="16"/>
          <w:szCs w:val="16"/>
          <w:b w:val="1"/>
          <w:bCs w:val="1"/>
          <w:i w:val="1"/>
          <w:iCs w:val="1"/>
          <w:u w:val="single" w:color="auto"/>
          <w:color w:val="0000FF"/>
        </w:rPr>
        <w:t>Benchmark Replacement</w:t>
      </w:r>
      <w:r>
        <w:rPr>
          <w:rFonts w:ascii="Arial" w:cs="Arial" w:eastAsia="Arial" w:hAnsi="Arial"/>
          <w:sz w:val="16"/>
          <w:szCs w:val="16"/>
          <w:u w:val="single" w:color="auto"/>
          <w:color w:val="0000FF"/>
        </w:rPr>
        <w:t>” means, with respect to any Benchmark Transition Event in respect of an Agreed Currency,</w:t>
      </w:r>
      <w:r>
        <w:rPr>
          <w:rFonts w:ascii="Arial" w:cs="Arial" w:eastAsia="Arial" w:hAnsi="Arial"/>
          <w:sz w:val="16"/>
          <w:szCs w:val="16"/>
          <w:color w:val="0000FF"/>
        </w:rPr>
        <w:t xml:space="preserve"> </w:t>
      </w:r>
      <w:r>
        <w:rPr>
          <w:rFonts w:ascii="Arial" w:cs="Arial" w:eastAsia="Arial" w:hAnsi="Arial"/>
          <w:sz w:val="16"/>
          <w:szCs w:val="16"/>
          <w:color w:val="000000"/>
        </w:rPr>
        <w:t>the</w:t>
      </w:r>
      <w:r>
        <w:rPr>
          <w:rFonts w:ascii="Arial" w:cs="Arial" w:eastAsia="Arial" w:hAnsi="Arial"/>
          <w:sz w:val="16"/>
          <w:szCs w:val="16"/>
          <w:color w:val="0000FF"/>
        </w:rPr>
        <w:t xml:space="preserve"> </w:t>
      </w:r>
      <w:r>
        <w:rPr>
          <w:rFonts w:ascii="Arial" w:cs="Arial" w:eastAsia="Arial" w:hAnsi="Arial"/>
          <w:sz w:val="16"/>
          <w:szCs w:val="16"/>
          <w:color w:val="000000"/>
        </w:rPr>
        <w:t>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40"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u w:val="single" w:color="auto"/>
          <w:color w:val="FF0000"/>
          <w:strike w:val="1"/>
        </w:rPr>
        <w:t xml:space="preserve">provided </w:t>
      </w:r>
      <w:r>
        <w:rPr>
          <w:rFonts w:ascii="Arial" w:cs="Arial" w:eastAsia="Arial" w:hAnsi="Arial"/>
          <w:sz w:val="20"/>
          <w:szCs w:val="20"/>
          <w:color w:val="FF0000"/>
          <w:strike w:val="1"/>
        </w:rPr>
        <w:t>that, in the case of clause (1), such Unadjusted Benchmark Replacement is displayed on a screen or other</w:t>
      </w:r>
      <w:r>
        <w:rPr>
          <w:rFonts w:ascii="Arial" w:cs="Arial" w:eastAsia="Arial" w:hAnsi="Arial"/>
          <w:sz w:val="20"/>
          <w:szCs w:val="20"/>
          <w:u w:val="single" w:color="auto"/>
          <w:color w:val="FF0000"/>
          <w:strike w:val="1"/>
        </w:rPr>
        <w:t xml:space="preserve"> </w:t>
      </w:r>
      <w:r>
        <w:rPr>
          <w:rFonts w:ascii="Arial" w:cs="Arial" w:eastAsia="Arial" w:hAnsi="Arial"/>
          <w:sz w:val="20"/>
          <w:szCs w:val="20"/>
          <w:color w:val="FF0000"/>
          <w:strike w:val="1"/>
        </w:rPr>
        <w:t xml:space="preserve">information service that publishes such rate from time to time as selected by the Administrative Agent in its reasonable discretion; </w:t>
      </w:r>
      <w:r>
        <w:rPr>
          <w:rFonts w:ascii="Arial" w:cs="Arial" w:eastAsia="Arial" w:hAnsi="Arial"/>
          <w:sz w:val="20"/>
          <w:szCs w:val="20"/>
          <w:u w:val="single" w:color="auto"/>
          <w:color w:val="FF0000"/>
          <w:strike w:val="1"/>
        </w:rPr>
        <w:t>provided</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FF0000"/>
          <w:strike w:val="1"/>
        </w:rPr>
        <w:t xml:space="preserve">further </w:t>
      </w:r>
      <w:r>
        <w:rPr>
          <w:rFonts w:ascii="Arial" w:cs="Arial" w:eastAsia="Arial" w:hAnsi="Arial"/>
          <w:sz w:val="20"/>
          <w:szCs w:val="20"/>
          <w:color w:val="FF0000"/>
          <w:strike w:val="1"/>
        </w:rPr>
        <w:t>that, in the case of clause (3), when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3" w:name="page74"/>
    <w:bookmarkEnd w:id="73"/>
    <w:p>
      <w:pPr>
        <w:jc w:val="both"/>
        <w:spacing w:after="0" w:line="243" w:lineRule="auto"/>
        <w:rPr>
          <w:sz w:val="20"/>
          <w:szCs w:val="20"/>
          <w:color w:val="auto"/>
        </w:rPr>
      </w:pPr>
      <w:r>
        <w:rPr>
          <w:rFonts w:ascii="Arial" w:cs="Arial" w:eastAsia="Arial" w:hAnsi="Arial"/>
          <w:sz w:val="20"/>
          <w:szCs w:val="20"/>
          <w:color w:val="FF0000"/>
          <w:strike w:val="1"/>
        </w:rPr>
        <w:t xml:space="preserve">such clause is used to determine the Benchmark Replacement in connection with the occurrence of an Other Benchmark Rate Election, the alternate benchmark rate selected by the Administrative Agent and the Company shall be the term benchmark rate that is used in lieu of a LIBOR-based rate in the relevant other U.S. Dollar-denominated syndicated credit facilities; </w:t>
      </w:r>
      <w:r>
        <w:rPr>
          <w:rFonts w:ascii="Arial" w:cs="Arial" w:eastAsia="Arial" w:hAnsi="Arial"/>
          <w:sz w:val="20"/>
          <w:szCs w:val="20"/>
          <w:u w:val="single" w:color="auto"/>
          <w:color w:val="FF0000"/>
          <w:strike w:val="1"/>
        </w:rPr>
        <w:t>provided further</w:t>
      </w:r>
      <w:r>
        <w:rPr>
          <w:rFonts w:ascii="Arial" w:cs="Arial" w:eastAsia="Arial" w:hAnsi="Arial"/>
          <w:sz w:val="20"/>
          <w:szCs w:val="20"/>
          <w:color w:val="FF0000"/>
          <w:strike w:val="1"/>
        </w:rPr>
        <w:t xml:space="preserve">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193"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FF0000"/>
          <w:strike w:val="1"/>
        </w:rPr>
        <w:t>If</w:t>
      </w:r>
      <w:r>
        <w:rPr>
          <w:rFonts w:ascii="Arial" w:cs="Arial" w:eastAsia="Arial" w:hAnsi="Arial"/>
          <w:sz w:val="18"/>
          <w:szCs w:val="18"/>
          <w:u w:val="single" w:color="auto"/>
          <w:color w:val="0000FF"/>
        </w:rPr>
        <w:t>provided that if</w:t>
      </w:r>
      <w:r>
        <w:rPr>
          <w:rFonts w:ascii="Arial" w:cs="Arial" w:eastAsia="Arial" w:hAnsi="Arial"/>
          <w:sz w:val="18"/>
          <w:szCs w:val="18"/>
          <w:color w:val="FF0000"/>
        </w:rPr>
        <w:t xml:space="preserve"> </w:t>
      </w:r>
      <w:r>
        <w:rPr>
          <w:rFonts w:ascii="Arial" w:cs="Arial" w:eastAsia="Arial" w:hAnsi="Arial"/>
          <w:sz w:val="18"/>
          <w:szCs w:val="18"/>
          <w:color w:val="000000"/>
        </w:rPr>
        <w:t>the Benchmark Replacement</w:t>
      </w:r>
      <w:r>
        <w:rPr>
          <w:rFonts w:ascii="Arial" w:cs="Arial" w:eastAsia="Arial" w:hAnsi="Arial"/>
          <w:sz w:val="18"/>
          <w:szCs w:val="18"/>
          <w:color w:val="FF0000"/>
        </w:rPr>
        <w:t xml:space="preserve"> </w:t>
      </w:r>
      <w:r>
        <w:rPr>
          <w:rFonts w:ascii="Arial" w:cs="Arial" w:eastAsia="Arial" w:hAnsi="Arial"/>
          <w:sz w:val="18"/>
          <w:szCs w:val="18"/>
          <w:color w:val="FF0000"/>
          <w:strike w:val="1"/>
        </w:rPr>
        <w:t>as determined pursuant to clause (1), (2) or (3) above</w:t>
      </w:r>
      <w:r>
        <w:rPr>
          <w:rFonts w:ascii="Arial" w:cs="Arial" w:eastAsia="Arial" w:hAnsi="Arial"/>
          <w:sz w:val="18"/>
          <w:szCs w:val="18"/>
          <w:color w:val="FF0000"/>
        </w:rPr>
        <w:t xml:space="preserve"> </w:t>
      </w:r>
      <w:r>
        <w:rPr>
          <w:rFonts w:ascii="Arial" w:cs="Arial" w:eastAsia="Arial" w:hAnsi="Arial"/>
          <w:sz w:val="18"/>
          <w:szCs w:val="18"/>
          <w:color w:val="000000"/>
        </w:rPr>
        <w:t>would be less than the Floor,</w:t>
      </w:r>
      <w:r>
        <w:rPr>
          <w:rFonts w:ascii="Arial" w:cs="Arial" w:eastAsia="Arial" w:hAnsi="Arial"/>
          <w:sz w:val="18"/>
          <w:szCs w:val="18"/>
          <w:color w:val="FF0000"/>
        </w:rPr>
        <w:t xml:space="preserve"> </w:t>
      </w:r>
      <w:r>
        <w:rPr>
          <w:rFonts w:ascii="Arial" w:cs="Arial" w:eastAsia="Arial" w:hAnsi="Arial"/>
          <w:sz w:val="18"/>
          <w:szCs w:val="18"/>
          <w:color w:val="000000"/>
        </w:rPr>
        <w:t>the Benchmark Replacement will be deemed to be the Floor for the purposes of this Agreement and the other Loan Documents.</w:t>
      </w:r>
    </w:p>
    <w:p>
      <w:pPr>
        <w:spacing w:after="0" w:line="13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 Replacement Adjustment</w:t>
      </w:r>
      <w:r>
        <w:rPr>
          <w:rFonts w:ascii="Arial" w:cs="Arial" w:eastAsia="Arial" w:hAnsi="Arial"/>
          <w:sz w:val="20"/>
          <w:szCs w:val="20"/>
          <w:color w:val="auto"/>
        </w:rPr>
        <w:t xml:space="preserve">” means, with respect to any replacement of the then-current Benchmark </w:t>
      </w:r>
      <w:r>
        <w:rPr>
          <w:rFonts w:ascii="Arial" w:cs="Arial" w:eastAsia="Arial" w:hAnsi="Arial"/>
          <w:sz w:val="20"/>
          <w:szCs w:val="20"/>
          <w:u w:val="single" w:color="auto"/>
          <w:color w:val="0000FF"/>
        </w:rPr>
        <w:t>in respect of a</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specified currency</w:t>
      </w:r>
      <w:r>
        <w:rPr>
          <w:rFonts w:ascii="Arial" w:cs="Arial" w:eastAsia="Arial" w:hAnsi="Arial"/>
          <w:sz w:val="20"/>
          <w:szCs w:val="20"/>
          <w:color w:val="0000FF"/>
        </w:rPr>
        <w:t xml:space="preserve"> </w:t>
      </w:r>
      <w:r>
        <w:rPr>
          <w:rFonts w:ascii="Arial" w:cs="Arial" w:eastAsia="Arial" w:hAnsi="Arial"/>
          <w:sz w:val="20"/>
          <w:szCs w:val="20"/>
          <w:color w:val="000000"/>
        </w:rPr>
        <w:t>with an Unadjusted Benchmark Replacement for any applicable Interest Period and Available Tenor for any setting of such</w:t>
      </w:r>
      <w:r>
        <w:rPr>
          <w:rFonts w:ascii="Arial" w:cs="Arial" w:eastAsia="Arial" w:hAnsi="Arial"/>
          <w:sz w:val="20"/>
          <w:szCs w:val="20"/>
          <w:color w:val="0000FF"/>
        </w:rPr>
        <w:t xml:space="preserve"> </w:t>
      </w:r>
      <w:r>
        <w:rPr>
          <w:rFonts w:ascii="Arial" w:cs="Arial" w:eastAsia="Arial" w:hAnsi="Arial"/>
          <w:sz w:val="20"/>
          <w:szCs w:val="20"/>
          <w:color w:val="000000"/>
        </w:rPr>
        <w:t>Unadjusted Benchmark Replacement</w:t>
      </w:r>
      <w:r>
        <w:rPr>
          <w:rFonts w:ascii="Arial" w:cs="Arial" w:eastAsia="Arial" w:hAnsi="Arial"/>
          <w:sz w:val="20"/>
          <w:szCs w:val="20"/>
          <w:color w:val="FF0000"/>
          <w:strike w:val="1"/>
        </w:rPr>
        <w:t>:</w:t>
      </w:r>
    </w:p>
    <w:p>
      <w:pPr>
        <w:spacing w:after="0" w:line="186" w:lineRule="exact"/>
        <w:rPr>
          <w:sz w:val="20"/>
          <w:szCs w:val="20"/>
          <w:color w:val="auto"/>
        </w:rPr>
      </w:pPr>
    </w:p>
    <w:p>
      <w:pPr>
        <w:jc w:val="both"/>
        <w:ind w:left="760" w:firstLine="745"/>
        <w:spacing w:after="0" w:line="250" w:lineRule="auto"/>
        <w:tabs>
          <w:tab w:leader="none" w:pos="1632" w:val="left"/>
        </w:tabs>
        <w:numPr>
          <w:ilvl w:val="1"/>
          <w:numId w:val="24"/>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spread adjustment, or method for calculating or determining such spread adjustment (which may be a positive or negative value or zero)</w:t>
      </w:r>
      <w:r>
        <w:rPr>
          <w:rFonts w:ascii="Arial" w:cs="Arial" w:eastAsia="Arial" w:hAnsi="Arial"/>
          <w:sz w:val="20"/>
          <w:szCs w:val="20"/>
          <w:color w:val="FF0000"/>
          <w:strike w:val="1"/>
        </w:rPr>
        <w:t>(1) for purposes of clauses (1) and (2) of the definition of “Benchmark Replacement,” the first alternative</w:t>
      </w:r>
      <w:r>
        <w:rPr>
          <w:rFonts w:ascii="Arial" w:cs="Arial" w:eastAsia="Arial" w:hAnsi="Arial"/>
          <w:sz w:val="20"/>
          <w:szCs w:val="20"/>
          <w:u w:val="single" w:color="auto"/>
          <w:color w:val="0000FF"/>
        </w:rPr>
        <w:t xml:space="preserve"> </w:t>
      </w:r>
      <w:r>
        <w:rPr>
          <w:rFonts w:ascii="Arial" w:cs="Arial" w:eastAsia="Arial" w:hAnsi="Arial"/>
          <w:sz w:val="20"/>
          <w:szCs w:val="20"/>
          <w:color w:val="FF0000"/>
          <w:strike w:val="1"/>
        </w:rPr>
        <w:t>set forth in the order below that can be determined by the Administrative Agent:</w:t>
      </w:r>
    </w:p>
    <w:p>
      <w:pPr>
        <w:spacing w:after="0" w:line="185" w:lineRule="exact"/>
        <w:rPr>
          <w:rFonts w:ascii="Arial" w:cs="Arial" w:eastAsia="Arial" w:hAnsi="Arial"/>
          <w:sz w:val="20"/>
          <w:szCs w:val="20"/>
          <w:u w:val="single" w:color="auto"/>
          <w:color w:val="0000FF"/>
        </w:rPr>
      </w:pPr>
    </w:p>
    <w:p>
      <w:pPr>
        <w:jc w:val="both"/>
        <w:ind w:left="760" w:firstLine="1494"/>
        <w:spacing w:after="0" w:line="246" w:lineRule="auto"/>
        <w:tabs>
          <w:tab w:leader="none" w:pos="2748" w:val="left"/>
        </w:tabs>
        <w:numPr>
          <w:ilvl w:val="2"/>
          <w:numId w:val="24"/>
        </w:numPr>
        <w:rPr>
          <w:rFonts w:ascii="Arial" w:cs="Arial" w:eastAsia="Arial" w:hAnsi="Arial"/>
          <w:sz w:val="20"/>
          <w:szCs w:val="20"/>
          <w:color w:val="FF0000"/>
          <w:strike w:val="1"/>
        </w:rPr>
      </w:pPr>
      <w:r>
        <w:rPr>
          <w:rFonts w:ascii="Arial" w:cs="Arial" w:eastAsia="Arial" w:hAnsi="Arial"/>
          <w:sz w:val="20"/>
          <w:szCs w:val="20"/>
          <w:color w:val="FF0000"/>
          <w:strike w:val="1"/>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91" w:lineRule="exact"/>
        <w:rPr>
          <w:rFonts w:ascii="Arial" w:cs="Arial" w:eastAsia="Arial" w:hAnsi="Arial"/>
          <w:sz w:val="20"/>
          <w:szCs w:val="20"/>
          <w:color w:val="FF0000"/>
          <w:strike w:val="1"/>
        </w:rPr>
      </w:pPr>
    </w:p>
    <w:p>
      <w:pPr>
        <w:jc w:val="both"/>
        <w:ind w:left="760" w:firstLine="1494"/>
        <w:spacing w:after="0" w:line="246" w:lineRule="auto"/>
        <w:tabs>
          <w:tab w:leader="none" w:pos="2750" w:val="left"/>
        </w:tabs>
        <w:numPr>
          <w:ilvl w:val="2"/>
          <w:numId w:val="24"/>
        </w:numPr>
        <w:rPr>
          <w:rFonts w:ascii="Arial" w:cs="Arial" w:eastAsia="Arial" w:hAnsi="Arial"/>
          <w:sz w:val="20"/>
          <w:szCs w:val="20"/>
          <w:color w:val="FF0000"/>
          <w:strike w:val="1"/>
        </w:rPr>
      </w:pPr>
      <w:r>
        <w:rPr>
          <w:rFonts w:ascii="Arial" w:cs="Arial" w:eastAsia="Arial" w:hAnsi="Arial"/>
          <w:sz w:val="20"/>
          <w:szCs w:val="20"/>
          <w:color w:val="FF0000"/>
          <w:strike w:val="1"/>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91" w:lineRule="exact"/>
        <w:rPr>
          <w:rFonts w:ascii="Arial" w:cs="Arial" w:eastAsia="Arial" w:hAnsi="Arial"/>
          <w:sz w:val="20"/>
          <w:szCs w:val="20"/>
          <w:color w:val="FF0000"/>
          <w:strike w:val="1"/>
        </w:rPr>
      </w:pPr>
    </w:p>
    <w:p>
      <w:pPr>
        <w:jc w:val="both"/>
        <w:ind w:firstLine="757"/>
        <w:spacing w:after="0" w:line="273" w:lineRule="auto"/>
        <w:tabs>
          <w:tab w:leader="none" w:pos="1194" w:val="left"/>
        </w:tabs>
        <w:numPr>
          <w:ilvl w:val="0"/>
          <w:numId w:val="25"/>
        </w:numPr>
        <w:rPr>
          <w:rFonts w:ascii="Arial" w:cs="Arial" w:eastAsia="Arial" w:hAnsi="Arial"/>
          <w:sz w:val="18"/>
          <w:szCs w:val="18"/>
          <w:color w:val="FF0000"/>
          <w:strike w:val="1"/>
        </w:rPr>
      </w:pPr>
      <w:r>
        <w:rPr>
          <w:rFonts w:ascii="Arial" w:cs="Arial" w:eastAsia="Arial" w:hAnsi="Arial"/>
          <w:sz w:val="18"/>
          <w:szCs w:val="18"/>
          <w:color w:val="FF0000"/>
          <w:strike w:val="1"/>
        </w:rPr>
        <w:t>for purposes of clause (3) of the definition of “Benchmark Replacement,” the spread adjustment, or method for calculating or determining such spread adjustment, (which may be a positive or negative value or zero)</w:t>
      </w:r>
      <w:r>
        <w:rPr>
          <w:rFonts w:ascii="Arial" w:cs="Arial" w:eastAsia="Arial" w:hAnsi="Arial"/>
          <w:sz w:val="18"/>
          <w:szCs w:val="18"/>
          <w:u w:val="single" w:color="auto"/>
          <w:color w:val="0000FF"/>
          <w:strike w:val="1"/>
        </w:rPr>
        <w:t>,</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that has been selected by the Administrative Agent</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in the United States</w:t>
      </w:r>
      <w:r>
        <w:rPr>
          <w:rFonts w:ascii="Arial" w:cs="Arial" w:eastAsia="Arial" w:hAnsi="Arial"/>
          <w:sz w:val="18"/>
          <w:szCs w:val="18"/>
          <w:color w:val="FF0000"/>
          <w:strike w:val="1"/>
        </w:rPr>
        <w:t>;</w:t>
      </w:r>
      <w:r>
        <w:rPr>
          <w:rFonts w:ascii="Arial" w:cs="Arial" w:eastAsia="Arial" w:hAnsi="Arial"/>
          <w:sz w:val="18"/>
          <w:szCs w:val="18"/>
          <w:u w:val="single" w:color="auto"/>
          <w:color w:val="0000FF"/>
          <w:strike w:val="1"/>
        </w:rPr>
        <w:t>.</w:t>
      </w:r>
    </w:p>
    <w:p>
      <w:pPr>
        <w:spacing w:after="0" w:line="16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u w:val="single" w:color="auto"/>
          <w:color w:val="FF0000"/>
          <w:strike w:val="1"/>
        </w:rPr>
        <w:t xml:space="preserve">provided </w:t>
      </w:r>
      <w:r>
        <w:rPr>
          <w:rFonts w:ascii="Arial" w:cs="Arial" w:eastAsia="Arial" w:hAnsi="Arial"/>
          <w:sz w:val="20"/>
          <w:szCs w:val="20"/>
          <w:color w:val="FF0000"/>
          <w:strike w:val="1"/>
        </w:rPr>
        <w:t>that, in the case of clause (1) above, such adjustment is displayed on a screen or other information service that publishes</w:t>
      </w:r>
      <w:r>
        <w:rPr>
          <w:rFonts w:ascii="Arial" w:cs="Arial" w:eastAsia="Arial" w:hAnsi="Arial"/>
          <w:sz w:val="20"/>
          <w:szCs w:val="20"/>
          <w:u w:val="single" w:color="auto"/>
          <w:color w:val="FF0000"/>
          <w:strike w:val="1"/>
        </w:rPr>
        <w:t xml:space="preserve"> </w:t>
      </w:r>
      <w:r>
        <w:rPr>
          <w:rFonts w:ascii="Arial" w:cs="Arial" w:eastAsia="Arial" w:hAnsi="Arial"/>
          <w:sz w:val="20"/>
          <w:szCs w:val="20"/>
          <w:color w:val="FF0000"/>
          <w:strike w:val="1"/>
        </w:rPr>
        <w:t>such Benchmark Replacement Adjustment from time to time as selected by the Administrative Agent in its reasonable discretion after consultation with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4" w:name="page75"/>
    <w:bookmarkEnd w:id="74"/>
    <w:p>
      <w:pPr>
        <w:jc w:val="both"/>
        <w:ind w:firstLine="74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Replacement Conforming Changes</w:t>
      </w:r>
      <w:r>
        <w:rPr>
          <w:rFonts w:ascii="Arial" w:cs="Arial" w:eastAsia="Arial" w:hAnsi="Arial"/>
          <w:sz w:val="19"/>
          <w:szCs w:val="19"/>
          <w:color w:val="auto"/>
        </w:rPr>
        <w:t xml:space="preserve">” means, with respect to any Benchmark Replacement </w:t>
      </w:r>
      <w:r>
        <w:rPr>
          <w:rFonts w:ascii="Arial" w:cs="Arial" w:eastAsia="Arial" w:hAnsi="Arial"/>
          <w:sz w:val="19"/>
          <w:szCs w:val="19"/>
          <w:color w:val="0000FF"/>
        </w:rPr>
        <w:t>and/or any Term</w:t>
      </w:r>
      <w:r>
        <w:rPr>
          <w:rFonts w:ascii="Arial" w:cs="Arial" w:eastAsia="Arial" w:hAnsi="Arial"/>
          <w:sz w:val="19"/>
          <w:szCs w:val="19"/>
          <w:color w:val="auto"/>
        </w:rPr>
        <w:t xml:space="preserve"> </w:t>
      </w:r>
      <w:r>
        <w:rPr>
          <w:rFonts w:ascii="Arial" w:cs="Arial" w:eastAsia="Arial" w:hAnsi="Arial"/>
          <w:sz w:val="19"/>
          <w:szCs w:val="19"/>
          <w:u w:val="single" w:color="auto"/>
          <w:color w:val="0000FF"/>
        </w:rPr>
        <w:t>Benchmark Revolving Loan denominated in U.S. Dollars</w:t>
      </w:r>
      <w:r>
        <w:rPr>
          <w:rFonts w:ascii="Arial" w:cs="Arial" w:eastAsia="Arial" w:hAnsi="Arial"/>
          <w:sz w:val="19"/>
          <w:szCs w:val="19"/>
          <w:color w:val="000000"/>
        </w:rPr>
        <w:t>, any technical, administrative or operational changes (including changes to the</w:t>
      </w:r>
      <w:r>
        <w:rPr>
          <w:rFonts w:ascii="Arial" w:cs="Arial" w:eastAsia="Arial" w:hAnsi="Arial"/>
          <w:sz w:val="19"/>
          <w:szCs w:val="19"/>
          <w:color w:val="0000FF"/>
        </w:rPr>
        <w:t xml:space="preserve"> </w:t>
      </w:r>
      <w:r>
        <w:rPr>
          <w:rFonts w:ascii="Arial" w:cs="Arial" w:eastAsia="Arial" w:hAnsi="Arial"/>
          <w:sz w:val="19"/>
          <w:szCs w:val="19"/>
          <w:color w:val="000000"/>
        </w:rPr>
        <w:t>definition of “Alternate Base Rate,” the definition of “</w:t>
      </w:r>
      <w:r>
        <w:rPr>
          <w:rFonts w:ascii="Arial" w:cs="Arial" w:eastAsia="Arial" w:hAnsi="Arial"/>
          <w:sz w:val="19"/>
          <w:szCs w:val="19"/>
          <w:u w:val="single" w:color="auto"/>
          <w:color w:val="0000FF"/>
        </w:rPr>
        <w:t>Business Day,” the definition of “U.S. Government Securities Business Day,” the</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definition of “RFR</w:t>
      </w:r>
      <w:r>
        <w:rPr>
          <w:rFonts w:ascii="Arial" w:cs="Arial" w:eastAsia="Arial" w:hAnsi="Arial"/>
          <w:sz w:val="19"/>
          <w:szCs w:val="19"/>
          <w:color w:val="0000FF"/>
        </w:rPr>
        <w:t xml:space="preserve"> </w:t>
      </w:r>
      <w:r>
        <w:rPr>
          <w:rFonts w:ascii="Arial" w:cs="Arial" w:eastAsia="Arial" w:hAnsi="Arial"/>
          <w:sz w:val="19"/>
          <w:szCs w:val="19"/>
          <w:color w:val="000000"/>
        </w:rPr>
        <w:t>Business Day,” the definition of “Interest Period,” timing and frequency of determining rates and making payments of</w:t>
      </w:r>
      <w:r>
        <w:rPr>
          <w:rFonts w:ascii="Arial" w:cs="Arial" w:eastAsia="Arial" w:hAnsi="Arial"/>
          <w:sz w:val="19"/>
          <w:szCs w:val="19"/>
          <w:color w:val="0000FF"/>
        </w:rPr>
        <w:t xml:space="preserve"> </w:t>
      </w:r>
      <w:r>
        <w:rPr>
          <w:rFonts w:ascii="Arial" w:cs="Arial" w:eastAsia="Arial" w:hAnsi="Arial"/>
          <w:sz w:val="19"/>
          <w:szCs w:val="19"/>
          <w:color w:val="000000"/>
        </w:rPr>
        <w:t xml:space="preserve">interest, timing of borrowing requests or prepayment, conversion or continuation notices, length of lookback periods, the applicability of breakage provisions, and other technical, administrative or operational matters) that the Administrative Agent decides, after consultation with the Company, may be appropriate to reflect the adoption and implementation of such Benchmark </w:t>
      </w:r>
      <w:r>
        <w:rPr>
          <w:rFonts w:ascii="Arial" w:cs="Arial" w:eastAsia="Arial" w:hAnsi="Arial"/>
          <w:sz w:val="19"/>
          <w:szCs w:val="19"/>
          <w:color w:val="FF0000"/>
          <w:strike w:val="1"/>
        </w:rPr>
        <w:t>Replacement</w:t>
      </w:r>
      <w:r>
        <w:rPr>
          <w:rFonts w:ascii="Arial" w:cs="Arial" w:eastAsia="Arial" w:hAnsi="Arial"/>
          <w:sz w:val="19"/>
          <w:szCs w:val="19"/>
          <w:color w:val="000000"/>
        </w:rPr>
        <w:t xml:space="preserve">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after consultation with the Company, that no market practice for the administration of such Benchmark </w:t>
      </w:r>
      <w:r>
        <w:rPr>
          <w:rFonts w:ascii="Arial" w:cs="Arial" w:eastAsia="Arial" w:hAnsi="Arial"/>
          <w:sz w:val="19"/>
          <w:szCs w:val="19"/>
          <w:color w:val="FF0000"/>
          <w:strike w:val="1"/>
        </w:rPr>
        <w:t>Replacement</w:t>
      </w:r>
      <w:r>
        <w:rPr>
          <w:rFonts w:ascii="Arial" w:cs="Arial" w:eastAsia="Arial" w:hAnsi="Arial"/>
          <w:sz w:val="19"/>
          <w:szCs w:val="19"/>
          <w:color w:val="000000"/>
        </w:rPr>
        <w:t xml:space="preserve"> exists, in such other manner of administration as the Administrative Agent decides, after consultation with the Company, is reasonably necessary in connection with the administration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6150610</wp:posOffset>
            </wp:positionH>
            <wp:positionV relativeFrom="paragraph">
              <wp:posOffset>-1637665</wp:posOffset>
            </wp:positionV>
            <wp:extent cx="101854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1018540" cy="8890"/>
                    </a:xfrm>
                    <a:prstGeom prst="rect">
                      <a:avLst/>
                    </a:prstGeom>
                    <a:noFill/>
                  </pic:spPr>
                </pic:pic>
              </a:graphicData>
            </a:graphic>
          </wp:anchor>
        </w:drawing>
      </w:r>
    </w:p>
    <w:p>
      <w:pPr>
        <w:spacing w:after="0" w:line="16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 Replacement Date</w:t>
      </w:r>
      <w:r>
        <w:rPr>
          <w:rFonts w:ascii="Arial" w:cs="Arial" w:eastAsia="Arial" w:hAnsi="Arial"/>
          <w:sz w:val="20"/>
          <w:szCs w:val="20"/>
          <w:color w:val="auto"/>
        </w:rPr>
        <w:t>” means, with respect to any Benchmark, the earliest to occur of the following events with respect to such then-current Benchmark:</w:t>
      </w:r>
    </w:p>
    <w:p>
      <w:pPr>
        <w:spacing w:after="0" w:line="177" w:lineRule="exact"/>
        <w:rPr>
          <w:sz w:val="20"/>
          <w:szCs w:val="20"/>
          <w:color w:val="auto"/>
        </w:rPr>
      </w:pPr>
    </w:p>
    <w:p>
      <w:pPr>
        <w:jc w:val="both"/>
        <w:ind w:left="760" w:firstLine="745"/>
        <w:spacing w:after="0" w:line="246" w:lineRule="auto"/>
        <w:tabs>
          <w:tab w:leader="none" w:pos="1968"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Arial" w:cs="Arial" w:eastAsia="Arial" w:hAnsi="Arial"/>
          <w:sz w:val="20"/>
          <w:szCs w:val="20"/>
          <w:color w:val="0000FF"/>
        </w:rPr>
        <w:t>or</w:t>
      </w:r>
    </w:p>
    <w:p>
      <w:pPr>
        <w:spacing w:after="0" w:line="191" w:lineRule="exact"/>
        <w:rPr>
          <w:rFonts w:ascii="Arial" w:cs="Arial" w:eastAsia="Arial" w:hAnsi="Arial"/>
          <w:sz w:val="20"/>
          <w:szCs w:val="20"/>
          <w:color w:val="auto"/>
        </w:rPr>
      </w:pPr>
    </w:p>
    <w:p>
      <w:pPr>
        <w:jc w:val="both"/>
        <w:ind w:left="760" w:firstLine="745"/>
        <w:spacing w:after="0" w:line="278" w:lineRule="auto"/>
        <w:tabs>
          <w:tab w:leader="none" w:pos="19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Arial" w:cs="Arial" w:eastAsia="Arial" w:hAnsi="Arial"/>
          <w:sz w:val="18"/>
          <w:szCs w:val="18"/>
          <w:u w:val="single" w:color="auto"/>
          <w:color w:val="auto"/>
        </w:rPr>
        <w:t>provided</w:t>
      </w:r>
      <w:r>
        <w:rPr>
          <w:rFonts w:ascii="Arial" w:cs="Arial" w:eastAsia="Arial" w:hAnsi="Arial"/>
          <w:sz w:val="18"/>
          <w:szCs w:val="18"/>
          <w:color w:val="FF0000"/>
          <w:strike w:val="1"/>
        </w:rPr>
        <w:t>,</w:t>
      </w:r>
      <w:r>
        <w:rPr>
          <w:rFonts w:ascii="Arial" w:cs="Arial" w:eastAsia="Arial" w:hAnsi="Arial"/>
          <w:sz w:val="18"/>
          <w:szCs w:val="18"/>
          <w:color w:val="auto"/>
        </w:rPr>
        <w:t xml:space="preserve"> that such non-representativeness will be determined by reference to the most recent statement or publication referenced in such clause (3) and even if any Available Tenor of such Benchmark (or such component thereof) continues to be provided on such date</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p>
    <w:p>
      <w:pPr>
        <w:spacing w:after="0" w:line="164" w:lineRule="exact"/>
        <w:rPr>
          <w:rFonts w:ascii="Arial" w:cs="Arial" w:eastAsia="Arial" w:hAnsi="Arial"/>
          <w:sz w:val="18"/>
          <w:szCs w:val="18"/>
          <w:color w:val="auto"/>
        </w:rPr>
      </w:pPr>
    </w:p>
    <w:p>
      <w:pPr>
        <w:ind w:left="760" w:firstLine="745"/>
        <w:spacing w:after="0" w:line="260" w:lineRule="auto"/>
        <w:tabs>
          <w:tab w:leader="none" w:pos="1957" w:val="left"/>
        </w:tabs>
        <w:numPr>
          <w:ilvl w:val="0"/>
          <w:numId w:val="26"/>
        </w:numPr>
        <w:rPr>
          <w:rFonts w:ascii="Arial" w:cs="Arial" w:eastAsia="Arial" w:hAnsi="Arial"/>
          <w:sz w:val="20"/>
          <w:szCs w:val="20"/>
          <w:color w:val="FF0000"/>
          <w:strike w:val="1"/>
        </w:rPr>
      </w:pPr>
      <w:r>
        <w:rPr>
          <w:rFonts w:ascii="Arial" w:cs="Arial" w:eastAsia="Arial" w:hAnsi="Arial"/>
          <w:sz w:val="20"/>
          <w:szCs w:val="20"/>
          <w:color w:val="FF0000"/>
          <w:strike w:val="1"/>
        </w:rPr>
        <w:t xml:space="preserve">in the case of a Term SOFR Transition Event, the date that is thirty (30) days after the date a Term SOFR Notice is provided to the Lenders and the Company pursuant to </w:t>
      </w:r>
      <w:r>
        <w:rPr>
          <w:rFonts w:ascii="Arial" w:cs="Arial" w:eastAsia="Arial" w:hAnsi="Arial"/>
          <w:sz w:val="20"/>
          <w:szCs w:val="20"/>
          <w:u w:val="single" w:color="auto"/>
          <w:color w:val="FF0000"/>
          <w:strike w:val="1"/>
        </w:rPr>
        <w:t>Section 2.14(c)</w:t>
      </w:r>
      <w:r>
        <w:rPr>
          <w:rFonts w:ascii="Arial" w:cs="Arial" w:eastAsia="Arial" w:hAnsi="Arial"/>
          <w:sz w:val="20"/>
          <w:szCs w:val="20"/>
          <w:color w:val="FF0000"/>
          <w:strike w:val="1"/>
        </w:rPr>
        <w:t>; or</w:t>
      </w:r>
    </w:p>
    <w:p>
      <w:pPr>
        <w:spacing w:after="0" w:line="186" w:lineRule="exact"/>
        <w:rPr>
          <w:rFonts w:ascii="Arial" w:cs="Arial" w:eastAsia="Arial" w:hAnsi="Arial"/>
          <w:sz w:val="20"/>
          <w:szCs w:val="20"/>
          <w:color w:val="FF0000"/>
          <w:strike w:val="1"/>
        </w:rPr>
      </w:pPr>
    </w:p>
    <w:p>
      <w:pPr>
        <w:jc w:val="both"/>
        <w:ind w:left="760" w:firstLine="745"/>
        <w:spacing w:after="0" w:line="246" w:lineRule="auto"/>
        <w:tabs>
          <w:tab w:leader="none" w:pos="1958" w:val="left"/>
        </w:tabs>
        <w:numPr>
          <w:ilvl w:val="0"/>
          <w:numId w:val="26"/>
        </w:numPr>
        <w:rPr>
          <w:rFonts w:ascii="Arial" w:cs="Arial" w:eastAsia="Arial" w:hAnsi="Arial"/>
          <w:sz w:val="18"/>
          <w:szCs w:val="18"/>
          <w:color w:val="FF0000"/>
          <w:strike w:val="1"/>
        </w:rPr>
      </w:pPr>
      <w:r>
        <w:rPr>
          <w:rFonts w:ascii="Arial" w:cs="Arial" w:eastAsia="Arial" w:hAnsi="Arial"/>
          <w:sz w:val="18"/>
          <w:szCs w:val="18"/>
          <w:color w:val="FF0000"/>
          <w:strike w:val="1"/>
        </w:rPr>
        <w:t>in the case of an Early Opt-in Election or an Other Benchmark Rate Election, the sixth (6</w:t>
      </w:r>
      <w:r>
        <w:rPr>
          <w:rFonts w:ascii="Arial" w:cs="Arial" w:eastAsia="Arial" w:hAnsi="Arial"/>
          <w:sz w:val="24"/>
          <w:szCs w:val="24"/>
          <w:color w:val="FF0000"/>
          <w:strike w:val="1"/>
          <w:vertAlign w:val="superscript"/>
        </w:rPr>
        <w:t>th</w:t>
      </w:r>
      <w:r>
        <w:rPr>
          <w:rFonts w:ascii="Arial" w:cs="Arial" w:eastAsia="Arial" w:hAnsi="Arial"/>
          <w:sz w:val="18"/>
          <w:szCs w:val="18"/>
          <w:color w:val="FF0000"/>
          <w:strike w:val="1"/>
        </w:rPr>
        <w:t>) Business Day after the date notice of such Early Opt-in Election or Other Benchmark Rate Election, as applicable, is provided to the Lenders, so long as the Administrative Agent has not received, by 5:00 p.m. (New York City time) on the fifth (5</w:t>
      </w:r>
      <w:r>
        <w:rPr>
          <w:rFonts w:ascii="Arial" w:cs="Arial" w:eastAsia="Arial" w:hAnsi="Arial"/>
          <w:sz w:val="24"/>
          <w:szCs w:val="24"/>
          <w:color w:val="FF0000"/>
          <w:strike w:val="1"/>
          <w:vertAlign w:val="superscript"/>
        </w:rPr>
        <w:t>th</w:t>
      </w:r>
      <w:r>
        <w:rPr>
          <w:rFonts w:ascii="Arial" w:cs="Arial" w:eastAsia="Arial" w:hAnsi="Arial"/>
          <w:sz w:val="18"/>
          <w:szCs w:val="18"/>
          <w:color w:val="FF0000"/>
          <w:strike w:val="1"/>
        </w:rPr>
        <w:t>) Business Day after the date notice of such Early Opt-in Election or Other Benchmark Rate Election, as applicable, is provided to the Lenders, written notice of objection to such Early Opt-in Election or Other Benchmark Rate Election, as applicable, from Lenders comprising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2552700</wp:posOffset>
            </wp:positionH>
            <wp:positionV relativeFrom="paragraph">
              <wp:posOffset>-2216150</wp:posOffset>
            </wp:positionV>
            <wp:extent cx="135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135890" cy="8890"/>
                    </a:xfrm>
                    <a:prstGeom prst="rect">
                      <a:avLst/>
                    </a:prstGeom>
                    <a:noFill/>
                  </pic:spPr>
                </pic:pic>
              </a:graphicData>
            </a:graphic>
          </wp:anchor>
        </w:drawing>
      </w:r>
    </w:p>
    <w:p>
      <w:pPr>
        <w:spacing w:after="0" w:line="172" w:lineRule="exact"/>
        <w:rPr>
          <w:sz w:val="20"/>
          <w:szCs w:val="20"/>
          <w:color w:val="auto"/>
        </w:rPr>
      </w:pPr>
    </w:p>
    <w:p>
      <w:pPr>
        <w:jc w:val="both"/>
        <w:ind w:left="760" w:firstLine="749"/>
        <w:spacing w:after="0" w:line="282"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5" w:name="page76"/>
    <w:bookmarkEnd w:id="75"/>
    <w:p>
      <w:pPr>
        <w:ind w:left="760"/>
        <w:spacing w:after="0" w:line="260" w:lineRule="auto"/>
        <w:rPr>
          <w:sz w:val="20"/>
          <w:szCs w:val="20"/>
          <w:color w:val="auto"/>
        </w:rPr>
      </w:pPr>
      <w:r>
        <w:rPr>
          <w:rFonts w:ascii="Arial" w:cs="Arial" w:eastAsia="Arial" w:hAnsi="Arial"/>
          <w:sz w:val="20"/>
          <w:szCs w:val="20"/>
          <w:color w:val="auto"/>
        </w:rPr>
        <w:t>event or events set forth therein with respect to all then-current Available Tenors of such Benchmark (or the published component used in the calculation thereof).</w:t>
      </w:r>
    </w:p>
    <w:p>
      <w:pPr>
        <w:spacing w:after="0" w:line="177"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 Transition Event</w:t>
      </w:r>
      <w:r>
        <w:rPr>
          <w:rFonts w:ascii="Arial" w:cs="Arial" w:eastAsia="Arial" w:hAnsi="Arial"/>
          <w:sz w:val="20"/>
          <w:szCs w:val="20"/>
          <w:color w:val="auto"/>
        </w:rPr>
        <w:t>” means, with respect to any Benchmark, the occurrence of one or more of the following events with respect to such then-current Benchmark:</w:t>
      </w:r>
    </w:p>
    <w:p>
      <w:pPr>
        <w:spacing w:after="0" w:line="177" w:lineRule="exact"/>
        <w:rPr>
          <w:sz w:val="20"/>
          <w:szCs w:val="20"/>
          <w:color w:val="auto"/>
        </w:rPr>
      </w:pPr>
    </w:p>
    <w:p>
      <w:pPr>
        <w:jc w:val="both"/>
        <w:ind w:left="760" w:firstLine="745"/>
        <w:spacing w:after="0" w:line="244" w:lineRule="auto"/>
        <w:tabs>
          <w:tab w:leader="none" w:pos="1973"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w:t>
      </w:r>
      <w:r>
        <w:rPr>
          <w:rFonts w:ascii="Arial" w:cs="Arial" w:eastAsia="Arial" w:hAnsi="Arial"/>
          <w:sz w:val="20"/>
          <w:szCs w:val="20"/>
          <w:color w:val="FF0000"/>
          <w:strike w:val="1"/>
        </w:rPr>
        <w:t>,</w:t>
      </w:r>
      <w:r>
        <w:rPr>
          <w:rFonts w:ascii="Arial" w:cs="Arial" w:eastAsia="Arial" w:hAnsi="Arial"/>
          <w:sz w:val="20"/>
          <w:szCs w:val="20"/>
          <w:u w:val="single" w:color="auto"/>
          <w:color w:val="0000FF"/>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94" w:lineRule="exact"/>
        <w:rPr>
          <w:rFonts w:ascii="Arial" w:cs="Arial" w:eastAsia="Arial" w:hAnsi="Arial"/>
          <w:sz w:val="20"/>
          <w:szCs w:val="20"/>
          <w:color w:val="auto"/>
        </w:rPr>
      </w:pPr>
    </w:p>
    <w:p>
      <w:pPr>
        <w:jc w:val="both"/>
        <w:ind w:left="760" w:firstLine="745"/>
        <w:spacing w:after="0" w:line="256" w:lineRule="auto"/>
        <w:tabs>
          <w:tab w:leader="none" w:pos="2005"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such Benchmark (or the published component used in the calculation thereof), the Board, the NYFRB, the </w:t>
      </w:r>
      <w:r>
        <w:rPr>
          <w:rFonts w:ascii="Arial" w:cs="Arial" w:eastAsia="Arial" w:hAnsi="Arial"/>
          <w:sz w:val="19"/>
          <w:szCs w:val="19"/>
          <w:u w:val="single" w:color="auto"/>
          <w:color w:val="0000FF"/>
        </w:rPr>
        <w:t>CME Term SOFR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Administrator, the</w:t>
      </w:r>
      <w:r>
        <w:rPr>
          <w:rFonts w:ascii="Arial" w:cs="Arial" w:eastAsia="Arial" w:hAnsi="Arial"/>
          <w:sz w:val="19"/>
          <w:szCs w:val="19"/>
          <w:color w:val="0000FF"/>
        </w:rPr>
        <w:t xml:space="preserve"> </w:t>
      </w:r>
      <w:r>
        <w:rPr>
          <w:rFonts w:ascii="Arial" w:cs="Arial" w:eastAsia="Arial" w:hAnsi="Arial"/>
          <w:sz w:val="19"/>
          <w:szCs w:val="19"/>
          <w:color w:val="000000"/>
        </w:rPr>
        <w:t>central bank for the Agreed Currency applicable to such Benchmark, an insolvency official with jurisdiction over</w:t>
      </w:r>
      <w:r>
        <w:rPr>
          <w:rFonts w:ascii="Arial" w:cs="Arial" w:eastAsia="Arial" w:hAnsi="Arial"/>
          <w:sz w:val="19"/>
          <w:szCs w:val="19"/>
          <w:color w:val="0000FF"/>
        </w:rPr>
        <w:t xml:space="preserve"> </w:t>
      </w:r>
      <w:r>
        <w:rPr>
          <w:rFonts w:ascii="Arial" w:cs="Arial" w:eastAsia="Arial" w:hAnsi="Arial"/>
          <w:sz w:val="19"/>
          <w:szCs w:val="19"/>
          <w:color w:val="000000"/>
        </w:rPr>
        <w:t xml:space="preserve">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9"/>
          <w:szCs w:val="19"/>
          <w:u w:val="single" w:color="auto"/>
          <w:color w:val="000000"/>
        </w:rPr>
        <w:t>provided that</w:t>
      </w:r>
      <w:r>
        <w:rPr>
          <w:rFonts w:ascii="Arial" w:cs="Arial" w:eastAsia="Arial" w:hAnsi="Arial"/>
          <w:sz w:val="19"/>
          <w:szCs w:val="19"/>
          <w:color w:val="000000"/>
        </w:rPr>
        <w:t>, at the time of such statement or publication, there is no successor administrator that will continue to provide any Available Tenor of such Benchmark (or such component thereof); or</w:t>
      </w:r>
    </w:p>
    <w:p>
      <w:pPr>
        <w:spacing w:after="0" w:line="184" w:lineRule="exact"/>
        <w:rPr>
          <w:rFonts w:ascii="Arial" w:cs="Arial" w:eastAsia="Arial" w:hAnsi="Arial"/>
          <w:sz w:val="19"/>
          <w:szCs w:val="19"/>
          <w:color w:val="auto"/>
        </w:rPr>
      </w:pPr>
    </w:p>
    <w:p>
      <w:pPr>
        <w:jc w:val="both"/>
        <w:ind w:left="760" w:firstLine="745"/>
        <w:spacing w:after="0" w:line="269" w:lineRule="auto"/>
        <w:tabs>
          <w:tab w:leader="none" w:pos="2005"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For the avoidance of doubt, a “Benchmark Transition Event” will be deemed to have occurred with respect to any</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Benchmark if a public statement or publication of information set forth above has occurred with respect to each then-current</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Available Tenor of such Benchmark (or the published component used in the calculation thereof).</w:t>
      </w:r>
    </w:p>
    <w:p>
      <w:pPr>
        <w:spacing w:after="0" w:line="20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 Unavailability Period</w:t>
      </w:r>
      <w:r>
        <w:rPr>
          <w:rFonts w:ascii="Arial" w:cs="Arial" w:eastAsia="Arial" w:hAnsi="Arial"/>
          <w:sz w:val="20"/>
          <w:szCs w:val="20"/>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19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Ownership Certification</w:t>
      </w:r>
      <w:r>
        <w:rPr>
          <w:rFonts w:ascii="Arial" w:cs="Arial" w:eastAsia="Arial" w:hAnsi="Arial"/>
          <w:sz w:val="20"/>
          <w:szCs w:val="20"/>
          <w:color w:val="auto"/>
        </w:rPr>
        <w:t>” means a certification regarding beneficial ownership as required by the Beneficial Ownership Regulation.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Benefit Plan</w:t>
      </w:r>
      <w:r>
        <w:rPr>
          <w:rFonts w:ascii="Arial" w:cs="Arial" w:eastAsia="Arial" w:hAnsi="Arial"/>
          <w:sz w:val="20"/>
          <w:szCs w:val="20"/>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6" w:name="page77"/>
    <w:bookmarkEnd w:id="76"/>
    <w:p>
      <w:pPr>
        <w:jc w:val="both"/>
        <w:spacing w:after="0" w:line="260" w:lineRule="auto"/>
        <w:rPr>
          <w:sz w:val="20"/>
          <w:szCs w:val="20"/>
          <w:color w:val="auto"/>
        </w:rPr>
      </w:pPr>
      <w:r>
        <w:rPr>
          <w:rFonts w:ascii="Arial" w:cs="Arial" w:eastAsia="Arial" w:hAnsi="Arial"/>
          <w:sz w:val="20"/>
          <w:szCs w:val="20"/>
          <w:color w:val="auto"/>
        </w:rPr>
        <w:t>Regulations or otherwise for purposes of Title I of ERISA or Section 4975 of the Code) the assets of any such “employee benefit plan” or “plan”.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BHC Act Affiliate</w:t>
      </w:r>
      <w:r>
        <w:rPr>
          <w:rFonts w:ascii="Arial" w:cs="Arial" w:eastAsia="Arial" w:hAnsi="Arial"/>
          <w:sz w:val="18"/>
          <w:szCs w:val="18"/>
          <w:color w:val="auto"/>
        </w:rPr>
        <w:t>” of a party means an “affiliate” (as such term is defined under, and interpreted in accordance with, 12 U.S.C.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1841(k)) of such party.</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Governors of the Federal Reserve System of the United States of America.</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and “</w:t>
      </w:r>
      <w:r>
        <w:rPr>
          <w:rFonts w:ascii="Arial" w:cs="Arial" w:eastAsia="Arial" w:hAnsi="Arial"/>
          <w:sz w:val="20"/>
          <w:szCs w:val="20"/>
          <w:b w:val="1"/>
          <w:bCs w:val="1"/>
          <w:i w:val="1"/>
          <w:iCs w:val="1"/>
          <w:color w:val="auto"/>
        </w:rPr>
        <w:t>Borrowers</w:t>
      </w:r>
      <w:r>
        <w:rPr>
          <w:rFonts w:ascii="Arial" w:cs="Arial" w:eastAsia="Arial" w:hAnsi="Arial"/>
          <w:sz w:val="20"/>
          <w:szCs w:val="20"/>
          <w:color w:val="auto"/>
        </w:rPr>
        <w:t>” each has the meaning assigned to such term in the preamble.</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Borrower DTTP Filing</w:t>
      </w:r>
      <w:r>
        <w:rPr>
          <w:rFonts w:ascii="Arial" w:cs="Arial" w:eastAsia="Arial" w:hAnsi="Arial"/>
          <w:sz w:val="20"/>
          <w:szCs w:val="20"/>
          <w:color w:val="auto"/>
        </w:rPr>
        <w:t>” means an HM Revenue &amp; Customs’ Form DTTP2, duly completed and filed by the relevant Borrower within the applicable time limit, which contains the scheme reference number and jurisdiction of tax residence provided by the applicable Lender to the Company and the Administrative Agent.</w:t>
      </w:r>
    </w:p>
    <w:p>
      <w:pPr>
        <w:spacing w:after="0" w:line="18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Borrowing</w:t>
      </w:r>
      <w:r>
        <w:rPr>
          <w:rFonts w:ascii="Arial" w:cs="Arial" w:eastAsia="Arial" w:hAnsi="Arial"/>
          <w:sz w:val="19"/>
          <w:szCs w:val="19"/>
          <w:color w:val="auto"/>
        </w:rPr>
        <w:t xml:space="preserve">” means (a) Revolving Loans of the same Type and currency, made, converted or continued on the same date and, in the case of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Benchmark</w:t>
      </w:r>
      <w:r>
        <w:rPr>
          <w:rFonts w:ascii="Arial" w:cs="Arial" w:eastAsia="Arial" w:hAnsi="Arial"/>
          <w:sz w:val="19"/>
          <w:szCs w:val="19"/>
          <w:color w:val="auto"/>
        </w:rPr>
        <w:t xml:space="preserve"> Loans, as to which a single Interest Period is in effect, or (b) a Swingline Loan.</w:t>
      </w:r>
    </w:p>
    <w:p>
      <w:pPr>
        <w:spacing w:after="0" w:line="15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Borrowing Request</w:t>
      </w:r>
      <w:r>
        <w:rPr>
          <w:rFonts w:ascii="Arial" w:cs="Arial" w:eastAsia="Arial" w:hAnsi="Arial"/>
          <w:sz w:val="20"/>
          <w:szCs w:val="20"/>
          <w:color w:val="auto"/>
        </w:rPr>
        <w:t xml:space="preserve">” means a request by the Company, for itself or on behalf of a Designated Borrower, for a Revolving Borrowing in accordance with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xml:space="preserve">” means, any day (other than a Saturday or a Sunday) on which banks are open for business in New York City;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r>
        <w:rPr>
          <w:rFonts w:ascii="Arial" w:cs="Arial" w:eastAsia="Arial" w:hAnsi="Arial"/>
          <w:sz w:val="18"/>
          <w:szCs w:val="18"/>
          <w:u w:val="single" w:color="auto"/>
          <w:color w:val="0000FF"/>
        </w:rPr>
        <w:t>, in addition to the foregoing, a Business Day shall be</w:t>
      </w:r>
      <w:r>
        <w:rPr>
          <w:rFonts w:ascii="Arial" w:cs="Arial" w:eastAsia="Arial" w:hAnsi="Arial"/>
          <w:sz w:val="18"/>
          <w:szCs w:val="18"/>
          <w:color w:val="auto"/>
        </w:rPr>
        <w:t xml:space="preserve"> (i) in relation to </w:t>
      </w:r>
      <w:r>
        <w:rPr>
          <w:rFonts w:ascii="Arial" w:cs="Arial" w:eastAsia="Arial" w:hAnsi="Arial"/>
          <w:sz w:val="18"/>
          <w:szCs w:val="18"/>
          <w:color w:val="FF0000"/>
          <w:strike w:val="1"/>
        </w:rPr>
        <w:t>the calculation or computation of LIBOR, any day (other</w:t>
      </w:r>
      <w:r>
        <w:rPr>
          <w:rFonts w:ascii="Arial" w:cs="Arial" w:eastAsia="Arial" w:hAnsi="Arial"/>
          <w:sz w:val="18"/>
          <w:szCs w:val="18"/>
          <w:color w:val="auto"/>
        </w:rPr>
        <w:t xml:space="preserve"> </w:t>
      </w:r>
      <w:r>
        <w:rPr>
          <w:rFonts w:ascii="Arial" w:cs="Arial" w:eastAsia="Arial" w:hAnsi="Arial"/>
          <w:sz w:val="18"/>
          <w:szCs w:val="18"/>
          <w:color w:val="FF0000"/>
          <w:strike w:val="1"/>
        </w:rPr>
        <w:t>than a Saturday or a Sunday) on which banks are open for business in London</w:t>
      </w:r>
      <w:r>
        <w:rPr>
          <w:rFonts w:ascii="Arial" w:cs="Arial" w:eastAsia="Arial" w:hAnsi="Arial"/>
          <w:sz w:val="18"/>
          <w:szCs w:val="18"/>
          <w:u w:val="single" w:color="auto"/>
          <w:color w:val="0000FF"/>
          <w:strike w:val="1"/>
        </w:rPr>
        <w:t>Loans referencing the Adjusted Term SOFR Rate and any</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interest rate settings, fundings, disbursements, settlements or payments of any such Loans referencing the Adjusted Term SOFR Rate or any other dealings of such Loans referencing the Adjusted Term SOFR Rate, any such day that is a U.S. Government Securities Business Day</w:t>
      </w:r>
      <w:r>
        <w:rPr>
          <w:rFonts w:ascii="Arial" w:cs="Arial" w:eastAsia="Arial" w:hAnsi="Arial"/>
          <w:sz w:val="18"/>
          <w:szCs w:val="18"/>
          <w:color w:val="000000"/>
          <w:strike w:val="1"/>
        </w:rPr>
        <w:t>, (ii)</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in relation to Loans denominated in Japanese Yen and in relation to the calculation or computation of </w:t>
      </w:r>
      <w:r>
        <w:rPr>
          <w:rFonts w:ascii="Arial" w:cs="Arial" w:eastAsia="Arial" w:hAnsi="Arial"/>
          <w:sz w:val="18"/>
          <w:szCs w:val="18"/>
          <w:color w:val="FF0000"/>
          <w:strike w:val="1"/>
        </w:rPr>
        <w:t>TIBOR</w:t>
      </w:r>
      <w:r>
        <w:rPr>
          <w:rFonts w:ascii="Arial" w:cs="Arial" w:eastAsia="Arial" w:hAnsi="Arial"/>
          <w:sz w:val="18"/>
          <w:szCs w:val="18"/>
          <w:u w:val="single" w:color="auto"/>
          <w:color w:val="0000FF"/>
          <w:strike w:val="1"/>
        </w:rPr>
        <w:t>the TIBO Rate</w:t>
      </w:r>
      <w:r>
        <w:rPr>
          <w:rFonts w:ascii="Arial" w:cs="Arial" w:eastAsia="Arial" w:hAnsi="Arial"/>
          <w:sz w:val="18"/>
          <w:szCs w:val="18"/>
          <w:color w:val="000000"/>
          <w:strike w:val="1"/>
        </w:rPr>
        <w:t xml:space="preserve">, any day (other than a Saturday or a Sunday) on which banks are open for business in Japan, (iii) in relation to Loans denominated in Euro and in relation to the calculation or computation of </w:t>
      </w:r>
      <w:r>
        <w:rPr>
          <w:rFonts w:ascii="Arial" w:cs="Arial" w:eastAsia="Arial" w:hAnsi="Arial"/>
          <w:sz w:val="18"/>
          <w:szCs w:val="18"/>
          <w:color w:val="FF0000"/>
          <w:strike w:val="1"/>
        </w:rPr>
        <w:t>EURIBOR</w:t>
      </w:r>
      <w:r>
        <w:rPr>
          <w:rFonts w:ascii="Arial" w:cs="Arial" w:eastAsia="Arial" w:hAnsi="Arial"/>
          <w:sz w:val="18"/>
          <w:szCs w:val="18"/>
          <w:u w:val="single" w:color="auto"/>
          <w:color w:val="0000FF"/>
          <w:strike w:val="1"/>
        </w:rPr>
        <w:t>the EURIBO Rate</w:t>
      </w:r>
      <w:r>
        <w:rPr>
          <w:rFonts w:ascii="Arial" w:cs="Arial" w:eastAsia="Arial" w:hAnsi="Arial"/>
          <w:sz w:val="18"/>
          <w:szCs w:val="18"/>
          <w:color w:val="000000"/>
          <w:strike w:val="1"/>
        </w:rPr>
        <w:t xml:space="preserve">, any day which is a TARGET Day, (iv) in relation to Loans denominated in Canadian Dollars and in relation to the calculation or computation of </w:t>
      </w:r>
      <w:r>
        <w:rPr>
          <w:rFonts w:ascii="Arial" w:cs="Arial" w:eastAsia="Arial" w:hAnsi="Arial"/>
          <w:sz w:val="18"/>
          <w:szCs w:val="18"/>
          <w:u w:val="single" w:color="auto"/>
          <w:color w:val="0000FF"/>
          <w:strike w:val="1"/>
        </w:rPr>
        <w:t>the</w:t>
      </w:r>
      <w:r>
        <w:rPr>
          <w:rFonts w:ascii="Arial" w:cs="Arial" w:eastAsia="Arial" w:hAnsi="Arial"/>
          <w:sz w:val="18"/>
          <w:szCs w:val="18"/>
          <w:color w:val="000000"/>
          <w:strike w:val="1"/>
        </w:rPr>
        <w:t xml:space="preserve"> CDOR </w:t>
      </w:r>
      <w:r>
        <w:rPr>
          <w:rFonts w:ascii="Arial" w:cs="Arial" w:eastAsia="Arial" w:hAnsi="Arial"/>
          <w:sz w:val="18"/>
          <w:szCs w:val="18"/>
          <w:u w:val="single" w:color="auto"/>
          <w:color w:val="0000FF"/>
          <w:strike w:val="1"/>
        </w:rPr>
        <w:t>Rate</w:t>
      </w:r>
      <w:r>
        <w:rPr>
          <w:rFonts w:ascii="Arial" w:cs="Arial" w:eastAsia="Arial" w:hAnsi="Arial"/>
          <w:sz w:val="18"/>
          <w:szCs w:val="18"/>
          <w:color w:val="000000"/>
          <w:strike w:val="1"/>
        </w:rPr>
        <w:t xml:space="preserve">, any day (other than a Saturday or a Sunday) on which banks are open for business in Toronto, Canada, (v) in relation to Loans denominated in Australian Dollars and in relation to the calculation or computation of </w:t>
      </w:r>
      <w:r>
        <w:rPr>
          <w:rFonts w:ascii="Arial" w:cs="Arial" w:eastAsia="Arial" w:hAnsi="Arial"/>
          <w:sz w:val="18"/>
          <w:szCs w:val="18"/>
          <w:color w:val="FF0000"/>
          <w:strike w:val="1"/>
        </w:rPr>
        <w:t>BBSY</w:t>
      </w:r>
      <w:r>
        <w:rPr>
          <w:rFonts w:ascii="Arial" w:cs="Arial" w:eastAsia="Arial" w:hAnsi="Arial"/>
          <w:sz w:val="18"/>
          <w:szCs w:val="18"/>
          <w:u w:val="single" w:color="auto"/>
          <w:color w:val="0000FF"/>
          <w:strike w:val="1"/>
        </w:rPr>
        <w:t>the AUD Rate</w:t>
      </w:r>
      <w:r>
        <w:rPr>
          <w:rFonts w:ascii="Arial" w:cs="Arial" w:eastAsia="Arial" w:hAnsi="Arial"/>
          <w:sz w:val="18"/>
          <w:szCs w:val="18"/>
          <w:color w:val="000000"/>
          <w:strike w:val="1"/>
        </w:rPr>
        <w:t>, any day (other than a Saturday or a Sunday) on which banks are open for business in Sydney, Australia</w:t>
      </w:r>
      <w:r>
        <w:rPr>
          <w:rFonts w:ascii="Arial" w:cs="Arial" w:eastAsia="Arial" w:hAnsi="Arial"/>
          <w:sz w:val="18"/>
          <w:szCs w:val="18"/>
          <w:color w:val="FF0000"/>
          <w:strike w:val="1"/>
        </w:rPr>
        <w:t>,</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or</w:t>
      </w:r>
      <w:r>
        <w:rPr>
          <w:rFonts w:ascii="Arial" w:cs="Arial" w:eastAsia="Arial" w:hAnsi="Arial"/>
          <w:sz w:val="18"/>
          <w:szCs w:val="18"/>
          <w:color w:val="000000"/>
          <w:strike w:val="1"/>
        </w:rPr>
        <w:t xml:space="preserve"> (vi) in relation </w:t>
      </w:r>
      <w:r>
        <w:rPr>
          <w:rFonts w:ascii="Arial" w:cs="Arial" w:eastAsia="Arial" w:hAnsi="Arial"/>
          <w:sz w:val="18"/>
          <w:szCs w:val="18"/>
          <w:color w:val="FF0000"/>
          <w:strike w:val="1"/>
        </w:rPr>
        <w:t>to Loans denominated in Singapore Dollars and in relation to the calculation or computation of SIBOR, any day</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 xml:space="preserve">(other than a Saturday or a Sunday) on which banks are open for business in London or (vii) in relation </w:t>
      </w:r>
      <w:r>
        <w:rPr>
          <w:rFonts w:ascii="Arial" w:cs="Arial" w:eastAsia="Arial" w:hAnsi="Arial"/>
          <w:sz w:val="18"/>
          <w:szCs w:val="18"/>
          <w:color w:val="000000"/>
          <w:strike w:val="1"/>
        </w:rPr>
        <w:t>to RFR Loans and any interest rate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settings, fundings, disbursements, settlements or payments of any such RFR Loan, or any other dealings in the applicable Agreed Currency of such RFR Loan, any such day that is only an RFR Business Day.</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Canadian Borrower</w:t>
      </w:r>
      <w:r>
        <w:rPr>
          <w:rFonts w:ascii="Arial" w:cs="Arial" w:eastAsia="Arial" w:hAnsi="Arial"/>
          <w:sz w:val="20"/>
          <w:szCs w:val="20"/>
          <w:color w:val="auto"/>
        </w:rPr>
        <w:t>” means any Borrower that is organized under the laws of Canada or any province thereof.</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Canadian Dollars</w:t>
      </w:r>
      <w:r>
        <w:rPr>
          <w:rFonts w:ascii="Arial" w:cs="Arial" w:eastAsia="Arial" w:hAnsi="Arial"/>
          <w:sz w:val="20"/>
          <w:szCs w:val="20"/>
          <w:color w:val="auto"/>
        </w:rPr>
        <w:t>” means the lawful currency of Canada.</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Canadian Prime Rate</w:t>
      </w:r>
      <w:r>
        <w:rPr>
          <w:rFonts w:ascii="Arial" w:cs="Arial" w:eastAsia="Arial" w:hAnsi="Arial"/>
          <w:sz w:val="20"/>
          <w:szCs w:val="20"/>
          <w:color w:val="auto"/>
        </w:rPr>
        <w:t>” means, on any day, the rate determined by the Administrative Agent to be the higher of (i) the rate equal to the PRIMCAN Index rate that appears on the Bloomberg screen at 10:15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7" w:name="page78"/>
    <w:bookmarkEnd w:id="77"/>
    <w:p>
      <w:pPr>
        <w:jc w:val="both"/>
        <w:spacing w:after="0" w:line="273" w:lineRule="auto"/>
        <w:rPr>
          <w:sz w:val="20"/>
          <w:szCs w:val="20"/>
          <w:color w:val="auto"/>
        </w:rPr>
      </w:pPr>
      <w:r>
        <w:rPr>
          <w:rFonts w:ascii="Arial" w:cs="Arial" w:eastAsia="Arial" w:hAnsi="Arial"/>
          <w:sz w:val="18"/>
          <w:szCs w:val="18"/>
          <w:color w:val="auto"/>
        </w:rPr>
        <w:t xml:space="preserve">a.m. Toronto time on such day (or, in the event that the PRIMCAN Index is not published by Bloomberg, any other information services that publishes such index from time to time, as selected by the Administrative Agent in its reasonable discretion) and (ii) the average rate for thirty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 on such day </w:t>
      </w:r>
      <w:r>
        <w:rPr>
          <w:rFonts w:ascii="Arial" w:cs="Arial" w:eastAsia="Arial" w:hAnsi="Arial"/>
          <w:sz w:val="18"/>
          <w:szCs w:val="18"/>
          <w:u w:val="single" w:color="auto"/>
          <w:color w:val="0000FF"/>
        </w:rPr>
        <w:t>(“CDOR”)</w:t>
      </w:r>
      <w:r>
        <w:rPr>
          <w:rFonts w:ascii="Arial" w:cs="Arial" w:eastAsia="Arial" w:hAnsi="Arial"/>
          <w:sz w:val="18"/>
          <w:szCs w:val="18"/>
          <w:color w:val="auto"/>
        </w:rPr>
        <w:t xml:space="preserve">, plus 1%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w:t>
      </w:r>
      <w:r>
        <w:rPr>
          <w:rFonts w:ascii="Arial" w:cs="Arial" w:eastAsia="Arial" w:hAnsi="Arial"/>
          <w:sz w:val="18"/>
          <w:szCs w:val="18"/>
          <w:u w:val="single" w:color="auto"/>
          <w:color w:val="0000FF"/>
        </w:rPr>
        <w:t>of</w:t>
      </w:r>
      <w:r>
        <w:rPr>
          <w:rFonts w:ascii="Arial" w:cs="Arial" w:eastAsia="Arial" w:hAnsi="Arial"/>
          <w:sz w:val="18"/>
          <w:szCs w:val="18"/>
          <w:color w:val="auto"/>
        </w:rPr>
        <w:t xml:space="preserve"> the above rates shall be less than zero, such rate shall be deemed to be zero for purposes of this Agreement. </w:t>
      </w:r>
      <w:r>
        <w:rPr>
          <w:rFonts w:ascii="Arial" w:cs="Arial" w:eastAsia="Arial" w:hAnsi="Arial"/>
          <w:sz w:val="18"/>
          <w:szCs w:val="18"/>
          <w:color w:val="0000FF"/>
        </w:rPr>
        <w:t>Any change in the Canadian Prime Rate due to a change in the PRIMCAN Index 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CDOR shall be effective from and including the effective date of such change in the PRIMCAN Index or CDOR,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2769870</wp:posOffset>
            </wp:positionH>
            <wp:positionV relativeFrom="paragraph">
              <wp:posOffset>-190500</wp:posOffset>
            </wp:positionV>
            <wp:extent cx="43992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Canadian Prime Rate Loan</w:t>
      </w:r>
      <w:r>
        <w:rPr>
          <w:rFonts w:ascii="Arial" w:cs="Arial" w:eastAsia="Arial" w:hAnsi="Arial"/>
          <w:sz w:val="20"/>
          <w:szCs w:val="20"/>
          <w:color w:val="auto"/>
        </w:rPr>
        <w:t>” means a Loan which bears interest at the Canadian Prime Rate.</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Capital Lease Obligations</w:t>
      </w:r>
      <w:r>
        <w:rPr>
          <w:rFonts w:ascii="Arial" w:cs="Arial" w:eastAsia="Arial" w:hAnsi="Arial"/>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9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 Equivalents</w:t>
      </w:r>
      <w:r>
        <w:rPr>
          <w:rFonts w:ascii="Arial" w:cs="Arial" w:eastAsia="Arial" w:hAnsi="Arial"/>
          <w:sz w:val="20"/>
          <w:szCs w:val="20"/>
          <w:color w:val="auto"/>
        </w:rPr>
        <w:t>” of any Person means cash equivalents as classified or accounted for as cash equivalents on the balance sheet of such Person in accordance with GAAP.</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CBR Loan</w:t>
      </w:r>
      <w:r>
        <w:rPr>
          <w:rFonts w:ascii="Arial" w:cs="Arial" w:eastAsia="Arial" w:hAnsi="Arial"/>
          <w:sz w:val="20"/>
          <w:szCs w:val="20"/>
          <w:color w:val="auto"/>
        </w:rPr>
        <w:t>” means a Loan that bears interest at a rate determined by reference to the Central Bank Rate.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CDOR</w:t>
      </w:r>
      <w:r>
        <w:rPr>
          <w:rFonts w:ascii="Arial" w:cs="Arial" w:eastAsia="Arial" w:hAnsi="Arial"/>
          <w:sz w:val="20"/>
          <w:szCs w:val="20"/>
          <w:color w:val="FF0000"/>
          <w:strike w:val="1"/>
        </w:rPr>
        <w:t>” has the meaning assigned to such term in Section 1.07.</w:t>
      </w:r>
    </w:p>
    <w:p>
      <w:pPr>
        <w:spacing w:after="0" w:line="21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CDOR Interpolated Rate</w:t>
      </w:r>
      <w:r>
        <w:rPr>
          <w:rFonts w:ascii="Arial" w:cs="Arial" w:eastAsia="Arial" w:hAnsi="Arial"/>
          <w:sz w:val="18"/>
          <w:szCs w:val="18"/>
          <w:color w:val="FF0000"/>
          <w:strike w:val="1"/>
        </w:rPr>
        <w:t xml:space="preserve">” means, at any time, with respect to any Eurocurrency Borrowing denominated in Canadian Dollars and for any Interest Period, the rate per annum determined by the Administrative Agent (which determination shall be conclusive and binding absent manifest error) to be equal to the rate that results from interpolating on a linear basis between: (a) the CDOR Screen Rate for the longest period (for which the CDOR Screen Rate is available for Canadian Dollars) that is shorter than the Impacted CDOR Rate Interest Period; and (b) the CDOR Screen Rate for the shortest period (for which the CDOR Screen Rate is available for Canadian Dollars) that exceeds the Impacted CDOR Rate Interest Period, in each case, at such time;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if any CDOR Interpolated Rate as so determined would be less than zero, such rate shall be deemed to be zero for the purposes of this Agreement.</w:t>
      </w:r>
    </w:p>
    <w:p>
      <w:pPr>
        <w:spacing w:after="0" w:line="16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CDOR Rate</w:t>
      </w:r>
      <w:r>
        <w:rPr>
          <w:rFonts w:ascii="Arial" w:cs="Arial" w:eastAsia="Arial" w:hAnsi="Arial"/>
          <w:sz w:val="20"/>
          <w:szCs w:val="20"/>
          <w:color w:val="auto"/>
        </w:rPr>
        <w:t xml:space="preserve">” means, with respect to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Borrowing denominated in Canadian Dollars and for any Interest Period, the CDOR Screen Rate at approximately 10:15 a.m., Toronto time, on the first day of such Interest Period</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provided</w:t>
      </w:r>
      <w:r>
        <w:rPr>
          <w:rFonts w:ascii="Arial" w:cs="Arial" w:eastAsia="Arial" w:hAnsi="Arial"/>
          <w:sz w:val="20"/>
          <w:szCs w:val="20"/>
          <w:color w:val="auto"/>
        </w:rPr>
        <w:t xml:space="preserve"> </w:t>
      </w:r>
      <w:r>
        <w:rPr>
          <w:rFonts w:ascii="Arial" w:cs="Arial" w:eastAsia="Arial" w:hAnsi="Arial"/>
          <w:sz w:val="20"/>
          <w:szCs w:val="20"/>
          <w:color w:val="FF0000"/>
          <w:strike w:val="1"/>
        </w:rPr>
        <w:t>that, if</w:t>
      </w:r>
      <w:r>
        <w:rPr>
          <w:rFonts w:ascii="Arial" w:cs="Arial" w:eastAsia="Arial" w:hAnsi="Arial"/>
          <w:sz w:val="20"/>
          <w:szCs w:val="20"/>
          <w:color w:val="auto"/>
        </w:rPr>
        <w:t xml:space="preserve"> </w:t>
      </w:r>
      <w:r>
        <w:rPr>
          <w:rFonts w:ascii="Arial" w:cs="Arial" w:eastAsia="Arial" w:hAnsi="Arial"/>
          <w:sz w:val="20"/>
          <w:szCs w:val="20"/>
          <w:color w:val="FF0000"/>
          <w:strike w:val="1"/>
        </w:rPr>
        <w:t>the CDOR Screen Rate shall not be available at such time for such Interest Period (an “</w:t>
      </w:r>
      <w:r>
        <w:rPr>
          <w:rFonts w:ascii="Arial" w:cs="Arial" w:eastAsia="Arial" w:hAnsi="Arial"/>
          <w:sz w:val="20"/>
          <w:szCs w:val="20"/>
          <w:b w:val="1"/>
          <w:bCs w:val="1"/>
          <w:i w:val="1"/>
          <w:iCs w:val="1"/>
          <w:color w:val="FF0000"/>
          <w:strike w:val="1"/>
        </w:rPr>
        <w:t>Impacted CDOR Rate Interest Period</w:t>
      </w:r>
      <w:r>
        <w:rPr>
          <w:rFonts w:ascii="Arial" w:cs="Arial" w:eastAsia="Arial" w:hAnsi="Arial"/>
          <w:sz w:val="20"/>
          <w:szCs w:val="20"/>
          <w:color w:val="FF0000"/>
          <w:strike w:val="1"/>
        </w:rPr>
        <w:t>”) with respect to Canadian Dollars then the CDOR Rate shall be the CDOR Interpolated Rate</w:t>
      </w:r>
      <w:r>
        <w:rPr>
          <w:rFonts w:ascii="Arial" w:cs="Arial" w:eastAsia="Arial" w:hAnsi="Arial"/>
          <w:sz w:val="20"/>
          <w:szCs w:val="20"/>
          <w:color w:val="000000"/>
          <w:strike w:val="1"/>
        </w:rPr>
        <w:t>.</w:t>
      </w:r>
    </w:p>
    <w:p>
      <w:pPr>
        <w:spacing w:after="0" w:line="19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CDOR Screen Rate</w:t>
      </w:r>
      <w:r>
        <w:rPr>
          <w:rFonts w:ascii="Arial" w:cs="Arial" w:eastAsia="Arial" w:hAnsi="Arial"/>
          <w:sz w:val="20"/>
          <w:szCs w:val="20"/>
          <w:color w:val="auto"/>
        </w:rPr>
        <w:t xml:space="preserve">” means, for any day and time, with respect to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Borrowing denominated in Canadian Dollars and for any Interest Period, the annual rate of interest equal to the average rate applicable to Canadian dollar Canadian bankers’ acceptances for the applicable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8" w:name="page79"/>
    <w:bookmarkEnd w:id="78"/>
    <w:p>
      <w:pPr>
        <w:jc w:val="both"/>
        <w:spacing w:after="0" w:line="230" w:lineRule="auto"/>
        <w:rPr>
          <w:sz w:val="20"/>
          <w:szCs w:val="20"/>
          <w:color w:val="auto"/>
        </w:rPr>
      </w:pPr>
      <w:r>
        <w:rPr>
          <w:rFonts w:ascii="Arial" w:cs="Arial" w:eastAsia="Arial" w:hAnsi="Arial"/>
          <w:sz w:val="20"/>
          <w:szCs w:val="20"/>
          <w:color w:val="auto"/>
        </w:rPr>
        <w:t>as selected by the Administrative Agent in its reasonable discretion), rounded to the nearest 1/100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1% (with .005% being rounded up)</w:t>
      </w:r>
      <w:r>
        <w:rPr>
          <w:rFonts w:ascii="Arial" w:cs="Arial" w:eastAsia="Arial" w:hAnsi="Arial"/>
          <w:sz w:val="20"/>
          <w:szCs w:val="20"/>
          <w:u w:val="single" w:color="auto"/>
          <w:color w:val="0000FF"/>
        </w:rPr>
        <w:t>, as</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of 10:15 a.m. Toronto time on the first day of such Interest Period and, if such day is not a Business Day, then on the immediately preceding Business Day (as adjusted by Administrative Agent after 10:15 a.m. Toronto time to reflect any error in the posted rate of interest or in the posted average annual rate of interest)</w:t>
      </w:r>
      <w:r>
        <w:rPr>
          <w:rFonts w:ascii="Arial" w:cs="Arial" w:eastAsia="Arial" w:hAnsi="Arial"/>
          <w:sz w:val="20"/>
          <w:szCs w:val="20"/>
          <w:color w:val="000000"/>
        </w:rPr>
        <w:t>. If the CDOR Screen Rate as so determined would be less than zero, such rate shall be deemed to be</w:t>
      </w:r>
      <w:r>
        <w:rPr>
          <w:rFonts w:ascii="Arial" w:cs="Arial" w:eastAsia="Arial" w:hAnsi="Arial"/>
          <w:sz w:val="20"/>
          <w:szCs w:val="20"/>
          <w:color w:val="0000FF"/>
        </w:rPr>
        <w:t xml:space="preserve"> </w:t>
      </w:r>
      <w:r>
        <w:rPr>
          <w:rFonts w:ascii="Arial" w:cs="Arial" w:eastAsia="Arial" w:hAnsi="Arial"/>
          <w:sz w:val="20"/>
          <w:szCs w:val="20"/>
          <w:color w:val="000000"/>
        </w:rPr>
        <w:t>zero for the purposes of this Agreement.</w:t>
      </w:r>
    </w:p>
    <w:p>
      <w:pPr>
        <w:spacing w:after="0" w:line="199"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Central Bank Rate</w:t>
      </w:r>
      <w:r>
        <w:rPr>
          <w:rFonts w:ascii="Arial" w:cs="Arial" w:eastAsia="Arial" w:hAnsi="Arial"/>
          <w:sz w:val="18"/>
          <w:szCs w:val="18"/>
          <w:color w:val="auto"/>
        </w:rPr>
        <w:t>” means</w:t>
      </w:r>
      <w:r>
        <w:rPr>
          <w:rFonts w:ascii="Arial" w:cs="Arial" w:eastAsia="Arial" w:hAnsi="Arial"/>
          <w:sz w:val="18"/>
          <w:szCs w:val="18"/>
          <w:color w:val="FF0000"/>
          <w:strike w:val="1"/>
        </w:rPr>
        <w:t>, (A)</w:t>
      </w:r>
      <w:r>
        <w:rPr>
          <w:rFonts w:ascii="Arial" w:cs="Arial" w:eastAsia="Arial" w:hAnsi="Arial"/>
          <w:sz w:val="18"/>
          <w:szCs w:val="18"/>
          <w:color w:val="auto"/>
        </w:rPr>
        <w:t xml:space="preserve"> the greater of (i</w:t>
      </w:r>
      <w:r>
        <w:rPr>
          <w:rFonts w:ascii="Arial" w:cs="Arial" w:eastAsia="Arial" w:hAnsi="Arial"/>
          <w:sz w:val="18"/>
          <w:szCs w:val="18"/>
          <w:u w:val="single" w:color="auto"/>
          <w:color w:val="0000FF"/>
        </w:rPr>
        <w:t>) (A</w:t>
      </w:r>
      <w:r>
        <w:rPr>
          <w:rFonts w:ascii="Arial" w:cs="Arial" w:eastAsia="Arial" w:hAnsi="Arial"/>
          <w:sz w:val="18"/>
          <w:szCs w:val="18"/>
          <w:color w:val="auto"/>
        </w:rPr>
        <w:t xml:space="preserve">) for any Loan denominated in (a) Pounds Sterling, the Bank of England (or any successor thereto)’s “Bank Rate” as published by the Bank of England (or any successor thereto) from time to time, (b) Euro, one of the following three rates as may be selected by the Administrative Agent </w:t>
      </w:r>
      <w:r>
        <w:rPr>
          <w:rFonts w:ascii="Arial" w:cs="Arial" w:eastAsia="Arial" w:hAnsi="Arial"/>
          <w:sz w:val="18"/>
          <w:szCs w:val="18"/>
          <w:color w:val="0000FF"/>
        </w:rPr>
        <w:t>in its reasonable discretion</w:t>
      </w:r>
      <w:r>
        <w:rPr>
          <w:rFonts w:ascii="Arial" w:cs="Arial" w:eastAsia="Arial" w:hAnsi="Arial"/>
          <w:sz w:val="18"/>
          <w:szCs w:val="18"/>
          <w:color w:val="auto"/>
        </w:rPr>
        <w:t>: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-751205</wp:posOffset>
            </wp:positionV>
            <wp:extent cx="140017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jc w:val="both"/>
        <w:ind w:firstLine="8"/>
        <w:spacing w:after="0" w:line="257" w:lineRule="auto"/>
        <w:tabs>
          <w:tab w:leader="none" w:pos="291" w:val="left"/>
        </w:tabs>
        <w:numPr>
          <w:ilvl w:val="0"/>
          <w:numId w:val="28"/>
        </w:numPr>
        <w:rPr>
          <w:rFonts w:ascii="Arial" w:cs="Arial" w:eastAsia="Arial" w:hAnsi="Arial"/>
          <w:sz w:val="19"/>
          <w:szCs w:val="19"/>
          <w:color w:val="auto"/>
        </w:rPr>
      </w:pPr>
      <w:r>
        <w:rPr>
          <w:rFonts w:ascii="Arial" w:cs="Arial" w:eastAsia="Arial" w:hAnsi="Arial"/>
          <w:sz w:val="19"/>
          <w:szCs w:val="19"/>
          <w:color w:val="auto"/>
        </w:rPr>
        <w:t>Swiss Francs, the policy rate of the Swiss National Bank (or any successor thereto) as published by the Swiss National Bank (or any successor thereto) from time to time</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and</w:t>
      </w:r>
      <w:r>
        <w:rPr>
          <w:rFonts w:ascii="Arial" w:cs="Arial" w:eastAsia="Arial" w:hAnsi="Arial"/>
          <w:sz w:val="19"/>
          <w:szCs w:val="19"/>
          <w:color w:val="auto"/>
        </w:rPr>
        <w:t xml:space="preserve"> (d) </w:t>
      </w:r>
      <w:r>
        <w:rPr>
          <w:rFonts w:ascii="Arial" w:cs="Arial" w:eastAsia="Arial" w:hAnsi="Arial"/>
          <w:sz w:val="19"/>
          <w:szCs w:val="19"/>
          <w:color w:val="FF0000"/>
          <w:strike w:val="1"/>
        </w:rPr>
        <w:t>Japanese Yen, the “short-term prime rate” as publicly announced by the Bank of Japan (or any</w:t>
      </w:r>
      <w:r>
        <w:rPr>
          <w:rFonts w:ascii="Arial" w:cs="Arial" w:eastAsia="Arial" w:hAnsi="Arial"/>
          <w:sz w:val="19"/>
          <w:szCs w:val="19"/>
          <w:color w:val="auto"/>
        </w:rPr>
        <w:t xml:space="preserve"> </w:t>
      </w:r>
      <w:r>
        <w:rPr>
          <w:rFonts w:ascii="Arial" w:cs="Arial" w:eastAsia="Arial" w:hAnsi="Arial"/>
          <w:sz w:val="19"/>
          <w:szCs w:val="19"/>
          <w:color w:val="FF0000"/>
          <w:strike w:val="1"/>
        </w:rPr>
        <w:t>successor thereto) from time to time and (e)</w:t>
      </w:r>
      <w:r>
        <w:rPr>
          <w:rFonts w:ascii="Arial" w:cs="Arial" w:eastAsia="Arial" w:hAnsi="Arial"/>
          <w:sz w:val="19"/>
          <w:szCs w:val="19"/>
          <w:color w:val="FF0000"/>
        </w:rPr>
        <w:t xml:space="preserve"> </w:t>
      </w:r>
      <w:r>
        <w:rPr>
          <w:rFonts w:ascii="Arial" w:cs="Arial" w:eastAsia="Arial" w:hAnsi="Arial"/>
          <w:sz w:val="19"/>
          <w:szCs w:val="19"/>
          <w:color w:val="000000"/>
        </w:rPr>
        <w:t>any other Foreign Currency, a central bank rate as determined by the Administrative Agent in its</w:t>
      </w:r>
      <w:r>
        <w:rPr>
          <w:rFonts w:ascii="Arial" w:cs="Arial" w:eastAsia="Arial" w:hAnsi="Arial"/>
          <w:sz w:val="19"/>
          <w:szCs w:val="19"/>
          <w:color w:val="FF0000"/>
        </w:rPr>
        <w:t xml:space="preserve"> </w:t>
      </w:r>
      <w:r>
        <w:rPr>
          <w:rFonts w:ascii="Arial" w:cs="Arial" w:eastAsia="Arial" w:hAnsi="Arial"/>
          <w:sz w:val="19"/>
          <w:szCs w:val="19"/>
          <w:color w:val="000000"/>
        </w:rPr>
        <w:t xml:space="preserve">reasonable discretion </w:t>
      </w:r>
      <w:r>
        <w:rPr>
          <w:rFonts w:ascii="Arial" w:cs="Arial" w:eastAsia="Arial" w:hAnsi="Arial"/>
          <w:sz w:val="19"/>
          <w:szCs w:val="19"/>
          <w:color w:val="FF0000"/>
        </w:rPr>
        <w:t>and (ii) 0%</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plus</w:t>
      </w:r>
      <w:r>
        <w:rPr>
          <w:rFonts w:ascii="Arial" w:cs="Arial" w:eastAsia="Arial" w:hAnsi="Arial"/>
          <w:sz w:val="19"/>
          <w:szCs w:val="19"/>
          <w:color w:val="000000"/>
        </w:rPr>
        <w:t xml:space="preserve"> (B) the applicable Central Bank Rate Adjustment </w:t>
      </w:r>
      <w:r>
        <w:rPr>
          <w:rFonts w:ascii="Arial" w:cs="Arial" w:eastAsia="Arial" w:hAnsi="Arial"/>
          <w:sz w:val="19"/>
          <w:szCs w:val="19"/>
          <w:color w:val="0000FF"/>
        </w:rPr>
        <w:t>and (ii) the Floor</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1069340</wp:posOffset>
            </wp:positionH>
            <wp:positionV relativeFrom="paragraph">
              <wp:posOffset>-87630</wp:posOffset>
            </wp:positionV>
            <wp:extent cx="5969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596900" cy="8890"/>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-36195</wp:posOffset>
            </wp:positionV>
            <wp:extent cx="87947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879475" cy="8255"/>
                    </a:xfrm>
                    <a:prstGeom prst="rect">
                      <a:avLst/>
                    </a:prstGeom>
                    <a:noFill/>
                  </pic:spPr>
                </pic:pic>
              </a:graphicData>
            </a:graphic>
          </wp:anchor>
        </w:drawing>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Central Bank Rate Adjustment</w:t>
      </w:r>
      <w:r>
        <w:rPr>
          <w:rFonts w:ascii="Arial" w:cs="Arial" w:eastAsia="Arial" w:hAnsi="Arial"/>
          <w:sz w:val="20"/>
          <w:szCs w:val="20"/>
          <w:color w:val="auto"/>
        </w:rPr>
        <w:t>” means, for any day, for any Loan denominated in:</w:t>
      </w:r>
    </w:p>
    <w:p>
      <w:pPr>
        <w:spacing w:after="0" w:line="216" w:lineRule="exact"/>
        <w:rPr>
          <w:sz w:val="20"/>
          <w:szCs w:val="20"/>
          <w:color w:val="auto"/>
        </w:rPr>
      </w:pPr>
    </w:p>
    <w:p>
      <w:pPr>
        <w:jc w:val="both"/>
        <w:ind w:firstLine="757"/>
        <w:spacing w:after="0" w:line="260" w:lineRule="auto"/>
        <w:tabs>
          <w:tab w:leader="none" w:pos="1053"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Pounds Sterling, a rate equal to the difference (which may be a positive or negative value or zero) of (x) the average of </w:t>
      </w:r>
      <w:r>
        <w:rPr>
          <w:rFonts w:ascii="Arial" w:cs="Arial" w:eastAsia="Arial" w:hAnsi="Arial"/>
          <w:sz w:val="19"/>
          <w:szCs w:val="19"/>
          <w:color w:val="FF0000"/>
          <w:strike w:val="1"/>
        </w:rPr>
        <w:t>SONIA</w:t>
      </w:r>
      <w:r>
        <w:rPr>
          <w:rFonts w:ascii="Arial" w:cs="Arial" w:eastAsia="Arial" w:hAnsi="Arial"/>
          <w:sz w:val="19"/>
          <w:szCs w:val="19"/>
          <w:u w:val="single" w:color="auto"/>
          <w:color w:val="0000FF"/>
        </w:rPr>
        <w:t>Adjusted Daily Simple RFR for Pounds Sterling Borrowings</w:t>
      </w:r>
      <w:r>
        <w:rPr>
          <w:rFonts w:ascii="Arial" w:cs="Arial" w:eastAsia="Arial" w:hAnsi="Arial"/>
          <w:sz w:val="19"/>
          <w:szCs w:val="19"/>
          <w:color w:val="FF0000"/>
        </w:rPr>
        <w:t xml:space="preserve"> </w:t>
      </w:r>
      <w:r>
        <w:rPr>
          <w:rFonts w:ascii="Arial" w:cs="Arial" w:eastAsia="Arial" w:hAnsi="Arial"/>
          <w:sz w:val="19"/>
          <w:szCs w:val="19"/>
          <w:color w:val="000000"/>
        </w:rPr>
        <w:t>for the five (5) most recent RFR Business Days preceding such day for</w:t>
      </w:r>
      <w:r>
        <w:rPr>
          <w:rFonts w:ascii="Arial" w:cs="Arial" w:eastAsia="Arial" w:hAnsi="Arial"/>
          <w:sz w:val="19"/>
          <w:szCs w:val="19"/>
          <w:color w:val="FF0000"/>
        </w:rPr>
        <w:t xml:space="preserve"> </w:t>
      </w:r>
      <w:r>
        <w:rPr>
          <w:rFonts w:ascii="Arial" w:cs="Arial" w:eastAsia="Arial" w:hAnsi="Arial"/>
          <w:sz w:val="19"/>
          <w:szCs w:val="19"/>
          <w:color w:val="000000"/>
        </w:rPr>
        <w:t xml:space="preserve">which </w:t>
      </w:r>
      <w:r>
        <w:rPr>
          <w:rFonts w:ascii="Arial" w:cs="Arial" w:eastAsia="Arial" w:hAnsi="Arial"/>
          <w:sz w:val="19"/>
          <w:szCs w:val="19"/>
          <w:color w:val="FF0000"/>
          <w:strike w:val="1"/>
        </w:rPr>
        <w:t>SONIA</w:t>
      </w:r>
      <w:r>
        <w:rPr>
          <w:rFonts w:ascii="Arial" w:cs="Arial" w:eastAsia="Arial" w:hAnsi="Arial"/>
          <w:sz w:val="19"/>
          <w:szCs w:val="19"/>
          <w:u w:val="single" w:color="auto"/>
          <w:color w:val="0000FF"/>
        </w:rPr>
        <w:t>Adjusted Daily Simple RFR for Pounds Sterling Borrowings</w:t>
      </w:r>
      <w:r>
        <w:rPr>
          <w:rFonts w:ascii="Arial" w:cs="Arial" w:eastAsia="Arial" w:hAnsi="Arial"/>
          <w:sz w:val="19"/>
          <w:szCs w:val="19"/>
          <w:color w:val="000000"/>
        </w:rPr>
        <w:t xml:space="preserve"> was available (excluding, from such averaging, the highest and the lowest </w:t>
      </w:r>
      <w:r>
        <w:rPr>
          <w:rFonts w:ascii="Arial" w:cs="Arial" w:eastAsia="Arial" w:hAnsi="Arial"/>
          <w:sz w:val="19"/>
          <w:szCs w:val="19"/>
          <w:color w:val="FF0000"/>
          <w:strike w:val="1"/>
        </w:rPr>
        <w:t>SONIA</w:t>
      </w:r>
      <w:r>
        <w:rPr>
          <w:rFonts w:ascii="Arial" w:cs="Arial" w:eastAsia="Arial" w:hAnsi="Arial"/>
          <w:sz w:val="19"/>
          <w:szCs w:val="19"/>
          <w:u w:val="single" w:color="auto"/>
          <w:color w:val="0000FF"/>
        </w:rPr>
        <w:t>such Adjusted Daily Simple RFR</w:t>
      </w:r>
      <w:r>
        <w:rPr>
          <w:rFonts w:ascii="Arial" w:cs="Arial" w:eastAsia="Arial" w:hAnsi="Arial"/>
          <w:sz w:val="19"/>
          <w:szCs w:val="19"/>
          <w:color w:val="000000"/>
        </w:rPr>
        <w:t xml:space="preserve"> applicable during such period of five (5) RFR Business Days) minus (y) the Central Bank Rate in respect of Pounds Sterling in effect on the last RFR Business Day in such period,</w:t>
      </w:r>
    </w:p>
    <w:p>
      <w:pPr>
        <w:spacing w:after="0" w:line="180" w:lineRule="exact"/>
        <w:rPr>
          <w:rFonts w:ascii="Arial" w:cs="Arial" w:eastAsia="Arial" w:hAnsi="Arial"/>
          <w:sz w:val="19"/>
          <w:szCs w:val="19"/>
          <w:color w:val="auto"/>
        </w:rPr>
      </w:pPr>
    </w:p>
    <w:p>
      <w:pPr>
        <w:jc w:val="both"/>
        <w:ind w:firstLine="757"/>
        <w:spacing w:after="0" w:line="244" w:lineRule="auto"/>
        <w:tabs>
          <w:tab w:leader="none" w:pos="1074"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Swiss Francs, a rate equal to the difference (which may be a positive or negative value or zero) of (x) the average of </w:t>
      </w:r>
      <w:r>
        <w:rPr>
          <w:rFonts w:ascii="Arial" w:cs="Arial" w:eastAsia="Arial" w:hAnsi="Arial"/>
          <w:sz w:val="20"/>
          <w:szCs w:val="20"/>
          <w:color w:val="FF0000"/>
          <w:strike w:val="1"/>
        </w:rPr>
        <w:t>SARON</w:t>
      </w:r>
      <w:r>
        <w:rPr>
          <w:rFonts w:ascii="Arial" w:cs="Arial" w:eastAsia="Arial" w:hAnsi="Arial"/>
          <w:sz w:val="20"/>
          <w:szCs w:val="20"/>
          <w:u w:val="single" w:color="auto"/>
          <w:color w:val="0000FF"/>
        </w:rPr>
        <w:t>Adjusted Daily Simple RFR for Swiss Franc Borrowings</w:t>
      </w:r>
      <w:r>
        <w:rPr>
          <w:rFonts w:ascii="Arial" w:cs="Arial" w:eastAsia="Arial" w:hAnsi="Arial"/>
          <w:sz w:val="20"/>
          <w:szCs w:val="20"/>
          <w:color w:val="FF0000"/>
        </w:rPr>
        <w:t xml:space="preserve"> </w:t>
      </w:r>
      <w:r>
        <w:rPr>
          <w:rFonts w:ascii="Arial" w:cs="Arial" w:eastAsia="Arial" w:hAnsi="Arial"/>
          <w:sz w:val="20"/>
          <w:szCs w:val="20"/>
          <w:color w:val="000000"/>
        </w:rPr>
        <w:t>for the five (5) most recent RFR Business Days preceding such day for</w:t>
      </w:r>
      <w:r>
        <w:rPr>
          <w:rFonts w:ascii="Arial" w:cs="Arial" w:eastAsia="Arial" w:hAnsi="Arial"/>
          <w:sz w:val="20"/>
          <w:szCs w:val="20"/>
          <w:color w:val="FF0000"/>
        </w:rPr>
        <w:t xml:space="preserve"> </w:t>
      </w:r>
      <w:r>
        <w:rPr>
          <w:rFonts w:ascii="Arial" w:cs="Arial" w:eastAsia="Arial" w:hAnsi="Arial"/>
          <w:sz w:val="20"/>
          <w:szCs w:val="20"/>
          <w:color w:val="000000"/>
        </w:rPr>
        <w:t xml:space="preserve">which SARON was available (excluding, from such averaging, the highest and the lowest </w:t>
      </w:r>
      <w:r>
        <w:rPr>
          <w:rFonts w:ascii="Arial" w:cs="Arial" w:eastAsia="Arial" w:hAnsi="Arial"/>
          <w:sz w:val="20"/>
          <w:szCs w:val="20"/>
          <w:color w:val="FF0000"/>
          <w:strike w:val="1"/>
        </w:rPr>
        <w:t>SARON</w:t>
      </w:r>
      <w:r>
        <w:rPr>
          <w:rFonts w:ascii="Arial" w:cs="Arial" w:eastAsia="Arial" w:hAnsi="Arial"/>
          <w:sz w:val="20"/>
          <w:szCs w:val="20"/>
          <w:u w:val="single" w:color="auto"/>
          <w:color w:val="0000FF"/>
        </w:rPr>
        <w:t>such Adjusted Daily Simple RFR</w:t>
      </w:r>
      <w:r>
        <w:rPr>
          <w:rFonts w:ascii="Arial" w:cs="Arial" w:eastAsia="Arial" w:hAnsi="Arial"/>
          <w:sz w:val="20"/>
          <w:szCs w:val="20"/>
          <w:color w:val="000000"/>
        </w:rPr>
        <w:t xml:space="preserve"> applicable during such period of five (5) RFR Business Days) minus (y) the Central Bank Rate in respect of Swiss Francs in effect on the last RFR Business Day in such period,</w:t>
      </w:r>
    </w:p>
    <w:p>
      <w:pPr>
        <w:spacing w:after="0" w:line="194" w:lineRule="exact"/>
        <w:rPr>
          <w:rFonts w:ascii="Arial" w:cs="Arial" w:eastAsia="Arial" w:hAnsi="Arial"/>
          <w:sz w:val="20"/>
          <w:szCs w:val="20"/>
          <w:color w:val="auto"/>
        </w:rPr>
      </w:pPr>
    </w:p>
    <w:p>
      <w:pPr>
        <w:jc w:val="both"/>
        <w:ind w:firstLine="757"/>
        <w:spacing w:after="0" w:line="246" w:lineRule="auto"/>
        <w:tabs>
          <w:tab w:leader="none" w:pos="1026" w:val="left"/>
        </w:tabs>
        <w:numPr>
          <w:ilvl w:val="0"/>
          <w:numId w:val="29"/>
        </w:numPr>
        <w:rPr>
          <w:rFonts w:ascii="Arial" w:cs="Arial" w:eastAsia="Arial" w:hAnsi="Arial"/>
          <w:sz w:val="20"/>
          <w:szCs w:val="20"/>
          <w:color w:val="auto"/>
        </w:rPr>
      </w:pPr>
      <w:r>
        <w:rPr>
          <w:rFonts w:ascii="Arial" w:cs="Arial" w:eastAsia="Arial" w:hAnsi="Arial"/>
          <w:sz w:val="20"/>
          <w:szCs w:val="20"/>
          <w:color w:val="auto"/>
        </w:rPr>
        <w:t>Euro, a rate equal to the difference (which may be a positive or negative value or zero) of (x) the average of the EURIBO Rate for the five (5) most recent Business Days preceding such day for which the EURIBO Screen Rate was available (excluding, from such averaging, the highest and the lowest EURIBO Rate applicable during such period of five (5) Business Days) minus (y) the Central Bank Rate in resp</w:t>
      </w:r>
      <w:r>
        <w:rPr>
          <w:rFonts w:ascii="Arial" w:cs="Arial" w:eastAsia="Arial" w:hAnsi="Arial"/>
          <w:sz w:val="20"/>
          <w:szCs w:val="20"/>
          <w:color w:val="FF0000"/>
        </w:rPr>
        <w:t>ect of Euro in effect on the last Business Day in such period,</w:t>
      </w:r>
    </w:p>
    <w:p>
      <w:pPr>
        <w:spacing w:after="0" w:line="191" w:lineRule="exact"/>
        <w:rPr>
          <w:rFonts w:ascii="Arial" w:cs="Arial" w:eastAsia="Arial" w:hAnsi="Arial"/>
          <w:sz w:val="20"/>
          <w:szCs w:val="20"/>
          <w:color w:val="auto"/>
        </w:rPr>
      </w:pPr>
    </w:p>
    <w:p>
      <w:pPr>
        <w:jc w:val="both"/>
        <w:ind w:firstLine="757"/>
        <w:spacing w:after="0" w:line="250" w:lineRule="auto"/>
        <w:tabs>
          <w:tab w:leader="none" w:pos="1037" w:val="left"/>
        </w:tabs>
        <w:numPr>
          <w:ilvl w:val="0"/>
          <w:numId w:val="29"/>
        </w:numPr>
        <w:rPr>
          <w:rFonts w:ascii="Arial" w:cs="Arial" w:eastAsia="Arial" w:hAnsi="Arial"/>
          <w:sz w:val="20"/>
          <w:szCs w:val="20"/>
          <w:color w:val="FF0000"/>
          <w:strike w:val="1"/>
        </w:rPr>
      </w:pPr>
      <w:r>
        <w:rPr>
          <w:rFonts w:ascii="Arial" w:cs="Arial" w:eastAsia="Arial" w:hAnsi="Arial"/>
          <w:sz w:val="20"/>
          <w:szCs w:val="20"/>
          <w:color w:val="FF0000"/>
          <w:strike w:val="1"/>
        </w:rPr>
        <w:t>Japanese Yen, a rate equal to the difference (which may be a positive or negative value or zero) of (x) the average of the TIBO Rate for the five (5) most recent Business Days preceding such day for which the TIBO Screen Rate was available (excluding, from such averaging, the highest and the lowest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79" w:name="page80"/>
    <w:bookmarkEnd w:id="79"/>
    <w:p>
      <w:pPr>
        <w:spacing w:after="0" w:line="260" w:lineRule="auto"/>
        <w:rPr>
          <w:sz w:val="20"/>
          <w:szCs w:val="20"/>
          <w:color w:val="auto"/>
        </w:rPr>
      </w:pPr>
      <w:r>
        <w:rPr>
          <w:rFonts w:ascii="Arial" w:cs="Arial" w:eastAsia="Arial" w:hAnsi="Arial"/>
          <w:sz w:val="20"/>
          <w:szCs w:val="20"/>
          <w:color w:val="FF0000"/>
          <w:strike w:val="1"/>
        </w:rPr>
        <w:t>TIBO Rate applicable during such period of five (5) Business Days) minus (y) the Central Bank Rate in respect of Japanese Yen in effect on the last Business Day in such period,</w:t>
      </w:r>
    </w:p>
    <w:p>
      <w:pPr>
        <w:spacing w:after="0" w:line="177" w:lineRule="exact"/>
        <w:rPr>
          <w:sz w:val="20"/>
          <w:szCs w:val="20"/>
          <w:color w:val="auto"/>
        </w:rPr>
      </w:pPr>
    </w:p>
    <w:p>
      <w:pPr>
        <w:jc w:val="both"/>
        <w:ind w:firstLine="757"/>
        <w:spacing w:after="0" w:line="263" w:lineRule="auto"/>
        <w:tabs>
          <w:tab w:leader="none" w:pos="1035" w:val="left"/>
        </w:tabs>
        <w:numPr>
          <w:ilvl w:val="0"/>
          <w:numId w:val="30"/>
        </w:numPr>
        <w:rPr>
          <w:rFonts w:ascii="Arial" w:cs="Arial" w:eastAsia="Arial" w:hAnsi="Arial"/>
          <w:sz w:val="19"/>
          <w:szCs w:val="19"/>
          <w:color w:val="FF0000"/>
          <w:strike w:val="1"/>
        </w:rPr>
      </w:pPr>
      <w:r>
        <w:rPr>
          <w:rFonts w:ascii="Arial" w:cs="Arial" w:eastAsia="Arial" w:hAnsi="Arial"/>
          <w:sz w:val="19"/>
          <w:szCs w:val="19"/>
          <w:color w:val="FF0000"/>
          <w:strike w:val="1"/>
        </w:rPr>
        <w:t>Canadian Dollars, a rate equal to the difference (which may be a positive or negative value or zero) of (x) the average of the CDOR Rate for the five (5) most recent Business Days preceding such day for which the CDOR Screen Rate was available (excluding, from such averaging, the highest and the lowest CDOR Rate applicable during such period of five (5) Business Days) minus (y) the Central Bank Rate in respect of Canadian Dollars in effect on the last Business Day in such period,</w:t>
      </w:r>
    </w:p>
    <w:p>
      <w:pPr>
        <w:spacing w:after="0" w:line="17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FF0000"/>
          <w:strike w:val="1"/>
        </w:rPr>
        <w:t>f</w:t>
      </w:r>
      <w:r>
        <w:rPr>
          <w:rFonts w:ascii="Arial" w:cs="Arial" w:eastAsia="Arial" w:hAnsi="Arial"/>
          <w:sz w:val="19"/>
          <w:szCs w:val="19"/>
          <w:u w:val="single" w:color="auto"/>
          <w:color w:val="0000FF"/>
        </w:rPr>
        <w:t>d</w:t>
      </w:r>
      <w:r>
        <w:rPr>
          <w:rFonts w:ascii="Arial" w:cs="Arial" w:eastAsia="Arial" w:hAnsi="Arial"/>
          <w:sz w:val="19"/>
          <w:szCs w:val="19"/>
          <w:color w:val="auto"/>
        </w:rPr>
        <w:t xml:space="preserve">) Australian Dollars, a rate equal to the difference (which may be a positive or negative value or zero) of (x) the average of the AUD Rate for the five (5) most recent Business Days preceding such day for which the AUD Screen Rate was available (excluding, from such averaging, the highest and the lowest AUD Rate applicable during such period of five (5) Business Days) minus (y) the Central Bank Rate in respect of Australian Dollars in effect on the last Business Day in such period, </w:t>
      </w:r>
      <w:r>
        <w:rPr>
          <w:rFonts w:ascii="Arial" w:cs="Arial" w:eastAsia="Arial" w:hAnsi="Arial"/>
          <w:sz w:val="19"/>
          <w:szCs w:val="19"/>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-39370</wp:posOffset>
            </wp:positionV>
            <wp:extent cx="2127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156" w:lineRule="exact"/>
        <w:rPr>
          <w:sz w:val="20"/>
          <w:szCs w:val="20"/>
          <w:color w:val="auto"/>
        </w:rPr>
      </w:pPr>
    </w:p>
    <w:p>
      <w:pPr>
        <w:jc w:val="both"/>
        <w:ind w:firstLine="757"/>
        <w:spacing w:after="0" w:line="263" w:lineRule="auto"/>
        <w:tabs>
          <w:tab w:leader="none" w:pos="1043" w:val="left"/>
        </w:tabs>
        <w:numPr>
          <w:ilvl w:val="0"/>
          <w:numId w:val="31"/>
        </w:numPr>
        <w:rPr>
          <w:rFonts w:ascii="Arial" w:cs="Arial" w:eastAsia="Arial" w:hAnsi="Arial"/>
          <w:sz w:val="19"/>
          <w:szCs w:val="19"/>
          <w:color w:val="FF0000"/>
          <w:strike w:val="1"/>
        </w:rPr>
      </w:pPr>
      <w:r>
        <w:rPr>
          <w:rFonts w:ascii="Arial" w:cs="Arial" w:eastAsia="Arial" w:hAnsi="Arial"/>
          <w:sz w:val="19"/>
          <w:szCs w:val="19"/>
          <w:color w:val="FF0000"/>
          <w:strike w:val="1"/>
        </w:rPr>
        <w:t>Singapore Dollars, a rate equal to the difference (which may be a positive or negative value or zero) of (x) the average of the SIBO Rate for the five (5) most recent Business Days preceding such day for which the SIBO Screen Rate was available (excluding, from such averaging, the highest and the lowest SIBO Rate applicable during such period of five (5) Business Days) minus (y) the Central Bank Rate in respect of Singapore Dollars in effect on the last Business Day in such period, and</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color w:val="FF0000"/>
          <w:strike w:val="1"/>
        </w:rPr>
        <w:t>h</w:t>
      </w:r>
      <w:r>
        <w:rPr>
          <w:rFonts w:ascii="Arial" w:cs="Arial" w:eastAsia="Arial" w:hAnsi="Arial"/>
          <w:sz w:val="19"/>
          <w:szCs w:val="19"/>
          <w:u w:val="single" w:color="auto"/>
          <w:color w:val="0000FF"/>
        </w:rPr>
        <w:t>e</w:t>
      </w:r>
      <w:r>
        <w:rPr>
          <w:rFonts w:ascii="Arial" w:cs="Arial" w:eastAsia="Arial" w:hAnsi="Arial"/>
          <w:sz w:val="19"/>
          <w:szCs w:val="19"/>
          <w:color w:val="auto"/>
        </w:rPr>
        <w:t>) any other Foreign Currency, an adjustment as determined by the Administrative Agent in its reasonable discretion.</w:t>
      </w:r>
    </w:p>
    <w:p>
      <w:pPr>
        <w:spacing w:after="0" w:line="227"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 xml:space="preserve">For purposes of this definition, (x) the term Central Bank Rate shall be determined disregarding clause ( </w:t>
      </w:r>
      <w:r>
        <w:rPr>
          <w:rFonts w:ascii="Arial" w:cs="Arial" w:eastAsia="Arial" w:hAnsi="Arial"/>
          <w:sz w:val="18"/>
          <w:szCs w:val="18"/>
          <w:u w:val="single" w:color="auto"/>
          <w:color w:val="0000FF"/>
        </w:rPr>
        <w:t>i)(</w:t>
      </w:r>
      <w:r>
        <w:rPr>
          <w:rFonts w:ascii="Arial" w:cs="Arial" w:eastAsia="Arial" w:hAnsi="Arial"/>
          <w:sz w:val="18"/>
          <w:szCs w:val="18"/>
          <w:color w:val="auto"/>
        </w:rPr>
        <w:t xml:space="preserve">B) of the definition of such term and (y) each </w:t>
      </w:r>
      <w:r>
        <w:rPr>
          <w:rFonts w:ascii="Arial" w:cs="Arial" w:eastAsia="Arial" w:hAnsi="Arial"/>
          <w:sz w:val="18"/>
          <w:szCs w:val="18"/>
          <w:u w:val="single" w:color="auto"/>
          <w:color w:val="0000FF"/>
        </w:rPr>
        <w:t>applicable</w:t>
      </w:r>
      <w:r>
        <w:rPr>
          <w:rFonts w:ascii="Arial" w:cs="Arial" w:eastAsia="Arial" w:hAnsi="Arial"/>
          <w:sz w:val="18"/>
          <w:szCs w:val="18"/>
          <w:color w:val="auto"/>
        </w:rPr>
        <w:t xml:space="preserve"> Relevant Rate on any day shall be based on the </w:t>
      </w:r>
      <w:r>
        <w:rPr>
          <w:rFonts w:ascii="Arial" w:cs="Arial" w:eastAsia="Arial" w:hAnsi="Arial"/>
          <w:sz w:val="18"/>
          <w:szCs w:val="18"/>
          <w:u w:val="single" w:color="auto"/>
          <w:color w:val="0000FF"/>
        </w:rPr>
        <w:t>applicable</w:t>
      </w:r>
      <w:r>
        <w:rPr>
          <w:rFonts w:ascii="Arial" w:cs="Arial" w:eastAsia="Arial" w:hAnsi="Arial"/>
          <w:sz w:val="18"/>
          <w:szCs w:val="18"/>
          <w:color w:val="auto"/>
        </w:rPr>
        <w:t xml:space="preserve"> Relevant Screen Rate in respect of such </w:t>
      </w:r>
      <w:r>
        <w:rPr>
          <w:rFonts w:ascii="Arial" w:cs="Arial" w:eastAsia="Arial" w:hAnsi="Arial"/>
          <w:sz w:val="18"/>
          <w:szCs w:val="18"/>
          <w:u w:val="single" w:color="auto"/>
          <w:color w:val="0000FF"/>
        </w:rPr>
        <w:t>applicable</w:t>
      </w:r>
      <w:r>
        <w:rPr>
          <w:rFonts w:ascii="Arial" w:cs="Arial" w:eastAsia="Arial" w:hAnsi="Arial"/>
          <w:sz w:val="18"/>
          <w:szCs w:val="18"/>
          <w:color w:val="0000FF"/>
        </w:rPr>
        <w:t xml:space="preserve"> </w:t>
      </w:r>
      <w:r>
        <w:rPr>
          <w:rFonts w:ascii="Arial" w:cs="Arial" w:eastAsia="Arial" w:hAnsi="Arial"/>
          <w:sz w:val="18"/>
          <w:szCs w:val="18"/>
          <w:color w:val="000000"/>
        </w:rPr>
        <w:t>Relevant Rate, as applicable, on such day at approximately the time referred to in the definition of such term for deposits in the</w:t>
      </w:r>
      <w:r>
        <w:rPr>
          <w:rFonts w:ascii="Arial" w:cs="Arial" w:eastAsia="Arial" w:hAnsi="Arial"/>
          <w:sz w:val="18"/>
          <w:szCs w:val="18"/>
          <w:color w:val="0000FF"/>
        </w:rPr>
        <w:t xml:space="preserve"> </w:t>
      </w:r>
      <w:r>
        <w:rPr>
          <w:rFonts w:ascii="Arial" w:cs="Arial" w:eastAsia="Arial" w:hAnsi="Arial"/>
          <w:sz w:val="18"/>
          <w:szCs w:val="18"/>
          <w:color w:val="000000"/>
        </w:rPr>
        <w:t xml:space="preserve">applicable Foreign Currency for a maturity of one month </w:t>
      </w:r>
      <w:r>
        <w:rPr>
          <w:rFonts w:ascii="Arial" w:cs="Arial" w:eastAsia="Arial" w:hAnsi="Arial"/>
          <w:sz w:val="18"/>
          <w:szCs w:val="18"/>
          <w:color w:val="FF0000"/>
        </w:rPr>
        <w:t>(or, in the event the applicable Relevant Screen Rate for deposits in the applicable</w:t>
      </w:r>
      <w:r>
        <w:rPr>
          <w:rFonts w:ascii="Arial" w:cs="Arial" w:eastAsia="Arial" w:hAnsi="Arial"/>
          <w:sz w:val="18"/>
          <w:szCs w:val="18"/>
          <w:color w:val="000000"/>
        </w:rPr>
        <w:t xml:space="preserve"> </w:t>
      </w:r>
      <w:r>
        <w:rPr>
          <w:rFonts w:ascii="Arial" w:cs="Arial" w:eastAsia="Arial" w:hAnsi="Arial"/>
          <w:sz w:val="18"/>
          <w:szCs w:val="18"/>
          <w:color w:val="FF0000"/>
          <w:strike w:val="1"/>
        </w:rPr>
        <w:t>Foreign Currency is not available for such maturity of one month, shall be based on the Relevant Interpolated Rate for such Foreign Currency as of such time)</w:t>
      </w:r>
      <w:r>
        <w:rPr>
          <w:rFonts w:ascii="Arial" w:cs="Arial" w:eastAsia="Arial" w:hAnsi="Arial"/>
          <w:sz w:val="18"/>
          <w:szCs w:val="18"/>
          <w:color w:val="000000"/>
          <w:strike w:val="1"/>
        </w:rPr>
        <w:t>;</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that if such rate shall be less than zero, such rate shall be deemed to be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-389890</wp:posOffset>
            </wp:positionV>
            <wp:extent cx="425894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4258945" cy="8255"/>
                    </a:xfrm>
                    <a:prstGeom prst="rect">
                      <a:avLst/>
                    </a:prstGeom>
                    <a:noFill/>
                  </pic:spPr>
                </pic:pic>
              </a:graphicData>
            </a:graphic>
          </wp:anchor>
        </w:drawing>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an event or series of events by which:</w:t>
      </w:r>
    </w:p>
    <w:p>
      <w:pPr>
        <w:spacing w:after="0" w:line="216" w:lineRule="exact"/>
        <w:rPr>
          <w:sz w:val="20"/>
          <w:szCs w:val="20"/>
          <w:color w:val="auto"/>
        </w:rPr>
      </w:pPr>
    </w:p>
    <w:p>
      <w:pPr>
        <w:jc w:val="both"/>
        <w:ind w:firstLine="757"/>
        <w:spacing w:after="0" w:line="273" w:lineRule="auto"/>
        <w:tabs>
          <w:tab w:leader="none" w:pos="12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Securities Exchange Act of 1934, but excluding members of the Cabot family, any employee benefit plan of the Company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(such right, an “</w:t>
      </w:r>
      <w:r>
        <w:rPr>
          <w:rFonts w:ascii="Arial" w:cs="Arial" w:eastAsia="Arial" w:hAnsi="Arial"/>
          <w:sz w:val="18"/>
          <w:szCs w:val="18"/>
          <w:b w:val="1"/>
          <w:bCs w:val="1"/>
          <w:i w:val="1"/>
          <w:iCs w:val="1"/>
          <w:color w:val="auto"/>
        </w:rPr>
        <w:t>option right</w:t>
      </w:r>
      <w:r>
        <w:rPr>
          <w:rFonts w:ascii="Arial" w:cs="Arial" w:eastAsia="Arial" w:hAnsi="Arial"/>
          <w:sz w:val="18"/>
          <w:szCs w:val="18"/>
          <w:color w:val="auto"/>
        </w:rPr>
        <w:t>”), whether such right is exercisable immediately or only after the passage of time), directly or indirectly, of twenty-five percent (25%)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or</w:t>
      </w:r>
    </w:p>
    <w:p>
      <w:pPr>
        <w:spacing w:after="0" w:line="168" w:lineRule="exact"/>
        <w:rPr>
          <w:rFonts w:ascii="Arial" w:cs="Arial" w:eastAsia="Arial" w:hAnsi="Arial"/>
          <w:sz w:val="18"/>
          <w:szCs w:val="18"/>
          <w:color w:val="auto"/>
        </w:rPr>
      </w:pPr>
    </w:p>
    <w:p>
      <w:pPr>
        <w:jc w:val="both"/>
        <w:ind w:firstLine="757"/>
        <w:spacing w:after="0" w:line="246" w:lineRule="auto"/>
        <w:tabs>
          <w:tab w:leader="none" w:pos="1219" w:val="left"/>
        </w:tabs>
        <w:numPr>
          <w:ilvl w:val="0"/>
          <w:numId w:val="32"/>
        </w:numPr>
        <w:rPr>
          <w:rFonts w:ascii="Arial" w:cs="Arial" w:eastAsia="Arial" w:hAnsi="Arial"/>
          <w:sz w:val="20"/>
          <w:szCs w:val="20"/>
          <w:color w:val="auto"/>
        </w:rPr>
      </w:pPr>
      <w:r>
        <w:rPr>
          <w:rFonts w:ascii="Arial" w:cs="Arial" w:eastAsia="Arial" w:hAnsi="Arial"/>
          <w:sz w:val="20"/>
          <w:szCs w:val="20"/>
          <w:color w:val="auto"/>
        </w:rPr>
        <w:t>during any period of twenty-four (24)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constituting at the time of such election or nomination at least a majority of that board or equivalent governing body or</w:t>
      </w:r>
    </w:p>
    <w:p>
      <w:pPr>
        <w:spacing w:after="0" w:line="39"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whose election or nomination to that board or other equivalent governing body was approved by individuals referred to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w:t>
      </w:r>
    </w:p>
    <w:p>
      <w:pPr>
        <w:spacing w:after="0" w:line="22" w:lineRule="exact"/>
        <w:rPr>
          <w:rFonts w:ascii="Arial" w:cs="Arial" w:eastAsia="Arial" w:hAnsi="Arial"/>
          <w:sz w:val="18"/>
          <w:szCs w:val="18"/>
          <w:color w:val="auto"/>
        </w:rPr>
      </w:pPr>
    </w:p>
    <w:p>
      <w:pPr>
        <w:ind w:left="300" w:hanging="292"/>
        <w:spacing w:after="0"/>
        <w:tabs>
          <w:tab w:leader="none" w:pos="300" w:val="left"/>
        </w:tabs>
        <w:numPr>
          <w:ilvl w:val="0"/>
          <w:numId w:val="34"/>
        </w:numPr>
        <w:rPr>
          <w:rFonts w:ascii="Arial" w:cs="Arial" w:eastAsia="Arial" w:hAnsi="Arial"/>
          <w:sz w:val="20"/>
          <w:szCs w:val="20"/>
          <w:u w:val="single" w:color="auto"/>
          <w:color w:val="auto"/>
        </w:rPr>
      </w:pPr>
      <w:r>
        <w:rPr>
          <w:rFonts w:ascii="Arial" w:cs="Arial" w:eastAsia="Arial" w:hAnsi="Arial"/>
          <w:sz w:val="20"/>
          <w:szCs w:val="20"/>
          <w:color w:val="auto"/>
        </w:rPr>
        <w:t>above constituting at the time of such election or nomination at least a majority of that board or equivalent governing body.</w:t>
      </w:r>
    </w:p>
    <w:p>
      <w:pPr>
        <w:spacing w:after="0" w:line="20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Law</w:t>
      </w:r>
      <w:r>
        <w:rPr>
          <w:rFonts w:ascii="Arial" w:cs="Arial" w:eastAsia="Arial" w:hAnsi="Arial"/>
          <w:sz w:val="18"/>
          <w:szCs w:val="18"/>
          <w:color w:val="auto"/>
        </w:rPr>
        <w:t xml:space="preserve">” means (a) the adoption of or taking effect of any law, rule, regulation, or treaty (including any rules or regulations issued under or implementing any existing law) after the date of this Agreement, (b) any change in any law, rule, regulation or treaty or in the interpretation or application thereof by any Governmental Authority after the date of this Agreement or (c) compliance by any Lender or the Issuing Bank (or by any applicable lending office of such Lender or the Issuing Bank) with any request, guideline or directive (whether or not having the force of law) of any Governmental Authority made or issued after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or in implementation thereof, and (y) all requests, rules, guidelines or directives promulgated by the Bank for International Settlements, the Basel Committee on Banking Supervision (or any successor or similar authority) or the United States of America or foreign regulatory authorities, in each case under Basel III, shall in each case be deemed to be a “Change in Law” regardless of the date enacted, adopted, issued or implemented.</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Charges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Class</w:t>
      </w:r>
      <w:r>
        <w:rPr>
          <w:rFonts w:ascii="Arial" w:cs="Arial" w:eastAsia="Arial" w:hAnsi="Arial"/>
          <w:sz w:val="20"/>
          <w:szCs w:val="20"/>
          <w:color w:val="auto"/>
        </w:rPr>
        <w:t>”, when used in reference to any Loan or Borrowing, refers to whether such Loan, or the Loans comprising such Borrowing, are Revolving Loans or Swingline Loans.</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CME Term SOFR Administrator</w:t>
      </w:r>
      <w:r>
        <w:rPr>
          <w:rFonts w:ascii="Arial" w:cs="Arial" w:eastAsia="Arial" w:hAnsi="Arial"/>
          <w:sz w:val="20"/>
          <w:szCs w:val="20"/>
          <w:u w:val="single" w:color="auto"/>
          <w:color w:val="0000FF"/>
        </w:rPr>
        <w:t>” means CME Group Benchmark Administration Limited as administrator of the forward-looking term Secured Overnight Financing Rate (SOFR) (or a successor administrator).</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Internal Revenue Code of 1986, as amended.</w:t>
      </w:r>
    </w:p>
    <w:p>
      <w:pPr>
        <w:spacing w:after="0" w:line="21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Commitment</w:t>
      </w:r>
      <w:r>
        <w:rPr>
          <w:rFonts w:ascii="Arial" w:cs="Arial" w:eastAsia="Arial" w:hAnsi="Arial"/>
          <w:sz w:val="20"/>
          <w:szCs w:val="20"/>
          <w:color w:val="auto"/>
        </w:rPr>
        <w:t xml:space="preserve">” means, with respect to each Lender, the commitment of such Lender to make Revolving Loans and to acquire participations in Letters of Credit and Swingline Loans hereunder, expressed as an amount representing the maximum aggregate amount of such Lender’s Revolving Credit Exposure hereunder, as such commitment may be (a) reduced from time to time pursuant to </w:t>
      </w:r>
      <w:r>
        <w:rPr>
          <w:rFonts w:ascii="Arial" w:cs="Arial" w:eastAsia="Arial" w:hAnsi="Arial"/>
          <w:sz w:val="20"/>
          <w:szCs w:val="20"/>
          <w:u w:val="single" w:color="auto"/>
          <w:color w:val="auto"/>
        </w:rPr>
        <w:t>Section 2.09</w:t>
      </w:r>
      <w:r>
        <w:rPr>
          <w:rFonts w:ascii="Arial" w:cs="Arial" w:eastAsia="Arial" w:hAnsi="Arial"/>
          <w:sz w:val="20"/>
          <w:szCs w:val="20"/>
          <w:color w:val="auto"/>
        </w:rPr>
        <w:t xml:space="preserve">, (b) reduced or increased from time to time pursuant to assignments by or to such Lender pursuant to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and (c) increased from time to time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 xml:space="preserve">. The initial amount of each Lender’s Commitment is set forth on </w:t>
      </w:r>
      <w:r>
        <w:rPr>
          <w:rFonts w:ascii="Arial" w:cs="Arial" w:eastAsia="Arial" w:hAnsi="Arial"/>
          <w:sz w:val="20"/>
          <w:szCs w:val="20"/>
          <w:u w:val="single" w:color="auto"/>
          <w:color w:val="auto"/>
        </w:rPr>
        <w:t>Schedule 2.01</w:t>
      </w:r>
      <w:r>
        <w:rPr>
          <w:rFonts w:ascii="Arial" w:cs="Arial" w:eastAsia="Arial" w:hAnsi="Arial"/>
          <w:sz w:val="20"/>
          <w:szCs w:val="20"/>
          <w:color w:val="auto"/>
        </w:rPr>
        <w:t>, or in the Assignment and Assumption pursuant to which such Lender shall have assumed its Commitment, as applicable. The initial aggregate amount of the Lenders’ Commitments is $1,000,000,000.</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Communications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10.01(d)(iii)</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the meaning assigned to such term in the preamble.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Computation Date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w:t>
      </w:r>
      <w:r>
        <w:rPr>
          <w:rFonts w:ascii="Arial" w:cs="Arial" w:eastAsia="Arial" w:hAnsi="Arial"/>
          <w:sz w:val="20"/>
          <w:szCs w:val="20"/>
          <w:color w:val="auto"/>
        </w:rPr>
        <w:t>” or “</w:t>
      </w:r>
      <w:r>
        <w:rPr>
          <w:rFonts w:ascii="Arial" w:cs="Arial" w:eastAsia="Arial" w:hAnsi="Arial"/>
          <w:sz w:val="20"/>
          <w:szCs w:val="20"/>
          <w:b w:val="1"/>
          <w:bCs w:val="1"/>
          <w:i w:val="1"/>
          <w:iCs w:val="1"/>
          <w:color w:val="auto"/>
        </w:rPr>
        <w:t>consolidated</w:t>
      </w:r>
      <w:r>
        <w:rPr>
          <w:rFonts w:ascii="Arial" w:cs="Arial" w:eastAsia="Arial" w:hAnsi="Arial"/>
          <w:sz w:val="20"/>
          <w:szCs w:val="20"/>
          <w:color w:val="auto"/>
        </w:rPr>
        <w:t>” means, with reference to any term defined herein, that term as applied to the accounts of the Company and its Subsidiaries, consolidated in accordance with GAAP.</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1" w:name="page82"/>
    <w:bookmarkEnd w:id="81"/>
    <w:p>
      <w:pPr>
        <w:jc w:val="both"/>
        <w:ind w:firstLine="74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EBITDA</w:t>
      </w:r>
      <w:r>
        <w:rPr>
          <w:rFonts w:ascii="Arial" w:cs="Arial" w:eastAsia="Arial" w:hAnsi="Arial"/>
          <w:sz w:val="18"/>
          <w:szCs w:val="18"/>
          <w:color w:val="auto"/>
        </w:rPr>
        <w:t xml:space="preserve">” means, with reference to any period,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without duplication, to the extent deducted from revenues in determining such Consolidated Net Income, (i) interest expense (including capitalized interest, premium payments, debt discount, fees, charges and related expenses in connection with all Indebtedness, including for the deferred purchase price of assets and services, and fees and charges incurred under any Securitization Transactions), (ii) the provision for federal, state, local, foreign or other income taxes payable, (iii) depreciation expense, (iv) amortization expense, (v) non-cash stock-based compensation expense, (vi) any extraordinary, unusual or non-recurring expenses, losses and charges, including (A) impairment charges, (B) any restructuring charges or restructuring reversals, (C) any loss from the sales of assets outside the ordinary course of business, (D) costs related to acquisitions and dispositions, including transaction costs (whether or not the transaction is consummated), charges for the sale of inventories revalued at the date of acquisition and in-process research and development acquired, and the amortization of acquisition-related intangible assets, and (E) amortization or write-off of debt discount and debt issuance costs and commissions, discounts, debt refinancing costs and commissions and other fees and charges associated with Indebtedness, and (vii) other non-cash charges and expenses,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to the extent included in such Consolidated Net Income, (i) all non-cash income or gains, (ii) interest income, (iii) any extraordinary, unusual or non-recurring income or gains (including any gain from the sales of assets outside of the ordinary course of business), and (iv) income tax credits (to the extent not netted from income tax expense), all calculated for the Company and its Subsidiaries in accordance with GAAP on a consolidated basis. For the purposes of calculating Consolidated EBITDA for any period, if during such period the Company or any Subsidiary shall have made a Permitted Acquisition or sale of any business or Subsidiary permitted hereunder, Consolidated EBITDA for such period shall be calculated after giving effect to such Permitted Acquisition (and all associated Indebtedness) or such sale of any business or Subsidiary on a Pro Forma Basis as if such Permitted Acquisition or sale of any business or Subsidiary occurred on the first day of such period.</w:t>
      </w:r>
    </w:p>
    <w:p>
      <w:pPr>
        <w:spacing w:after="0" w:line="18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Net Income</w:t>
      </w:r>
      <w:r>
        <w:rPr>
          <w:rFonts w:ascii="Arial" w:cs="Arial" w:eastAsia="Arial" w:hAnsi="Arial"/>
          <w:sz w:val="20"/>
          <w:szCs w:val="20"/>
          <w:color w:val="auto"/>
        </w:rPr>
        <w:t>” means, with reference to any period, the net income (or loss) of the Company and its Subsidiaries calculated in accordance with GAAP on a consolidated basis (without duplication) for such period.</w:t>
      </w:r>
    </w:p>
    <w:p>
      <w:pPr>
        <w:spacing w:after="0" w:line="17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Consolidated Net Leverage Ratio</w:t>
      </w:r>
      <w:r>
        <w:rPr>
          <w:rFonts w:ascii="Arial" w:cs="Arial" w:eastAsia="Arial" w:hAnsi="Arial"/>
          <w:sz w:val="19"/>
          <w:szCs w:val="19"/>
          <w:color w:val="auto"/>
        </w:rPr>
        <w:t xml:space="preserve">” means, as of the last day of any fiscal quarter, the ratio of (a) (i) Consolidated Total Debt as of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Liquidity as of such date to (b) Consolidated EBITDA for the Reference Period ended on such date.</w:t>
      </w:r>
    </w:p>
    <w:p>
      <w:pPr>
        <w:spacing w:after="0" w:line="15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Tangible Net Worth</w:t>
      </w:r>
      <w:r>
        <w:rPr>
          <w:rFonts w:ascii="Arial" w:cs="Arial" w:eastAsia="Arial" w:hAnsi="Arial"/>
          <w:sz w:val="18"/>
          <w:szCs w:val="18"/>
          <w:color w:val="auto"/>
        </w:rPr>
        <w:t xml:space="preserve">” means, as of any date, (i) the consolidated stockholders’ equity of the Company as of such date (calculated excluding adjustments to translate foreign assets and liabilities for changes in foreign exchange rates made in accordance with Financial Accounting Standards Board Statement Nos. 52 and 133),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to the extent reflected in determining such consolidated stockholders’ equity as of such date, the amount of Intangible Assets of the Company and its Subsidiaries on a consolidated basis.</w:t>
      </w:r>
    </w:p>
    <w:p>
      <w:pPr>
        <w:spacing w:after="0" w:line="16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Total Debt</w:t>
      </w:r>
      <w:r>
        <w:rPr>
          <w:rFonts w:ascii="Arial" w:cs="Arial" w:eastAsia="Arial" w:hAnsi="Arial"/>
          <w:sz w:val="20"/>
          <w:szCs w:val="20"/>
          <w:color w:val="auto"/>
        </w:rPr>
        <w:t>” means, as of any date of determination, the outstanding principal amount as of such date of all Indebtedness of the Company and its Subsidiaries on a consolidated basis.</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Total Tangible Assets</w:t>
      </w:r>
      <w:r>
        <w:rPr>
          <w:rFonts w:ascii="Arial" w:cs="Arial" w:eastAsia="Arial" w:hAnsi="Arial"/>
          <w:sz w:val="20"/>
          <w:szCs w:val="20"/>
          <w:color w:val="auto"/>
        </w:rPr>
        <w:t>” means the aggregate amount of all assets of the Company and its Subsidiaries on a consolidated basis other than Intangible Assets.</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Contractual Obligation</w:t>
      </w:r>
      <w:r>
        <w:rPr>
          <w:rFonts w:ascii="Arial" w:cs="Arial" w:eastAsia="Arial" w:hAnsi="Arial"/>
          <w:sz w:val="20"/>
          <w:szCs w:val="20"/>
          <w:color w:val="auto"/>
        </w:rPr>
        <w:t xml:space="preserve"> ” means, as to any Person, any provision of any security issued by such Person or of any agreement, instrument or other undertaking to which such Person is a party or by which it or any of its property is bound.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2" w:name="page83"/>
    <w:bookmarkEnd w:id="82"/>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b w:val="1"/>
          <w:bCs w:val="1"/>
          <w:i w:val="1"/>
          <w:iCs w:val="1"/>
          <w:color w:val="auto"/>
        </w:rPr>
        <w:t>Controlling</w:t>
      </w:r>
      <w:r>
        <w:rPr>
          <w:rFonts w:ascii="Arial" w:cs="Arial" w:eastAsia="Arial" w:hAnsi="Arial"/>
          <w:sz w:val="20"/>
          <w:szCs w:val="20"/>
          <w:color w:val="auto"/>
        </w:rPr>
        <w:t>” and “</w:t>
      </w:r>
      <w:r>
        <w:rPr>
          <w:rFonts w:ascii="Arial" w:cs="Arial" w:eastAsia="Arial" w:hAnsi="Arial"/>
          <w:sz w:val="20"/>
          <w:szCs w:val="20"/>
          <w:b w:val="1"/>
          <w:bCs w:val="1"/>
          <w:i w:val="1"/>
          <w:iCs w:val="1"/>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Co-Sustainability Structuring Agent</w:t>
      </w:r>
      <w:r>
        <w:rPr>
          <w:rFonts w:ascii="Arial" w:cs="Arial" w:eastAsia="Arial" w:hAnsi="Arial"/>
          <w:sz w:val="20"/>
          <w:szCs w:val="20"/>
          <w:color w:val="auto"/>
        </w:rPr>
        <w:t>” means each of J.P. Morgan Securities LLC and Mizuho Bank, Ltd, in its capacity as a Co-Sustainability Structuring Agent in connection with the credit facility provided hereunder.</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Covered Entity</w:t>
      </w:r>
      <w:r>
        <w:rPr>
          <w:rFonts w:ascii="Arial" w:cs="Arial" w:eastAsia="Arial" w:hAnsi="Arial"/>
          <w:sz w:val="20"/>
          <w:szCs w:val="20"/>
          <w:color w:val="auto"/>
        </w:rPr>
        <w:t>” means any of the following:</w:t>
      </w:r>
    </w:p>
    <w:p>
      <w:pPr>
        <w:spacing w:after="0" w:line="216" w:lineRule="exact"/>
        <w:rPr>
          <w:sz w:val="20"/>
          <w:szCs w:val="20"/>
          <w:color w:val="auto"/>
        </w:rPr>
      </w:pPr>
    </w:p>
    <w:p>
      <w:pPr>
        <w:ind w:left="1200" w:hanging="401"/>
        <w:spacing w:after="0"/>
        <w:tabs>
          <w:tab w:leader="none" w:pos="12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215" w:lineRule="exact"/>
        <w:rPr>
          <w:rFonts w:ascii="Arial" w:cs="Arial" w:eastAsia="Arial" w:hAnsi="Arial"/>
          <w:sz w:val="20"/>
          <w:szCs w:val="20"/>
          <w:color w:val="auto"/>
        </w:rPr>
      </w:pPr>
    </w:p>
    <w:p>
      <w:pPr>
        <w:ind w:left="1200" w:hanging="401"/>
        <w:spacing w:after="0"/>
        <w:tabs>
          <w:tab w:leader="none" w:pos="12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215" w:lineRule="exact"/>
        <w:rPr>
          <w:rFonts w:ascii="Arial" w:cs="Arial" w:eastAsia="Arial" w:hAnsi="Arial"/>
          <w:sz w:val="20"/>
          <w:szCs w:val="20"/>
          <w:color w:val="auto"/>
        </w:rPr>
      </w:pPr>
    </w:p>
    <w:p>
      <w:pPr>
        <w:ind w:left="1200" w:hanging="401"/>
        <w:spacing w:after="0"/>
        <w:tabs>
          <w:tab w:leader="none" w:pos="12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Covered Party</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10.17</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Credit Party</w:t>
      </w:r>
      <w:r>
        <w:rPr>
          <w:rFonts w:ascii="Arial" w:cs="Arial" w:eastAsia="Arial" w:hAnsi="Arial"/>
          <w:sz w:val="20"/>
          <w:szCs w:val="20"/>
          <w:color w:val="auto"/>
        </w:rPr>
        <w:t>” means the Administrative Agent, the Issuing Banks, the Swingline Lenders or any other Lender.</w:t>
      </w:r>
    </w:p>
    <w:p>
      <w:pPr>
        <w:spacing w:after="0" w:line="23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Daily Simple RFR</w:t>
      </w:r>
      <w:r>
        <w:rPr>
          <w:rFonts w:ascii="Arial" w:cs="Arial" w:eastAsia="Arial" w:hAnsi="Arial"/>
          <w:sz w:val="19"/>
          <w:szCs w:val="19"/>
          <w:color w:val="auto"/>
        </w:rPr>
        <w:t>” means, for any day (an “</w:t>
      </w:r>
      <w:r>
        <w:rPr>
          <w:rFonts w:ascii="Arial" w:cs="Arial" w:eastAsia="Arial" w:hAnsi="Arial"/>
          <w:sz w:val="19"/>
          <w:szCs w:val="19"/>
          <w:u w:val="single" w:color="auto"/>
          <w:color w:val="auto"/>
        </w:rPr>
        <w:t>RFR Interest Day</w:t>
      </w:r>
      <w:r>
        <w:rPr>
          <w:rFonts w:ascii="Arial" w:cs="Arial" w:eastAsia="Arial" w:hAnsi="Arial"/>
          <w:sz w:val="19"/>
          <w:szCs w:val="19"/>
          <w:color w:val="auto"/>
        </w:rPr>
        <w:t xml:space="preserve"> ”), an interest rate per annum equal to the greater of (a) for any RFR Loan denominated in (i) Pounds Sterling, SONIA for the day that is five (5) </w:t>
      </w:r>
      <w:r>
        <w:rPr>
          <w:rFonts w:ascii="Arial" w:cs="Arial" w:eastAsia="Arial" w:hAnsi="Arial"/>
          <w:sz w:val="19"/>
          <w:szCs w:val="19"/>
          <w:u w:val="single" w:color="auto"/>
          <w:color w:val="0000FF"/>
        </w:rPr>
        <w:t>RFR</w:t>
      </w:r>
      <w:r>
        <w:rPr>
          <w:rFonts w:ascii="Arial" w:cs="Arial" w:eastAsia="Arial" w:hAnsi="Arial"/>
          <w:sz w:val="19"/>
          <w:szCs w:val="19"/>
          <w:color w:val="auto"/>
        </w:rPr>
        <w:t xml:space="preserve"> Business Days prior to (A) if such RFR Interest Day is </w:t>
      </w:r>
      <w:r>
        <w:rPr>
          <w:rFonts w:ascii="Arial" w:cs="Arial" w:eastAsia="Arial" w:hAnsi="Arial"/>
          <w:sz w:val="19"/>
          <w:szCs w:val="19"/>
          <w:color w:val="FF0000"/>
          <w:strike w:val="1"/>
        </w:rPr>
        <w:t>a</w:t>
      </w:r>
      <w:r>
        <w:rPr>
          <w:rFonts w:ascii="Arial" w:cs="Arial" w:eastAsia="Arial" w:hAnsi="Arial"/>
          <w:sz w:val="19"/>
          <w:szCs w:val="19"/>
          <w:u w:val="single" w:color="auto"/>
          <w:color w:val="0000FF"/>
        </w:rPr>
        <w:t>an</w:t>
      </w:r>
      <w:r>
        <w:rPr>
          <w:rFonts w:ascii="Arial" w:cs="Arial" w:eastAsia="Arial" w:hAnsi="Arial"/>
          <w:sz w:val="19"/>
          <w:szCs w:val="19"/>
          <w:color w:val="auto"/>
        </w:rPr>
        <w:t xml:space="preserve"> </w:t>
      </w:r>
      <w:r>
        <w:rPr>
          <w:rFonts w:ascii="Arial" w:cs="Arial" w:eastAsia="Arial" w:hAnsi="Arial"/>
          <w:sz w:val="19"/>
          <w:szCs w:val="19"/>
          <w:u w:val="single" w:color="auto"/>
          <w:color w:val="0000FF"/>
        </w:rPr>
        <w:t>RFR</w:t>
      </w:r>
      <w:r>
        <w:rPr>
          <w:rFonts w:ascii="Arial" w:cs="Arial" w:eastAsia="Arial" w:hAnsi="Arial"/>
          <w:sz w:val="19"/>
          <w:szCs w:val="19"/>
          <w:color w:val="0000FF"/>
        </w:rPr>
        <w:t xml:space="preserve"> </w:t>
      </w:r>
      <w:r>
        <w:rPr>
          <w:rFonts w:ascii="Arial" w:cs="Arial" w:eastAsia="Arial" w:hAnsi="Arial"/>
          <w:sz w:val="19"/>
          <w:szCs w:val="19"/>
          <w:color w:val="000000"/>
        </w:rPr>
        <w:t>Business Day, such RFR Interest Day or (B) if such RFR Interest Day is not</w:t>
      </w:r>
      <w:r>
        <w:rPr>
          <w:rFonts w:ascii="Arial" w:cs="Arial" w:eastAsia="Arial" w:hAnsi="Arial"/>
          <w:sz w:val="19"/>
          <w:szCs w:val="19"/>
          <w:color w:val="0000FF"/>
        </w:rPr>
        <w:t xml:space="preserve"> </w:t>
      </w:r>
      <w:r>
        <w:rPr>
          <w:rFonts w:ascii="Arial" w:cs="Arial" w:eastAsia="Arial" w:hAnsi="Arial"/>
          <w:sz w:val="19"/>
          <w:szCs w:val="19"/>
          <w:color w:val="FF0000"/>
          <w:strike w:val="1"/>
        </w:rPr>
        <w:t>a</w:t>
      </w:r>
      <w:r>
        <w:rPr>
          <w:rFonts w:ascii="Arial" w:cs="Arial" w:eastAsia="Arial" w:hAnsi="Arial"/>
          <w:sz w:val="19"/>
          <w:szCs w:val="19"/>
          <w:u w:val="single" w:color="auto"/>
          <w:color w:val="0000FF"/>
        </w:rPr>
        <w:t>an RFR</w:t>
      </w:r>
      <w:r>
        <w:rPr>
          <w:rFonts w:ascii="Arial" w:cs="Arial" w:eastAsia="Arial" w:hAnsi="Arial"/>
          <w:sz w:val="19"/>
          <w:szCs w:val="19"/>
          <w:color w:val="0000FF"/>
        </w:rPr>
        <w:t xml:space="preserve"> </w:t>
      </w:r>
      <w:r>
        <w:rPr>
          <w:rFonts w:ascii="Arial" w:cs="Arial" w:eastAsia="Arial" w:hAnsi="Arial"/>
          <w:sz w:val="19"/>
          <w:szCs w:val="19"/>
          <w:color w:val="000000"/>
        </w:rPr>
        <w:t>Business Day, the</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RFR</w:t>
      </w:r>
      <w:r>
        <w:rPr>
          <w:rFonts w:ascii="Arial" w:cs="Arial" w:eastAsia="Arial" w:hAnsi="Arial"/>
          <w:sz w:val="19"/>
          <w:szCs w:val="19"/>
          <w:color w:val="0000FF"/>
        </w:rPr>
        <w:t xml:space="preserve"> </w:t>
      </w:r>
      <w:r>
        <w:rPr>
          <w:rFonts w:ascii="Arial" w:cs="Arial" w:eastAsia="Arial" w:hAnsi="Arial"/>
          <w:sz w:val="19"/>
          <w:szCs w:val="19"/>
          <w:color w:val="000000"/>
        </w:rPr>
        <w:t>Business Day</w:t>
      </w:r>
      <w:r>
        <w:rPr>
          <w:rFonts w:ascii="Arial" w:cs="Arial" w:eastAsia="Arial" w:hAnsi="Arial"/>
          <w:sz w:val="19"/>
          <w:szCs w:val="19"/>
          <w:color w:val="0000FF"/>
        </w:rPr>
        <w:t xml:space="preserve"> </w:t>
      </w:r>
      <w:r>
        <w:rPr>
          <w:rFonts w:ascii="Arial" w:cs="Arial" w:eastAsia="Arial" w:hAnsi="Arial"/>
          <w:sz w:val="19"/>
          <w:szCs w:val="19"/>
          <w:color w:val="000000"/>
        </w:rPr>
        <w:t xml:space="preserve">immediately preceding such RFR Interest Day </w:t>
      </w:r>
      <w:r>
        <w:rPr>
          <w:rFonts w:ascii="Arial" w:cs="Arial" w:eastAsia="Arial" w:hAnsi="Arial"/>
          <w:sz w:val="19"/>
          <w:szCs w:val="19"/>
          <w:color w:val="FF0000"/>
        </w:rPr>
        <w:t>and</w:t>
      </w:r>
      <w:r>
        <w:rPr>
          <w:rFonts w:ascii="Arial" w:cs="Arial" w:eastAsia="Arial" w:hAnsi="Arial"/>
          <w:sz w:val="19"/>
          <w:szCs w:val="19"/>
          <w:u w:val="single" w:color="auto"/>
          <w:color w:val="0000FF"/>
        </w:rPr>
        <w:t>,</w:t>
      </w:r>
      <w:r>
        <w:rPr>
          <w:rFonts w:ascii="Arial" w:cs="Arial" w:eastAsia="Arial" w:hAnsi="Arial"/>
          <w:sz w:val="19"/>
          <w:szCs w:val="19"/>
          <w:color w:val="000000"/>
        </w:rPr>
        <w:t xml:space="preserve"> (ii) Swiss Francs, SARON for the day that is five (5) </w:t>
      </w:r>
      <w:r>
        <w:rPr>
          <w:rFonts w:ascii="Arial" w:cs="Arial" w:eastAsia="Arial" w:hAnsi="Arial"/>
          <w:sz w:val="19"/>
          <w:szCs w:val="19"/>
          <w:u w:val="single" w:color="auto"/>
          <w:color w:val="0000FF"/>
        </w:rPr>
        <w:t>RFR</w:t>
      </w:r>
      <w:r>
        <w:rPr>
          <w:rFonts w:ascii="Arial" w:cs="Arial" w:eastAsia="Arial" w:hAnsi="Arial"/>
          <w:sz w:val="19"/>
          <w:szCs w:val="19"/>
          <w:color w:val="000000"/>
        </w:rPr>
        <w:t xml:space="preserve"> Business Days prior to (A) if such RFR Interest Day is </w:t>
      </w:r>
      <w:r>
        <w:rPr>
          <w:rFonts w:ascii="Arial" w:cs="Arial" w:eastAsia="Arial" w:hAnsi="Arial"/>
          <w:sz w:val="19"/>
          <w:szCs w:val="19"/>
          <w:color w:val="FF0000"/>
          <w:strike w:val="1"/>
        </w:rPr>
        <w:t>a</w:t>
      </w:r>
      <w:r>
        <w:rPr>
          <w:rFonts w:ascii="Arial" w:cs="Arial" w:eastAsia="Arial" w:hAnsi="Arial"/>
          <w:sz w:val="19"/>
          <w:szCs w:val="19"/>
          <w:u w:val="single" w:color="auto"/>
          <w:color w:val="0000FF"/>
        </w:rPr>
        <w:t>an RFR</w:t>
      </w:r>
      <w:r>
        <w:rPr>
          <w:rFonts w:ascii="Arial" w:cs="Arial" w:eastAsia="Arial" w:hAnsi="Arial"/>
          <w:sz w:val="19"/>
          <w:szCs w:val="19"/>
          <w:color w:val="000000"/>
        </w:rPr>
        <w:t xml:space="preserve"> Business Day, such RFR Interest Day or (B) if such RFR Interest Day is not </w:t>
      </w:r>
      <w:r>
        <w:rPr>
          <w:rFonts w:ascii="Arial" w:cs="Arial" w:eastAsia="Arial" w:hAnsi="Arial"/>
          <w:sz w:val="19"/>
          <w:szCs w:val="19"/>
          <w:color w:val="FF0000"/>
          <w:strike w:val="1"/>
        </w:rPr>
        <w:t>a</w:t>
      </w:r>
      <w:r>
        <w:rPr>
          <w:rFonts w:ascii="Arial" w:cs="Arial" w:eastAsia="Arial" w:hAnsi="Arial"/>
          <w:sz w:val="19"/>
          <w:szCs w:val="19"/>
          <w:u w:val="single" w:color="auto"/>
          <w:color w:val="0000FF"/>
        </w:rPr>
        <w:t>an RFR</w:t>
      </w:r>
      <w:r>
        <w:rPr>
          <w:rFonts w:ascii="Arial" w:cs="Arial" w:eastAsia="Arial" w:hAnsi="Arial"/>
          <w:sz w:val="19"/>
          <w:szCs w:val="19"/>
          <w:color w:val="000000"/>
        </w:rPr>
        <w:t xml:space="preserve"> Business Day, the </w:t>
      </w:r>
      <w:r>
        <w:rPr>
          <w:rFonts w:ascii="Arial" w:cs="Arial" w:eastAsia="Arial" w:hAnsi="Arial"/>
          <w:sz w:val="19"/>
          <w:szCs w:val="19"/>
          <w:u w:val="single" w:color="auto"/>
          <w:color w:val="0000FF"/>
        </w:rPr>
        <w:t>RFR</w:t>
      </w:r>
      <w:r>
        <w:rPr>
          <w:rFonts w:ascii="Arial" w:cs="Arial" w:eastAsia="Arial" w:hAnsi="Arial"/>
          <w:sz w:val="19"/>
          <w:szCs w:val="19"/>
          <w:color w:val="0000FF"/>
        </w:rPr>
        <w:t xml:space="preserve"> </w:t>
      </w:r>
      <w:r>
        <w:rPr>
          <w:rFonts w:ascii="Arial" w:cs="Arial" w:eastAsia="Arial" w:hAnsi="Arial"/>
          <w:sz w:val="19"/>
          <w:szCs w:val="19"/>
          <w:color w:val="000000"/>
        </w:rPr>
        <w:t>Business Day immediately preceding such RFR Interest Day</w:t>
      </w:r>
      <w:r>
        <w:rPr>
          <w:rFonts w:ascii="Arial" w:cs="Arial" w:eastAsia="Arial" w:hAnsi="Arial"/>
          <w:sz w:val="19"/>
          <w:szCs w:val="19"/>
          <w:color w:val="0000FF"/>
        </w:rPr>
        <w:t xml:space="preserve"> </w:t>
      </w:r>
      <w:r>
        <w:rPr>
          <w:rFonts w:ascii="Arial" w:cs="Arial" w:eastAsia="Arial" w:hAnsi="Arial"/>
          <w:sz w:val="19"/>
          <w:szCs w:val="19"/>
          <w:color w:val="FF0000"/>
        </w:rPr>
        <w:t>and (b) 0%. Any change in Daily Simple RFR due to a change in the</w:t>
      </w:r>
      <w:r>
        <w:rPr>
          <w:rFonts w:ascii="Arial" w:cs="Arial" w:eastAsia="Arial" w:hAnsi="Arial"/>
          <w:sz w:val="19"/>
          <w:szCs w:val="19"/>
          <w:color w:val="0000FF"/>
        </w:rPr>
        <w:t xml:space="preserve"> </w:t>
      </w:r>
      <w:r>
        <w:rPr>
          <w:rFonts w:ascii="Arial" w:cs="Arial" w:eastAsia="Arial" w:hAnsi="Arial"/>
          <w:sz w:val="19"/>
          <w:szCs w:val="19"/>
          <w:color w:val="FF0000"/>
          <w:strike w:val="1"/>
        </w:rPr>
        <w:t>applicable RFR shall be effective from and including the effective date of such change in the RFR without notice to the Company.</w:t>
      </w:r>
      <w:r>
        <w:rPr>
          <w:rFonts w:ascii="Arial" w:cs="Arial" w:eastAsia="Arial" w:hAnsi="Arial"/>
          <w:sz w:val="19"/>
          <w:szCs w:val="19"/>
          <w:u w:val="single" w:color="auto"/>
          <w:color w:val="0000FF"/>
          <w:strike w:val="1"/>
        </w:rPr>
        <w:t>, (iii)</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Singapore Dollars, SORA for the day that is five (5) RFR Business Days prior to (A) if such RFR Interest Day is an RFR Business Day, such RFR Interest Day or (B) if such RFR Interest Day is not an RFR Business Day, the RFR Business Day immediately preceding such RFR Interest Day, and (iv) U.S. Dollars, Daily Simple SOFR, and (b)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2364105</wp:posOffset>
            </wp:positionH>
            <wp:positionV relativeFrom="paragraph">
              <wp:posOffset>-960755</wp:posOffset>
            </wp:positionV>
            <wp:extent cx="21780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217805" cy="8255"/>
                    </a:xfrm>
                    <a:prstGeom prst="rect">
                      <a:avLst/>
                    </a:prstGeom>
                    <a:noFill/>
                  </pic:spPr>
                </pic:pic>
              </a:graphicData>
            </a:graphic>
          </wp:anchor>
        </w:drawing>
        <w:drawing>
          <wp:anchor simplePos="0" relativeHeight="251657728" behindDoc="1" locked="0" layoutInCell="0" allowOverlap="1">
            <wp:simplePos x="0" y="0"/>
            <wp:positionH relativeFrom="column">
              <wp:posOffset>3428365</wp:posOffset>
            </wp:positionH>
            <wp:positionV relativeFrom="paragraph">
              <wp:posOffset>-669290</wp:posOffset>
            </wp:positionV>
            <wp:extent cx="374015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3740150" cy="8255"/>
                    </a:xfrm>
                    <a:prstGeom prst="rect">
                      <a:avLst/>
                    </a:prstGeom>
                    <a:noFill/>
                  </pic:spPr>
                </pic:pic>
              </a:graphicData>
            </a:graphic>
          </wp:anchor>
        </w:drawing>
      </w:r>
    </w:p>
    <w:p>
      <w:pPr>
        <w:spacing w:after="0" w:line="16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Daily Simple SOFR</w:t>
      </w:r>
      <w:r>
        <w:rPr>
          <w:rFonts w:ascii="Arial" w:cs="Arial" w:eastAsia="Arial" w:hAnsi="Arial"/>
          <w:sz w:val="18"/>
          <w:szCs w:val="18"/>
          <w:color w:val="auto"/>
        </w:rPr>
        <w:t>” means, for any day</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 “</w:t>
      </w:r>
      <w:r>
        <w:rPr>
          <w:rFonts w:ascii="Arial" w:cs="Arial" w:eastAsia="Arial" w:hAnsi="Arial"/>
          <w:sz w:val="18"/>
          <w:szCs w:val="18"/>
          <w:u w:val="single" w:color="auto"/>
          <w:color w:val="auto"/>
        </w:rPr>
        <w:t>SOFR</w:t>
      </w:r>
      <w:r>
        <w:rPr>
          <w:rFonts w:ascii="Arial" w:cs="Arial" w:eastAsia="Arial" w:hAnsi="Arial"/>
          <w:sz w:val="18"/>
          <w:szCs w:val="18"/>
          <w:color w:val="FF0000"/>
          <w:strike w:val="1"/>
        </w:rPr>
        <w:t>, with the conventions for this rate (which may include a lookback) being</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established by the Administrative Agent in accordance with the conventions for this rate selected or recommended by the Relevant Governmental Body for determining “Daily Simple SOFR” for business loans;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if the Administrative Agent decides that any such convention is not administratively feasible for the Administrative Agent, then the Administrative Agent, after consultation with the Company, may establish another convention in its reasonable discretion. </w:t>
      </w:r>
      <w:r>
        <w:rPr>
          <w:rFonts w:ascii="Arial" w:cs="Arial" w:eastAsia="Arial" w:hAnsi="Arial"/>
          <w:sz w:val="18"/>
          <w:szCs w:val="18"/>
          <w:u w:val="single" w:color="auto"/>
          <w:color w:val="0000FF"/>
          <w:strike w:val="1"/>
        </w:rPr>
        <w:t>Rate Day”), a rate per annum equal to SOFR for the day that is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-22225</wp:posOffset>
            </wp:positionV>
            <wp:extent cx="349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34925" cy="8890"/>
                    </a:xfrm>
                    <a:prstGeom prst="rect">
                      <a:avLst/>
                    </a:prstGeom>
                    <a:noFill/>
                  </pic:spPr>
                </pic:pic>
              </a:graphicData>
            </a:graphic>
          </wp:anchor>
        </w:drawing>
      </w:r>
    </w:p>
    <w:p>
      <w:pPr>
        <w:ind w:firstLine="8"/>
        <w:spacing w:after="0" w:line="269" w:lineRule="auto"/>
        <w:tabs>
          <w:tab w:leader="none" w:pos="288" w:val="left"/>
        </w:tabs>
        <w:numPr>
          <w:ilvl w:val="0"/>
          <w:numId w:val="36"/>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RFR Business Days prior to (i) if such SOFR Rate Day is an RFR Business Day, such SOFR Rate Day or (ii) if such SOFR Rate Day is not an RFR Business Day, the RFR Business Day immediately preceding such SOFR Rate Day, in each case, as such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3" w:name="page84"/>
    <w:bookmarkEnd w:id="83"/>
    <w:p>
      <w:pPr>
        <w:jc w:val="both"/>
        <w:spacing w:after="0" w:line="287" w:lineRule="auto"/>
        <w:rPr>
          <w:sz w:val="20"/>
          <w:szCs w:val="20"/>
          <w:color w:val="auto"/>
        </w:rPr>
      </w:pPr>
      <w:r>
        <w:rPr>
          <w:rFonts w:ascii="Arial" w:cs="Arial" w:eastAsia="Arial" w:hAnsi="Arial"/>
          <w:sz w:val="19"/>
          <w:szCs w:val="19"/>
          <w:u w:val="single" w:color="auto"/>
          <w:color w:val="0000FF"/>
        </w:rPr>
        <w:t>SOFR is published by the SOFR Administrator on the SOFR Administrator’s Website. Any change in Daily Simple SOFR due to a change in SOFR shall be effective from and including the effective date of such change in SOFR without notice to the Company.</w:t>
      </w:r>
    </w:p>
    <w:p>
      <w:pPr>
        <w:spacing w:after="0" w:line="15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Debtor Relief Laws</w:t>
      </w:r>
      <w:r>
        <w:rPr>
          <w:rFonts w:ascii="Arial" w:cs="Arial" w:eastAsia="Arial" w:hAnsi="Arial"/>
          <w:sz w:val="20"/>
          <w:szCs w:val="20"/>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w:t>
      </w:r>
      <w:r>
        <w:rPr>
          <w:rFonts w:ascii="Arial" w:cs="Arial" w:eastAsia="Arial" w:hAnsi="Arial"/>
          <w:sz w:val="20"/>
          <w:szCs w:val="20"/>
          <w:color w:val="auto"/>
        </w:rPr>
        <w:t>” means any event or condition which constitutes an Event of Default or which upon notice, lapse of time or both would, unless cured or waived, become an Event of Default.</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Defaulting Lender</w:t>
      </w:r>
      <w:r>
        <w:rPr>
          <w:rFonts w:ascii="Arial" w:cs="Arial" w:eastAsia="Arial" w:hAnsi="Arial"/>
          <w:sz w:val="18"/>
          <w:szCs w:val="18"/>
          <w:color w:val="auto"/>
        </w:rPr>
        <w:t xml:space="preserve">” means any Lender that (a) has failed, within two (2) Business Days after the date required to be funded or paid, to (i) fund any portion of its Loans, (ii) fund any portion of its participations in Letters of Credit or Swingline Loans or (iii) pay over to any Credit Party any other amount required to be paid by it hereunder, unless,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provided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such Credit Party’s receipt of such certification in form and substance satisfactory to it and the Administrative Agent, or (d) has, or has a Lender Parent that has, become the subject of a (A) Bankruptcy Event or (B) a Bail-In Action.</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Designated Borrower</w:t>
      </w:r>
      <w:r>
        <w:rPr>
          <w:rFonts w:ascii="Arial" w:cs="Arial" w:eastAsia="Arial" w:hAnsi="Arial"/>
          <w:sz w:val="20"/>
          <w:szCs w:val="20"/>
          <w:color w:val="auto"/>
        </w:rPr>
        <w:t>” has the meaning assigned to such term in the preamble.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Designated Borrower Notice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2.23(b)</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Designated Borrower Request and Assumption Agreement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2.23(b)</w:t>
      </w:r>
      <w:r>
        <w:rPr>
          <w:rFonts w:ascii="Arial" w:cs="Arial" w:eastAsia="Arial" w:hAnsi="Arial"/>
          <w:sz w:val="19"/>
          <w:szCs w:val="19"/>
          <w:color w:val="auto"/>
        </w:rPr>
        <w:t>.</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Disclosed Litigation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3.05(a)</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Dollar Amount</w:t>
      </w:r>
      <w:r>
        <w:rPr>
          <w:rFonts w:ascii="Arial" w:cs="Arial" w:eastAsia="Arial" w:hAnsi="Arial"/>
          <w:sz w:val="20"/>
          <w:szCs w:val="20"/>
          <w:color w:val="auto"/>
        </w:rPr>
        <w:t>” of any amount of any currency means, at the time of determination thereof, (a) if such amount is expressed in U.S. Dollars, such amount, (b) if such amount is expressed in a Foreign Currency, the equivalent of such amount in U.S. Dollars determined by using the rate of exchange for the purchase of U.S. Dollars with such Foreign Currency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U.S. Dollars with such Foreign Currency, as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4" w:name="page85"/>
    <w:bookmarkEnd w:id="84"/>
    <w:p>
      <w:pPr>
        <w:jc w:val="both"/>
        <w:spacing w:after="0" w:line="276" w:lineRule="auto"/>
        <w:rPr>
          <w:sz w:val="20"/>
          <w:szCs w:val="20"/>
          <w:color w:val="auto"/>
        </w:rPr>
      </w:pPr>
      <w:r>
        <w:rPr>
          <w:rFonts w:ascii="Arial" w:cs="Arial" w:eastAsia="Arial" w:hAnsi="Arial"/>
          <w:sz w:val="18"/>
          <w:szCs w:val="18"/>
          <w:color w:val="auto"/>
        </w:rPr>
        <w:t>provided by such other publicly available information service which provides that rate of exchange at such time in place of Reuters chosen by the Administrative Agent in its reasonable discretion (or if such service ceases to be available or ceases to provide such rate of exchange, the equivalent of such amount in U.S. Dollars as reasonably determined by the Administrative Agent, in consultation with the Company, using any reasonable method of determination it deems reasonably appropriate) and (c) if such amount is denominated in any other currency, the equivalent of such amount in U.S. Dollars as reasonably determined by the Administrative Agent, in consultation with the Company, using any reasonable method of determination it deems reasonably appropriate.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Domestic Subsidiary</w:t>
      </w:r>
      <w:r>
        <w:rPr>
          <w:rFonts w:ascii="Arial" w:cs="Arial" w:eastAsia="Arial" w:hAnsi="Arial"/>
          <w:sz w:val="18"/>
          <w:szCs w:val="18"/>
          <w:color w:val="auto"/>
        </w:rPr>
        <w:t>” means any Subsidiary that is organized under the laws of any political subdivision of the United States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America.</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Early Opt-in Election</w:t>
      </w:r>
      <w:r>
        <w:rPr>
          <w:rFonts w:ascii="Arial" w:cs="Arial" w:eastAsia="Arial" w:hAnsi="Arial"/>
          <w:sz w:val="18"/>
          <w:szCs w:val="18"/>
          <w:color w:val="FF0000"/>
          <w:strike w:val="1"/>
        </w:rPr>
        <w:t>” means, if the then current Benchmark with respect to U.S. Dollars is the LIBO Rate, the occurrence of:</w:t>
      </w:r>
    </w:p>
    <w:p>
      <w:pPr>
        <w:spacing w:after="0" w:line="239" w:lineRule="exact"/>
        <w:rPr>
          <w:sz w:val="20"/>
          <w:szCs w:val="20"/>
          <w:color w:val="auto"/>
        </w:rPr>
      </w:pPr>
    </w:p>
    <w:p>
      <w:pPr>
        <w:jc w:val="both"/>
        <w:ind w:left="760" w:firstLine="745"/>
        <w:spacing w:after="0" w:line="250" w:lineRule="auto"/>
        <w:tabs>
          <w:tab w:leader="none" w:pos="1948" w:val="left"/>
        </w:tabs>
        <w:numPr>
          <w:ilvl w:val="0"/>
          <w:numId w:val="37"/>
        </w:numPr>
        <w:rPr>
          <w:rFonts w:ascii="Arial" w:cs="Arial" w:eastAsia="Arial" w:hAnsi="Arial"/>
          <w:sz w:val="20"/>
          <w:szCs w:val="20"/>
          <w:color w:val="FF0000"/>
          <w:strike w:val="1"/>
        </w:rPr>
      </w:pPr>
      <w:r>
        <w:rPr>
          <w:rFonts w:ascii="Arial" w:cs="Arial" w:eastAsia="Arial" w:hAnsi="Arial"/>
          <w:sz w:val="20"/>
          <w:szCs w:val="20"/>
          <w:color w:val="FF0000"/>
          <w:strike w:val="1"/>
        </w:rPr>
        <w:t>an alternative benchmark rate being the evolving market convention that could reasonably be expected to become the prevailing market convention for determining a benchmark rate as a replacement for the then-current Benchmark for U.S. dollar-denominated broadly syndicated credit facilities, and</w:t>
      </w:r>
    </w:p>
    <w:p>
      <w:pPr>
        <w:spacing w:after="0" w:line="185" w:lineRule="exact"/>
        <w:rPr>
          <w:rFonts w:ascii="Arial" w:cs="Arial" w:eastAsia="Arial" w:hAnsi="Arial"/>
          <w:sz w:val="20"/>
          <w:szCs w:val="20"/>
          <w:color w:val="FF0000"/>
          <w:strike w:val="1"/>
        </w:rPr>
      </w:pPr>
    </w:p>
    <w:p>
      <w:pPr>
        <w:ind w:left="760" w:firstLine="745"/>
        <w:spacing w:after="0" w:line="287" w:lineRule="auto"/>
        <w:tabs>
          <w:tab w:leader="none" w:pos="1965" w:val="left"/>
        </w:tabs>
        <w:numPr>
          <w:ilvl w:val="0"/>
          <w:numId w:val="37"/>
        </w:numPr>
        <w:rPr>
          <w:rFonts w:ascii="Arial" w:cs="Arial" w:eastAsia="Arial" w:hAnsi="Arial"/>
          <w:sz w:val="19"/>
          <w:szCs w:val="19"/>
          <w:color w:val="FF0000"/>
          <w:strike w:val="1"/>
        </w:rPr>
      </w:pPr>
      <w:r>
        <w:rPr>
          <w:rFonts w:ascii="Arial" w:cs="Arial" w:eastAsia="Arial" w:hAnsi="Arial"/>
          <w:sz w:val="19"/>
          <w:szCs w:val="19"/>
          <w:color w:val="FF0000"/>
          <w:strike w:val="1"/>
        </w:rPr>
        <w:t>the joint election by the Administrative Agent and the Company to trigger a fallback from the LIBO Rate and the provision, as applicable, by the Administrative Agent of written notice of such election to the Company and the Lenders.</w:t>
      </w:r>
    </w:p>
    <w:p>
      <w:pPr>
        <w:spacing w:after="0" w:line="15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2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xml:space="preserve">” means the date on which the conditions specified in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are satisfied (or waived in accordance with </w:t>
      </w:r>
      <w:r>
        <w:rPr>
          <w:rFonts w:ascii="Arial" w:cs="Arial" w:eastAsia="Arial" w:hAnsi="Arial"/>
          <w:sz w:val="20"/>
          <w:szCs w:val="20"/>
          <w:u w:val="single" w:color="auto"/>
          <w:color w:val="auto"/>
        </w:rPr>
        <w:t>Section 10.02</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Electronic System</w:t>
      </w:r>
      <w:r>
        <w:rPr>
          <w:rFonts w:ascii="Arial" w:cs="Arial" w:eastAsia="Arial" w:hAnsi="Arial"/>
          <w:sz w:val="20"/>
          <w:szCs w:val="20"/>
          <w:color w:val="auto"/>
        </w:rPr>
        <w:t>” means any electronic system, including e-mail, e-fax, Intralinks®, ClearPar®, Debt Domain, Syndtrak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5" w:name="page86"/>
    <w:bookmarkEnd w:id="85"/>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Environmental Laws</w:t>
      </w:r>
      <w:r>
        <w:rPr>
          <w:rFonts w:ascii="Arial" w:cs="Arial" w:eastAsia="Arial" w:hAnsi="Arial"/>
          <w:sz w:val="20"/>
          <w:szCs w:val="20"/>
          <w:color w:val="auto"/>
        </w:rPr>
        <w:t>” means all laws, rules, regulations, codes, ordinances, orders, decrees, judgments, injunctions, notices or binding agreements issued, promulgated or entered into by any Governmental Authority, relating to pollution and the protection of the environment, or the release of any Hazardous Material.</w:t>
      </w:r>
    </w:p>
    <w:p>
      <w:pPr>
        <w:spacing w:after="0" w:line="18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w:t>
      </w:r>
    </w:p>
    <w:p>
      <w:pPr>
        <w:spacing w:after="0" w:line="3" w:lineRule="exact"/>
        <w:rPr>
          <w:sz w:val="20"/>
          <w:szCs w:val="20"/>
          <w:color w:val="auto"/>
        </w:rPr>
      </w:pPr>
    </w:p>
    <w:p>
      <w:pPr>
        <w:ind w:firstLine="8"/>
        <w:spacing w:after="0" w:line="244" w:lineRule="auto"/>
        <w:tabs>
          <w:tab w:leader="none" w:pos="288"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any contract, agreement or other consensual arrangement pursuant to which liability is assumed or imposed with respect to any of the foregoing.</w:t>
      </w:r>
    </w:p>
    <w:p>
      <w:pPr>
        <w:spacing w:after="0" w:line="19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Equity Interests</w:t>
      </w:r>
      <w:r>
        <w:rPr>
          <w:rFonts w:ascii="Arial" w:cs="Arial" w:eastAsia="Arial" w:hAnsi="Arial"/>
          <w:sz w:val="20"/>
          <w:szCs w:val="20"/>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w:t>
      </w:r>
      <w:r>
        <w:rPr>
          <w:rFonts w:ascii="Arial" w:cs="Arial" w:eastAsia="Arial" w:hAnsi="Arial"/>
          <w:sz w:val="20"/>
          <w:szCs w:val="20"/>
          <w:color w:val="auto"/>
        </w:rPr>
        <w:t>” means the Employee Retirement Income Security Act of 1974, as amended from time to time.</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 Affiliate</w:t>
      </w:r>
      <w:r>
        <w:rPr>
          <w:rFonts w:ascii="Arial" w:cs="Arial" w:eastAsia="Arial" w:hAnsi="Arial"/>
          <w:sz w:val="20"/>
          <w:szCs w:val="20"/>
          <w:color w:val="auto"/>
        </w:rPr>
        <w:t>” means any trade or business (whether or not incorporated) that, together with any Borrower, is treated as a single employer under subsections (b) and (c) of Section 414 of the Code (and, solely for the purposes of Section 412 of the Code, including subsections (m) and (o) of Section 414 of the Code).</w:t>
      </w:r>
    </w:p>
    <w:p>
      <w:pPr>
        <w:spacing w:after="0" w:line="186"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30-day notice period is waived); (b) the existence with respect to any Multiemployer Plan of an “accumulated funding deficiency” (as defined in Sections 412 and 431 of the Code or Sections 302 and 304 of ERISA), whether or not waived, or the determination that any Multiemployer Plan is in either “endangered status” or “critical status” (as defined in Section 432 of the Code or Section 305 of ERISA), or the failure of any Plan that is not a Multiemployer Plan to satisfy the minimum funding standards of Sections 412 and 430 of the Code or Sections 302 and 303 of ERISA, or the determination that any Plan that is not a Multiemployer Plan is in “at-risk” status (as defined in Section 430(i) of the Code or Section 303(i) of ERISA) or the imposition of any lien on any Borrower or any of its ERISA Affiliates pursuant to Section 430(k) of the Code or Section 303(k) of ERISA; (c) the filing pursuant to Section 412(c) of the Code or Section 303(c) of ERISA of an application for a waiver of the minimum funding standard with respect to any Plan; (d) the incurrence by any Borrower or any of its ERISA Affiliates of any liability under Title IV of ERISA with respect to the termination of any Plan; (e) the receipt by any Borrower or any ERISA Affiliate from the PBGC or a plan administrator of any notice relating to an intention to terminate any Plan or Plans or to appoint a trustee to administer any Plan; (f) the incurrence by any Borrower or any of its ERISA Affiliates of any liability with respect to the withdrawal or partial withdrawal from any Multiemployer Plan; (g) the receipt by any Borrower or any ERISA Affiliate of any notice, or the receipt by any Multiemployer Plan from any Borrower or any ERISA Affiliate of any notice, concerning the imposition of Withdrawal Liability or a determination that a Multiemployer Plan is, or is expected to be, insolvent or in reorganization, within the meaning of Title IV of ERISA; (h) the withdrawal by any Borrower or any ERISA Affiliate from a Plan subject to Section 4063 of ERISA during a plan year in which it was a “substantial employer” (as defined in Section 4001(a)(2) of ERISA); (i) the engagement by any Borrower or any ERISA Affiliate in a transaction that could reasonably be expected to be subject to Section 4069 or Section 4212(c) of ERISA; (j) the engagement by any Borrower in a non-exempt “prohibited transaction” (as defined under Section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6" w:name="page87"/>
    <w:bookmarkEnd w:id="86"/>
    <w:p>
      <w:pPr>
        <w:jc w:val="both"/>
        <w:spacing w:after="0" w:line="259" w:lineRule="auto"/>
        <w:rPr>
          <w:sz w:val="20"/>
          <w:szCs w:val="20"/>
          <w:color w:val="auto"/>
        </w:rPr>
      </w:pPr>
      <w:r>
        <w:rPr>
          <w:rFonts w:ascii="Arial" w:cs="Arial" w:eastAsia="Arial" w:hAnsi="Arial"/>
          <w:sz w:val="19"/>
          <w:szCs w:val="19"/>
          <w:color w:val="auto"/>
        </w:rPr>
        <w:t>406 of ERISA or Section 4975 of the Code) or a breach of a fiduciary duty under ERISA that could reasonably be expected to result in liability to the Company or any Subsidiary; (k) notification by the IRS of the failure of any Plan (and any related trust) that is intended to be qualified under Sections 401 and 501 of the Code to be so qualified; (l) the commencement, existence or threatening of a claim, action, suit or audit or other regulatory examination with respect to any Plan, other than a routine claim for benefits; or (m) the occurrence of an event with respect to any employee benefit plan described in Section 3(2) of ERISA that results in the imposition of an excise tax or any other liability on any Borrower or of the imposition of a Lien on the assets of any Borrower.</w:t>
      </w:r>
    </w:p>
    <w:p>
      <w:pPr>
        <w:spacing w:after="0" w:line="17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b w:val="1"/>
          <w:bCs w:val="1"/>
          <w:i w:val="1"/>
          <w:iCs w:val="1"/>
          <w:color w:val="auto"/>
        </w:rPr>
        <w:t>“EU Bail-In Legislation Schedule</w:t>
      </w:r>
      <w:r>
        <w:rPr>
          <w:rFonts w:ascii="Arial" w:cs="Arial" w:eastAsia="Arial" w:hAnsi="Arial"/>
          <w:sz w:val="20"/>
          <w:szCs w:val="20"/>
          <w:color w:val="auto"/>
        </w:rPr>
        <w:t>” means the EU Bail-In Legislation Schedule published by the Loan Market Association (or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successor Person), as in effect from time to time.</w:t>
      </w:r>
    </w:p>
    <w:p>
      <w:pPr>
        <w:spacing w:after="0" w:line="17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b w:val="1"/>
          <w:bCs w:val="1"/>
          <w:i w:val="1"/>
          <w:iCs w:val="1"/>
          <w:color w:val="FF0000"/>
          <w:strike w:val="1"/>
        </w:rPr>
        <w:t>EURIBO Interpolated Rate</w:t>
      </w:r>
      <w:r>
        <w:rPr>
          <w:rFonts w:ascii="Arial" w:cs="Arial" w:eastAsia="Arial" w:hAnsi="Arial"/>
          <w:sz w:val="19"/>
          <w:szCs w:val="19"/>
          <w:color w:val="FF0000"/>
          <w:strike w:val="1"/>
        </w:rPr>
        <w:t xml:space="preserve">” means, at any time, with respect to any Eurocurrency Borrowing denominated in Euro and for any Interest Period, the rate per annum determined by the Administrative Agent (which determination shall be conclusive and binding absent manifest error) to be equal to the rate that results from interpolating on a linear basis between: (a) the EURIBO Screen Rate for the longest period (for which the EURIBO Screen Rate is available for Euro) that is shorter than the Impacted EURIBO Rate Interest Period; and (b) the EURIBO Screen Rate for the shortest period (for which the EURIBO Screen Rate is available for Euro) that exceeds the Impacted EURIBO Rate Interest Period, in each case, at such time;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if any EURIBO Interpolated Rate as so determined would be less than zero, such rate shall be deemed to be zero for the purposes of this Agreement.</w:t>
      </w:r>
    </w:p>
    <w:p>
      <w:pPr>
        <w:spacing w:after="0" w:line="18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EURIBO Rate</w:t>
      </w:r>
      <w:r>
        <w:rPr>
          <w:rFonts w:ascii="Arial" w:cs="Arial" w:eastAsia="Arial" w:hAnsi="Arial"/>
          <w:sz w:val="18"/>
          <w:szCs w:val="18"/>
          <w:color w:val="auto"/>
        </w:rPr>
        <w:t xml:space="preserve">” means, with respect to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Borrowing denominated in Euro and for any Interest Period, the EURIBO Screen Rate at approximately 11:00 a.m., Brussels time, two (2) TARGET Days prior to the commencement of such Interest Period</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provided</w:t>
      </w:r>
      <w:r>
        <w:rPr>
          <w:rFonts w:ascii="Arial" w:cs="Arial" w:eastAsia="Arial" w:hAnsi="Arial"/>
          <w:sz w:val="18"/>
          <w:szCs w:val="18"/>
          <w:color w:val="auto"/>
        </w:rPr>
        <w:t xml:space="preserve"> </w:t>
      </w:r>
      <w:r>
        <w:rPr>
          <w:rFonts w:ascii="Arial" w:cs="Arial" w:eastAsia="Arial" w:hAnsi="Arial"/>
          <w:sz w:val="18"/>
          <w:szCs w:val="18"/>
          <w:color w:val="FF0000"/>
          <w:strike w:val="1"/>
        </w:rPr>
        <w:t>that, if the EURIBO Screen Rate shall not be available at such time for such Interest Period (an “</w:t>
      </w:r>
      <w:r>
        <w:rPr>
          <w:rFonts w:ascii="Arial" w:cs="Arial" w:eastAsia="Arial" w:hAnsi="Arial"/>
          <w:sz w:val="18"/>
          <w:szCs w:val="18"/>
          <w:b w:val="1"/>
          <w:bCs w:val="1"/>
          <w:i w:val="1"/>
          <w:iCs w:val="1"/>
          <w:color w:val="FF0000"/>
          <w:strike w:val="1"/>
        </w:rPr>
        <w:t>Impacted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FF0000"/>
          <w:strike w:val="1"/>
        </w:rPr>
        <w:t>EURIBO Rate Interest Period</w:t>
      </w:r>
      <w:r>
        <w:rPr>
          <w:rFonts w:ascii="Arial" w:cs="Arial" w:eastAsia="Arial" w:hAnsi="Arial"/>
          <w:sz w:val="18"/>
          <w:szCs w:val="18"/>
          <w:color w:val="FF0000"/>
          <w:strike w:val="1"/>
        </w:rPr>
        <w:t>”) with respect to Euro then the EURIBO Rate shall be the EURIBO Interpolated Rate</w:t>
      </w:r>
      <w:r>
        <w:rPr>
          <w:rFonts w:ascii="Arial" w:cs="Arial" w:eastAsia="Arial" w:hAnsi="Arial"/>
          <w:sz w:val="18"/>
          <w:szCs w:val="18"/>
          <w:color w:val="000000"/>
        </w:rPr>
        <w:t>.</w:t>
      </w:r>
    </w:p>
    <w:p>
      <w:pPr>
        <w:spacing w:after="0" w:line="16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EURIBO Screen Rate</w:t>
      </w:r>
      <w:r>
        <w:rPr>
          <w:rFonts w:ascii="Arial" w:cs="Arial" w:eastAsia="Arial" w:hAnsi="Arial"/>
          <w:sz w:val="19"/>
          <w:szCs w:val="19"/>
          <w:color w:val="auto"/>
        </w:rPr>
        <w:t xml:space="preserve">” means, for any day and time, with respect to any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Benchmark</w:t>
      </w:r>
      <w:r>
        <w:rPr>
          <w:rFonts w:ascii="Arial" w:cs="Arial" w:eastAsia="Arial" w:hAnsi="Arial"/>
          <w:sz w:val="19"/>
          <w:szCs w:val="19"/>
          <w:color w:val="auto"/>
        </w:rPr>
        <w:t xml:space="preserve"> Borrowing denominated in Euro and for any Interest Period, the Euro interbank offered rate administered by the European Money Markets Institute (or any other person which takes over the administration of such rate) for Euro for the relevant period displayed </w:t>
      </w:r>
      <w:r>
        <w:rPr>
          <w:rFonts w:ascii="Arial" w:cs="Arial" w:eastAsia="Arial" w:hAnsi="Arial"/>
          <w:sz w:val="19"/>
          <w:szCs w:val="19"/>
          <w:u w:val="single" w:color="auto"/>
          <w:color w:val="0000FF"/>
        </w:rPr>
        <w:t>(before any correction, recalculation or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republication by the administrator)</w:t>
      </w:r>
      <w:r>
        <w:rPr>
          <w:rFonts w:ascii="Arial" w:cs="Arial" w:eastAsia="Arial" w:hAnsi="Arial"/>
          <w:sz w:val="19"/>
          <w:szCs w:val="19"/>
          <w:color w:val="0000FF"/>
        </w:rPr>
        <w:t xml:space="preserve"> </w:t>
      </w:r>
      <w:r>
        <w:rPr>
          <w:rFonts w:ascii="Arial" w:cs="Arial" w:eastAsia="Arial" w:hAnsi="Arial"/>
          <w:sz w:val="19"/>
          <w:szCs w:val="19"/>
          <w:color w:val="000000"/>
        </w:rPr>
        <w:t>on page EURIBOR01 of the Reuters screen (or any replacement Reuters page which displays that rate) or</w:t>
      </w:r>
      <w:r>
        <w:rPr>
          <w:rFonts w:ascii="Arial" w:cs="Arial" w:eastAsia="Arial" w:hAnsi="Arial"/>
          <w:sz w:val="19"/>
          <w:szCs w:val="19"/>
          <w:color w:val="0000FF"/>
        </w:rPr>
        <w:t xml:space="preserve"> </w:t>
      </w:r>
      <w:r>
        <w:rPr>
          <w:rFonts w:ascii="Arial" w:cs="Arial" w:eastAsia="Arial" w:hAnsi="Arial"/>
          <w:sz w:val="19"/>
          <w:szCs w:val="19"/>
          <w:color w:val="000000"/>
        </w:rPr>
        <w:t xml:space="preserve">on the appropriate page of such other information service which publishes that rate from time to time in place of Reuters </w:t>
      </w:r>
      <w:r>
        <w:rPr>
          <w:rFonts w:ascii="Arial" w:cs="Arial" w:eastAsia="Arial" w:hAnsi="Arial"/>
          <w:sz w:val="19"/>
          <w:szCs w:val="19"/>
          <w:color w:val="0000FF"/>
        </w:rPr>
        <w:t>as published at</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approximately 11:00 a.m. Brussels time two TARGET Days prior to the commencement of such Interest Period</w:t>
      </w:r>
      <w:r>
        <w:rPr>
          <w:rFonts w:ascii="Arial" w:cs="Arial" w:eastAsia="Arial" w:hAnsi="Arial"/>
          <w:sz w:val="19"/>
          <w:szCs w:val="19"/>
          <w:color w:val="000000"/>
        </w:rPr>
        <w:t>. If such page or service</w:t>
      </w:r>
      <w:r>
        <w:rPr>
          <w:rFonts w:ascii="Arial" w:cs="Arial" w:eastAsia="Arial" w:hAnsi="Arial"/>
          <w:sz w:val="19"/>
          <w:szCs w:val="19"/>
          <w:color w:val="0000FF"/>
        </w:rPr>
        <w:t xml:space="preserve"> </w:t>
      </w:r>
      <w:r>
        <w:rPr>
          <w:rFonts w:ascii="Arial" w:cs="Arial" w:eastAsia="Arial" w:hAnsi="Arial"/>
          <w:sz w:val="19"/>
          <w:szCs w:val="19"/>
          <w:color w:val="000000"/>
        </w:rPr>
        <w:t>ceases to be available, the Administrative Agent may specify another page or service displaying the relevant rate after consultation with the Borrower. If the EURIBO Screen Rate as so determined would be less than zero, such rate shall be deemed to be zero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6320155</wp:posOffset>
            </wp:positionH>
            <wp:positionV relativeFrom="paragraph">
              <wp:posOffset>-617855</wp:posOffset>
            </wp:positionV>
            <wp:extent cx="8483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EURIBOR</w:t>
      </w:r>
      <w:r>
        <w:rPr>
          <w:rFonts w:ascii="Arial" w:cs="Arial" w:eastAsia="Arial" w:hAnsi="Arial"/>
          <w:sz w:val="20"/>
          <w:szCs w:val="20"/>
          <w:color w:val="FF0000"/>
          <w:strike w:val="1"/>
        </w:rPr>
        <w:t xml:space="preserve">” has the meaning assigned to such term in </w:t>
      </w:r>
      <w:r>
        <w:rPr>
          <w:rFonts w:ascii="Arial" w:cs="Arial" w:eastAsia="Arial" w:hAnsi="Arial"/>
          <w:sz w:val="20"/>
          <w:szCs w:val="20"/>
          <w:u w:val="single" w:color="auto"/>
          <w:color w:val="FF0000"/>
          <w:strike w:val="1"/>
        </w:rPr>
        <w:t>Section 1.07</w:t>
      </w:r>
      <w:r>
        <w:rPr>
          <w:rFonts w:ascii="Arial" w:cs="Arial" w:eastAsia="Arial" w:hAnsi="Arial"/>
          <w:sz w:val="20"/>
          <w:szCs w:val="20"/>
          <w:color w:val="FF0000"/>
          <w:strike w:val="1"/>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Euro</w:t>
      </w:r>
      <w:r>
        <w:rPr>
          <w:rFonts w:ascii="Arial" w:cs="Arial" w:eastAsia="Arial" w:hAnsi="Arial"/>
          <w:sz w:val="20"/>
          <w:szCs w:val="20"/>
          <w:color w:val="auto"/>
        </w:rPr>
        <w:t>” or “</w:t>
      </w:r>
      <w:r>
        <w:rPr>
          <w:rFonts w:ascii="Arial" w:cs="Arial" w:eastAsia="Arial" w:hAnsi="Arial"/>
          <w:sz w:val="20"/>
          <w:szCs w:val="20"/>
          <w:b w:val="1"/>
          <w:bCs w:val="1"/>
          <w:i w:val="1"/>
          <w:iCs w:val="1"/>
          <w:color w:val="auto"/>
        </w:rPr>
        <w:t>€</w:t>
      </w:r>
      <w:r>
        <w:rPr>
          <w:rFonts w:ascii="Arial" w:cs="Arial" w:eastAsia="Arial" w:hAnsi="Arial"/>
          <w:sz w:val="20"/>
          <w:szCs w:val="20"/>
          <w:color w:val="auto"/>
        </w:rPr>
        <w:t>” means the single currency of the participating member states of the European Union.</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Eurocurrency</w:t>
      </w:r>
      <w:r>
        <w:rPr>
          <w:rFonts w:ascii="Arial" w:cs="Arial" w:eastAsia="Arial" w:hAnsi="Arial"/>
          <w:sz w:val="20"/>
          <w:szCs w:val="20"/>
          <w:color w:val="FF0000"/>
          <w:strike w:val="1"/>
        </w:rPr>
        <w:t>”, when used in reference to any Loan or Borrowing, refers to whether such Loan, or the Loans comprising such Borrowing, are bearing interest at a rate determined by reference to a Relevant Adjusted Rate.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7" w:name="page88"/>
    <w:bookmarkEnd w:id="87"/>
    <w:p>
      <w:pPr>
        <w:jc w:val="both"/>
        <w:ind w:firstLine="749"/>
        <w:spacing w:after="0" w:line="250"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Eurocurrency Payment Office</w:t>
      </w:r>
      <w:r>
        <w:rPr>
          <w:rFonts w:ascii="Arial" w:cs="Arial" w:eastAsia="Arial" w:hAnsi="Arial"/>
          <w:sz w:val="20"/>
          <w:szCs w:val="20"/>
          <w:color w:val="FF0000"/>
          <w:strike w:val="1"/>
        </w:rPr>
        <w:t>” of the Administrative Agent shall mean, for each Foreign Currency, the office, branch, affiliate or correspondent bank of the Administrative Agent for such currency as specified from time to time by the Administrative Agent to each Borrower and each Lender.</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Event of Default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Article VII</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Existing Credit Agreement</w:t>
      </w:r>
      <w:r>
        <w:rPr>
          <w:rFonts w:ascii="Arial" w:cs="Arial" w:eastAsia="Arial" w:hAnsi="Arial"/>
          <w:sz w:val="19"/>
          <w:szCs w:val="19"/>
          <w:color w:val="auto"/>
        </w:rPr>
        <w:t>” means that certain Credit Agreement dated as of October 25, 2015, by and among the Company, the other borrowers party thereto, the lenders party thereto and JPMorgan Chase Bank, N.A., as administrative agent.</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Termination Date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Excluded Taxes</w:t>
      </w:r>
      <w:r>
        <w:rPr>
          <w:rFonts w:ascii="Arial" w:cs="Arial" w:eastAsia="Arial" w:hAnsi="Arial"/>
          <w:sz w:val="19"/>
          <w:szCs w:val="19"/>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by the United States of America, (ii) imposed as a result of such Recipient being organized under the laws of, or having its principal office or, in the case of any Lender, its applicable lending office located in, the jurisdiction imposing such Tax (or any political subdivision thereof) or (iii) that are Other Connection Taxes, (b) in the case of a Lender, U.S. federal or UK withholding Taxes (excluding, in the case of United Kingdom withholding Taxes, (x) the portion of United Kingdom withholding Taxes with respect to which the applicable Lender is entitled to claim a reduction under an income tax treaty, and (y) United Kingdom withholding Taxes on payments made by any guarantor under any guarantee of the obligations) that are or would be required to be withheld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w:t>
      </w:r>
      <w:r>
        <w:rPr>
          <w:rFonts w:ascii="Arial" w:cs="Arial" w:eastAsia="Arial" w:hAnsi="Arial"/>
          <w:sz w:val="19"/>
          <w:szCs w:val="19"/>
          <w:u w:val="single" w:color="auto"/>
          <w:color w:val="auto"/>
        </w:rPr>
        <w:t>Section 2.17(f)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and (d) any withholding Taxes imposed under FATCA.</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Extending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b w:val="1"/>
          <w:bCs w:val="1"/>
          <w:i w:val="1"/>
          <w:iCs w:val="1"/>
          <w:color w:val="auto"/>
        </w:rPr>
        <w:t>“Facility Fee Rate</w:t>
      </w:r>
      <w:r>
        <w:rPr>
          <w:rFonts w:ascii="Arial" w:cs="Arial" w:eastAsia="Arial" w:hAnsi="Arial"/>
          <w:sz w:val="20"/>
          <w:szCs w:val="20"/>
          <w:color w:val="auto"/>
        </w:rPr>
        <w:t>” means the “Facility Fee Rate” per annum rate levels at each Tier under such heading as set forth in the table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contained in the definition of “Applicable Rate”.</w:t>
      </w:r>
    </w:p>
    <w:p>
      <w:pPr>
        <w:spacing w:after="0" w:line="17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FCA</w:t>
      </w:r>
      <w:r>
        <w:rPr>
          <w:rFonts w:ascii="Arial" w:cs="Arial" w:eastAsia="Arial" w:hAnsi="Arial"/>
          <w:sz w:val="20"/>
          <w:szCs w:val="20"/>
          <w:color w:val="FF0000"/>
          <w:strike w:val="1"/>
        </w:rPr>
        <w:t xml:space="preserve">” has the meaning assigned to such term in </w:t>
      </w:r>
      <w:r>
        <w:rPr>
          <w:rFonts w:ascii="Arial" w:cs="Arial" w:eastAsia="Arial" w:hAnsi="Arial"/>
          <w:sz w:val="20"/>
          <w:szCs w:val="20"/>
          <w:u w:val="single" w:color="auto"/>
          <w:color w:val="FF0000"/>
          <w:strike w:val="1"/>
        </w:rPr>
        <w:t>Section 1.07</w:t>
      </w:r>
      <w:r>
        <w:rPr>
          <w:rFonts w:ascii="Arial" w:cs="Arial" w:eastAsia="Arial" w:hAnsi="Arial"/>
          <w:sz w:val="20"/>
          <w:szCs w:val="20"/>
          <w:color w:val="FF0000"/>
          <w:strike w:val="1"/>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Federal Funds Effective Rate</w:t>
      </w:r>
      <w:r>
        <w:rPr>
          <w:rFonts w:ascii="Arial" w:cs="Arial" w:eastAsia="Arial" w:hAnsi="Arial"/>
          <w:sz w:val="20"/>
          <w:szCs w:val="20"/>
          <w:color w:val="auto"/>
        </w:rPr>
        <w:t xml:space="preserve">” means,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effective federal funds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Federal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Funds Effective Rate as so determined would be less than zero, such rate shall be deemed to be zero for the purposes of this Agreement.</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Federal Reserve Bank of New York’s Website</w:t>
      </w:r>
      <w:r>
        <w:rPr>
          <w:rFonts w:ascii="Arial" w:cs="Arial" w:eastAsia="Arial" w:hAnsi="Arial"/>
          <w:sz w:val="16"/>
          <w:szCs w:val="16"/>
          <w:color w:val="auto"/>
        </w:rPr>
        <w:t>” means the website of the NYFRB at http://www.newyorkfed.org, or any successor</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source.</w:t>
      </w:r>
    </w:p>
    <w:p>
      <w:pPr>
        <w:spacing w:after="0" w:line="20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Financial Officer</w:t>
      </w:r>
      <w:r>
        <w:rPr>
          <w:rFonts w:ascii="Arial" w:cs="Arial" w:eastAsia="Arial" w:hAnsi="Arial"/>
          <w:sz w:val="20"/>
          <w:szCs w:val="20"/>
          <w:color w:val="auto"/>
        </w:rPr>
        <w:t>” means, with respect to any Borrower, the chief financial officer, principal accounting officer, treasurer or controller of such Borrower.</w:t>
      </w:r>
    </w:p>
    <w:p>
      <w:pPr>
        <w:spacing w:after="0" w:line="17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Floor</w:t>
      </w:r>
      <w:r>
        <w:rPr>
          <w:rFonts w:ascii="Arial" w:cs="Arial" w:eastAsia="Arial" w:hAnsi="Arial"/>
          <w:sz w:val="19"/>
          <w:szCs w:val="19"/>
          <w:color w:val="auto"/>
        </w:rPr>
        <w:t xml:space="preserve">” means the benchmark rate floor, if any, provided in this Agreement initially (as of the execution of this Agreement, the modification, amendment or renewal of this Agreement or otherwise) with respect to the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Adjusted Term SOFR</w:t>
      </w:r>
      <w:r>
        <w:rPr>
          <w:rFonts w:ascii="Arial" w:cs="Arial" w:eastAsia="Arial" w:hAnsi="Arial"/>
          <w:sz w:val="19"/>
          <w:szCs w:val="19"/>
          <w:color w:val="auto"/>
        </w:rPr>
        <w:t xml:space="preserve"> Rate, the </w:t>
      </w:r>
      <w:r>
        <w:rPr>
          <w:rFonts w:ascii="Arial" w:cs="Arial" w:eastAsia="Arial" w:hAnsi="Arial"/>
          <w:sz w:val="19"/>
          <w:szCs w:val="19"/>
          <w:u w:val="single" w:color="auto"/>
          <w:color w:val="0000FF"/>
        </w:rPr>
        <w:t>Adjusted</w:t>
      </w:r>
      <w:r>
        <w:rPr>
          <w:rFonts w:ascii="Arial" w:cs="Arial" w:eastAsia="Arial" w:hAnsi="Arial"/>
          <w:sz w:val="19"/>
          <w:szCs w:val="19"/>
          <w:color w:val="auto"/>
        </w:rPr>
        <w:t xml:space="preserve"> EURIBO Rate, the </w:t>
      </w:r>
      <w:r>
        <w:rPr>
          <w:rFonts w:ascii="Arial" w:cs="Arial" w:eastAsia="Arial" w:hAnsi="Arial"/>
          <w:sz w:val="19"/>
          <w:szCs w:val="19"/>
          <w:u w:val="single" w:color="auto"/>
          <w:color w:val="0000FF"/>
        </w:rPr>
        <w:t>Adjusted</w:t>
      </w:r>
      <w:r>
        <w:rPr>
          <w:rFonts w:ascii="Arial" w:cs="Arial" w:eastAsia="Arial" w:hAnsi="Arial"/>
          <w:sz w:val="19"/>
          <w:szCs w:val="19"/>
          <w:color w:val="auto"/>
        </w:rPr>
        <w:t xml:space="preserve"> TIBO Rate, the </w:t>
      </w:r>
      <w:r>
        <w:rPr>
          <w:rFonts w:ascii="Arial" w:cs="Arial" w:eastAsia="Arial" w:hAnsi="Arial"/>
          <w:sz w:val="19"/>
          <w:szCs w:val="19"/>
          <w:u w:val="single" w:color="auto"/>
          <w:color w:val="0000FF"/>
        </w:rPr>
        <w:t>Adjusted</w:t>
      </w:r>
      <w:r>
        <w:rPr>
          <w:rFonts w:ascii="Arial" w:cs="Arial" w:eastAsia="Arial" w:hAnsi="Arial"/>
          <w:sz w:val="19"/>
          <w:szCs w:val="19"/>
          <w:color w:val="auto"/>
        </w:rPr>
        <w:t xml:space="preserve"> CDOR Rate, the </w:t>
      </w:r>
      <w:r>
        <w:rPr>
          <w:rFonts w:ascii="Arial" w:cs="Arial" w:eastAsia="Arial" w:hAnsi="Arial"/>
          <w:sz w:val="19"/>
          <w:szCs w:val="19"/>
          <w:u w:val="single" w:color="auto"/>
          <w:color w:val="0000FF"/>
        </w:rPr>
        <w:t>Adjusted</w:t>
      </w:r>
      <w:r>
        <w:rPr>
          <w:rFonts w:ascii="Arial" w:cs="Arial" w:eastAsia="Arial" w:hAnsi="Arial"/>
          <w:sz w:val="19"/>
          <w:szCs w:val="19"/>
          <w:color w:val="auto"/>
        </w:rPr>
        <w:t xml:space="preserve"> AUD Rate, </w:t>
      </w:r>
      <w:r>
        <w:rPr>
          <w:rFonts w:ascii="Arial" w:cs="Arial" w:eastAsia="Arial" w:hAnsi="Arial"/>
          <w:sz w:val="19"/>
          <w:szCs w:val="19"/>
          <w:color w:val="FF0000"/>
          <w:strike w:val="1"/>
        </w:rPr>
        <w:t>the SIBO Rate, or</w:t>
      </w:r>
      <w:r>
        <w:rPr>
          <w:rFonts w:ascii="Arial" w:cs="Arial" w:eastAsia="Arial" w:hAnsi="Arial"/>
          <w:sz w:val="19"/>
          <w:szCs w:val="19"/>
          <w:color w:val="auto"/>
        </w:rPr>
        <w:t xml:space="preserve"> each </w:t>
      </w:r>
      <w:r>
        <w:rPr>
          <w:rFonts w:ascii="Arial" w:cs="Arial" w:eastAsia="Arial" w:hAnsi="Arial"/>
          <w:sz w:val="19"/>
          <w:szCs w:val="19"/>
          <w:u w:val="single" w:color="auto"/>
          <w:color w:val="0000FF"/>
        </w:rPr>
        <w:t>Adjusted</w:t>
      </w:r>
      <w:r>
        <w:rPr>
          <w:rFonts w:ascii="Arial" w:cs="Arial" w:eastAsia="Arial" w:hAnsi="Arial"/>
          <w:sz w:val="19"/>
          <w:szCs w:val="19"/>
          <w:color w:val="auto"/>
        </w:rPr>
        <w:t xml:space="preserve"> Daily Simple RFR, </w:t>
      </w:r>
      <w:r>
        <w:rPr>
          <w:rFonts w:ascii="Arial" w:cs="Arial" w:eastAsia="Arial" w:hAnsi="Arial"/>
          <w:sz w:val="19"/>
          <w:szCs w:val="19"/>
          <w:u w:val="single" w:color="auto"/>
          <w:color w:val="0000FF"/>
        </w:rPr>
        <w:t>the Japanese Prime Rate or the Central Bank Rate,</w:t>
      </w:r>
      <w:r>
        <w:rPr>
          <w:rFonts w:ascii="Arial" w:cs="Arial" w:eastAsia="Arial" w:hAnsi="Arial"/>
          <w:sz w:val="19"/>
          <w:szCs w:val="19"/>
          <w:color w:val="auto"/>
        </w:rPr>
        <w:t xml:space="preserve"> as applicable. </w:t>
      </w:r>
      <w:r>
        <w:rPr>
          <w:rFonts w:ascii="Arial" w:cs="Arial" w:eastAsia="Arial" w:hAnsi="Arial"/>
          <w:sz w:val="19"/>
          <w:szCs w:val="19"/>
          <w:color w:val="0000FF"/>
        </w:rPr>
        <w:t>For the avoidance of doubt, the initial Floor for each of the Adjusted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Term SOFR Rate, the Adjusted EURIBO Rate, the Adjusted TIBO Rate, the Adjusted CDOR Rate, the Adjusted AUD Rate, each Adjusted Daily Simple RFR, the Japanese Prime Rate or the Central Bank Rate shall be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-329565</wp:posOffset>
            </wp:positionV>
            <wp:extent cx="355854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Currencies</w:t>
      </w:r>
      <w:r>
        <w:rPr>
          <w:rFonts w:ascii="Arial" w:cs="Arial" w:eastAsia="Arial" w:hAnsi="Arial"/>
          <w:sz w:val="20"/>
          <w:szCs w:val="20"/>
          <w:color w:val="auto"/>
        </w:rPr>
        <w:t>” means Agreed Currencies other than U.S. Dollars.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Currency Letter of Credit</w:t>
      </w:r>
      <w:r>
        <w:rPr>
          <w:rFonts w:ascii="Arial" w:cs="Arial" w:eastAsia="Arial" w:hAnsi="Arial"/>
          <w:sz w:val="20"/>
          <w:szCs w:val="20"/>
          <w:color w:val="auto"/>
        </w:rPr>
        <w:t>” means a Letter of Credit denominated in a Foreign Currency.</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Foreign Currency Payment Office</w:t>
      </w:r>
      <w:r>
        <w:rPr>
          <w:rFonts w:ascii="Arial" w:cs="Arial" w:eastAsia="Arial" w:hAnsi="Arial"/>
          <w:sz w:val="20"/>
          <w:szCs w:val="20"/>
          <w:u w:val="single" w:color="auto"/>
          <w:color w:val="0000FF"/>
        </w:rPr>
        <w:t>” of the Administrative Agent shall mean, for each Foreign Currency, the office, branch, affiliate or correspondent bank of the Administrative Agent for such currency as specified from time to time by the Administrative Agent to each Borrower and each Lender.</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Lender</w:t>
      </w:r>
      <w:r>
        <w:rPr>
          <w:rFonts w:ascii="Arial" w:cs="Arial" w:eastAsia="Arial" w:hAnsi="Arial"/>
          <w:sz w:val="20"/>
          <w:szCs w:val="20"/>
          <w:color w:val="auto"/>
        </w:rPr>
        <w:t>” means a Lender that is not a U.S. Person.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Obligor</w:t>
      </w:r>
      <w:r>
        <w:rPr>
          <w:rFonts w:ascii="Arial" w:cs="Arial" w:eastAsia="Arial" w:hAnsi="Arial"/>
          <w:sz w:val="20"/>
          <w:szCs w:val="20"/>
          <w:color w:val="auto"/>
        </w:rPr>
        <w:t>” means a Designated Borrower that is a Foreign Subsidiary.</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Subsidiary</w:t>
      </w:r>
      <w:r>
        <w:rPr>
          <w:rFonts w:ascii="Arial" w:cs="Arial" w:eastAsia="Arial" w:hAnsi="Arial"/>
          <w:sz w:val="20"/>
          <w:szCs w:val="20"/>
          <w:color w:val="auto"/>
        </w:rPr>
        <w:t>” means any Subsidiary that is not a Domestic Subsidiary.</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GAAP</w:t>
      </w:r>
      <w:r>
        <w:rPr>
          <w:rFonts w:ascii="Arial" w:cs="Arial" w:eastAsia="Arial" w:hAnsi="Arial"/>
          <w:sz w:val="19"/>
          <w:szCs w:val="19"/>
          <w:color w:val="auto"/>
        </w:rPr>
        <w:t>” means generally accepted accounting principles in the United States of America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of America, that are applicable to the circumstances as of the date of determination, consistently applied, or if the Company adopts the International Financial Reporting Standards (“</w:t>
      </w:r>
      <w:r>
        <w:rPr>
          <w:rFonts w:ascii="Arial" w:cs="Arial" w:eastAsia="Arial" w:hAnsi="Arial"/>
          <w:sz w:val="19"/>
          <w:szCs w:val="19"/>
          <w:b w:val="1"/>
          <w:bCs w:val="1"/>
          <w:i w:val="1"/>
          <w:iCs w:val="1"/>
          <w:color w:val="auto"/>
        </w:rPr>
        <w:t>IFRS</w:t>
      </w:r>
      <w:r>
        <w:rPr>
          <w:rFonts w:ascii="Arial" w:cs="Arial" w:eastAsia="Arial" w:hAnsi="Arial"/>
          <w:sz w:val="19"/>
          <w:szCs w:val="19"/>
          <w:color w:val="auto"/>
        </w:rPr>
        <w:t>”), IFRS, consistently applied.</w:t>
      </w:r>
    </w:p>
    <w:p>
      <w:pPr>
        <w:spacing w:after="0" w:line="18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Governmental Authority</w:t>
      </w:r>
      <w:r>
        <w:rPr>
          <w:rFonts w:ascii="Arial" w:cs="Arial" w:eastAsia="Arial" w:hAnsi="Arial"/>
          <w:sz w:val="19"/>
          <w:szCs w:val="19"/>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Guarantee</w:t>
      </w:r>
      <w:r>
        <w:rPr>
          <w:rFonts w:ascii="Arial" w:cs="Arial" w:eastAsia="Arial" w:hAnsi="Arial"/>
          <w:sz w:val="19"/>
          <w:szCs w:val="19"/>
          <w:color w:val="auto"/>
        </w:rPr>
        <w:t xml:space="preserve"> ” of or by any Person (the “</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of any other Person (the “</w:t>
      </w:r>
      <w:r>
        <w:rPr>
          <w:rFonts w:ascii="Arial" w:cs="Arial" w:eastAsia="Arial" w:hAnsi="Arial"/>
          <w:sz w:val="19"/>
          <w:szCs w:val="19"/>
          <w:b w:val="1"/>
          <w:bCs w:val="1"/>
          <w:i w:val="1"/>
          <w:iCs w:val="1"/>
          <w:color w:val="auto"/>
        </w:rPr>
        <w:t>primary obligor</w:t>
      </w:r>
      <w:r>
        <w:rPr>
          <w:rFonts w:ascii="Arial" w:cs="Arial" w:eastAsia="Arial" w:hAnsi="Arial"/>
          <w:sz w:val="19"/>
          <w:szCs w:val="19"/>
          <w:color w:val="auto"/>
        </w:rPr>
        <w:t>”) in any manner, whether directly or indirectly, and including any obligation of the guarantor, direct or indirect, (a) to purchase or pay (or advance or supply funds for the purchase or payment of) such Indebtedness or any security for the payment thereof, (b) to purchase or lease property, securities or services for the purpose of assuring the holder of such Indebtedness of the payment thereof,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9" w:name="page90"/>
    <w:bookmarkEnd w:id="89"/>
    <w:p>
      <w:pPr>
        <w:jc w:val="both"/>
        <w:ind w:firstLine="8"/>
        <w:spacing w:after="0" w:line="276" w:lineRule="auto"/>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spacing w:after="0" w:line="165"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HMRC DT Treaty Passport Scheme</w:t>
      </w:r>
      <w:r>
        <w:rPr>
          <w:rFonts w:ascii="Arial" w:cs="Arial" w:eastAsia="Arial" w:hAnsi="Arial"/>
          <w:sz w:val="18"/>
          <w:szCs w:val="18"/>
          <w:color w:val="auto"/>
        </w:rPr>
        <w:t>” means the Board of H.M. Revenue and Customs Double Taxation Treaty Passport scheme.</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Impacted AUD Rate Interest Period</w:t>
      </w:r>
      <w:r>
        <w:rPr>
          <w:rFonts w:ascii="Arial" w:cs="Arial" w:eastAsia="Arial" w:hAnsi="Arial"/>
          <w:sz w:val="20"/>
          <w:szCs w:val="20"/>
          <w:color w:val="FF0000"/>
          <w:strike w:val="1"/>
        </w:rPr>
        <w:t>” has the meaning assigned to such term in the definition of “AUD Rate”.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Impacted CDOR Rate Interest Period</w:t>
      </w:r>
      <w:r>
        <w:rPr>
          <w:rFonts w:ascii="Arial" w:cs="Arial" w:eastAsia="Arial" w:hAnsi="Arial"/>
          <w:sz w:val="20"/>
          <w:szCs w:val="20"/>
          <w:color w:val="FF0000"/>
          <w:strike w:val="1"/>
        </w:rPr>
        <w:t>” has the meaning assigned to such term in the definition of “CDOR Rate”.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Impacted EURIBO Rate Interest Period</w:t>
      </w:r>
      <w:r>
        <w:rPr>
          <w:rFonts w:ascii="Arial" w:cs="Arial" w:eastAsia="Arial" w:hAnsi="Arial"/>
          <w:sz w:val="20"/>
          <w:szCs w:val="20"/>
          <w:color w:val="FF0000"/>
          <w:strike w:val="1"/>
        </w:rPr>
        <w:t>” has the meaning assigned to such term in the definition of “EURIBO Rate”.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Impacted LIBO Rate Interest Period</w:t>
      </w:r>
      <w:r>
        <w:rPr>
          <w:rFonts w:ascii="Arial" w:cs="Arial" w:eastAsia="Arial" w:hAnsi="Arial"/>
          <w:sz w:val="20"/>
          <w:szCs w:val="20"/>
          <w:color w:val="FF0000"/>
          <w:strike w:val="1"/>
        </w:rPr>
        <w:t>” has the meaning assigned to such term in the definition of “LIBO Rate”.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Impacted SIBO Rate Interest Period</w:t>
      </w:r>
      <w:r>
        <w:rPr>
          <w:rFonts w:ascii="Arial" w:cs="Arial" w:eastAsia="Arial" w:hAnsi="Arial"/>
          <w:sz w:val="20"/>
          <w:szCs w:val="20"/>
          <w:color w:val="FF0000"/>
          <w:strike w:val="1"/>
        </w:rPr>
        <w:t>” has the meaning assigned to such term in the definition of “SIBO Rate”.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Impacted TIBO Interest Period</w:t>
      </w:r>
      <w:r>
        <w:rPr>
          <w:rFonts w:ascii="Arial" w:cs="Arial" w:eastAsia="Arial" w:hAnsi="Arial"/>
          <w:sz w:val="20"/>
          <w:szCs w:val="20"/>
          <w:color w:val="FF0000"/>
          <w:strike w:val="1"/>
        </w:rPr>
        <w:t>” has the meaning assigned to such term in the definition of “TIBO Rate”.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Increasing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2.21(a)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Term Loan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2.21(a)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Term Loan Amendment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2.21(e)</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trade accounts payable in the ordinary course of business and payable in accordance with customary practices), (e) all Indebtedness (excluding prepaid interest thereon) of another Person secured by (or for which the holder of such Indebtedness has an existing right, contingent or otherwise, to be secured by) any Lien on property owned or acquired by such Person, whether or not the Indebtedness secured thereby has been assumed or is limited in recourse, (f) all Guarantees by such Person of Indebtedness of another Person, (g) all Capital Lease Obligations of such Person, (h) all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0" w:name="page91"/>
    <w:bookmarkEnd w:id="90"/>
    <w:p>
      <w:pPr>
        <w:jc w:val="both"/>
        <w:spacing w:after="0" w:line="271" w:lineRule="auto"/>
        <w:rPr>
          <w:sz w:val="20"/>
          <w:szCs w:val="20"/>
          <w:color w:val="auto"/>
        </w:rPr>
      </w:pPr>
      <w:r>
        <w:rPr>
          <w:rFonts w:ascii="Arial" w:cs="Arial" w:eastAsia="Arial" w:hAnsi="Arial"/>
          <w:sz w:val="18"/>
          <w:szCs w:val="18"/>
          <w:color w:val="auto"/>
        </w:rPr>
        <w:t>obligations, contingent or otherwise, of such Person arising under letters of credit, letters of guaranty, bankers’ acceptances and similar instruments (other than (i) commercial letters of credit issued in the ordinary course of business to the extent there is no overdue reimbursement obligation in respect thereof, (ii) solely for purposes of calculating the Consolidated Net Leverage Ratio, standby letters of credit and letters of guaranty issued in the ordinary course of business to the extent there is no overdue reimbursement obligation in respect thereof, and (iii) endorser liability with respect to bankers’ acceptances received by such Person as payment for goods or services in the ordinary course of business, so long as such Person is not the account party or drawer of the underlying draft), and (i) the outstanding principal amount of any Securitization Transaction of such Person, after taking into account reserve accounts. The Indebtedness of any Person shall include the Indebtedness of any other Person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7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Indemnified Taxes</w:t>
      </w:r>
      <w:r>
        <w:rPr>
          <w:rFonts w:ascii="Arial" w:cs="Arial" w:eastAsia="Arial" w:hAnsi="Arial"/>
          <w:sz w:val="20"/>
          <w:szCs w:val="20"/>
          <w:color w:val="auto"/>
        </w:rPr>
        <w:t xml:space="preserve">” means (a) Taxes, other than Excluded Taxes, imposed on or with respect to any payment made by or on account of any obligation of the Company or any Borrower under any Loan Document and (b) to the extent not otherwise described in the foregoing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hereof, Other Taxes.</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Index Debt</w:t>
      </w:r>
      <w:r>
        <w:rPr>
          <w:rFonts w:ascii="Arial" w:cs="Arial" w:eastAsia="Arial" w:hAnsi="Arial"/>
          <w:sz w:val="20"/>
          <w:szCs w:val="20"/>
          <w:color w:val="auto"/>
        </w:rPr>
        <w:t>” means senior, unsecured, long-term indebtedness for borrowed money of the Company that is not guaranteed by any other Person (other than a Subsidiary that is a Designated Borrower or guarantor of the Obligations) or subject to any other credit enhancement.</w:t>
      </w:r>
    </w:p>
    <w:p>
      <w:pPr>
        <w:spacing w:after="0" w:line="18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Ineligible Assignee</w:t>
      </w:r>
      <w:r>
        <w:rPr>
          <w:rFonts w:ascii="Arial" w:cs="Arial" w:eastAsia="Arial" w:hAnsi="Arial"/>
          <w:sz w:val="19"/>
          <w:szCs w:val="19"/>
          <w:color w:val="auto"/>
        </w:rPr>
        <w:t xml:space="preserve"> ” means (a) a natural person, (b) a Defaulting Lender or its Lender Parent, (c) any Borrower or any Affiliate or Subsidiary of a Borrower, or (d) a company, investment vehicle or trust for, or owned and operated for the primary benefit of, a natural person or a relative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company, investment vehicle or trust shall not constitute an Ineligible Assignee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Intangible Assets</w:t>
      </w:r>
      <w:r>
        <w:rPr>
          <w:rFonts w:ascii="Arial" w:cs="Arial" w:eastAsia="Arial" w:hAnsi="Arial"/>
          <w:sz w:val="20"/>
          <w:szCs w:val="20"/>
          <w:color w:val="auto"/>
        </w:rPr>
        <w:t>” means the amount of all unamortized debt discount and expense, goodwill, patents, trademarks, service marks, trade names, anticipated future benefit of tax loss carry-forwards, copyrights, organization or developmental expenses and other assets treated as intangible assets under GAAP (but not in any event including deferred taxes).</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Interest Election Request</w:t>
      </w:r>
      <w:r>
        <w:rPr>
          <w:rFonts w:ascii="Arial" w:cs="Arial" w:eastAsia="Arial" w:hAnsi="Arial"/>
          <w:sz w:val="20"/>
          <w:szCs w:val="20"/>
          <w:color w:val="auto"/>
        </w:rPr>
        <w:t xml:space="preserve">” means a request by the Company to convert or continue a Revolving Borrowing in accordance with </w:t>
      </w:r>
      <w:r>
        <w:rPr>
          <w:rFonts w:ascii="Arial" w:cs="Arial" w:eastAsia="Arial" w:hAnsi="Arial"/>
          <w:sz w:val="20"/>
          <w:szCs w:val="20"/>
          <w:u w:val="single" w:color="auto"/>
          <w:color w:val="auto"/>
        </w:rPr>
        <w:t>Section 2.08</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xml:space="preserve">” means (a) with respect to any ABR Loan (other than a Swingline Loan) </w:t>
      </w:r>
      <w:r>
        <w:rPr>
          <w:rFonts w:ascii="Arial" w:cs="Arial" w:eastAsia="Arial" w:hAnsi="Arial"/>
          <w:sz w:val="18"/>
          <w:szCs w:val="18"/>
          <w:color w:val="FF0000"/>
        </w:rPr>
        <w:t>or</w:t>
      </w:r>
      <w:r>
        <w:rPr>
          <w:rFonts w:ascii="Arial" w:cs="Arial" w:eastAsia="Arial" w:hAnsi="Arial"/>
          <w:sz w:val="18"/>
          <w:szCs w:val="18"/>
          <w:u w:val="single" w:color="auto"/>
          <w:color w:val="0000FF"/>
        </w:rPr>
        <w:t>, any</w:t>
      </w:r>
      <w:r>
        <w:rPr>
          <w:rFonts w:ascii="Arial" w:cs="Arial" w:eastAsia="Arial" w:hAnsi="Arial"/>
          <w:sz w:val="18"/>
          <w:szCs w:val="18"/>
          <w:color w:val="auto"/>
        </w:rPr>
        <w:t xml:space="preserve"> Canadian Prime Rate </w:t>
      </w:r>
      <w:r>
        <w:rPr>
          <w:rFonts w:ascii="Arial" w:cs="Arial" w:eastAsia="Arial" w:hAnsi="Arial"/>
          <w:sz w:val="18"/>
          <w:szCs w:val="18"/>
          <w:u w:val="single" w:color="auto"/>
          <w:color w:val="0000FF"/>
        </w:rPr>
        <w:t>Loan, any Japanese Prime Rate Loan, or any CBR</w:t>
      </w:r>
      <w:r>
        <w:rPr>
          <w:rFonts w:ascii="Arial" w:cs="Arial" w:eastAsia="Arial" w:hAnsi="Arial"/>
          <w:sz w:val="18"/>
          <w:szCs w:val="18"/>
          <w:color w:val="0000FF"/>
        </w:rPr>
        <w:t xml:space="preserve"> </w:t>
      </w:r>
      <w:r>
        <w:rPr>
          <w:rFonts w:ascii="Arial" w:cs="Arial" w:eastAsia="Arial" w:hAnsi="Arial"/>
          <w:sz w:val="18"/>
          <w:szCs w:val="18"/>
          <w:color w:val="000000"/>
        </w:rPr>
        <w:t>Loan, the last day of each March, June, September and December and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5589270</wp:posOffset>
            </wp:positionH>
            <wp:positionV relativeFrom="paragraph">
              <wp:posOffset>-221615</wp:posOffset>
            </wp:positionV>
            <wp:extent cx="14605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jc w:val="both"/>
        <w:ind w:firstLine="8"/>
        <w:spacing w:after="0"/>
        <w:tabs>
          <w:tab w:leader="none" w:pos="286"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(c) with respect to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Loan, the last day of the Interest Period applicable to the </w:t>
      </w:r>
      <w:r>
        <w:rPr>
          <w:rFonts w:ascii="Arial" w:cs="Arial" w:eastAsia="Arial" w:hAnsi="Arial"/>
          <w:sz w:val="20"/>
          <w:szCs w:val="20"/>
          <w:u w:val="single" w:color="auto"/>
          <w:color w:val="0000FF"/>
        </w:rPr>
        <w:t>Term</w:t>
      </w:r>
      <w:r>
        <w:rPr>
          <w:rFonts w:ascii="Arial" w:cs="Arial" w:eastAsia="Arial" w:hAnsi="Arial"/>
          <w:sz w:val="20"/>
          <w:szCs w:val="20"/>
          <w:color w:val="auto"/>
        </w:rPr>
        <w:t xml:space="preserve"> </w:t>
      </w:r>
      <w:r>
        <w:rPr>
          <w:rFonts w:ascii="Arial" w:cs="Arial" w:eastAsia="Arial" w:hAnsi="Arial"/>
          <w:sz w:val="20"/>
          <w:szCs w:val="20"/>
          <w:u w:val="single" w:color="auto"/>
          <w:color w:val="0000FF"/>
        </w:rPr>
        <w:t>Benchmark</w:t>
      </w:r>
      <w:r>
        <w:rPr>
          <w:rFonts w:ascii="Arial" w:cs="Arial" w:eastAsia="Arial" w:hAnsi="Arial"/>
          <w:sz w:val="20"/>
          <w:szCs w:val="20"/>
          <w:color w:val="0000FF"/>
        </w:rPr>
        <w:t xml:space="preserve"> </w:t>
      </w:r>
      <w:r>
        <w:rPr>
          <w:rFonts w:ascii="Arial" w:cs="Arial" w:eastAsia="Arial" w:hAnsi="Arial"/>
          <w:sz w:val="20"/>
          <w:szCs w:val="20"/>
          <w:color w:val="000000"/>
        </w:rPr>
        <w:t>Borrowing of which such Loan is a part and, in the case of a Borrowing with an Interest Period of more than three (3) months’</w:t>
      </w:r>
      <w:r>
        <w:rPr>
          <w:rFonts w:ascii="Arial" w:cs="Arial" w:eastAsia="Arial" w:hAnsi="Arial"/>
          <w:sz w:val="20"/>
          <w:szCs w:val="20"/>
          <w:color w:val="0000FF"/>
        </w:rPr>
        <w:t xml:space="preserve"> </w:t>
      </w:r>
      <w:r>
        <w:rPr>
          <w:rFonts w:ascii="Arial" w:cs="Arial" w:eastAsia="Arial" w:hAnsi="Arial"/>
          <w:sz w:val="20"/>
          <w:szCs w:val="20"/>
          <w:color w:val="000000"/>
        </w:rPr>
        <w:t>duration, each day prior to the last day of such Interest Period that occurs at intervals of three (3) months’ duration after the first day of such Interest Period and the Maturity Date, and (d) with respect to any Swingline Loan, the day that such Loan is required to be repaid and the Maturity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1" w:name="page92"/>
    <w:bookmarkEnd w:id="91"/>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Period</w:t>
      </w:r>
      <w:r>
        <w:rPr>
          <w:rFonts w:ascii="Arial" w:cs="Arial" w:eastAsia="Arial" w:hAnsi="Arial"/>
          <w:sz w:val="18"/>
          <w:szCs w:val="18"/>
          <w:color w:val="auto"/>
        </w:rPr>
        <w:t xml:space="preserve">” means, with respect to any </w:t>
      </w:r>
      <w:r>
        <w:rPr>
          <w:rFonts w:ascii="Arial" w:cs="Arial" w:eastAsia="Arial" w:hAnsi="Arial"/>
          <w:sz w:val="18"/>
          <w:szCs w:val="18"/>
          <w:color w:val="FF0000"/>
          <w:strike w:val="1"/>
        </w:rPr>
        <w:t>Eurocurrency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Borrowing, the period commencing on the date of such Borrowing and ending on the numerically corresponding day in the calendar month that is one (1), three (3) or</w:t>
      </w:r>
      <w:r>
        <w:rPr>
          <w:rFonts w:ascii="Arial" w:cs="Arial" w:eastAsia="Arial" w:hAnsi="Arial"/>
          <w:sz w:val="18"/>
          <w:szCs w:val="18"/>
          <w:u w:val="single" w:color="auto"/>
          <w:color w:val="0000FF"/>
        </w:rPr>
        <w:t>, other than with respect to a</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CDOR Rate Borrowing,</w:t>
      </w:r>
      <w:r>
        <w:rPr>
          <w:rFonts w:ascii="Arial" w:cs="Arial" w:eastAsia="Arial" w:hAnsi="Arial"/>
          <w:sz w:val="18"/>
          <w:szCs w:val="18"/>
          <w:color w:val="0000FF"/>
        </w:rPr>
        <w:t xml:space="preserve"> </w:t>
      </w:r>
      <w:r>
        <w:rPr>
          <w:rFonts w:ascii="Arial" w:cs="Arial" w:eastAsia="Arial" w:hAnsi="Arial"/>
          <w:sz w:val="18"/>
          <w:szCs w:val="18"/>
          <w:color w:val="000000"/>
        </w:rPr>
        <w:t>six (6) months thereafter (in each case, subject to the availability for the Benchmark applicable to the relevant Loan</w:t>
      </w:r>
      <w:r>
        <w:rPr>
          <w:rFonts w:ascii="Arial" w:cs="Arial" w:eastAsia="Arial" w:hAnsi="Arial"/>
          <w:sz w:val="18"/>
          <w:szCs w:val="18"/>
          <w:color w:val="0000FF"/>
        </w:rPr>
        <w:t xml:space="preserve"> </w:t>
      </w:r>
      <w:r>
        <w:rPr>
          <w:rFonts w:ascii="Arial" w:cs="Arial" w:eastAsia="Arial" w:hAnsi="Arial"/>
          <w:sz w:val="18"/>
          <w:szCs w:val="18"/>
          <w:color w:val="000000"/>
        </w:rPr>
        <w:t xml:space="preserve">or Commitment for any Agreed Currency), as the Company may elect; </w:t>
      </w:r>
      <w:r>
        <w:rPr>
          <w:rFonts w:ascii="Arial" w:cs="Arial" w:eastAsia="Arial" w:hAnsi="Arial"/>
          <w:sz w:val="18"/>
          <w:szCs w:val="18"/>
          <w:u w:val="single" w:color="auto"/>
          <w:color w:val="000000"/>
        </w:rPr>
        <w:t>provided</w:t>
      </w:r>
      <w:r>
        <w:rPr>
          <w:rFonts w:ascii="Arial" w:cs="Arial" w:eastAsia="Arial" w:hAnsi="Arial"/>
          <w:sz w:val="18"/>
          <w:szCs w:val="18"/>
          <w:color w:val="000000"/>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w:t>
      </w:r>
      <w:r>
        <w:rPr>
          <w:rFonts w:ascii="Arial" w:cs="Arial" w:eastAsia="Arial" w:hAnsi="Arial"/>
          <w:sz w:val="18"/>
          <w:szCs w:val="18"/>
          <w:color w:val="FF0000"/>
          <w:strike w:val="1"/>
        </w:rPr>
        <w:t>f</w:t>
      </w:r>
      <w:r>
        <w:rPr>
          <w:rFonts w:ascii="Arial" w:cs="Arial" w:eastAsia="Arial" w:hAnsi="Arial"/>
          <w:sz w:val="18"/>
          <w:szCs w:val="18"/>
          <w:u w:val="single" w:color="auto"/>
          <w:color w:val="0000FF"/>
        </w:rPr>
        <w:t>e</w:t>
      </w:r>
      <w:r>
        <w:rPr>
          <w:rFonts w:ascii="Arial" w:cs="Arial" w:eastAsia="Arial" w:hAnsi="Arial"/>
          <w:sz w:val="18"/>
          <w:szCs w:val="18"/>
          <w:color w:val="000000"/>
        </w:rPr>
        <w:t>) shall be available for specification in such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170"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w:t>
      </w:r>
      <w:r>
        <w:rPr>
          <w:rFonts w:ascii="Arial" w:cs="Arial" w:eastAsia="Arial" w:hAnsi="Arial"/>
          <w:sz w:val="18"/>
          <w:szCs w:val="18"/>
          <w:color w:val="auto"/>
        </w:rPr>
        <w:t>” means, as to any Person, any direct or indirect acquisition or investment by such Person, whether by means of (a) the purchase or other acquisition of capital stock or other Equity Interests of another Person, (b) a loan, advance or capital contribution to, Guarantee or guaranty of any obligation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b w:val="1"/>
          <w:bCs w:val="1"/>
          <w:i w:val="1"/>
          <w:iCs w:val="1"/>
          <w:color w:val="FF0000"/>
          <w:strike w:val="1"/>
        </w:rPr>
        <w:t>ISDA Definitions</w:t>
      </w:r>
      <w:r>
        <w:rPr>
          <w:rFonts w:ascii="Arial" w:cs="Arial" w:eastAsia="Arial" w:hAnsi="Arial"/>
          <w:sz w:val="19"/>
          <w:szCs w:val="19"/>
          <w:color w:val="FF0000"/>
          <w:strike w:val="1"/>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Issuing Bank</w:t>
      </w:r>
      <w:r>
        <w:rPr>
          <w:rFonts w:ascii="Arial" w:cs="Arial" w:eastAsia="Arial" w:hAnsi="Arial"/>
          <w:sz w:val="19"/>
          <w:szCs w:val="19"/>
          <w:color w:val="auto"/>
        </w:rPr>
        <w:t xml:space="preserve">” means JPMorgan Chase Bank, N.A., Citibank, N.A., and any other Lender that agrees to act as an Issuing Bank, each in its capacity as the issuer of, and with respect to, all Letters of Credit hereunder, and its successors in such capacity as provided in </w:t>
      </w:r>
      <w:r>
        <w:rPr>
          <w:rFonts w:ascii="Arial" w:cs="Arial" w:eastAsia="Arial" w:hAnsi="Arial"/>
          <w:sz w:val="19"/>
          <w:szCs w:val="19"/>
          <w:u w:val="single" w:color="auto"/>
          <w:color w:val="auto"/>
        </w:rPr>
        <w:t>Section 2.06(i)</w:t>
      </w:r>
      <w:r>
        <w:rPr>
          <w:rFonts w:ascii="Arial" w:cs="Arial" w:eastAsia="Arial" w:hAnsi="Arial"/>
          <w:sz w:val="19"/>
          <w:szCs w:val="19"/>
          <w:color w:val="auto"/>
        </w:rPr>
        <w:t>. Any Issuing Bank, may, in its discretion, arrange for one or more Letters of Credit to be issued by Affiliates of such Issuing Bank, in which case the term “Issuing Bank” shall include any such Affiliate with respect to Letters of Credit issued by such Affiliate. Each reference to the “Issuing Bank” shall be deemed to be a reference to the relevant Issuing Bank.</w:t>
      </w:r>
    </w:p>
    <w:p>
      <w:pPr>
        <w:spacing w:after="0" w:line="18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Japanese Prime Rate</w:t>
      </w:r>
      <w:r>
        <w:rPr>
          <w:rFonts w:ascii="Arial" w:cs="Arial" w:eastAsia="Arial" w:hAnsi="Arial"/>
          <w:sz w:val="20"/>
          <w:szCs w:val="20"/>
          <w:u w:val="single" w:color="auto"/>
          <w:color w:val="0000FF"/>
        </w:rPr>
        <w:t>” means for any Loan denominated in Japanese Yen the greater of (a) (i) the Japanese local bank prime rate plus (ii) the Japanese Prime Rate Adjustment and (b) the Floor.</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i w:val="1"/>
          <w:iCs w:val="1"/>
          <w:u w:val="single" w:color="auto"/>
          <w:color w:val="0000FF"/>
        </w:rPr>
        <w:t>Japanese Prime Rate Adjustment</w:t>
      </w:r>
      <w:r>
        <w:rPr>
          <w:rFonts w:ascii="Arial" w:cs="Arial" w:eastAsia="Arial" w:hAnsi="Arial"/>
          <w:sz w:val="19"/>
          <w:szCs w:val="19"/>
          <w:u w:val="single" w:color="auto"/>
          <w:color w:val="0000FF"/>
        </w:rPr>
        <w:t>” means, for any day, for any Loan denominated in Japanese Yen, a rate equal to the difference (which may be a positive or negative value or zero) of (i) the average of the TIBO Rate for the five most recent Business Days preceding such day for which the TIBO Screen Rate was available (excluding, from such averaging, the highest and the lowest TIBO Rate applicable during such period of five Business Days) minus (ii) the Japanese Prime Rate in effect on the last Business Day in such period; provided, that for purposes of this definition, the Japanese Prime Rate shall be determined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2" w:name="page93"/>
    <w:bookmarkEnd w:id="92"/>
    <w:p>
      <w:pPr>
        <w:jc w:val="both"/>
        <w:spacing w:after="0" w:line="250" w:lineRule="auto"/>
        <w:rPr>
          <w:sz w:val="20"/>
          <w:szCs w:val="20"/>
          <w:color w:val="auto"/>
        </w:rPr>
      </w:pPr>
      <w:r>
        <w:rPr>
          <w:rFonts w:ascii="Arial" w:cs="Arial" w:eastAsia="Arial" w:hAnsi="Arial"/>
          <w:sz w:val="20"/>
          <w:szCs w:val="20"/>
          <w:u w:val="single" w:color="auto"/>
          <w:color w:val="0000FF"/>
        </w:rPr>
        <w:t>disregarding clause (a)(ii) of the definition of such term. For purposes of this definition, the TIBO Rate on any day shall be based on the TIBO Screen Rate on such day at approximately the time referred to in the definition of such term for deposits in Japanese Yen for a maturity of one month.</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Japanese Prime Rate Loan</w:t>
      </w:r>
      <w:r>
        <w:rPr>
          <w:rFonts w:ascii="Arial" w:cs="Arial" w:eastAsia="Arial" w:hAnsi="Arial"/>
          <w:sz w:val="20"/>
          <w:szCs w:val="20"/>
          <w:u w:val="single" w:color="auto"/>
          <w:color w:val="0000FF"/>
        </w:rPr>
        <w:t>” means a Loan which bears interest at the Japanese Prime Rate.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Japanese Yen</w:t>
      </w:r>
      <w:r>
        <w:rPr>
          <w:rFonts w:ascii="Arial" w:cs="Arial" w:eastAsia="Arial" w:hAnsi="Arial"/>
          <w:sz w:val="20"/>
          <w:szCs w:val="20"/>
          <w:color w:val="auto"/>
        </w:rPr>
        <w:t>” or “</w:t>
      </w:r>
      <w:r>
        <w:rPr>
          <w:rFonts w:ascii="Arial" w:cs="Arial" w:eastAsia="Arial" w:hAnsi="Arial"/>
          <w:sz w:val="20"/>
          <w:szCs w:val="20"/>
          <w:b w:val="1"/>
          <w:bCs w:val="1"/>
          <w:i w:val="1"/>
          <w:iCs w:val="1"/>
          <w:color w:val="auto"/>
        </w:rPr>
        <w:t>¥</w:t>
      </w:r>
      <w:r>
        <w:rPr>
          <w:rFonts w:ascii="Arial" w:cs="Arial" w:eastAsia="Arial" w:hAnsi="Arial"/>
          <w:sz w:val="20"/>
          <w:szCs w:val="20"/>
          <w:color w:val="auto"/>
        </w:rPr>
        <w:t>” means the lawful currency of Japan.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Disbursement</w:t>
      </w:r>
      <w:r>
        <w:rPr>
          <w:rFonts w:ascii="Arial" w:cs="Arial" w:eastAsia="Arial" w:hAnsi="Arial"/>
          <w:sz w:val="20"/>
          <w:szCs w:val="20"/>
          <w:color w:val="auto"/>
        </w:rPr>
        <w:t>” means a payment made by the Issuing Bank pursuant to a Letter of Credit.</w:t>
      </w:r>
    </w:p>
    <w:p>
      <w:pPr>
        <w:spacing w:after="0" w:line="21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Exposure</w:t>
      </w:r>
      <w:r>
        <w:rPr>
          <w:rFonts w:ascii="Arial" w:cs="Arial" w:eastAsia="Arial" w:hAnsi="Arial"/>
          <w:sz w:val="18"/>
          <w:szCs w:val="18"/>
          <w:color w:val="auto"/>
        </w:rPr>
        <w:t>” means, at any time, the sum of (a) the aggregate undrawn amount of all outstanding Letters of Credit at such time plus (b) the aggregate amount of all LC Disbursements that have not yet been reimbursed by or on behalf of the Borrowers at such time. The LC Exposure of any Lender at any time shall be its Applicable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Borrowers and each Lender shall remain in full force and effect until the relevant Issuing Bank and the Lenders shall have no further obligations to make any payments or disbursements under any circumstances with respect to any Letter of Credit.</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Lender Parent</w:t>
      </w:r>
      <w:r>
        <w:rPr>
          <w:rFonts w:ascii="Arial" w:cs="Arial" w:eastAsia="Arial" w:hAnsi="Arial"/>
          <w:sz w:val="18"/>
          <w:szCs w:val="18"/>
          <w:color w:val="auto"/>
        </w:rPr>
        <w:t>” means, with respect to any Lender, any Person as to which such Lender is, directly or indirectly, a subsidiary.</w:t>
      </w:r>
    </w:p>
    <w:p>
      <w:pPr>
        <w:spacing w:after="0" w:line="239"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Lenders</w:t>
      </w:r>
      <w:r>
        <w:rPr>
          <w:rFonts w:ascii="Arial" w:cs="Arial" w:eastAsia="Arial" w:hAnsi="Arial"/>
          <w:sz w:val="19"/>
          <w:szCs w:val="19"/>
          <w:color w:val="auto"/>
        </w:rPr>
        <w:t xml:space="preserve">” means the Persons listed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and any other Person that shall have become a party hereto pursuant to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or pursuant to an Assignment and Assumption, other than any such Person that ceases to be a party hereto pursuant to an Assignment and Assumption. Unless the context otherwise requires, the term “Lenders” includes the Swingline Lenders.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w:t>
      </w:r>
      <w:r>
        <w:rPr>
          <w:rFonts w:ascii="Arial" w:cs="Arial" w:eastAsia="Arial" w:hAnsi="Arial"/>
          <w:sz w:val="20"/>
          <w:szCs w:val="20"/>
          <w:color w:val="auto"/>
        </w:rPr>
        <w:t>” means any letter of credit issued pursuant to this Agreement.</w:t>
      </w:r>
    </w:p>
    <w:p>
      <w:pPr>
        <w:spacing w:after="0" w:line="210"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Letter of Credit Commitment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with respect to each Issuing Bank, the commitment of such Issuing Bank to issue Letters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Credit hereunder. The initial amount of each Issuing Bank’s Letter of Credit Commitment is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or if an Issuing Bank has entered into an Assignment and Assumption, the amount set forth for such Issuing Bank as its Letter of Credit Commitment in the Register maintained by the Administrative Agent. The initial aggregate amount of the Letter of Credit Commitment is $75,000,000.</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Liabilities</w:t>
      </w:r>
      <w:r>
        <w:rPr>
          <w:rFonts w:ascii="Arial" w:cs="Arial" w:eastAsia="Arial" w:hAnsi="Arial"/>
          <w:sz w:val="20"/>
          <w:szCs w:val="20"/>
          <w:color w:val="auto"/>
        </w:rPr>
        <w:t>” means any losses, claims (including intraparty claims), demands, damages or liabilities of any kind.</w:t>
      </w:r>
    </w:p>
    <w:p>
      <w:pPr>
        <w:spacing w:after="0" w:line="21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b w:val="1"/>
          <w:bCs w:val="1"/>
          <w:i w:val="1"/>
          <w:iCs w:val="1"/>
          <w:color w:val="FF0000"/>
          <w:strike w:val="1"/>
        </w:rPr>
        <w:t>LIBO Interpolated Rate</w:t>
      </w:r>
      <w:r>
        <w:rPr>
          <w:rFonts w:ascii="Arial" w:cs="Arial" w:eastAsia="Arial" w:hAnsi="Arial"/>
          <w:sz w:val="19"/>
          <w:szCs w:val="19"/>
          <w:color w:val="FF0000"/>
          <w:strike w:val="1"/>
        </w:rPr>
        <w:t>” means, at any time, with respect to any Eurocurrency Borrowing denominated in U.S. Dollars and for any Interest Period, the rate per annum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U.S. Dollars) that is shorter than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3" w:name="page94"/>
    <w:bookmarkEnd w:id="93"/>
    <w:p>
      <w:pPr>
        <w:jc w:val="both"/>
        <w:spacing w:after="0" w:line="291" w:lineRule="auto"/>
        <w:rPr>
          <w:sz w:val="20"/>
          <w:szCs w:val="20"/>
          <w:color w:val="auto"/>
        </w:rPr>
      </w:pPr>
      <w:r>
        <w:rPr>
          <w:rFonts w:ascii="Arial" w:cs="Arial" w:eastAsia="Arial" w:hAnsi="Arial"/>
          <w:sz w:val="18"/>
          <w:szCs w:val="18"/>
          <w:color w:val="FF0000"/>
          <w:strike w:val="1"/>
        </w:rPr>
        <w:t xml:space="preserve">Impacted LIBO Rate Interest Period; and (b) the LIBO Screen Rate for the shortest period (for which the LIBO Screen Rate is available for U.S. Dollars) that exceeds the Impacted LIBO Rate Interest Period, in each case, at such time;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if any LIBO Interpolated Rate as so determined would be less than zero, such rate shall be deemed to be zero for the purposes of this Agreement.</w:t>
      </w:r>
    </w:p>
    <w:p>
      <w:pPr>
        <w:spacing w:after="0" w:line="15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LIBO Rate</w:t>
      </w:r>
      <w:r>
        <w:rPr>
          <w:rFonts w:ascii="Arial" w:cs="Arial" w:eastAsia="Arial" w:hAnsi="Arial"/>
          <w:sz w:val="20"/>
          <w:szCs w:val="20"/>
          <w:color w:val="FF0000"/>
          <w:strike w:val="1"/>
        </w:rPr>
        <w:t xml:space="preserve">” means, with respect to any Eurocurrency Borrowing denominated in U.S. Dollars and for any Interest Period, the LIBO Screen Rate at approximately 11:00 a.m., London time, two (2) Business Days prior to the commencement of such Interest Period; </w:t>
      </w:r>
      <w:r>
        <w:rPr>
          <w:rFonts w:ascii="Arial" w:cs="Arial" w:eastAsia="Arial" w:hAnsi="Arial"/>
          <w:sz w:val="20"/>
          <w:szCs w:val="20"/>
          <w:u w:val="single" w:color="auto"/>
          <w:color w:val="FF0000"/>
          <w:strike w:val="1"/>
        </w:rPr>
        <w:t xml:space="preserve">provided </w:t>
      </w:r>
      <w:r>
        <w:rPr>
          <w:rFonts w:ascii="Arial" w:cs="Arial" w:eastAsia="Arial" w:hAnsi="Arial"/>
          <w:sz w:val="20"/>
          <w:szCs w:val="20"/>
          <w:color w:val="FF0000"/>
          <w:strike w:val="1"/>
        </w:rPr>
        <w:t>that if the LIBO Screen Rate shall not be available at such time for such Interest Period (an “</w:t>
      </w:r>
      <w:r>
        <w:rPr>
          <w:rFonts w:ascii="Arial" w:cs="Arial" w:eastAsia="Arial" w:hAnsi="Arial"/>
          <w:sz w:val="20"/>
          <w:szCs w:val="20"/>
          <w:b w:val="1"/>
          <w:bCs w:val="1"/>
          <w:i w:val="1"/>
          <w:iCs w:val="1"/>
          <w:color w:val="FF0000"/>
          <w:strike w:val="1"/>
        </w:rPr>
        <w:t>Impacted LIBO Rate Interest Period</w:t>
      </w: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 xml:space="preserve"> </w:t>
      </w:r>
      <w:r>
        <w:rPr>
          <w:rFonts w:ascii="Arial" w:cs="Arial" w:eastAsia="Arial" w:hAnsi="Arial"/>
          <w:sz w:val="20"/>
          <w:szCs w:val="20"/>
          <w:color w:val="FF0000"/>
          <w:strike w:val="1"/>
        </w:rPr>
        <w:t>with respect to U.S. Dollars then the LIBO Rate shall be the LIBO Interpolated Rate.</w:t>
      </w:r>
    </w:p>
    <w:p>
      <w:pPr>
        <w:spacing w:after="0" w:line="191"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LIBO Screen Rate</w:t>
      </w:r>
      <w:r>
        <w:rPr>
          <w:rFonts w:ascii="Arial" w:cs="Arial" w:eastAsia="Arial" w:hAnsi="Arial"/>
          <w:sz w:val="18"/>
          <w:szCs w:val="18"/>
          <w:color w:val="FF0000"/>
          <w:strike w:val="1"/>
        </w:rPr>
        <w:t xml:space="preserve">” means, for any day and time, with respect to any Eurocurrency Borrowing denominated in U.S. Dollars and for any Interest Period, the London interbank offered rate as administered by ICE Benchmark Administration (or any other Person that takes over the administration of such rate for the relevant currency)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if the LIBO Screen Rate as so determined would be less than zero, such rate shall be deemed to be zero for the purposes of this Agreement.</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LIBOR</w:t>
      </w:r>
      <w:r>
        <w:rPr>
          <w:rFonts w:ascii="Arial" w:cs="Arial" w:eastAsia="Arial" w:hAnsi="Arial"/>
          <w:sz w:val="20"/>
          <w:szCs w:val="20"/>
          <w:color w:val="FF0000"/>
          <w:strike w:val="1"/>
        </w:rPr>
        <w:t xml:space="preserve">” has the meaning assigned to such term in </w:t>
      </w:r>
      <w:r>
        <w:rPr>
          <w:rFonts w:ascii="Arial" w:cs="Arial" w:eastAsia="Arial" w:hAnsi="Arial"/>
          <w:sz w:val="20"/>
          <w:szCs w:val="20"/>
          <w:u w:val="single" w:color="auto"/>
          <w:color w:val="FF0000"/>
          <w:strike w:val="1"/>
        </w:rPr>
        <w:t>Section 1.07</w:t>
      </w:r>
      <w:r>
        <w:rPr>
          <w:rFonts w:ascii="Arial" w:cs="Arial" w:eastAsia="Arial" w:hAnsi="Arial"/>
          <w:sz w:val="20"/>
          <w:szCs w:val="20"/>
          <w:color w:val="FF0000"/>
          <w:strike w:val="1"/>
        </w:rPr>
        <w:t>.</w:t>
      </w:r>
    </w:p>
    <w:p>
      <w:pPr>
        <w:spacing w:after="0" w:line="21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Lien</w:t>
      </w:r>
      <w:r>
        <w:rPr>
          <w:rFonts w:ascii="Arial" w:cs="Arial" w:eastAsia="Arial" w:hAnsi="Arial"/>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7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Liquidity</w:t>
      </w:r>
      <w:r>
        <w:rPr>
          <w:rFonts w:ascii="Arial" w:cs="Arial" w:eastAsia="Arial" w:hAnsi="Arial"/>
          <w:sz w:val="20"/>
          <w:szCs w:val="20"/>
          <w:color w:val="auto"/>
        </w:rPr>
        <w:t>” means at any time, the lesser of (i) the amount of unrestricted and unencumbered (other than Permitted Encumbrances) cash and Cash Equivalents of the Company and its Subsidiaries at such time and (ii) $150,000,000.</w:t>
      </w:r>
    </w:p>
    <w:p>
      <w:pPr>
        <w:spacing w:after="0" w:line="17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Loan Documents</w:t>
      </w:r>
      <w:r>
        <w:rPr>
          <w:rFonts w:ascii="Arial" w:cs="Arial" w:eastAsia="Arial" w:hAnsi="Arial"/>
          <w:sz w:val="19"/>
          <w:szCs w:val="19"/>
          <w:color w:val="auto"/>
        </w:rPr>
        <w:t>” means, collectively, this Agreement, each promissory note delivered pursuant to this Agreement, any Letter of Credit applications and any agreements between any Borrower and any Issuing Bank regarding such Issuing Bank’s Letter of Credit Commitment or the respective rights and obligations between any Borrower and such Issuing Bank in connection with the issuance of Letters of Credit, and any other agreements, instruments, documents and certificates executed by or on behalf of any Borrower and delivered to or in favor of the Credit Parties concurrently herewith or hereafter in connection with the Transactions hereunder, including any amendments, modifications or supplements thereto or waivers thereof.</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Loans</w:t>
      </w:r>
      <w:r>
        <w:rPr>
          <w:rFonts w:ascii="Arial" w:cs="Arial" w:eastAsia="Arial" w:hAnsi="Arial"/>
          <w:sz w:val="20"/>
          <w:szCs w:val="20"/>
          <w:color w:val="auto"/>
        </w:rPr>
        <w:t>” means the loans made by the Lenders to the Borrowers pursuant to this Agreement.</w:t>
      </w:r>
    </w:p>
    <w:p>
      <w:pPr>
        <w:spacing w:after="0" w:line="21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Local Time</w:t>
      </w:r>
      <w:r>
        <w:rPr>
          <w:rFonts w:ascii="Arial" w:cs="Arial" w:eastAsia="Arial" w:hAnsi="Arial"/>
          <w:sz w:val="18"/>
          <w:szCs w:val="18"/>
          <w:color w:val="auto"/>
        </w:rPr>
        <w:t xml:space="preserve">” means ( </w:t>
      </w:r>
      <w:r>
        <w:rPr>
          <w:rFonts w:ascii="Arial" w:cs="Arial" w:eastAsia="Arial" w:hAnsi="Arial"/>
          <w:sz w:val="18"/>
          <w:szCs w:val="18"/>
          <w:color w:val="FF0000"/>
          <w:strike w:val="1"/>
        </w:rPr>
        <w:t>a</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in the case of a Loan, Borrowing or LC Disbursement denominated in U.S. Dollars, New York City time, and ( </w:t>
      </w:r>
      <w:r>
        <w:rPr>
          <w:rFonts w:ascii="Arial" w:cs="Arial" w:eastAsia="Arial" w:hAnsi="Arial"/>
          <w:sz w:val="18"/>
          <w:szCs w:val="18"/>
          <w:color w:val="FF0000"/>
          <w:strike w:val="1"/>
        </w:rPr>
        <w:t>b</w:t>
      </w:r>
      <w:r>
        <w:rPr>
          <w:rFonts w:ascii="Arial" w:cs="Arial" w:eastAsia="Arial" w:hAnsi="Arial"/>
          <w:sz w:val="18"/>
          <w:szCs w:val="18"/>
          <w:u w:val="single" w:color="auto"/>
          <w:color w:val="0000FF"/>
        </w:rPr>
        <w:t>ii</w:t>
      </w:r>
      <w:r>
        <w:rPr>
          <w:rFonts w:ascii="Arial" w:cs="Arial" w:eastAsia="Arial" w:hAnsi="Arial"/>
          <w:sz w:val="18"/>
          <w:szCs w:val="18"/>
          <w:color w:val="auto"/>
        </w:rPr>
        <w:t xml:space="preserve">) in the case of a Loan, Borrowing or LC Disbursement denominated in a Foreign Currency, local time (it being understood that such local time shall mean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London, England time </w:t>
      </w:r>
      <w:r>
        <w:rPr>
          <w:rFonts w:ascii="Arial" w:cs="Arial" w:eastAsia="Arial" w:hAnsi="Arial"/>
          <w:sz w:val="18"/>
          <w:szCs w:val="18"/>
          <w:u w:val="single" w:color="auto"/>
          <w:color w:val="0000FF"/>
        </w:rPr>
        <w:t>with respect to any Foreign Currency (other than Euro and Canadian Dollars), (b) Brussels,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Belgium time with respect to Euro and (c) Toronto, Canada time with respect to Canadian Dollars, in each case of the foregoing clauses (a),</w:t>
      </w:r>
    </w:p>
    <w:p>
      <w:pPr>
        <w:spacing w:after="0" w:line="3"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and (c)</w:t>
      </w:r>
      <w:r>
        <w:rPr>
          <w:rFonts w:ascii="Arial" w:cs="Arial" w:eastAsia="Arial" w:hAnsi="Arial"/>
          <w:sz w:val="20"/>
          <w:szCs w:val="20"/>
          <w:color w:val="0000FF"/>
        </w:rPr>
        <w:t xml:space="preserve"> </w:t>
      </w:r>
      <w:r>
        <w:rPr>
          <w:rFonts w:ascii="Arial" w:cs="Arial" w:eastAsia="Arial" w:hAnsi="Arial"/>
          <w:sz w:val="20"/>
          <w:szCs w:val="20"/>
          <w:color w:val="000000"/>
        </w:rPr>
        <w:t>unless otherwise notified by the Administrative Agent).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4" w:name="page95"/>
    <w:bookmarkEnd w:id="94"/>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 Acquisition</w:t>
      </w:r>
      <w:r>
        <w:rPr>
          <w:rFonts w:ascii="Arial" w:cs="Arial" w:eastAsia="Arial" w:hAnsi="Arial"/>
          <w:sz w:val="19"/>
          <w:szCs w:val="19"/>
          <w:color w:val="auto"/>
        </w:rPr>
        <w:t>” means any Permitted Acquisition where the aggregate cash consideration exceeds $500,000,000.</w:t>
      </w:r>
    </w:p>
    <w:p>
      <w:pPr>
        <w:spacing w:after="0" w:line="22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Material Adverse Effect</w:t>
      </w:r>
      <w:r>
        <w:rPr>
          <w:rFonts w:ascii="Arial" w:cs="Arial" w:eastAsia="Arial" w:hAnsi="Arial"/>
          <w:sz w:val="20"/>
          <w:szCs w:val="20"/>
          <w:color w:val="auto"/>
        </w:rPr>
        <w:t>” means a material adverse effect on (a) the business, assets, property or financial condition of the Company and its Subsidiaries taken as a whole, or (b) the validity or enforceability of any material provision of any Loan Document or the rights or remedies of the Credit Parties thereunder.</w:t>
      </w:r>
    </w:p>
    <w:p>
      <w:pPr>
        <w:spacing w:after="0" w:line="186" w:lineRule="exact"/>
        <w:rPr>
          <w:sz w:val="20"/>
          <w:szCs w:val="20"/>
          <w:color w:val="auto"/>
        </w:rPr>
      </w:pPr>
    </w:p>
    <w:p>
      <w:pPr>
        <w:jc w:val="both"/>
        <w:ind w:firstLine="749"/>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Maturity Date</w:t>
      </w:r>
      <w:r>
        <w:rPr>
          <w:rFonts w:ascii="Arial" w:cs="Arial" w:eastAsia="Arial" w:hAnsi="Arial"/>
          <w:sz w:val="16"/>
          <w:szCs w:val="16"/>
          <w:color w:val="auto"/>
        </w:rPr>
        <w:t xml:space="preserve">” means August 6, 2026 (the fifth anniversary of the Effective Date), as the same may be extended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each case, if such date is not a Business Day, the Maturity Date shall be the next preceding Business Day.</w:t>
      </w:r>
    </w:p>
    <w:p>
      <w:pPr>
        <w:spacing w:after="0" w:line="8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Maximum Rate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Moody’s</w:t>
      </w:r>
      <w:r>
        <w:rPr>
          <w:rFonts w:ascii="Arial" w:cs="Arial" w:eastAsia="Arial" w:hAnsi="Arial"/>
          <w:sz w:val="20"/>
          <w:szCs w:val="20"/>
          <w:color w:val="auto"/>
        </w:rPr>
        <w:t>” means Moody’s Investors Service, Inc.</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Multiemployer Plan</w:t>
      </w:r>
      <w:r>
        <w:rPr>
          <w:rFonts w:ascii="Arial" w:cs="Arial" w:eastAsia="Arial" w:hAnsi="Arial"/>
          <w:sz w:val="20"/>
          <w:szCs w:val="20"/>
          <w:color w:val="auto"/>
        </w:rPr>
        <w:t>” means a multiemployer plan as defined in Section 4001(a)(3) of ERISA.</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Non-Consenting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10.02(d)</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Non-Extending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NYFRB</w:t>
      </w:r>
      <w:r>
        <w:rPr>
          <w:rFonts w:ascii="Arial" w:cs="Arial" w:eastAsia="Arial" w:hAnsi="Arial"/>
          <w:sz w:val="20"/>
          <w:szCs w:val="20"/>
          <w:color w:val="auto"/>
        </w:rPr>
        <w:t>” means the Federal Reserve Bank of New York.</w:t>
      </w:r>
    </w:p>
    <w:p>
      <w:pPr>
        <w:spacing w:after="0" w:line="21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NYFRB Rate</w:t>
      </w:r>
      <w:r>
        <w:rPr>
          <w:rFonts w:ascii="Arial" w:cs="Arial" w:eastAsia="Arial" w:hAnsi="Arial"/>
          <w:sz w:val="19"/>
          <w:szCs w:val="19"/>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any of the aforesaid rates as so determined </w:t>
      </w:r>
      <w:r>
        <w:rPr>
          <w:rFonts w:ascii="Arial" w:cs="Arial" w:eastAsia="Arial" w:hAnsi="Arial"/>
          <w:sz w:val="19"/>
          <w:szCs w:val="19"/>
          <w:u w:val="single" w:color="auto"/>
          <w:color w:val="0000FF"/>
        </w:rPr>
        <w:t>would</w:t>
      </w:r>
      <w:r>
        <w:rPr>
          <w:rFonts w:ascii="Arial" w:cs="Arial" w:eastAsia="Arial" w:hAnsi="Arial"/>
          <w:sz w:val="19"/>
          <w:szCs w:val="19"/>
          <w:color w:val="auto"/>
        </w:rPr>
        <w:t xml:space="preserve"> be less than zero, such rate shall be deemed to be zero for purposes of this Agreement.</w:t>
      </w:r>
    </w:p>
    <w:p>
      <w:pPr>
        <w:spacing w:after="0" w:line="17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Obligations</w:t>
      </w:r>
      <w:r>
        <w:rPr>
          <w:rFonts w:ascii="Arial" w:cs="Arial" w:eastAsia="Arial" w:hAnsi="Arial"/>
          <w:sz w:val="20"/>
          <w:szCs w:val="20"/>
          <w:color w:val="auto"/>
        </w:rPr>
        <w:t>” means all advances to, and debts, liabilities, obligations, covenants and duties of, any Borrower arising under any Loan Document or otherwise with respect to any Loan or Letter of Credit, whether direct or indirect, absolute or contingent, due or to become due, now existing or hereafter arising and including interest and fees that accrue after the commencement by or against any Borrower of any proceeding under any debtor relief laws naming such Borrower as the debtor in such proceeding, regardless of whether such interest and fees are allowed claims in such proceeding.</w:t>
      </w:r>
    </w:p>
    <w:p>
      <w:pPr>
        <w:spacing w:after="0" w:line="19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non-United States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Other Benchmark Rate Election</w:t>
      </w:r>
      <w:r>
        <w:rPr>
          <w:rFonts w:ascii="Arial" w:cs="Arial" w:eastAsia="Arial" w:hAnsi="Arial"/>
          <w:sz w:val="20"/>
          <w:szCs w:val="20"/>
          <w:color w:val="FF0000"/>
          <w:strike w:val="1"/>
        </w:rPr>
        <w:t>” means, with respect to any Loan denominated in U.S. Dollars, if the then-current Benchmark is the LIBO Rate or Daily Simple SOFR, the occurrence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5" w:name="page96"/>
    <w:bookmarkEnd w:id="95"/>
    <w:p>
      <w:pPr>
        <w:jc w:val="both"/>
        <w:ind w:left="760" w:firstLine="745"/>
        <w:spacing w:after="0" w:line="246" w:lineRule="auto"/>
        <w:tabs>
          <w:tab w:leader="none" w:pos="1831" w:val="left"/>
        </w:tabs>
        <w:numPr>
          <w:ilvl w:val="0"/>
          <w:numId w:val="42"/>
        </w:numPr>
        <w:rPr>
          <w:rFonts w:ascii="Arial" w:cs="Arial" w:eastAsia="Arial" w:hAnsi="Arial"/>
          <w:sz w:val="20"/>
          <w:szCs w:val="20"/>
          <w:color w:val="FF0000"/>
          <w:strike w:val="1"/>
        </w:rPr>
      </w:pPr>
      <w:r>
        <w:rPr>
          <w:rFonts w:ascii="Arial" w:cs="Arial" w:eastAsia="Arial" w:hAnsi="Arial"/>
          <w:sz w:val="20"/>
          <w:szCs w:val="20"/>
          <w:color w:val="FF0000"/>
          <w:strike w:val="1"/>
        </w:rPr>
        <w:t>a request by the Company to the Administrative Agent to notify each of the other parties hereto that, at the determination of the Company, U.S. Dollar-denominated syndicated credit facilities at such time contain (as a result of amendment or as originally executed), in lieu of a LIBOR-based rate or Daily Simple SOFR, as applicable, a term benchmark rate as a benchmark rate, and</w:t>
      </w:r>
    </w:p>
    <w:p>
      <w:pPr>
        <w:spacing w:after="0" w:line="191" w:lineRule="exact"/>
        <w:rPr>
          <w:rFonts w:ascii="Arial" w:cs="Arial" w:eastAsia="Arial" w:hAnsi="Arial"/>
          <w:sz w:val="20"/>
          <w:szCs w:val="20"/>
          <w:color w:val="FF0000"/>
          <w:strike w:val="1"/>
        </w:rPr>
      </w:pPr>
    </w:p>
    <w:p>
      <w:pPr>
        <w:jc w:val="both"/>
        <w:ind w:left="760" w:firstLine="745"/>
        <w:spacing w:after="0" w:line="250" w:lineRule="auto"/>
        <w:tabs>
          <w:tab w:leader="none" w:pos="1791" w:val="left"/>
        </w:tabs>
        <w:numPr>
          <w:ilvl w:val="0"/>
          <w:numId w:val="42"/>
        </w:numPr>
        <w:rPr>
          <w:rFonts w:ascii="Arial" w:cs="Arial" w:eastAsia="Arial" w:hAnsi="Arial"/>
          <w:sz w:val="20"/>
          <w:szCs w:val="20"/>
          <w:color w:val="FF0000"/>
          <w:strike w:val="1"/>
        </w:rPr>
      </w:pPr>
      <w:r>
        <w:rPr>
          <w:rFonts w:ascii="Arial" w:cs="Arial" w:eastAsia="Arial" w:hAnsi="Arial"/>
          <w:sz w:val="20"/>
          <w:szCs w:val="20"/>
          <w:color w:val="FF0000"/>
          <w:strike w:val="1"/>
        </w:rPr>
        <w:t>the Administrative Agent, in its sole discretion, and the Company jointly elect to trigger a fallback from the LIBO Rate or Daily Simple SOFR, as applicable, and the provision, as applicable, by the Administrative Agent of written notice of such election to the Company and the Lenders.</w:t>
      </w:r>
    </w:p>
    <w:p>
      <w:pPr>
        <w:spacing w:after="0" w:line="18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Taxes (other than a connection arising solely from such Recipient having executed, delivered, enforced, become a party to, performed its obligations under, received payments under, received or perfected a security interest under, or engaged in any other transaction pursuant to, or enforced, any Loan Document, or sold or assigned an interest in any Loan, Letter of Credit or Loan Document).</w:t>
      </w:r>
    </w:p>
    <w:p>
      <w:pPr>
        <w:spacing w:after="0" w:line="19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Other Taxes</w:t>
      </w:r>
      <w:r>
        <w:rPr>
          <w:rFonts w:ascii="Arial" w:cs="Arial" w:eastAsia="Arial" w:hAnsi="Arial"/>
          <w:sz w:val="19"/>
          <w:szCs w:val="19"/>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w:t>
      </w:r>
    </w:p>
    <w:p>
      <w:pPr>
        <w:spacing w:after="0" w:line="17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Overnight Bank Funding Rate</w:t>
      </w:r>
      <w:r>
        <w:rPr>
          <w:rFonts w:ascii="Arial" w:cs="Arial" w:eastAsia="Arial" w:hAnsi="Arial"/>
          <w:sz w:val="19"/>
          <w:szCs w:val="19"/>
          <w:color w:val="auto"/>
        </w:rPr>
        <w:t xml:space="preserve">” means, for any day, the rate comprised of both overnight federal funds and overnight </w:t>
      </w:r>
      <w:r>
        <w:rPr>
          <w:rFonts w:ascii="Arial" w:cs="Arial" w:eastAsia="Arial" w:hAnsi="Arial"/>
          <w:sz w:val="19"/>
          <w:szCs w:val="19"/>
          <w:color w:val="FF0000"/>
          <w:strike w:val="1"/>
        </w:rPr>
        <w:t>Eurocurrency borrowings</w:t>
      </w:r>
      <w:r>
        <w:rPr>
          <w:rFonts w:ascii="Arial" w:cs="Arial" w:eastAsia="Arial" w:hAnsi="Arial"/>
          <w:sz w:val="19"/>
          <w:szCs w:val="19"/>
          <w:u w:val="single" w:color="auto"/>
          <w:color w:val="0000FF"/>
        </w:rPr>
        <w:t>eurodollar transactions</w:t>
      </w:r>
      <w:r>
        <w:rPr>
          <w:rFonts w:ascii="Arial" w:cs="Arial" w:eastAsia="Arial" w:hAnsi="Arial"/>
          <w:sz w:val="19"/>
          <w:szCs w:val="19"/>
          <w:color w:val="FF0000"/>
        </w:rPr>
        <w:t xml:space="preserve"> </w:t>
      </w:r>
      <w:r>
        <w:rPr>
          <w:rFonts w:ascii="Arial" w:cs="Arial" w:eastAsia="Arial" w:hAnsi="Arial"/>
          <w:sz w:val="19"/>
          <w:szCs w:val="19"/>
          <w:color w:val="000000"/>
        </w:rPr>
        <w:t>denominated in U.S. Dollars by U.S.-managed banking offices of depository institutions, as</w:t>
      </w:r>
      <w:r>
        <w:rPr>
          <w:rFonts w:ascii="Arial" w:cs="Arial" w:eastAsia="Arial" w:hAnsi="Arial"/>
          <w:sz w:val="19"/>
          <w:szCs w:val="19"/>
          <w:color w:val="FF0000"/>
        </w:rPr>
        <w:t xml:space="preserve"> </w:t>
      </w:r>
      <w:r>
        <w:rPr>
          <w:rFonts w:ascii="Arial" w:cs="Arial" w:eastAsia="Arial" w:hAnsi="Arial"/>
          <w:sz w:val="19"/>
          <w:szCs w:val="19"/>
          <w:color w:val="000000"/>
        </w:rPr>
        <w:t>such composite rate shall be determined by the NYFRB as set forth on the Federal Reserve Bank of New York’s Website from time to time, and published on the next succeeding Business Day by the NYFRB as an overnight bank funding rate.</w:t>
      </w:r>
    </w:p>
    <w:p>
      <w:pPr>
        <w:spacing w:after="0" w:line="17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Overnight Rate</w:t>
      </w:r>
      <w:r>
        <w:rPr>
          <w:rFonts w:ascii="Arial" w:cs="Arial" w:eastAsia="Arial" w:hAnsi="Arial"/>
          <w:sz w:val="20"/>
          <w:szCs w:val="20"/>
          <w:color w:val="auto"/>
        </w:rPr>
        <w:t>” means, for any day, (a) with respect to any amount denominated in U.S. Dollars, the NYFRB Rate and (b) with respect to any amount denominated in a Foreign Currency, an overnight rate determined by the Administrative Agent or the relevant Issuing Bank, as the case may be, in accordance with banking industry rules on interbank compensation.</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10.04(c)</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 Register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10.04(c)</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Payment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10.19(a)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Payment Notice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10.19(b)</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PBGC</w:t>
      </w:r>
      <w:r>
        <w:rPr>
          <w:rFonts w:ascii="Arial" w:cs="Arial" w:eastAsia="Arial" w:hAnsi="Arial"/>
          <w:sz w:val="20"/>
          <w:szCs w:val="20"/>
          <w:color w:val="auto"/>
        </w:rPr>
        <w:t>” means the Pension Benefit Guaranty Corporation referred to and defined in ERISA and any successor entity performing similar functions.</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Acquisition</w:t>
      </w:r>
      <w:r>
        <w:rPr>
          <w:rFonts w:ascii="Arial" w:cs="Arial" w:eastAsia="Arial" w:hAnsi="Arial"/>
          <w:sz w:val="20"/>
          <w:szCs w:val="20"/>
          <w:color w:val="auto"/>
        </w:rPr>
        <w:t>” means any Acquisition by the Company or any Subsidiary that satisfies the following conditions:</w:t>
      </w:r>
    </w:p>
    <w:p>
      <w:pPr>
        <w:spacing w:after="0" w:line="216" w:lineRule="exact"/>
        <w:rPr>
          <w:sz w:val="20"/>
          <w:szCs w:val="20"/>
          <w:color w:val="auto"/>
        </w:rPr>
      </w:pPr>
    </w:p>
    <w:p>
      <w:pPr>
        <w:ind w:firstLine="757"/>
        <w:spacing w:after="0" w:line="260" w:lineRule="auto"/>
        <w:tabs>
          <w:tab w:leader="none" w:pos="1211"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 the case of an Acquisition of the Equity Interests of any Person, the board of directors (or other comparable governing body) of such other Person shall have approved the Acquisition;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6" w:name="page97"/>
    <w:bookmarkEnd w:id="96"/>
    <w:p>
      <w:pPr>
        <w:jc w:val="both"/>
        <w:ind w:firstLine="757"/>
        <w:spacing w:after="0" w:line="257" w:lineRule="auto"/>
        <w:tabs>
          <w:tab w:leader="none" w:pos="1249"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(i) no Default shall exist and be continuing immediately before or immediately after giving effect thereto, (ii) the representations and warranties made by the Borrowers in any Loan Document (other than the representations and warranties contained in </w:t>
      </w:r>
      <w:r>
        <w:rPr>
          <w:rFonts w:ascii="Arial" w:cs="Arial" w:eastAsia="Arial" w:hAnsi="Arial"/>
          <w:sz w:val="19"/>
          <w:szCs w:val="19"/>
          <w:u w:val="single" w:color="auto"/>
          <w:color w:val="auto"/>
        </w:rPr>
        <w:t>Sections 3.04(b)</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3.09</w:t>
      </w:r>
      <w:r>
        <w:rPr>
          <w:rFonts w:ascii="Arial" w:cs="Arial" w:eastAsia="Arial" w:hAnsi="Arial"/>
          <w:sz w:val="19"/>
          <w:szCs w:val="19"/>
          <w:color w:val="auto"/>
        </w:rPr>
        <w:t xml:space="preserve">) shall be true and correct in all material respects (or in all respects if the applicable representation or warranty is already qualified by concepts of materiality) on and as of the date of such Acquisition (after giving effect thereto), and (iii) in the case of an Acquisition of any Person where the aggregate cash consideration exceeds $200,000,000, the Company shall have delivered to the Administrative Agent a certificate demonstrating that, upon giving effect to such Acquisition on a Pro Forma Basis, the Borrowers would be in compliance with the Consolidated Net Leverage Ratio covenant set forth in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as of the most recent fiscal quarter for which the Company has delivered financial statements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Encumbrances</w:t>
      </w:r>
      <w:r>
        <w:rPr>
          <w:rFonts w:ascii="Arial" w:cs="Arial" w:eastAsia="Arial" w:hAnsi="Arial"/>
          <w:sz w:val="20"/>
          <w:szCs w:val="20"/>
          <w:color w:val="auto"/>
        </w:rPr>
        <w:t>” means:</w:t>
      </w:r>
    </w:p>
    <w:p>
      <w:pPr>
        <w:spacing w:after="0" w:line="216" w:lineRule="exact"/>
        <w:rPr>
          <w:sz w:val="20"/>
          <w:szCs w:val="20"/>
          <w:color w:val="auto"/>
        </w:rPr>
      </w:pPr>
    </w:p>
    <w:p>
      <w:pPr>
        <w:ind w:firstLine="757"/>
        <w:spacing w:after="0" w:line="260" w:lineRule="auto"/>
        <w:tabs>
          <w:tab w:leader="none" w:pos="1217"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Liens imposed by law (other than Liens imposed under ERISA) for Taxes that are not yet due or are being contested in compliance with </w:t>
      </w:r>
      <w:r>
        <w:rPr>
          <w:rFonts w:ascii="Arial" w:cs="Arial" w:eastAsia="Arial" w:hAnsi="Arial"/>
          <w:sz w:val="20"/>
          <w:szCs w:val="20"/>
          <w:u w:val="single" w:color="auto"/>
          <w:color w:val="auto"/>
        </w:rPr>
        <w:t>Section 5.04(a)</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757"/>
        <w:spacing w:after="0" w:line="250" w:lineRule="auto"/>
        <w:tabs>
          <w:tab w:leader="none" w:pos="1189"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carriers’, warehousemen’s, mechanics’, materialmen’s, repairmen’s, lessors’ and other like Liens arising in the ordinary course of business and securing obligations that are not overdue by more than thirty (30) days or are being contested in compliance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5.04(a)</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firstLine="757"/>
        <w:spacing w:after="0" w:line="260" w:lineRule="auto"/>
        <w:tabs>
          <w:tab w:leader="none" w:pos="12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pledges and deposits made in the ordinary course of business in connection with workers’ compensation, unemployment insurance and other social security laws or regulations (other than any Lien imposed under ERISA);</w:t>
      </w:r>
    </w:p>
    <w:p>
      <w:pPr>
        <w:spacing w:after="0" w:line="176" w:lineRule="exact"/>
        <w:rPr>
          <w:rFonts w:ascii="Arial" w:cs="Arial" w:eastAsia="Arial" w:hAnsi="Arial"/>
          <w:sz w:val="20"/>
          <w:szCs w:val="20"/>
          <w:color w:val="auto"/>
        </w:rPr>
      </w:pPr>
    </w:p>
    <w:p>
      <w:pPr>
        <w:ind w:firstLine="757"/>
        <w:spacing w:after="0" w:line="260" w:lineRule="auto"/>
        <w:tabs>
          <w:tab w:leader="none" w:pos="119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76" w:lineRule="exact"/>
        <w:rPr>
          <w:rFonts w:ascii="Arial" w:cs="Arial" w:eastAsia="Arial" w:hAnsi="Arial"/>
          <w:sz w:val="20"/>
          <w:szCs w:val="20"/>
          <w:color w:val="auto"/>
        </w:rPr>
      </w:pPr>
    </w:p>
    <w:p>
      <w:pPr>
        <w:ind w:left="1200" w:hanging="443"/>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clause (j)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 and</w:t>
      </w:r>
    </w:p>
    <w:p>
      <w:pPr>
        <w:spacing w:after="0" w:line="238" w:lineRule="exact"/>
        <w:rPr>
          <w:rFonts w:ascii="Arial" w:cs="Arial" w:eastAsia="Arial" w:hAnsi="Arial"/>
          <w:sz w:val="18"/>
          <w:szCs w:val="18"/>
          <w:color w:val="auto"/>
        </w:rPr>
      </w:pPr>
    </w:p>
    <w:p>
      <w:pPr>
        <w:jc w:val="both"/>
        <w:ind w:firstLine="757"/>
        <w:spacing w:after="0" w:line="250" w:lineRule="auto"/>
        <w:tabs>
          <w:tab w:leader="none" w:pos="1239" w:val="left"/>
        </w:tabs>
        <w:numPr>
          <w:ilvl w:val="0"/>
          <w:numId w:val="45"/>
        </w:numPr>
        <w:rPr>
          <w:rFonts w:ascii="Arial" w:cs="Arial" w:eastAsia="Arial" w:hAnsi="Arial"/>
          <w:sz w:val="20"/>
          <w:szCs w:val="20"/>
          <w:color w:val="auto"/>
        </w:rPr>
      </w:pPr>
      <w:r>
        <w:rPr>
          <w:rFonts w:ascii="Arial" w:cs="Arial" w:eastAsia="Arial" w:hAnsi="Arial"/>
          <w:sz w:val="20"/>
          <w:szCs w:val="20"/>
          <w:color w:val="auto"/>
        </w:rPr>
        <w:t>easements, zoning restrictions, rights-of-way and similar encumbrances affecting real property that do not secure any substantial amount and do not materially detract from the value of the affected property or materially interfere with the ordinary conduct of business of the applicable Person;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term “</w:t>
      </w:r>
      <w:r>
        <w:rPr>
          <w:rFonts w:ascii="Arial" w:cs="Arial" w:eastAsia="Arial" w:hAnsi="Arial"/>
          <w:sz w:val="20"/>
          <w:szCs w:val="20"/>
          <w:b w:val="1"/>
          <w:bCs w:val="1"/>
          <w:i w:val="1"/>
          <w:iCs w:val="1"/>
          <w:color w:val="auto"/>
        </w:rPr>
        <w:t>Permitted Encumbrances</w:t>
      </w:r>
      <w:r>
        <w:rPr>
          <w:rFonts w:ascii="Arial" w:cs="Arial" w:eastAsia="Arial" w:hAnsi="Arial"/>
          <w:sz w:val="20"/>
          <w:szCs w:val="20"/>
          <w:color w:val="auto"/>
        </w:rPr>
        <w:t>” shall not include any Lien securing Indebtedness.</w:t>
      </w:r>
    </w:p>
    <w:p>
      <w:pPr>
        <w:spacing w:after="0" w:line="21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Investments</w:t>
      </w:r>
      <w:r>
        <w:rPr>
          <w:rFonts w:ascii="Arial" w:cs="Arial" w:eastAsia="Arial" w:hAnsi="Arial"/>
          <w:sz w:val="18"/>
          <w:szCs w:val="18"/>
          <w:color w:val="auto"/>
        </w:rPr>
        <w:t>” means (i) cash and Cash Equivalents and (ii) any Investment by the Company or any Subsidiary that satisfies the following conditions: (a) no Default shall exist and be continuing immediately before or immediately after giving effect thereto,</w:t>
      </w:r>
    </w:p>
    <w:p>
      <w:pPr>
        <w:spacing w:after="0" w:line="1" w:lineRule="exact"/>
        <w:rPr>
          <w:sz w:val="20"/>
          <w:szCs w:val="20"/>
          <w:color w:val="auto"/>
        </w:rPr>
      </w:pPr>
    </w:p>
    <w:p>
      <w:pPr>
        <w:jc w:val="both"/>
        <w:ind w:firstLine="8"/>
        <w:spacing w:after="0" w:line="299" w:lineRule="auto"/>
        <w:tabs>
          <w:tab w:leader="none" w:pos="281"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made by the Borrowers in any Loan Document (other than the representations and warranties contained in </w:t>
      </w:r>
      <w:r>
        <w:rPr>
          <w:rFonts w:ascii="Arial" w:cs="Arial" w:eastAsia="Arial" w:hAnsi="Arial"/>
          <w:sz w:val="16"/>
          <w:szCs w:val="16"/>
          <w:u w:val="single" w:color="auto"/>
          <w:color w:val="auto"/>
        </w:rPr>
        <w:t>Sections 3.04(b)</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3.09</w:t>
      </w:r>
      <w:r>
        <w:rPr>
          <w:rFonts w:ascii="Arial" w:cs="Arial" w:eastAsia="Arial" w:hAnsi="Arial"/>
          <w:sz w:val="16"/>
          <w:szCs w:val="16"/>
          <w:color w:val="auto"/>
        </w:rPr>
        <w:t xml:space="preserve">) shall be true and correct in all material respects (or in all respects if the applicable representation or warranty is already qualified by concepts of materiality) on and as of the date of such Investment (after giving effect thereto), and (c) in the case of an Investment in any Person (other than the Company or any of its Subsidiaries) where the aggregate amount of such Investment exceeds $200,000,000, the Company shall have delivered to the Administrative Agent a certificate demonstrating that, upon giving effect to such Investment on a Pro Forma Basis, the Borrowers would be in compliance with the Consolidated Net Leverage Ratio covenant set forth in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as of the most recent fiscal quarter for which the Company has delivered financial statements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w:t>
      </w:r>
    </w:p>
    <w:p>
      <w:pPr>
        <w:spacing w:after="0" w:line="1" w:lineRule="exact"/>
        <w:rPr>
          <w:rFonts w:ascii="Arial" w:cs="Arial" w:eastAsia="Arial" w:hAnsi="Arial"/>
          <w:sz w:val="16"/>
          <w:szCs w:val="16"/>
          <w:color w:val="auto"/>
        </w:rPr>
      </w:pPr>
    </w:p>
    <w:p>
      <w:pPr>
        <w:spacing w:after="0"/>
        <w:tabs>
          <w:tab w:leader="none" w:pos="0" w:val="left"/>
        </w:tabs>
        <w:numPr>
          <w:ilvl w:val="0"/>
          <w:numId w:val="47"/>
        </w:numPr>
        <w:rPr>
          <w:rFonts w:ascii="Arial" w:cs="Arial" w:eastAsia="Arial" w:hAnsi="Arial"/>
          <w:sz w:val="20"/>
          <w:szCs w:val="20"/>
          <w:u w:val="single" w:color="auto"/>
          <w:color w:val="auto"/>
        </w:r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7" w:name="page98"/>
    <w:bookmarkEnd w:id="97"/>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any Borrower or any of its ERISA Affiliates is (or, if such plan were terminated, would under Section 4069 of ERISA be deemed to be) an “employer” as defined in Section 3(5) of ERISA.</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Asset Regulations</w:t>
      </w:r>
      <w:r>
        <w:rPr>
          <w:rFonts w:ascii="Arial" w:cs="Arial" w:eastAsia="Arial" w:hAnsi="Arial"/>
          <w:sz w:val="18"/>
          <w:szCs w:val="18"/>
          <w:color w:val="auto"/>
        </w:rPr>
        <w:t xml:space="preserve">” means 29 CFR § 2510.3-101 </w:t>
      </w:r>
      <w:r>
        <w:rPr>
          <w:rFonts w:ascii="Arial" w:cs="Arial" w:eastAsia="Arial" w:hAnsi="Arial"/>
          <w:sz w:val="18"/>
          <w:szCs w:val="18"/>
          <w:i w:val="1"/>
          <w:iCs w:val="1"/>
          <w:color w:val="auto"/>
        </w:rPr>
        <w:t>et seq.</w:t>
      </w:r>
      <w:r>
        <w:rPr>
          <w:rFonts w:ascii="Arial" w:cs="Arial" w:eastAsia="Arial" w:hAnsi="Arial"/>
          <w:sz w:val="18"/>
          <w:szCs w:val="18"/>
          <w:color w:val="auto"/>
        </w:rPr>
        <w:t>, as modified by Section 3(42) of ERISA, as amended from time to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time.</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Platform</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10.01(d)(i)</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Pounds Sterling</w:t>
      </w:r>
      <w:r>
        <w:rPr>
          <w:rFonts w:ascii="Arial" w:cs="Arial" w:eastAsia="Arial" w:hAnsi="Arial"/>
          <w:sz w:val="20"/>
          <w:szCs w:val="20"/>
          <w:color w:val="auto"/>
        </w:rPr>
        <w:t>” or “</w:t>
      </w:r>
      <w:r>
        <w:rPr>
          <w:rFonts w:ascii="Arial" w:cs="Arial" w:eastAsia="Arial" w:hAnsi="Arial"/>
          <w:sz w:val="20"/>
          <w:szCs w:val="20"/>
          <w:b w:val="1"/>
          <w:bCs w:val="1"/>
          <w:i w:val="1"/>
          <w:iCs w:val="1"/>
          <w:color w:val="auto"/>
        </w:rPr>
        <w:t>£</w:t>
      </w:r>
      <w:r>
        <w:rPr>
          <w:rFonts w:ascii="Arial" w:cs="Arial" w:eastAsia="Arial" w:hAnsi="Arial"/>
          <w:sz w:val="20"/>
          <w:szCs w:val="20"/>
          <w:color w:val="auto"/>
        </w:rPr>
        <w:t>” means the lawful currency of the United Kingdom.</w:t>
      </w:r>
    </w:p>
    <w:p>
      <w:pPr>
        <w:spacing w:after="0" w:line="21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Prime Rate</w:t>
      </w:r>
      <w:r>
        <w:rPr>
          <w:rFonts w:ascii="Arial" w:cs="Arial" w:eastAsia="Arial" w:hAnsi="Arial"/>
          <w:sz w:val="18"/>
          <w:szCs w:val="18"/>
          <w:color w:val="auto"/>
        </w:rPr>
        <w:t>” means the rate of interest last quoted by The Wall Street Journal as the “Prime Rate” in the U.S. or, if The Wall Street Journal ceases to quote such rate, the highest per annum interest rate published by the Board in Federal Reserve Statistical Release H.15</w:t>
      </w:r>
    </w:p>
    <w:p>
      <w:pPr>
        <w:spacing w:after="0" w:line="1" w:lineRule="exact"/>
        <w:rPr>
          <w:sz w:val="20"/>
          <w:szCs w:val="20"/>
          <w:color w:val="auto"/>
        </w:rPr>
      </w:pPr>
    </w:p>
    <w:p>
      <w:pPr>
        <w:jc w:val="both"/>
        <w:ind w:firstLine="8"/>
        <w:spacing w:after="0" w:line="281" w:lineRule="auto"/>
        <w:tabs>
          <w:tab w:leader="none" w:pos="4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6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 Forma Basis</w:t>
      </w:r>
      <w:r>
        <w:rPr>
          <w:rFonts w:ascii="Arial" w:cs="Arial" w:eastAsia="Arial" w:hAnsi="Arial"/>
          <w:sz w:val="19"/>
          <w:szCs w:val="19"/>
          <w:color w:val="auto"/>
        </w:rPr>
        <w:t xml:space="preserve">” means, for purposes of calculating the Consolidated Net Leverage Ratio covenant set forth in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that any Acquisition, Investment or any sale of any business or Subsidiary shall be deemed to have occurred as of the first day of the most recent four (4) fiscal quarter period preceding the date of such transaction for which the Company has delivered financial statements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In connection with the foregoing, (a) income statement items (whether positive or negative) attributable to the Person or property acquired, or business or Subsidiary sold, shall be included to the extent relating to any period applicable in such calculations to the extent (i) such items are not otherwise included in such income statement items for the Company and its Subsidiaries in accordance with GAAP or in accordance with any defined terms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and (ii) such items are supported by audited financial statements or other information reasonably satisfactory to the Administrative Agent and (b) any Indebtedness incurred or assumed by the Company or any Subsidiary (including the Person or property acquired) in connection with such transaction and any Indebtedness of the Person or property acquired which is not retired in connection with such transaction shall be deemed to have been incurred as of the first day of the applicable period.</w:t>
      </w:r>
    </w:p>
    <w:p>
      <w:pPr>
        <w:spacing w:after="0" w:line="18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b w:val="1"/>
          <w:bCs w:val="1"/>
          <w:i w:val="1"/>
          <w:iCs w:val="1"/>
          <w:color w:val="auto"/>
        </w:rPr>
        <w:t xml:space="preserve">“PTE” </w:t>
      </w:r>
      <w:r>
        <w:rPr>
          <w:rFonts w:ascii="Arial" w:cs="Arial" w:eastAsia="Arial" w:hAnsi="Arial"/>
          <w:sz w:val="20"/>
          <w:szCs w:val="20"/>
          <w:color w:val="auto"/>
        </w:rPr>
        <w:t>means a prohibited transaction class exemption issued by the U.S. Department of Labor, as any such exemption may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amended from time to time.</w:t>
      </w:r>
    </w:p>
    <w:p>
      <w:pPr>
        <w:spacing w:after="0" w:line="17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b w:val="1"/>
          <w:bCs w:val="1"/>
          <w:i w:val="1"/>
          <w:iCs w:val="1"/>
          <w:color w:val="auto"/>
        </w:rPr>
        <w:t xml:space="preserve">“Public-Sider” </w:t>
      </w:r>
      <w:r>
        <w:rPr>
          <w:rFonts w:ascii="Arial" w:cs="Arial" w:eastAsia="Arial" w:hAnsi="Arial"/>
          <w:sz w:val="19"/>
          <w:szCs w:val="19"/>
          <w:color w:val="auto"/>
        </w:rPr>
        <w:t>means a Lender whose representatives may trade in securities of the Borrower or its controlling person or any of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Subsidiaries while in possession of the financial statements provided by the Company under the terms of this Agreement.</w:t>
      </w:r>
    </w:p>
    <w:p>
      <w:pPr>
        <w:spacing w:after="0" w:line="15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QFC Credit Support</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10.17</w:t>
      </w:r>
      <w:r>
        <w:rPr>
          <w:rFonts w:ascii="Arial" w:cs="Arial" w:eastAsia="Arial" w:hAnsi="Arial"/>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8" w:name="page99"/>
    <w:bookmarkEnd w:id="98"/>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Recipient</w:t>
      </w:r>
      <w:r>
        <w:rPr>
          <w:rFonts w:ascii="Arial" w:cs="Arial" w:eastAsia="Arial" w:hAnsi="Arial"/>
          <w:sz w:val="20"/>
          <w:szCs w:val="20"/>
          <w:color w:val="auto"/>
        </w:rPr>
        <w:t>” means, as applicable, (a) the Administrative Agent, (b) any Lender and (c) any Issuing Bank.</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Reference Period</w:t>
      </w:r>
      <w:r>
        <w:rPr>
          <w:rFonts w:ascii="Arial" w:cs="Arial" w:eastAsia="Arial" w:hAnsi="Arial"/>
          <w:sz w:val="20"/>
          <w:szCs w:val="20"/>
          <w:color w:val="auto"/>
        </w:rPr>
        <w:t>” means, as of the last day of any fiscal quarter, the period of four (4) consecutive fiscal quarters of the Company and its Subsidiaries ending on such date.</w:t>
      </w:r>
    </w:p>
    <w:p>
      <w:pPr>
        <w:spacing w:after="0" w:line="17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Reference Time</w:t>
      </w:r>
      <w:r>
        <w:rPr>
          <w:rFonts w:ascii="Arial" w:cs="Arial" w:eastAsia="Arial" w:hAnsi="Arial"/>
          <w:sz w:val="19"/>
          <w:szCs w:val="19"/>
          <w:color w:val="auto"/>
        </w:rPr>
        <w:t xml:space="preserve">” with respect to any setting of the then-current Benchmark means (i) if such Benchmark is the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Rate, </w:t>
      </w:r>
      <w:r>
        <w:rPr>
          <w:rFonts w:ascii="Arial" w:cs="Arial" w:eastAsia="Arial" w:hAnsi="Arial"/>
          <w:sz w:val="19"/>
          <w:szCs w:val="19"/>
          <w:color w:val="FF0000"/>
          <w:strike w:val="1"/>
        </w:rPr>
        <w:t>11:00 a.m., London</w:t>
      </w:r>
      <w:r>
        <w:rPr>
          <w:rFonts w:ascii="Arial" w:cs="Arial" w:eastAsia="Arial" w:hAnsi="Arial"/>
          <w:sz w:val="19"/>
          <w:szCs w:val="19"/>
          <w:u w:val="single" w:color="auto"/>
          <w:color w:val="0000FF"/>
        </w:rPr>
        <w:t>5:00 a.m., Chicago</w:t>
      </w:r>
      <w:r>
        <w:rPr>
          <w:rFonts w:ascii="Arial" w:cs="Arial" w:eastAsia="Arial" w:hAnsi="Arial"/>
          <w:sz w:val="19"/>
          <w:szCs w:val="19"/>
          <w:color w:val="auto"/>
        </w:rPr>
        <w:t xml:space="preserve"> time, on the day that is two (2) </w:t>
      </w:r>
      <w:r>
        <w:rPr>
          <w:rFonts w:ascii="Arial" w:cs="Arial" w:eastAsia="Arial" w:hAnsi="Arial"/>
          <w:sz w:val="19"/>
          <w:szCs w:val="19"/>
          <w:color w:val="FF0000"/>
          <w:strike w:val="1"/>
        </w:rPr>
        <w:t>London banking days</w:t>
      </w:r>
      <w:r>
        <w:rPr>
          <w:rFonts w:ascii="Arial" w:cs="Arial" w:eastAsia="Arial" w:hAnsi="Arial"/>
          <w:sz w:val="19"/>
          <w:szCs w:val="19"/>
          <w:u w:val="single" w:color="auto"/>
          <w:color w:val="0000FF"/>
        </w:rPr>
        <w:t>U.S. Government Securities Business Days</w:t>
      </w:r>
      <w:r>
        <w:rPr>
          <w:rFonts w:ascii="Arial" w:cs="Arial" w:eastAsia="Arial" w:hAnsi="Arial"/>
          <w:sz w:val="19"/>
          <w:szCs w:val="19"/>
          <w:color w:val="auto"/>
        </w:rPr>
        <w:t xml:space="preserve"> preceding the date of such setting, (ii) if such Benchmark is the EURIBO Rate, 11:00 a.m., Brussels time</w:t>
      </w:r>
      <w:r>
        <w:rPr>
          <w:rFonts w:ascii="Arial" w:cs="Arial" w:eastAsia="Arial" w:hAnsi="Arial"/>
          <w:sz w:val="19"/>
          <w:szCs w:val="19"/>
          <w:u w:val="single" w:color="auto"/>
          <w:color w:val="0000FF"/>
        </w:rPr>
        <w:t>,</w:t>
      </w:r>
      <w:r>
        <w:rPr>
          <w:rFonts w:ascii="Arial" w:cs="Arial" w:eastAsia="Arial" w:hAnsi="Arial"/>
          <w:sz w:val="19"/>
          <w:szCs w:val="19"/>
          <w:color w:val="auto"/>
        </w:rPr>
        <w:t xml:space="preserve"> two (2) TARGET Days preceding the date of such setting, (iii) if such Benchmark is </w:t>
      </w:r>
      <w:r>
        <w:rPr>
          <w:rFonts w:ascii="Arial" w:cs="Arial" w:eastAsia="Arial" w:hAnsi="Arial"/>
          <w:sz w:val="19"/>
          <w:szCs w:val="19"/>
          <w:u w:val="single" w:color="auto"/>
          <w:color w:val="0000FF"/>
        </w:rPr>
        <w:t>the</w:t>
      </w:r>
      <w:r>
        <w:rPr>
          <w:rFonts w:ascii="Arial" w:cs="Arial" w:eastAsia="Arial" w:hAnsi="Arial"/>
          <w:sz w:val="19"/>
          <w:szCs w:val="19"/>
          <w:color w:val="auto"/>
        </w:rPr>
        <w:t xml:space="preserve"> TIBO Rate, 11:00 a.m.</w:t>
      </w:r>
      <w:r>
        <w:rPr>
          <w:rFonts w:ascii="Arial" w:cs="Arial" w:eastAsia="Arial" w:hAnsi="Arial"/>
          <w:sz w:val="19"/>
          <w:szCs w:val="19"/>
          <w:u w:val="single" w:color="auto"/>
          <w:color w:val="0000FF"/>
        </w:rPr>
        <w:t>,</w:t>
      </w:r>
      <w:r>
        <w:rPr>
          <w:rFonts w:ascii="Arial" w:cs="Arial" w:eastAsia="Arial" w:hAnsi="Arial"/>
          <w:sz w:val="19"/>
          <w:szCs w:val="19"/>
          <w:color w:val="auto"/>
        </w:rPr>
        <w:t xml:space="preserve"> Japan time</w:t>
      </w:r>
      <w:r>
        <w:rPr>
          <w:rFonts w:ascii="Arial" w:cs="Arial" w:eastAsia="Arial" w:hAnsi="Arial"/>
          <w:sz w:val="19"/>
          <w:szCs w:val="19"/>
          <w:u w:val="single" w:color="auto"/>
          <w:color w:val="0000FF"/>
        </w:rPr>
        <w:t>,</w:t>
      </w:r>
      <w:r>
        <w:rPr>
          <w:rFonts w:ascii="Arial" w:cs="Arial" w:eastAsia="Arial" w:hAnsi="Arial"/>
          <w:sz w:val="19"/>
          <w:szCs w:val="19"/>
          <w:color w:val="auto"/>
        </w:rPr>
        <w:t xml:space="preserve"> two (2) Business Days preceding the date of such setting, (iv) if the RFR for such Benchmark is SONIA, then </w:t>
      </w:r>
      <w:r>
        <w:rPr>
          <w:rFonts w:ascii="Arial" w:cs="Arial" w:eastAsia="Arial" w:hAnsi="Arial"/>
          <w:sz w:val="19"/>
          <w:szCs w:val="19"/>
          <w:color w:val="FF0000"/>
          <w:strike w:val="1"/>
        </w:rPr>
        <w:t>five</w:t>
      </w:r>
      <w:r>
        <w:rPr>
          <w:rFonts w:ascii="Arial" w:cs="Arial" w:eastAsia="Arial" w:hAnsi="Arial"/>
          <w:sz w:val="19"/>
          <w:szCs w:val="19"/>
          <w:u w:val="single" w:color="auto"/>
          <w:color w:val="0000FF"/>
        </w:rPr>
        <w:t>four</w:t>
      </w:r>
      <w:r>
        <w:rPr>
          <w:rFonts w:ascii="Arial" w:cs="Arial" w:eastAsia="Arial" w:hAnsi="Arial"/>
          <w:sz w:val="19"/>
          <w:szCs w:val="19"/>
          <w:color w:val="auto"/>
        </w:rPr>
        <w:t xml:space="preserve"> (</w:t>
      </w:r>
      <w:r>
        <w:rPr>
          <w:rFonts w:ascii="Arial" w:cs="Arial" w:eastAsia="Arial" w:hAnsi="Arial"/>
          <w:sz w:val="19"/>
          <w:szCs w:val="19"/>
          <w:color w:val="FF0000"/>
          <w:strike w:val="1"/>
        </w:rPr>
        <w:t>5</w:t>
      </w:r>
      <w:r>
        <w:rPr>
          <w:rFonts w:ascii="Arial" w:cs="Arial" w:eastAsia="Arial" w:hAnsi="Arial"/>
          <w:sz w:val="19"/>
          <w:szCs w:val="19"/>
          <w:u w:val="single" w:color="auto"/>
          <w:color w:val="0000FF"/>
        </w:rPr>
        <w:t>4</w:t>
      </w:r>
      <w:r>
        <w:rPr>
          <w:rFonts w:ascii="Arial" w:cs="Arial" w:eastAsia="Arial" w:hAnsi="Arial"/>
          <w:sz w:val="19"/>
          <w:szCs w:val="19"/>
          <w:color w:val="auto"/>
        </w:rPr>
        <w:t xml:space="preserve">) </w:t>
      </w:r>
      <w:r>
        <w:rPr>
          <w:rFonts w:ascii="Arial" w:cs="Arial" w:eastAsia="Arial" w:hAnsi="Arial"/>
          <w:sz w:val="19"/>
          <w:szCs w:val="19"/>
          <w:u w:val="single" w:color="auto"/>
          <w:color w:val="0000FF"/>
        </w:rPr>
        <w:t>RFR</w:t>
      </w:r>
      <w:r>
        <w:rPr>
          <w:rFonts w:ascii="Arial" w:cs="Arial" w:eastAsia="Arial" w:hAnsi="Arial"/>
          <w:sz w:val="19"/>
          <w:szCs w:val="19"/>
          <w:color w:val="auto"/>
        </w:rPr>
        <w:t xml:space="preserve"> Business Days prior to such setting, (v) if the RFR for such Benchmark is SARON, then five (5) </w:t>
      </w:r>
      <w:r>
        <w:rPr>
          <w:rFonts w:ascii="Arial" w:cs="Arial" w:eastAsia="Arial" w:hAnsi="Arial"/>
          <w:sz w:val="19"/>
          <w:szCs w:val="19"/>
          <w:u w:val="single" w:color="auto"/>
          <w:color w:val="0000FF"/>
        </w:rPr>
        <w:t>RFR Business Days prior to such setting, (vi) if the RFR for such Benchmark is SORA, then five (5)</w:t>
      </w:r>
      <w:r>
        <w:rPr>
          <w:rFonts w:ascii="Arial" w:cs="Arial" w:eastAsia="Arial" w:hAnsi="Arial"/>
          <w:sz w:val="19"/>
          <w:szCs w:val="19"/>
          <w:color w:val="auto"/>
        </w:rPr>
        <w:t xml:space="preserve"> </w:t>
      </w:r>
      <w:r>
        <w:rPr>
          <w:rFonts w:ascii="Arial" w:cs="Arial" w:eastAsia="Arial" w:hAnsi="Arial"/>
          <w:sz w:val="19"/>
          <w:szCs w:val="19"/>
          <w:u w:val="single" w:color="auto"/>
          <w:color w:val="0000FF"/>
        </w:rPr>
        <w:t>RFR Business Days prior to such setting, (vii) if the RFR for such Benchmark is Daily Simple SOFR, then four (4) RFR</w:t>
      </w:r>
      <w:r>
        <w:rPr>
          <w:rFonts w:ascii="Arial" w:cs="Arial" w:eastAsia="Arial" w:hAnsi="Arial"/>
          <w:sz w:val="19"/>
          <w:szCs w:val="19"/>
          <w:color w:val="0000FF"/>
        </w:rPr>
        <w:t xml:space="preserve"> </w:t>
      </w:r>
      <w:r>
        <w:rPr>
          <w:rFonts w:ascii="Arial" w:cs="Arial" w:eastAsia="Arial" w:hAnsi="Arial"/>
          <w:sz w:val="19"/>
          <w:szCs w:val="19"/>
          <w:color w:val="000000"/>
        </w:rPr>
        <w:t>Business Days prior</w:t>
      </w:r>
      <w:r>
        <w:rPr>
          <w:rFonts w:ascii="Arial" w:cs="Arial" w:eastAsia="Arial" w:hAnsi="Arial"/>
          <w:sz w:val="19"/>
          <w:szCs w:val="19"/>
          <w:color w:val="0000FF"/>
        </w:rPr>
        <w:t xml:space="preserve"> </w:t>
      </w:r>
      <w:r>
        <w:rPr>
          <w:rFonts w:ascii="Arial" w:cs="Arial" w:eastAsia="Arial" w:hAnsi="Arial"/>
          <w:sz w:val="19"/>
          <w:szCs w:val="19"/>
          <w:color w:val="000000"/>
        </w:rPr>
        <w:t>to such setting or (</w:t>
      </w:r>
      <w:r>
        <w:rPr>
          <w:rFonts w:ascii="Arial" w:cs="Arial" w:eastAsia="Arial" w:hAnsi="Arial"/>
          <w:sz w:val="19"/>
          <w:szCs w:val="19"/>
          <w:color w:val="FF0000"/>
          <w:strike w:val="1"/>
        </w:rPr>
        <w:t>vi</w:t>
      </w:r>
      <w:r>
        <w:rPr>
          <w:rFonts w:ascii="Arial" w:cs="Arial" w:eastAsia="Arial" w:hAnsi="Arial"/>
          <w:sz w:val="19"/>
          <w:szCs w:val="19"/>
          <w:u w:val="single" w:color="auto"/>
          <w:color w:val="0000FF"/>
        </w:rPr>
        <w:t>viii</w:t>
      </w:r>
      <w:r>
        <w:rPr>
          <w:rFonts w:ascii="Arial" w:cs="Arial" w:eastAsia="Arial" w:hAnsi="Arial"/>
          <w:sz w:val="19"/>
          <w:szCs w:val="19"/>
          <w:color w:val="000000"/>
        </w:rPr>
        <w:t xml:space="preserve">) if such Benchmark is none of the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Term SOFR</w:t>
      </w:r>
      <w:r>
        <w:rPr>
          <w:rFonts w:ascii="Arial" w:cs="Arial" w:eastAsia="Arial" w:hAnsi="Arial"/>
          <w:sz w:val="19"/>
          <w:szCs w:val="19"/>
          <w:color w:val="000000"/>
        </w:rPr>
        <w:t xml:space="preserve"> Rate</w:t>
      </w:r>
      <w:r>
        <w:rPr>
          <w:rFonts w:ascii="Arial" w:cs="Arial" w:eastAsia="Arial" w:hAnsi="Arial"/>
          <w:sz w:val="19"/>
          <w:szCs w:val="19"/>
          <w:u w:val="single" w:color="auto"/>
          <w:color w:val="0000FF"/>
        </w:rPr>
        <w:t>, Daily Simple SOFR</w:t>
      </w:r>
      <w:r>
        <w:rPr>
          <w:rFonts w:ascii="Arial" w:cs="Arial" w:eastAsia="Arial" w:hAnsi="Arial"/>
          <w:sz w:val="19"/>
          <w:szCs w:val="19"/>
          <w:color w:val="000000"/>
        </w:rPr>
        <w:t xml:space="preserve">, the EURIBO Rate, the TIBO Rate, SONIA </w:t>
      </w:r>
      <w:r>
        <w:rPr>
          <w:rFonts w:ascii="Arial" w:cs="Arial" w:eastAsia="Arial" w:hAnsi="Arial"/>
          <w:sz w:val="19"/>
          <w:szCs w:val="19"/>
          <w:color w:val="FF0000"/>
        </w:rPr>
        <w:t>or</w:t>
      </w:r>
      <w:r>
        <w:rPr>
          <w:rFonts w:ascii="Arial" w:cs="Arial" w:eastAsia="Arial" w:hAnsi="Arial"/>
          <w:sz w:val="19"/>
          <w:szCs w:val="19"/>
          <w:u w:val="single" w:color="auto"/>
          <w:color w:val="0000FF"/>
        </w:rPr>
        <w:t>,</w:t>
      </w:r>
      <w:r>
        <w:rPr>
          <w:rFonts w:ascii="Arial" w:cs="Arial" w:eastAsia="Arial" w:hAnsi="Arial"/>
          <w:sz w:val="19"/>
          <w:szCs w:val="19"/>
          <w:color w:val="000000"/>
        </w:rPr>
        <w:t xml:space="preserve"> SARON </w:t>
      </w:r>
      <w:r>
        <w:rPr>
          <w:rFonts w:ascii="Arial" w:cs="Arial" w:eastAsia="Arial" w:hAnsi="Arial"/>
          <w:sz w:val="19"/>
          <w:szCs w:val="19"/>
          <w:color w:val="0000FF"/>
        </w:rPr>
        <w:t>or SORA</w:t>
      </w:r>
      <w:r>
        <w:rPr>
          <w:rFonts w:ascii="Arial" w:cs="Arial" w:eastAsia="Arial" w:hAnsi="Arial"/>
          <w:sz w:val="19"/>
          <w:szCs w:val="19"/>
          <w:color w:val="000000"/>
        </w:rPr>
        <w:t>, the time determined by the Administrative Agent in its reasonable discretion after consultation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-228600</wp:posOffset>
            </wp:positionV>
            <wp:extent cx="15176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151765"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-177165</wp:posOffset>
            </wp:positionV>
            <wp:extent cx="5441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544195" cy="8255"/>
                    </a:xfrm>
                    <a:prstGeom prst="rect">
                      <a:avLst/>
                    </a:prstGeom>
                    <a:noFill/>
                  </pic:spPr>
                </pic:pic>
              </a:graphicData>
            </a:graphic>
          </wp:anchor>
        </w:drawing>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Register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Related Parties</w:t>
      </w:r>
      <w:r>
        <w:rPr>
          <w:rFonts w:ascii="Arial" w:cs="Arial" w:eastAsia="Arial" w:hAnsi="Arial"/>
          <w:sz w:val="20"/>
          <w:szCs w:val="20"/>
          <w:color w:val="auto"/>
        </w:rPr>
        <w:t>” means, with respect to any specified Person, such Person’s Affiliates and the respective partners, directors, officers, employees, agents and advisors of such Person and such Person’s Affiliates.</w:t>
      </w:r>
    </w:p>
    <w:p>
      <w:pPr>
        <w:spacing w:after="0" w:line="17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Relevant Adjusted Rate</w:t>
      </w:r>
      <w:r>
        <w:rPr>
          <w:rFonts w:ascii="Arial" w:cs="Arial" w:eastAsia="Arial" w:hAnsi="Arial"/>
          <w:sz w:val="18"/>
          <w:szCs w:val="18"/>
          <w:color w:val="auto"/>
        </w:rPr>
        <w:t xml:space="preserve">” means (i) with respect to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Borrowing denominated in U.S. Dollars, the Adjusted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Rate, (ii) with respect to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Borrowing denominated in Euro, the Adjusted EURIBO Rate, (iii) with respect to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Borrowing denominated in Japanese Yen, the Adjusted TIBO Rate,</w:t>
      </w:r>
    </w:p>
    <w:p>
      <w:pPr>
        <w:spacing w:after="0" w:line="1" w:lineRule="exact"/>
        <w:rPr>
          <w:sz w:val="20"/>
          <w:szCs w:val="20"/>
          <w:color w:val="auto"/>
        </w:rPr>
      </w:pPr>
    </w:p>
    <w:p>
      <w:pPr>
        <w:jc w:val="both"/>
        <w:ind w:firstLine="8"/>
        <w:spacing w:after="0" w:line="241" w:lineRule="auto"/>
        <w:tabs>
          <w:tab w:leader="none" w:pos="362"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with respect to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Borrowing denominated in Canadian Dollars, the Adjusted CDOR Rate, (v) with respect to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Borrowing denominated in Australian Dollars, the Adjusted AUD Rate or (vi) with respect to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RFR</w:t>
      </w:r>
      <w:r>
        <w:rPr>
          <w:rFonts w:ascii="Arial" w:cs="Arial" w:eastAsia="Arial" w:hAnsi="Arial"/>
          <w:sz w:val="20"/>
          <w:szCs w:val="20"/>
          <w:color w:val="auto"/>
        </w:rPr>
        <w:t xml:space="preserve"> Borrowing denominated in </w:t>
      </w:r>
      <w:r>
        <w:rPr>
          <w:rFonts w:ascii="Arial" w:cs="Arial" w:eastAsia="Arial" w:hAnsi="Arial"/>
          <w:sz w:val="20"/>
          <w:szCs w:val="20"/>
          <w:u w:val="single" w:color="auto"/>
          <w:color w:val="0000FF"/>
        </w:rPr>
        <w:t>Pounds Sterling, Swiss Francs,</w:t>
      </w:r>
      <w:r>
        <w:rPr>
          <w:rFonts w:ascii="Arial" w:cs="Arial" w:eastAsia="Arial" w:hAnsi="Arial"/>
          <w:sz w:val="20"/>
          <w:szCs w:val="20"/>
          <w:color w:val="auto"/>
        </w:rPr>
        <w:t xml:space="preserve"> Singapore Dollars </w:t>
      </w:r>
      <w:r>
        <w:rPr>
          <w:rFonts w:ascii="Arial" w:cs="Arial" w:eastAsia="Arial" w:hAnsi="Arial"/>
          <w:sz w:val="20"/>
          <w:szCs w:val="20"/>
          <w:color w:val="0000FF"/>
        </w:rPr>
        <w:t>or Dollars</w:t>
      </w:r>
      <w:r>
        <w:rPr>
          <w:rFonts w:ascii="Arial" w:cs="Arial" w:eastAsia="Arial" w:hAnsi="Arial"/>
          <w:sz w:val="20"/>
          <w:szCs w:val="20"/>
          <w:color w:val="auto"/>
        </w:rPr>
        <w:t xml:space="preserve">, the </w:t>
      </w:r>
      <w:r>
        <w:rPr>
          <w:rFonts w:ascii="Arial" w:cs="Arial" w:eastAsia="Arial" w:hAnsi="Arial"/>
          <w:sz w:val="20"/>
          <w:szCs w:val="20"/>
          <w:u w:val="single" w:color="auto"/>
          <w:color w:val="0000FF"/>
        </w:rPr>
        <w:t>applicable</w:t>
      </w:r>
      <w:r>
        <w:rPr>
          <w:rFonts w:ascii="Arial" w:cs="Arial" w:eastAsia="Arial" w:hAnsi="Arial"/>
          <w:sz w:val="20"/>
          <w:szCs w:val="20"/>
          <w:color w:val="auto"/>
        </w:rPr>
        <w:t xml:space="preserve"> Adjusted </w:t>
      </w:r>
      <w:r>
        <w:rPr>
          <w:rFonts w:ascii="Arial" w:cs="Arial" w:eastAsia="Arial" w:hAnsi="Arial"/>
          <w:sz w:val="20"/>
          <w:szCs w:val="20"/>
          <w:color w:val="FF0000"/>
          <w:strike w:val="1"/>
        </w:rPr>
        <w:t>SIBO Rate</w:t>
      </w:r>
      <w:r>
        <w:rPr>
          <w:rFonts w:ascii="Arial" w:cs="Arial" w:eastAsia="Arial" w:hAnsi="Arial"/>
          <w:sz w:val="20"/>
          <w:szCs w:val="20"/>
          <w:u w:val="single" w:color="auto"/>
          <w:color w:val="0000FF"/>
        </w:rPr>
        <w:t>Daily Simple RFR</w:t>
      </w:r>
      <w:r>
        <w:rPr>
          <w:rFonts w:ascii="Arial" w:cs="Arial" w:eastAsia="Arial" w:hAnsi="Arial"/>
          <w:sz w:val="20"/>
          <w:szCs w:val="20"/>
          <w:color w:val="000000"/>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5255895</wp:posOffset>
            </wp:positionH>
            <wp:positionV relativeFrom="paragraph">
              <wp:posOffset>-173990</wp:posOffset>
            </wp:positionV>
            <wp:extent cx="57848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578485" cy="8255"/>
                    </a:xfrm>
                    <a:prstGeom prst="rect">
                      <a:avLst/>
                    </a:prstGeom>
                    <a:noFill/>
                  </pic:spPr>
                </pic:pic>
              </a:graphicData>
            </a:graphic>
          </wp:anchor>
        </w:drawing>
      </w:r>
    </w:p>
    <w:p>
      <w:pPr>
        <w:spacing w:after="0" w:line="174"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Relevant Governmental Body</w:t>
      </w:r>
      <w:r>
        <w:rPr>
          <w:rFonts w:ascii="Arial" w:cs="Arial" w:eastAsia="Arial" w:hAnsi="Arial"/>
          <w:sz w:val="19"/>
          <w:szCs w:val="19"/>
          <w:color w:val="auto"/>
        </w:rPr>
        <w:t>” means (i) with respect to a Benchmark Replacement in respect of Loans denominated in U.S. Dollars, the Board and/or the NYFRB, or a committee officially endorsed or convened by the Board and/or the NYFRB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 the European Central Bank, or a committee officially endorsed or convened by the European Central Bank or, in each case, any successor thereto, (iv) with respect to a Benchmark Replacement in respect of Loans denominated in Japanese Yen, the Bank of Japan, or a committee officially endorsed or convened by the Bank of Japan or, in each case, any successor thereto, (v) with respect to a Benchmark Replacement in respect of Loans denominated in Swiss Francs, the Swiss National Bank, or a committee officially endorsed or convened by the Swiss National Bank or, in each case, any successor thereto and (vi)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9" w:name="page100"/>
    <w:bookmarkEnd w:id="99"/>
    <w:p>
      <w:pPr>
        <w:jc w:val="both"/>
        <w:spacing w:after="0" w:line="269" w:lineRule="auto"/>
        <w:rPr>
          <w:sz w:val="20"/>
          <w:szCs w:val="20"/>
          <w:color w:val="auto"/>
        </w:rPr>
      </w:pPr>
      <w:r>
        <w:rPr>
          <w:rFonts w:ascii="Arial" w:cs="Arial" w:eastAsia="Arial" w:hAnsi="Arial"/>
          <w:sz w:val="19"/>
          <w:szCs w:val="19"/>
          <w:color w:val="auto"/>
        </w:rPr>
        <w:t>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7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Relevant Interpolated Rate</w:t>
      </w:r>
      <w:r>
        <w:rPr>
          <w:rFonts w:ascii="Arial" w:cs="Arial" w:eastAsia="Arial" w:hAnsi="Arial"/>
          <w:sz w:val="20"/>
          <w:szCs w:val="20"/>
          <w:color w:val="FF0000"/>
          <w:strike w:val="1"/>
        </w:rPr>
        <w:t>” means (i) with respect to any Eurocurrency Borrowing denominated in U.S. Dollars, the LIBO Interpolated Rate, (ii) with respect to any Eurocurrency Borrowing denominated in Euro, the EURIBO Interpolated Rate, (iii) with respect to any Eurocurrency Borrowing denominated in Japanese Yen, the TIBO Interpolated Rate, (iv) with respect to any Eurocurrency Borrowing denominated in Canadian Dollars, the CDOR Interpolated Rate, (v) with respect to any Eurocurrency Borrowing denominated in Australian Dollars, the AUD Interpolated Rate or (vi) with respect to any Eurocurrency Borrowing denominated in Singapore Dollars, the SIBO Interpolated Rate, as applicable.</w:t>
      </w:r>
    </w:p>
    <w:p>
      <w:pPr>
        <w:spacing w:after="0" w:line="19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Relevant Rate</w:t>
      </w:r>
      <w:r>
        <w:rPr>
          <w:rFonts w:ascii="Arial" w:cs="Arial" w:eastAsia="Arial" w:hAnsi="Arial"/>
          <w:sz w:val="20"/>
          <w:szCs w:val="20"/>
          <w:color w:val="auto"/>
        </w:rPr>
        <w:t xml:space="preserve">” means (i) with respect to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Borrowing denominated in U.S. Dollars, the </w:t>
      </w:r>
      <w:r>
        <w:rPr>
          <w:rFonts w:ascii="Arial" w:cs="Arial" w:eastAsia="Arial" w:hAnsi="Arial"/>
          <w:sz w:val="20"/>
          <w:szCs w:val="20"/>
          <w:color w:val="FF0000"/>
          <w:strike w:val="1"/>
        </w:rPr>
        <w:t>LIBO</w:t>
      </w:r>
      <w:r>
        <w:rPr>
          <w:rFonts w:ascii="Arial" w:cs="Arial" w:eastAsia="Arial" w:hAnsi="Arial"/>
          <w:sz w:val="20"/>
          <w:szCs w:val="20"/>
          <w:u w:val="single" w:color="auto"/>
          <w:color w:val="0000FF"/>
        </w:rPr>
        <w:t>Term SOFR</w:t>
      </w:r>
      <w:r>
        <w:rPr>
          <w:rFonts w:ascii="Arial" w:cs="Arial" w:eastAsia="Arial" w:hAnsi="Arial"/>
          <w:sz w:val="20"/>
          <w:szCs w:val="20"/>
          <w:color w:val="FF0000"/>
        </w:rPr>
        <w:t xml:space="preserve"> </w:t>
      </w:r>
      <w:r>
        <w:rPr>
          <w:rFonts w:ascii="Arial" w:cs="Arial" w:eastAsia="Arial" w:hAnsi="Arial"/>
          <w:sz w:val="20"/>
          <w:szCs w:val="20"/>
          <w:color w:val="000000"/>
        </w:rPr>
        <w:t>Rate, (ii) with respect to any</w:t>
      </w:r>
      <w:r>
        <w:rPr>
          <w:rFonts w:ascii="Arial" w:cs="Arial" w:eastAsia="Arial" w:hAnsi="Arial"/>
          <w:sz w:val="20"/>
          <w:szCs w:val="20"/>
          <w:color w:val="FF0000"/>
        </w:rPr>
        <w:t xml:space="preserve"> </w:t>
      </w:r>
      <w:r>
        <w:rPr>
          <w:rFonts w:ascii="Arial" w:cs="Arial" w:eastAsia="Arial" w:hAnsi="Arial"/>
          <w:sz w:val="20"/>
          <w:szCs w:val="20"/>
          <w:color w:val="FF0000"/>
          <w:strike w:val="1"/>
        </w:rPr>
        <w:t>Eurocurrency</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Term Benchmark</w:t>
      </w:r>
      <w:r>
        <w:rPr>
          <w:rFonts w:ascii="Arial" w:cs="Arial" w:eastAsia="Arial" w:hAnsi="Arial"/>
          <w:sz w:val="20"/>
          <w:szCs w:val="20"/>
          <w:color w:val="FF0000"/>
        </w:rPr>
        <w:t xml:space="preserve"> </w:t>
      </w:r>
      <w:r>
        <w:rPr>
          <w:rFonts w:ascii="Arial" w:cs="Arial" w:eastAsia="Arial" w:hAnsi="Arial"/>
          <w:sz w:val="20"/>
          <w:szCs w:val="20"/>
          <w:color w:val="000000"/>
        </w:rPr>
        <w:t>Borrowing denominated in Euro, the EURIBO Rate, (iii) with</w:t>
      </w:r>
      <w:r>
        <w:rPr>
          <w:rFonts w:ascii="Arial" w:cs="Arial" w:eastAsia="Arial" w:hAnsi="Arial"/>
          <w:sz w:val="20"/>
          <w:szCs w:val="20"/>
          <w:color w:val="FF0000"/>
        </w:rPr>
        <w:t xml:space="preserve"> </w:t>
      </w:r>
      <w:r>
        <w:rPr>
          <w:rFonts w:ascii="Arial" w:cs="Arial" w:eastAsia="Arial" w:hAnsi="Arial"/>
          <w:sz w:val="20"/>
          <w:szCs w:val="20"/>
          <w:color w:val="000000"/>
        </w:rPr>
        <w:t xml:space="preserve">respect to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000000"/>
        </w:rPr>
        <w:t xml:space="preserve"> Borrowing denominated in Japanese Yen, the TIBO Rate, (iv) with respect to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FF0000"/>
        </w:rPr>
        <w:t xml:space="preserve"> </w:t>
      </w:r>
      <w:r>
        <w:rPr>
          <w:rFonts w:ascii="Arial" w:cs="Arial" w:eastAsia="Arial" w:hAnsi="Arial"/>
          <w:sz w:val="20"/>
          <w:szCs w:val="20"/>
          <w:color w:val="000000"/>
        </w:rPr>
        <w:t>Borrowing denominated in Canadian Dollars, the CDOR Rate</w:t>
      </w:r>
      <w:r>
        <w:rPr>
          <w:rFonts w:ascii="Arial" w:cs="Arial" w:eastAsia="Arial" w:hAnsi="Arial"/>
          <w:sz w:val="20"/>
          <w:szCs w:val="20"/>
          <w:color w:val="FF0000"/>
          <w:strike w:val="1"/>
        </w:rPr>
        <w:t>,</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or</w:t>
      </w:r>
      <w:r>
        <w:rPr>
          <w:rFonts w:ascii="Arial" w:cs="Arial" w:eastAsia="Arial" w:hAnsi="Arial"/>
          <w:sz w:val="20"/>
          <w:szCs w:val="20"/>
          <w:color w:val="FF0000"/>
        </w:rPr>
        <w:t xml:space="preserve"> </w:t>
      </w:r>
      <w:r>
        <w:rPr>
          <w:rFonts w:ascii="Arial" w:cs="Arial" w:eastAsia="Arial" w:hAnsi="Arial"/>
          <w:sz w:val="20"/>
          <w:szCs w:val="20"/>
          <w:color w:val="000000"/>
        </w:rPr>
        <w:t>(v) with respect to any</w:t>
      </w:r>
      <w:r>
        <w:rPr>
          <w:rFonts w:ascii="Arial" w:cs="Arial" w:eastAsia="Arial" w:hAnsi="Arial"/>
          <w:sz w:val="20"/>
          <w:szCs w:val="20"/>
          <w:color w:val="FF0000"/>
        </w:rPr>
        <w:t xml:space="preserve">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Benchmark</w:t>
      </w:r>
      <w:r>
        <w:rPr>
          <w:rFonts w:ascii="Arial" w:cs="Arial" w:eastAsia="Arial" w:hAnsi="Arial"/>
          <w:sz w:val="20"/>
          <w:szCs w:val="20"/>
          <w:color w:val="0000FF"/>
        </w:rPr>
        <w:t xml:space="preserve"> </w:t>
      </w:r>
      <w:r>
        <w:rPr>
          <w:rFonts w:ascii="Arial" w:cs="Arial" w:eastAsia="Arial" w:hAnsi="Arial"/>
          <w:sz w:val="20"/>
          <w:szCs w:val="20"/>
          <w:color w:val="000000"/>
        </w:rPr>
        <w:t>Borrowing denominated in Australian Dollars, the AUD Rate</w:t>
      </w:r>
      <w:r>
        <w:rPr>
          <w:rFonts w:ascii="Arial" w:cs="Arial" w:eastAsia="Arial" w:hAnsi="Arial"/>
          <w:sz w:val="20"/>
          <w:szCs w:val="20"/>
          <w:color w:val="0000FF"/>
        </w:rPr>
        <w:t xml:space="preserve"> </w:t>
      </w:r>
      <w:r>
        <w:rPr>
          <w:rFonts w:ascii="Arial" w:cs="Arial" w:eastAsia="Arial" w:hAnsi="Arial"/>
          <w:sz w:val="20"/>
          <w:szCs w:val="20"/>
          <w:color w:val="FF0000"/>
        </w:rPr>
        <w:t>or (vi) with respect to any Eurocurrency Borrowing denominated in</w:t>
      </w:r>
      <w:r>
        <w:rPr>
          <w:rFonts w:ascii="Arial" w:cs="Arial" w:eastAsia="Arial" w:hAnsi="Arial"/>
          <w:sz w:val="20"/>
          <w:szCs w:val="20"/>
          <w:color w:val="0000FF"/>
        </w:rPr>
        <w:t xml:space="preserve"> </w:t>
      </w:r>
      <w:r>
        <w:rPr>
          <w:rFonts w:ascii="Arial" w:cs="Arial" w:eastAsia="Arial" w:hAnsi="Arial"/>
          <w:sz w:val="20"/>
          <w:szCs w:val="20"/>
          <w:color w:val="FF0000"/>
          <w:strike w:val="1"/>
        </w:rPr>
        <w:t>Singapore Dollars, the SIBO Rate</w:t>
      </w:r>
      <w:r>
        <w:rPr>
          <w:rFonts w:ascii="Arial" w:cs="Arial" w:eastAsia="Arial" w:hAnsi="Arial"/>
          <w:sz w:val="20"/>
          <w:szCs w:val="20"/>
          <w:color w:val="000000"/>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-224155</wp:posOffset>
            </wp:positionV>
            <wp:extent cx="347091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3470910" cy="8255"/>
                    </a:xfrm>
                    <a:prstGeom prst="rect">
                      <a:avLst/>
                    </a:prstGeom>
                    <a:noFill/>
                  </pic:spPr>
                </pic:pic>
              </a:graphicData>
            </a:graphic>
          </wp:anchor>
        </w:drawing>
      </w:r>
    </w:p>
    <w:p>
      <w:pPr>
        <w:spacing w:after="0" w:line="17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Relevant Screen Rate</w:t>
      </w:r>
      <w:r>
        <w:rPr>
          <w:rFonts w:ascii="Arial" w:cs="Arial" w:eastAsia="Arial" w:hAnsi="Arial"/>
          <w:sz w:val="19"/>
          <w:szCs w:val="19"/>
          <w:color w:val="auto"/>
        </w:rPr>
        <w:t xml:space="preserve">” means (i) with respect to any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Benchmark</w:t>
      </w:r>
      <w:r>
        <w:rPr>
          <w:rFonts w:ascii="Arial" w:cs="Arial" w:eastAsia="Arial" w:hAnsi="Arial"/>
          <w:sz w:val="19"/>
          <w:szCs w:val="19"/>
          <w:color w:val="auto"/>
        </w:rPr>
        <w:t xml:space="preserve"> Borrowing denominated in U.S. Dollars, the </w:t>
      </w:r>
      <w:r>
        <w:rPr>
          <w:rFonts w:ascii="Arial" w:cs="Arial" w:eastAsia="Arial" w:hAnsi="Arial"/>
          <w:sz w:val="19"/>
          <w:szCs w:val="19"/>
          <w:color w:val="FF0000"/>
          <w:strike w:val="1"/>
        </w:rPr>
        <w:t>LIBO Screen</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00000"/>
        </w:rPr>
        <w:t>Rate, (ii) with respect to any</w:t>
      </w:r>
      <w:r>
        <w:rPr>
          <w:rFonts w:ascii="Arial" w:cs="Arial" w:eastAsia="Arial" w:hAnsi="Arial"/>
          <w:sz w:val="19"/>
          <w:szCs w:val="19"/>
          <w:color w:val="FF0000"/>
        </w:rPr>
        <w:t xml:space="preserve">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Benchmark</w:t>
      </w:r>
      <w:r>
        <w:rPr>
          <w:rFonts w:ascii="Arial" w:cs="Arial" w:eastAsia="Arial" w:hAnsi="Arial"/>
          <w:sz w:val="19"/>
          <w:szCs w:val="19"/>
          <w:color w:val="FF0000"/>
        </w:rPr>
        <w:t xml:space="preserve"> </w:t>
      </w:r>
      <w:r>
        <w:rPr>
          <w:rFonts w:ascii="Arial" w:cs="Arial" w:eastAsia="Arial" w:hAnsi="Arial"/>
          <w:sz w:val="19"/>
          <w:szCs w:val="19"/>
          <w:color w:val="000000"/>
        </w:rPr>
        <w:t>Borrowing denominated in Euro, the EURIBO Screen</w:t>
      </w:r>
      <w:r>
        <w:rPr>
          <w:rFonts w:ascii="Arial" w:cs="Arial" w:eastAsia="Arial" w:hAnsi="Arial"/>
          <w:sz w:val="19"/>
          <w:szCs w:val="19"/>
          <w:color w:val="FF0000"/>
        </w:rPr>
        <w:t xml:space="preserve"> </w:t>
      </w:r>
      <w:r>
        <w:rPr>
          <w:rFonts w:ascii="Arial" w:cs="Arial" w:eastAsia="Arial" w:hAnsi="Arial"/>
          <w:sz w:val="19"/>
          <w:szCs w:val="19"/>
          <w:color w:val="000000"/>
        </w:rPr>
        <w:t xml:space="preserve">Rate, (iii) with respect to any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Benchmark</w:t>
      </w:r>
      <w:r>
        <w:rPr>
          <w:rFonts w:ascii="Arial" w:cs="Arial" w:eastAsia="Arial" w:hAnsi="Arial"/>
          <w:sz w:val="19"/>
          <w:szCs w:val="19"/>
          <w:color w:val="000000"/>
        </w:rPr>
        <w:t xml:space="preserve"> Borrowing denominated in Japanese Yen, the TIBO Screen Rate, (iv) with respect to any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Benchmark</w:t>
      </w:r>
      <w:r>
        <w:rPr>
          <w:rFonts w:ascii="Arial" w:cs="Arial" w:eastAsia="Arial" w:hAnsi="Arial"/>
          <w:sz w:val="19"/>
          <w:szCs w:val="19"/>
          <w:color w:val="000000"/>
        </w:rPr>
        <w:t xml:space="preserve"> Borrowing denominated in Canadian Dollars, the CDOR Screen Rate</w:t>
      </w:r>
      <w:r>
        <w:rPr>
          <w:rFonts w:ascii="Arial" w:cs="Arial" w:eastAsia="Arial" w:hAnsi="Arial"/>
          <w:sz w:val="19"/>
          <w:szCs w:val="19"/>
          <w:color w:val="FF0000"/>
          <w:strike w:val="1"/>
        </w:rPr>
        <w:t>,</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or</w:t>
      </w:r>
      <w:r>
        <w:rPr>
          <w:rFonts w:ascii="Arial" w:cs="Arial" w:eastAsia="Arial" w:hAnsi="Arial"/>
          <w:sz w:val="19"/>
          <w:szCs w:val="19"/>
          <w:color w:val="000000"/>
        </w:rPr>
        <w:t xml:space="preserve"> (v) with respect to any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Benchmark</w:t>
      </w:r>
      <w:r>
        <w:rPr>
          <w:rFonts w:ascii="Arial" w:cs="Arial" w:eastAsia="Arial" w:hAnsi="Arial"/>
          <w:sz w:val="19"/>
          <w:szCs w:val="19"/>
          <w:color w:val="000000"/>
        </w:rPr>
        <w:t xml:space="preserve"> Borrowing denominated in Australian Dollars, the AUD Screen Rate </w:t>
      </w:r>
      <w:r>
        <w:rPr>
          <w:rFonts w:ascii="Arial" w:cs="Arial" w:eastAsia="Arial" w:hAnsi="Arial"/>
          <w:sz w:val="19"/>
          <w:szCs w:val="19"/>
          <w:color w:val="FF0000"/>
        </w:rPr>
        <w:t>or (vi) with respect to any</w:t>
      </w:r>
      <w:r>
        <w:rPr>
          <w:rFonts w:ascii="Arial" w:cs="Arial" w:eastAsia="Arial" w:hAnsi="Arial"/>
          <w:sz w:val="19"/>
          <w:szCs w:val="19"/>
          <w:color w:val="000000"/>
        </w:rPr>
        <w:t xml:space="preserve"> </w:t>
      </w:r>
      <w:r>
        <w:rPr>
          <w:rFonts w:ascii="Arial" w:cs="Arial" w:eastAsia="Arial" w:hAnsi="Arial"/>
          <w:sz w:val="19"/>
          <w:szCs w:val="19"/>
          <w:color w:val="FF0000"/>
          <w:strike w:val="1"/>
        </w:rPr>
        <w:t>Eurocurrency Borrowing denominated in Singapore Dollars, the SIBOR Screen Rate</w:t>
      </w:r>
      <w:r>
        <w:rPr>
          <w:rFonts w:ascii="Arial" w:cs="Arial" w:eastAsia="Arial" w:hAnsi="Arial"/>
          <w:sz w:val="19"/>
          <w:szCs w:val="19"/>
          <w:color w:val="000000"/>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-235585</wp:posOffset>
            </wp:positionV>
            <wp:extent cx="15570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1557020" cy="8255"/>
                    </a:xfrm>
                    <a:prstGeom prst="rect">
                      <a:avLst/>
                    </a:prstGeom>
                    <a:noFill/>
                  </pic:spPr>
                </pic:pic>
              </a:graphicData>
            </a:graphic>
          </wp:anchor>
        </w:drawing>
      </w:r>
    </w:p>
    <w:p>
      <w:pPr>
        <w:spacing w:after="0" w:line="15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Required Lenders</w:t>
      </w:r>
      <w:r>
        <w:rPr>
          <w:rFonts w:ascii="Arial" w:cs="Arial" w:eastAsia="Arial" w:hAnsi="Arial"/>
          <w:sz w:val="19"/>
          <w:szCs w:val="19"/>
          <w:color w:val="auto"/>
        </w:rPr>
        <w:t xml:space="preserve">” means, at any time, Lenders having Revolving Credit Exposures and unused Commitments representing more than fifty percent (50%) of the sum of the Total Revolving Credit Exposures and unused Commitments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declaring the Loans to be due and payable pursuant to Article VII, and for all purposes after the Loans become due and payable pursuant to Article VII or the Commitments expire or terminate, then, as to each Lender, clause (a) of the definition of Swingline Exposure shall only be applicable for purposes of determining its Revolving Credit Exposure to the extent such Lender shall have funded its participation in the outstanding Swingline Loans;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for the purpose of determining the Required Lenders needed for any waiver, amendment, modification or consent, any Lender that is the Borrower, or any Affiliate of the Borrower shall be disregarded. For the avoidance of doubt, assignments to any Borrower, or any Affiliate or Subsidiary of any Borrower shall not be permitted hereunder in accordance with Section 10.04(b).</w:t>
      </w:r>
    </w:p>
    <w:p>
      <w:pPr>
        <w:spacing w:after="0" w:line="18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Reuters</w:t>
      </w:r>
      <w:r>
        <w:rPr>
          <w:rFonts w:ascii="Arial" w:cs="Arial" w:eastAsia="Arial" w:hAnsi="Arial"/>
          <w:sz w:val="20"/>
          <w:szCs w:val="20"/>
          <w:u w:val="single" w:color="auto"/>
          <w:color w:val="0000FF"/>
        </w:rPr>
        <w:t>” means, as applicable, Thomson Reuters Corp., Refinitiv, or any successor thereto.</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Credit Exposure</w:t>
      </w:r>
      <w:r>
        <w:rPr>
          <w:rFonts w:ascii="Arial" w:cs="Arial" w:eastAsia="Arial" w:hAnsi="Arial"/>
          <w:sz w:val="20"/>
          <w:szCs w:val="20"/>
          <w:color w:val="auto"/>
        </w:rPr>
        <w:t>” means, with respect to any Lender at any time, the sum of the outstanding principal amount of such Lender’s Revolving Loans, its LC Exposure and its Swingline Exposure at such time.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0" w:name="page101"/>
    <w:bookmarkEnd w:id="100"/>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Loan</w:t>
      </w:r>
      <w:r>
        <w:rPr>
          <w:rFonts w:ascii="Arial" w:cs="Arial" w:eastAsia="Arial" w:hAnsi="Arial"/>
          <w:sz w:val="20"/>
          <w:szCs w:val="20"/>
          <w:color w:val="auto"/>
        </w:rPr>
        <w:t xml:space="preserve">” means a Loan made pursuant to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RFR</w:t>
      </w:r>
      <w:r>
        <w:rPr>
          <w:rFonts w:ascii="Arial" w:cs="Arial" w:eastAsia="Arial" w:hAnsi="Arial"/>
          <w:sz w:val="18"/>
          <w:szCs w:val="18"/>
          <w:color w:val="auto"/>
        </w:rPr>
        <w:t xml:space="preserve">” means, for any RFR Loan denominated in (a) Pounds Sterling, SONIA </w:t>
      </w:r>
      <w:r>
        <w:rPr>
          <w:rFonts w:ascii="Arial" w:cs="Arial" w:eastAsia="Arial" w:hAnsi="Arial"/>
          <w:sz w:val="18"/>
          <w:szCs w:val="18"/>
          <w:color w:val="FF0000"/>
        </w:rPr>
        <w:t>and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(b) Swiss Francs, SARON</w:t>
      </w:r>
      <w:r>
        <w:rPr>
          <w:rFonts w:ascii="Arial" w:cs="Arial" w:eastAsia="Arial" w:hAnsi="Arial"/>
          <w:sz w:val="18"/>
          <w:szCs w:val="18"/>
          <w:color w:val="FF0000"/>
          <w:strike w:val="1"/>
        </w:rPr>
        <w:t>.</w:t>
      </w:r>
      <w:r>
        <w:rPr>
          <w:rFonts w:ascii="Arial" w:cs="Arial" w:eastAsia="Arial" w:hAnsi="Arial"/>
          <w:sz w:val="18"/>
          <w:szCs w:val="18"/>
          <w:u w:val="single" w:color="auto"/>
          <w:color w:val="0000FF"/>
        </w:rPr>
        <w:t>, (c) Singapore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Dollars, SORA and (d) U.S. Dollars, Daily Simple SOFR, and when used in reference to any Loan or Borrowing, means that such Loan, or the Loans comprising such Borrowing, bears interest at a rate determined by reference to the applicable Adjusted Daily Simple RFR.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4631055</wp:posOffset>
            </wp:positionH>
            <wp:positionV relativeFrom="paragraph">
              <wp:posOffset>-398145</wp:posOffset>
            </wp:positionV>
            <wp:extent cx="23114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231140" cy="8890"/>
                    </a:xfrm>
                    <a:prstGeom prst="rect">
                      <a:avLst/>
                    </a:prstGeom>
                    <a:noFill/>
                  </pic:spPr>
                </pic:pic>
              </a:graphicData>
            </a:graphic>
          </wp:anchor>
        </w:drawing>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RFR Administrator</w:t>
      </w:r>
      <w:r>
        <w:rPr>
          <w:rFonts w:ascii="Arial" w:cs="Arial" w:eastAsia="Arial" w:hAnsi="Arial"/>
          <w:sz w:val="20"/>
          <w:szCs w:val="20"/>
          <w:color w:val="FF0000"/>
          <w:strike w:val="1"/>
        </w:rPr>
        <w:t>” means the SONIA Administrator or the SARON Administrator.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RFR Borrowing</w:t>
      </w:r>
      <w:r>
        <w:rPr>
          <w:rFonts w:ascii="Arial" w:cs="Arial" w:eastAsia="Arial" w:hAnsi="Arial"/>
          <w:sz w:val="20"/>
          <w:szCs w:val="20"/>
          <w:color w:val="auto"/>
        </w:rPr>
        <w:t>” means, as to any Borrowing, the RFR Loans comprising such Borrowing.</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RFR Business Day</w:t>
      </w:r>
      <w:r>
        <w:rPr>
          <w:rFonts w:ascii="Arial" w:cs="Arial" w:eastAsia="Arial" w:hAnsi="Arial"/>
          <w:sz w:val="18"/>
          <w:szCs w:val="18"/>
          <w:color w:val="auto"/>
        </w:rPr>
        <w:t>” means, for any Loan denominated in (a) Pounds Sterling, any day except for (i) a Saturday, (ii) a Sunday or</w:t>
      </w:r>
    </w:p>
    <w:p>
      <w:pPr>
        <w:spacing w:after="0" w:line="39"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a day on which banks are closed for general business in London </w:t>
      </w:r>
      <w:r>
        <w:rPr>
          <w:rFonts w:ascii="Arial" w:cs="Arial" w:eastAsia="Arial" w:hAnsi="Arial"/>
          <w:sz w:val="16"/>
          <w:szCs w:val="16"/>
          <w:color w:val="FF0000"/>
        </w:rPr>
        <w:t>and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(b) Swiss Francs, any day except for (i) a Saturday, (ii) a Sunday or</w:t>
      </w:r>
    </w:p>
    <w:p>
      <w:pPr>
        <w:spacing w:after="0" w:line="45" w:lineRule="exact"/>
        <w:rPr>
          <w:rFonts w:ascii="Arial" w:cs="Arial" w:eastAsia="Arial" w:hAnsi="Arial"/>
          <w:sz w:val="16"/>
          <w:szCs w:val="16"/>
          <w:color w:val="auto"/>
        </w:rPr>
      </w:pPr>
    </w:p>
    <w:p>
      <w:pPr>
        <w:jc w:val="both"/>
        <w:ind w:firstLine="8"/>
        <w:spacing w:after="0" w:line="241" w:lineRule="auto"/>
        <w:tabs>
          <w:tab w:leader="none" w:pos="351" w:val="left"/>
        </w:tabs>
        <w:numPr>
          <w:ilvl w:val="0"/>
          <w:numId w:val="51"/>
        </w:numPr>
        <w:rPr>
          <w:rFonts w:ascii="Arial" w:cs="Arial" w:eastAsia="Arial" w:hAnsi="Arial"/>
          <w:sz w:val="20"/>
          <w:szCs w:val="20"/>
          <w:color w:val="auto"/>
        </w:rPr>
      </w:pPr>
      <w:r>
        <w:rPr>
          <w:rFonts w:ascii="Arial" w:cs="Arial" w:eastAsia="Arial" w:hAnsi="Arial"/>
          <w:sz w:val="20"/>
          <w:szCs w:val="20"/>
          <w:color w:val="auto"/>
        </w:rPr>
        <w:t>a day on which banks are closed for the settlement of payments and foreign exchange transactions in Zurich</w:t>
      </w:r>
      <w:r>
        <w:rPr>
          <w:rFonts w:ascii="Arial" w:cs="Arial" w:eastAsia="Arial" w:hAnsi="Arial"/>
          <w:sz w:val="20"/>
          <w:szCs w:val="20"/>
          <w:color w:val="FF0000"/>
          <w:strike w:val="1"/>
        </w:rPr>
        <w:t>.</w:t>
      </w:r>
      <w:r>
        <w:rPr>
          <w:rFonts w:ascii="Arial" w:cs="Arial" w:eastAsia="Arial" w:hAnsi="Arial"/>
          <w:sz w:val="20"/>
          <w:szCs w:val="20"/>
          <w:u w:val="single" w:color="auto"/>
          <w:color w:val="0000FF"/>
        </w:rPr>
        <w:t>, (c) Singapore Dollars, any</w:t>
      </w:r>
      <w:r>
        <w:rPr>
          <w:rFonts w:ascii="Arial" w:cs="Arial" w:eastAsia="Arial" w:hAnsi="Arial"/>
          <w:sz w:val="20"/>
          <w:szCs w:val="20"/>
          <w:color w:val="auto"/>
        </w:rPr>
        <w:t xml:space="preserve"> </w:t>
      </w:r>
      <w:r>
        <w:rPr>
          <w:rFonts w:ascii="Arial" w:cs="Arial" w:eastAsia="Arial" w:hAnsi="Arial"/>
          <w:sz w:val="20"/>
          <w:szCs w:val="20"/>
          <w:u w:val="single" w:color="auto"/>
          <w:color w:val="0000FF"/>
        </w:rPr>
        <w:t>day except for (i) a Saturday, (ii) a Sunday or (iii) a day on which banks are closed for the settlement of payments and foreign exchange transactions in Singapore and (d) U.S. Dollars, a U.S. Government Securities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-515620</wp:posOffset>
            </wp:positionV>
            <wp:extent cx="21399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213995" cy="8890"/>
                    </a:xfrm>
                    <a:prstGeom prst="rect">
                      <a:avLst/>
                    </a:prstGeom>
                    <a:noFill/>
                  </pic:spPr>
                </pic:pic>
              </a:graphicData>
            </a:graphic>
          </wp:anchor>
        </w:drawing>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RFR Interest Day</w:t>
      </w:r>
      <w:r>
        <w:rPr>
          <w:rFonts w:ascii="Arial" w:cs="Arial" w:eastAsia="Arial" w:hAnsi="Arial"/>
          <w:sz w:val="20"/>
          <w:szCs w:val="20"/>
          <w:color w:val="auto"/>
        </w:rPr>
        <w:t>” has the meaning specified in the definition of “Daily Simple RFR”.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RFR Loan</w:t>
      </w:r>
      <w:r>
        <w:rPr>
          <w:rFonts w:ascii="Arial" w:cs="Arial" w:eastAsia="Arial" w:hAnsi="Arial"/>
          <w:sz w:val="20"/>
          <w:szCs w:val="20"/>
          <w:color w:val="auto"/>
        </w:rPr>
        <w:t xml:space="preserve">” means a Loan that bears interest at a rate based on </w:t>
      </w:r>
      <w:r>
        <w:rPr>
          <w:rFonts w:ascii="Arial" w:cs="Arial" w:eastAsia="Arial" w:hAnsi="Arial"/>
          <w:sz w:val="20"/>
          <w:szCs w:val="20"/>
          <w:u w:val="single" w:color="auto"/>
          <w:color w:val="0000FF"/>
        </w:rPr>
        <w:t>the Adjusted</w:t>
      </w:r>
      <w:r>
        <w:rPr>
          <w:rFonts w:ascii="Arial" w:cs="Arial" w:eastAsia="Arial" w:hAnsi="Arial"/>
          <w:sz w:val="20"/>
          <w:szCs w:val="20"/>
          <w:color w:val="auto"/>
        </w:rPr>
        <w:t xml:space="preserve"> Daily Simple RFR.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S&amp;P</w:t>
      </w:r>
      <w:r>
        <w:rPr>
          <w:rFonts w:ascii="Arial" w:cs="Arial" w:eastAsia="Arial" w:hAnsi="Arial"/>
          <w:sz w:val="20"/>
          <w:szCs w:val="20"/>
          <w:color w:val="auto"/>
        </w:rPr>
        <w:t>” means Standard &amp; Poor’s.</w:t>
      </w:r>
    </w:p>
    <w:p>
      <w:pPr>
        <w:spacing w:after="0" w:line="21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Sanctioned Country</w:t>
      </w:r>
      <w:r>
        <w:rPr>
          <w:rFonts w:ascii="Arial" w:cs="Arial" w:eastAsia="Arial" w:hAnsi="Arial"/>
          <w:sz w:val="18"/>
          <w:szCs w:val="18"/>
          <w:color w:val="auto"/>
        </w:rPr>
        <w:t xml:space="preserve">” means, at any time, a country, region or territory which is itself the subject or target of any </w:t>
      </w:r>
      <w:r>
        <w:rPr>
          <w:rFonts w:ascii="Arial" w:cs="Arial" w:eastAsia="Arial" w:hAnsi="Arial"/>
          <w:sz w:val="18"/>
          <w:szCs w:val="18"/>
          <w:u w:val="single" w:color="auto"/>
          <w:color w:val="0000FF"/>
        </w:rPr>
        <w:t>comprehensive</w:t>
      </w:r>
      <w:r>
        <w:rPr>
          <w:rFonts w:ascii="Arial" w:cs="Arial" w:eastAsia="Arial" w:hAnsi="Arial"/>
          <w:sz w:val="18"/>
          <w:szCs w:val="18"/>
          <w:color w:val="auto"/>
        </w:rPr>
        <w:t xml:space="preserve"> Sanctions (</w:t>
      </w:r>
      <w:r>
        <w:rPr>
          <w:rFonts w:ascii="Arial" w:cs="Arial" w:eastAsia="Arial" w:hAnsi="Arial"/>
          <w:sz w:val="18"/>
          <w:szCs w:val="18"/>
          <w:color w:val="FF0000"/>
          <w:strike w:val="1"/>
        </w:rPr>
        <w:t>at the time of this Agreement, Crimea</w:t>
      </w:r>
      <w:r>
        <w:rPr>
          <w:rFonts w:ascii="Arial" w:cs="Arial" w:eastAsia="Arial" w:hAnsi="Arial"/>
          <w:sz w:val="18"/>
          <w:szCs w:val="18"/>
          <w:u w:val="single" w:color="auto"/>
          <w:color w:val="0000FF"/>
        </w:rPr>
        <w:t>as of the Amendment No. 1 Effective Date, the so-called Donetsk People’s Republic, the so-called Luhansk People’s Republic, the Crimea, Zaporizhzhia and Kherson Regions of Ukraine</w:t>
      </w:r>
      <w:r>
        <w:rPr>
          <w:rFonts w:ascii="Arial" w:cs="Arial" w:eastAsia="Arial" w:hAnsi="Arial"/>
          <w:sz w:val="18"/>
          <w:szCs w:val="18"/>
          <w:color w:val="000000"/>
        </w:rPr>
        <w:t>, Cuba, Iran, North Korea</w:t>
      </w:r>
      <w:r>
        <w:rPr>
          <w:rFonts w:ascii="Arial" w:cs="Arial" w:eastAsia="Arial" w:hAnsi="Arial"/>
          <w:sz w:val="18"/>
          <w:szCs w:val="18"/>
          <w:color w:val="FF0000"/>
          <w:strike w:val="1"/>
        </w:rPr>
        <w:t>, Sudan</w:t>
      </w:r>
      <w:r>
        <w:rPr>
          <w:rFonts w:ascii="Arial" w:cs="Arial" w:eastAsia="Arial" w:hAnsi="Arial"/>
          <w:sz w:val="18"/>
          <w:szCs w:val="18"/>
          <w:color w:val="0000FF"/>
        </w:rPr>
        <w:t xml:space="preserve"> </w:t>
      </w:r>
      <w:r>
        <w:rPr>
          <w:rFonts w:ascii="Arial" w:cs="Arial" w:eastAsia="Arial" w:hAnsi="Arial"/>
          <w:sz w:val="18"/>
          <w:szCs w:val="18"/>
          <w:color w:val="000000"/>
        </w:rPr>
        <w:t>and Syria).</w:t>
      </w:r>
    </w:p>
    <w:p>
      <w:pPr>
        <w:spacing w:after="0" w:line="152"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any European Union member state, Her Majesty’s Treasury of the United Kingdom, or other relevant sanctions authority, (b) any Person operating, organized or resident in a Sanctioned Country or (c) any Person owned or controlled by any such Person or Persons described in the foregoing clauses (a) or (b).“</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Her Majesty’s Treasury of the United Kingdom, or other relevant sanctions authority.</w:t>
      </w:r>
    </w:p>
    <w:p>
      <w:pPr>
        <w:spacing w:after="0" w:line="16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SARON</w:t>
      </w:r>
      <w:r>
        <w:rPr>
          <w:rFonts w:ascii="Arial" w:cs="Arial" w:eastAsia="Arial" w:hAnsi="Arial"/>
          <w:sz w:val="20"/>
          <w:szCs w:val="20"/>
          <w:color w:val="auto"/>
        </w:rPr>
        <w:t>” means, with respect to any Business Day, a rate per annum equal to the Swiss Average Rate Overnight for such Business Day published by the SARON Administrator on the SARON Administrator’s Website.</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SARON Administrator</w:t>
      </w:r>
      <w:r>
        <w:rPr>
          <w:rFonts w:ascii="Arial" w:cs="Arial" w:eastAsia="Arial" w:hAnsi="Arial"/>
          <w:sz w:val="20"/>
          <w:szCs w:val="20"/>
          <w:color w:val="auto"/>
        </w:rPr>
        <w:t>” means the SIX Swiss Exchange AG (or any successor administrator of the Swiss Average Rate Overnight).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1" w:name="page102"/>
    <w:bookmarkEnd w:id="101"/>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SARON Administrator’s Website</w:t>
      </w:r>
      <w:r>
        <w:rPr>
          <w:rFonts w:ascii="Arial" w:cs="Arial" w:eastAsia="Arial" w:hAnsi="Arial"/>
          <w:sz w:val="19"/>
          <w:szCs w:val="19"/>
          <w:color w:val="auto"/>
        </w:rPr>
        <w:t xml:space="preserve"> ” means SIX Swiss Exchange AG’s website, currently at https://www.six-group.com, or any successor source for the Swiss Average Rate Overnight identified as such by the SARON Administrator from time to time.</w:t>
      </w:r>
    </w:p>
    <w:p>
      <w:pPr>
        <w:spacing w:after="0" w:line="15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w:t>
      </w:r>
      <w:r>
        <w:rPr>
          <w:rFonts w:ascii="Arial" w:cs="Arial" w:eastAsia="Arial" w:hAnsi="Arial"/>
          <w:sz w:val="20"/>
          <w:szCs w:val="20"/>
          <w:color w:val="auto"/>
        </w:rPr>
        <w:t>” means the Securities and Exchange Commission, or any Governmental Authority succeeding to any or all of the functions of said Commission.</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Securitization Transaction</w:t>
      </w:r>
      <w:r>
        <w:rPr>
          <w:rFonts w:ascii="Arial" w:cs="Arial" w:eastAsia="Arial" w:hAnsi="Arial"/>
          <w:sz w:val="20"/>
          <w:szCs w:val="20"/>
          <w:color w:val="auto"/>
        </w:rPr>
        <w:t>” means any financing transaction or series of financing transactions (including factoring arrangements) pursuant to which the Company or any Subsidiary may sell, convey or otherwise transfer, or grant a security interest in, accounts, payments, receivables, rights to future lease payments or residuals or similar rights to payment to a special purpose subsidiary or affiliate of the Company.</w:t>
      </w:r>
    </w:p>
    <w:p>
      <w:pPr>
        <w:spacing w:after="0" w:line="191"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SIBO Interpolated Rate</w:t>
      </w:r>
      <w:r>
        <w:rPr>
          <w:rFonts w:ascii="Arial" w:cs="Arial" w:eastAsia="Arial" w:hAnsi="Arial"/>
          <w:sz w:val="18"/>
          <w:szCs w:val="18"/>
          <w:color w:val="FF0000"/>
          <w:strike w:val="1"/>
        </w:rPr>
        <w:t xml:space="preserve">” means, at any time, with respect to any Eurocurrency Borrowing denominated in Singapore Dollars and for any Interest Period, the rate per annum determined by the Administrative Agent (which determination shall be conclusive and binding absent manifest error) to be equal to the rate that results from interpolating on a linear basis between: (a) the SIBO Screen Rate for the longest period (for which the SIBO Screen Rate is available for Singapore Dollars) that is shorter than the Impacted SIBO Rate Interest Period; and (b) the SIBO Screen Rate for the shortest period (for which the SIBO Screen Rate is available for Singapore Dollars) that exceeds the Impacted SIBO Rate Interest Period, in each case, at such time;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if any SIBO Interpolated Rate as so determined would be less than zero, such rate shall be deemed to be zero for the purposes of this Agreement.</w:t>
      </w:r>
    </w:p>
    <w:p>
      <w:pPr>
        <w:spacing w:after="0" w:line="16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b w:val="1"/>
          <w:bCs w:val="1"/>
          <w:i w:val="1"/>
          <w:iCs w:val="1"/>
          <w:color w:val="FF0000"/>
          <w:strike w:val="1"/>
        </w:rPr>
        <w:t>SIBO Rate</w:t>
      </w:r>
      <w:r>
        <w:rPr>
          <w:rFonts w:ascii="Arial" w:cs="Arial" w:eastAsia="Arial" w:hAnsi="Arial"/>
          <w:sz w:val="19"/>
          <w:szCs w:val="19"/>
          <w:color w:val="FF0000"/>
          <w:strike w:val="1"/>
        </w:rPr>
        <w:t xml:space="preserve">” means, with respect to any Eurocurrency Borrowing denominated in Singapore Dollars and for any Interest Period, the SIBO Screen Rate at approximately 12:00 p.m., London time, two (2) Business Days prior to the commencement of such Interest Period; </w:t>
      </w:r>
      <w:r>
        <w:rPr>
          <w:rFonts w:ascii="Arial" w:cs="Arial" w:eastAsia="Arial" w:hAnsi="Arial"/>
          <w:sz w:val="19"/>
          <w:szCs w:val="19"/>
          <w:u w:val="single" w:color="auto"/>
          <w:color w:val="FF0000"/>
          <w:strike w:val="1"/>
        </w:rPr>
        <w:t xml:space="preserve">provided </w:t>
      </w:r>
      <w:r>
        <w:rPr>
          <w:rFonts w:ascii="Arial" w:cs="Arial" w:eastAsia="Arial" w:hAnsi="Arial"/>
          <w:sz w:val="19"/>
          <w:szCs w:val="19"/>
          <w:color w:val="FF0000"/>
          <w:strike w:val="1"/>
        </w:rPr>
        <w:t>that if the SIBO Screen Rate shall not be available at such time for such Interest Period (an “</w:t>
      </w:r>
      <w:r>
        <w:rPr>
          <w:rFonts w:ascii="Arial" w:cs="Arial" w:eastAsia="Arial" w:hAnsi="Arial"/>
          <w:sz w:val="19"/>
          <w:szCs w:val="19"/>
          <w:b w:val="1"/>
          <w:bCs w:val="1"/>
          <w:i w:val="1"/>
          <w:iCs w:val="1"/>
          <w:color w:val="FF0000"/>
          <w:strike w:val="1"/>
        </w:rPr>
        <w:t>Impacted SIBO Rate Interest Period</w:t>
      </w: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 xml:space="preserve"> </w:t>
      </w:r>
      <w:r>
        <w:rPr>
          <w:rFonts w:ascii="Arial" w:cs="Arial" w:eastAsia="Arial" w:hAnsi="Arial"/>
          <w:sz w:val="19"/>
          <w:szCs w:val="19"/>
          <w:color w:val="FF0000"/>
          <w:strike w:val="1"/>
        </w:rPr>
        <w:t>with respect to Singapore Dollars then the SIBO Rate shall be the SIBO Interpolated Rate.</w:t>
      </w:r>
    </w:p>
    <w:p>
      <w:pPr>
        <w:spacing w:after="0" w:line="17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SIBO Screen Rate</w:t>
      </w:r>
      <w:r>
        <w:rPr>
          <w:rFonts w:ascii="Arial" w:cs="Arial" w:eastAsia="Arial" w:hAnsi="Arial"/>
          <w:sz w:val="18"/>
          <w:szCs w:val="18"/>
          <w:color w:val="FF0000"/>
          <w:strike w:val="1"/>
        </w:rPr>
        <w:t>” means, for any day and time, for any Interest Period, the rate administered by the Association of Banks in Singapore (or any other Person that takes over the administration of such rate) for Singapore Dollars with a tenor equal to such Interest Period displayed on page ABSFIX01 of the Reuters screen (or, in the event such rate does not appear on a Reuters page or screen, on any successor or substitute page on such screen or service that displays such rate, or on the appropriate page of such other information service that publishes such rate from time to time as selected by the Administrative Agent in its reasonable discretion). If the SIBOR Screen Rate as so determined would be less than zero, the SIBOR Screen Rate shall be deemed to be zero for purposes of this Agreement.</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SIBOR</w:t>
      </w:r>
      <w:r>
        <w:rPr>
          <w:rFonts w:ascii="Arial" w:cs="Arial" w:eastAsia="Arial" w:hAnsi="Arial"/>
          <w:sz w:val="20"/>
          <w:szCs w:val="20"/>
          <w:color w:val="FF0000"/>
          <w:strike w:val="1"/>
        </w:rPr>
        <w:t xml:space="preserve">” has the meaning assigned to such term in </w:t>
      </w:r>
      <w:r>
        <w:rPr>
          <w:rFonts w:ascii="Arial" w:cs="Arial" w:eastAsia="Arial" w:hAnsi="Arial"/>
          <w:sz w:val="20"/>
          <w:szCs w:val="20"/>
          <w:u w:val="single" w:color="auto"/>
          <w:color w:val="FF0000"/>
          <w:strike w:val="1"/>
        </w:rPr>
        <w:t>Section 1.07</w:t>
      </w:r>
      <w:r>
        <w:rPr>
          <w:rFonts w:ascii="Arial" w:cs="Arial" w:eastAsia="Arial" w:hAnsi="Arial"/>
          <w:sz w:val="20"/>
          <w:szCs w:val="20"/>
          <w:color w:val="FF0000"/>
          <w:strike w:val="1"/>
        </w:rPr>
        <w:t>.</w:t>
      </w:r>
    </w:p>
    <w:p>
      <w:pPr>
        <w:spacing w:after="0" w:line="21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Significant Subsidiary</w:t>
      </w:r>
      <w:r>
        <w:rPr>
          <w:rFonts w:ascii="Arial" w:cs="Arial" w:eastAsia="Arial" w:hAnsi="Arial"/>
          <w:sz w:val="19"/>
          <w:szCs w:val="19"/>
          <w:color w:val="auto"/>
        </w:rPr>
        <w:t xml:space="preserve">” means each Domestic Subsidiary now existing or hereafter acquired or formed, and each successor thereto, with respect to which, after giving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effect to such acquisition or formation, or at any other time thereafter:</w:t>
      </w:r>
    </w:p>
    <w:p>
      <w:pPr>
        <w:spacing w:after="0" w:line="152" w:lineRule="exact"/>
        <w:rPr>
          <w:sz w:val="20"/>
          <w:szCs w:val="20"/>
          <w:color w:val="auto"/>
        </w:rPr>
      </w:pPr>
    </w:p>
    <w:p>
      <w:pPr>
        <w:ind w:firstLine="757"/>
        <w:spacing w:after="0" w:line="260" w:lineRule="auto"/>
        <w:tabs>
          <w:tab w:leader="none" w:pos="1213"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Company’s and its other Subsidiaries’ Investments in such Domestic Subsidiary exceed ten percent (10%) of the total assets of the Company and its Subsidiaries on a consolidated basis;</w:t>
      </w:r>
    </w:p>
    <w:p>
      <w:pPr>
        <w:spacing w:after="0" w:line="176" w:lineRule="exact"/>
        <w:rPr>
          <w:rFonts w:ascii="Arial" w:cs="Arial" w:eastAsia="Arial" w:hAnsi="Arial"/>
          <w:sz w:val="20"/>
          <w:szCs w:val="20"/>
          <w:color w:val="auto"/>
        </w:rPr>
      </w:pPr>
    </w:p>
    <w:p>
      <w:pPr>
        <w:ind w:firstLine="757"/>
        <w:spacing w:after="0" w:line="316" w:lineRule="auto"/>
        <w:tabs>
          <w:tab w:leader="none" w:pos="12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Company’s and its other Subsidiaries’ proportionate share of the total assets (after intercompany eliminations) of such Domestic Subsidiary exceeds ten percent (10%) of the total assets of the Company and its Subsidiaries on a consolidated basis; 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2" w:name="page103"/>
    <w:bookmarkEnd w:id="102"/>
    <w:p>
      <w:pPr>
        <w:jc w:val="both"/>
        <w:ind w:firstLine="757"/>
        <w:spacing w:after="0" w:line="250" w:lineRule="auto"/>
        <w:tabs>
          <w:tab w:leader="none" w:pos="1192"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Company’s and its other Subsidiaries’ equity in the income from continuing operations before income taxes, extraordinary items and cumulative effect of a change in accounting principle of such Domestic Subsidiary exceeds ten percent (10%) of such income of the Company and its Subsidiaries on a consolidated basis.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Singapore Dollars</w:t>
      </w:r>
      <w:r>
        <w:rPr>
          <w:rFonts w:ascii="Arial" w:cs="Arial" w:eastAsia="Arial" w:hAnsi="Arial"/>
          <w:sz w:val="20"/>
          <w:szCs w:val="20"/>
          <w:color w:val="auto"/>
        </w:rPr>
        <w:t>” means the lawful currency of Singapore.</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SOFR</w:t>
      </w:r>
      <w:r>
        <w:rPr>
          <w:rFonts w:ascii="Arial" w:cs="Arial" w:eastAsia="Arial" w:hAnsi="Arial"/>
          <w:sz w:val="20"/>
          <w:szCs w:val="20"/>
          <w:color w:val="auto"/>
        </w:rPr>
        <w:t xml:space="preserve"> ” means</w:t>
      </w:r>
      <w:r>
        <w:rPr>
          <w:rFonts w:ascii="Arial" w:cs="Arial" w:eastAsia="Arial" w:hAnsi="Arial"/>
          <w:sz w:val="20"/>
          <w:szCs w:val="20"/>
          <w:color w:val="FF0000"/>
          <w:strike w:val="1"/>
        </w:rPr>
        <w:t>, with respect to any Business Day,</w:t>
      </w:r>
      <w:r>
        <w:rPr>
          <w:rFonts w:ascii="Arial" w:cs="Arial" w:eastAsia="Arial" w:hAnsi="Arial"/>
          <w:sz w:val="20"/>
          <w:szCs w:val="20"/>
          <w:color w:val="auto"/>
        </w:rPr>
        <w:t xml:space="preserve"> a rate </w:t>
      </w:r>
      <w:r>
        <w:rPr>
          <w:rFonts w:ascii="Arial" w:cs="Arial" w:eastAsia="Arial" w:hAnsi="Arial"/>
          <w:sz w:val="20"/>
          <w:szCs w:val="20"/>
          <w:color w:val="FF0000"/>
          <w:strike w:val="1"/>
        </w:rPr>
        <w:t>per annum</w:t>
      </w:r>
      <w:r>
        <w:rPr>
          <w:rFonts w:ascii="Arial" w:cs="Arial" w:eastAsia="Arial" w:hAnsi="Arial"/>
          <w:sz w:val="20"/>
          <w:szCs w:val="20"/>
          <w:color w:val="auto"/>
        </w:rPr>
        <w:t xml:space="preserve"> equal to the secured overnight financing rate </w:t>
      </w:r>
      <w:r>
        <w:rPr>
          <w:rFonts w:ascii="Arial" w:cs="Arial" w:eastAsia="Arial" w:hAnsi="Arial"/>
          <w:sz w:val="20"/>
          <w:szCs w:val="20"/>
          <w:color w:val="FF0000"/>
          <w:strike w:val="1"/>
        </w:rPr>
        <w:t>for such Business</w:t>
      </w:r>
      <w:r>
        <w:rPr>
          <w:rFonts w:ascii="Arial" w:cs="Arial" w:eastAsia="Arial" w:hAnsi="Arial"/>
          <w:sz w:val="20"/>
          <w:szCs w:val="20"/>
          <w:color w:val="auto"/>
        </w:rPr>
        <w:t xml:space="preserve"> </w:t>
      </w:r>
      <w:r>
        <w:rPr>
          <w:rFonts w:ascii="Arial" w:cs="Arial" w:eastAsia="Arial" w:hAnsi="Arial"/>
          <w:sz w:val="20"/>
          <w:szCs w:val="20"/>
          <w:color w:val="FF0000"/>
          <w:strike w:val="1"/>
        </w:rPr>
        <w:t>Day published</w:t>
      </w:r>
      <w:r>
        <w:rPr>
          <w:rFonts w:ascii="Arial" w:cs="Arial" w:eastAsia="Arial" w:hAnsi="Arial"/>
          <w:sz w:val="20"/>
          <w:szCs w:val="20"/>
          <w:u w:val="single" w:color="auto"/>
          <w:color w:val="0000FF"/>
        </w:rPr>
        <w:t>as administered</w:t>
      </w:r>
      <w:r>
        <w:rPr>
          <w:rFonts w:ascii="Arial" w:cs="Arial" w:eastAsia="Arial" w:hAnsi="Arial"/>
          <w:sz w:val="20"/>
          <w:szCs w:val="20"/>
          <w:color w:val="FF0000"/>
        </w:rPr>
        <w:t xml:space="preserve"> </w:t>
      </w:r>
      <w:r>
        <w:rPr>
          <w:rFonts w:ascii="Arial" w:cs="Arial" w:eastAsia="Arial" w:hAnsi="Arial"/>
          <w:sz w:val="20"/>
          <w:szCs w:val="20"/>
          <w:color w:val="000000"/>
        </w:rPr>
        <w:t>by the SOFR Administrator</w:t>
      </w:r>
      <w:r>
        <w:rPr>
          <w:rFonts w:ascii="Arial" w:cs="Arial" w:eastAsia="Arial" w:hAnsi="Arial"/>
          <w:sz w:val="20"/>
          <w:szCs w:val="20"/>
          <w:color w:val="FF0000"/>
        </w:rPr>
        <w:t xml:space="preserve"> on the SOFR Administrator’s Website on the immediately succeeding Business </w:t>
      </w:r>
      <w:r>
        <w:rPr>
          <w:rFonts w:ascii="Arial" w:cs="Arial" w:eastAsia="Arial" w:hAnsi="Arial"/>
          <w:sz w:val="20"/>
          <w:szCs w:val="20"/>
          <w:color w:val="FF0000"/>
          <w:strike w:val="1"/>
        </w:rPr>
        <w:t>Day</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-230505</wp:posOffset>
            </wp:positionV>
            <wp:extent cx="415925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4159250" cy="8255"/>
                    </a:xfrm>
                    <a:prstGeom prst="rect">
                      <a:avLst/>
                    </a:prstGeom>
                    <a:noFill/>
                  </pic:spPr>
                </pic:pic>
              </a:graphicData>
            </a:graphic>
          </wp:anchor>
        </w:drawing>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SOFR Administrator</w:t>
      </w:r>
      <w:r>
        <w:rPr>
          <w:rFonts w:ascii="Arial" w:cs="Arial" w:eastAsia="Arial" w:hAnsi="Arial"/>
          <w:sz w:val="20"/>
          <w:szCs w:val="20"/>
          <w:color w:val="auto"/>
        </w:rPr>
        <w:t>” means the NYFRB (or a successor administrator of the secured overnight financing rate).</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SOFR Administrator’s Website</w:t>
      </w:r>
      <w:r>
        <w:rPr>
          <w:rFonts w:ascii="Arial" w:cs="Arial" w:eastAsia="Arial" w:hAnsi="Arial"/>
          <w:sz w:val="20"/>
          <w:szCs w:val="20"/>
          <w:color w:val="auto"/>
        </w:rPr>
        <w:t xml:space="preserve">” means the </w:t>
      </w:r>
      <w:r>
        <w:rPr>
          <w:rFonts w:ascii="Arial" w:cs="Arial" w:eastAsia="Arial" w:hAnsi="Arial"/>
          <w:sz w:val="20"/>
          <w:szCs w:val="20"/>
          <w:color w:val="FF0000"/>
          <w:strike w:val="1"/>
        </w:rPr>
        <w:t>NYFRB’s website</w:t>
      </w:r>
      <w:r>
        <w:rPr>
          <w:rFonts w:ascii="Arial" w:cs="Arial" w:eastAsia="Arial" w:hAnsi="Arial"/>
          <w:sz w:val="20"/>
          <w:szCs w:val="20"/>
          <w:u w:val="single" w:color="auto"/>
          <w:color w:val="0000FF"/>
        </w:rPr>
        <w:t>Federal Reserve Bank of New York’s Website</w:t>
      </w:r>
      <w:r>
        <w:rPr>
          <w:rFonts w:ascii="Arial" w:cs="Arial" w:eastAsia="Arial" w:hAnsi="Arial"/>
          <w:sz w:val="20"/>
          <w:szCs w:val="20"/>
          <w:color w:val="auto"/>
        </w:rPr>
        <w:t>, currently at http://www.newyorkfed.org, or any successor source for the secured overnight financing rate identified as such by the SOFR Administrator from time to time.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SOFR Rate Day</w:t>
      </w:r>
      <w:r>
        <w:rPr>
          <w:rFonts w:ascii="Arial" w:cs="Arial" w:eastAsia="Arial" w:hAnsi="Arial"/>
          <w:sz w:val="20"/>
          <w:szCs w:val="20"/>
          <w:u w:val="single" w:color="auto"/>
          <w:color w:val="0000FF"/>
        </w:rPr>
        <w:t>” has the meaning specified in the definition of “Daily Simple SOFR”.</w:t>
      </w:r>
    </w:p>
    <w:p>
      <w:pPr>
        <w:spacing w:after="0" w:line="216"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SONIA</w:t>
      </w:r>
      <w:r>
        <w:rPr>
          <w:rFonts w:ascii="Arial" w:cs="Arial" w:eastAsia="Arial" w:hAnsi="Arial"/>
          <w:sz w:val="18"/>
          <w:szCs w:val="18"/>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SONIA Administrator</w:t>
      </w:r>
      <w:r>
        <w:rPr>
          <w:rFonts w:ascii="Arial" w:cs="Arial" w:eastAsia="Arial" w:hAnsi="Arial"/>
          <w:sz w:val="18"/>
          <w:szCs w:val="18"/>
          <w:color w:val="auto"/>
        </w:rPr>
        <w:t>” means the Bank of England (or any successor administrator of the Sterling Overnight Index Average).</w:t>
      </w:r>
    </w:p>
    <w:p>
      <w:pPr>
        <w:spacing w:after="0" w:line="239"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SONIA Administrator’s Website</w:t>
      </w:r>
      <w:r>
        <w:rPr>
          <w:rFonts w:ascii="Arial" w:cs="Arial" w:eastAsia="Arial" w:hAnsi="Arial"/>
          <w:sz w:val="19"/>
          <w:szCs w:val="19"/>
          <w:color w:val="auto"/>
        </w:rPr>
        <w:t>” means the Bank of England’s website, currently at http://www.bankofengland.co.uk, or any successor source for the Sterling Overnight Index Average identified as such by the SONIA Administrator from time to time.</w:t>
      </w:r>
    </w:p>
    <w:p>
      <w:pPr>
        <w:spacing w:after="0" w:line="152"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SORA</w:t>
      </w:r>
      <w:r>
        <w:rPr>
          <w:rFonts w:ascii="Arial" w:cs="Arial" w:eastAsia="Arial" w:hAnsi="Arial"/>
          <w:sz w:val="18"/>
          <w:szCs w:val="18"/>
          <w:u w:val="single" w:color="auto"/>
          <w:color w:val="0000FF"/>
        </w:rPr>
        <w:t>” means, with respect to any Business Day, a rate per annum equal to the Singapore Overnight Rate Average published by the SORA Administrator on the SORA Administrator’s Website, and in any case, SORA is less than zero, SORA shall be deemed to be zero.</w:t>
      </w:r>
    </w:p>
    <w:p>
      <w:pPr>
        <w:spacing w:after="0" w:line="13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SORA Administrator</w:t>
      </w:r>
      <w:r>
        <w:rPr>
          <w:rFonts w:ascii="Arial" w:cs="Arial" w:eastAsia="Arial" w:hAnsi="Arial"/>
          <w:sz w:val="20"/>
          <w:szCs w:val="20"/>
          <w:u w:val="single" w:color="auto"/>
          <w:color w:val="0000FF"/>
        </w:rPr>
        <w:t>” means the Monetary Authority of Singapore (or any successor administrator of the Singapore Overnight Rate Average).</w:t>
      </w:r>
    </w:p>
    <w:p>
      <w:pPr>
        <w:spacing w:after="0" w:line="17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i w:val="1"/>
          <w:iCs w:val="1"/>
          <w:u w:val="single" w:color="auto"/>
          <w:color w:val="0000FF"/>
        </w:rPr>
        <w:t>SORA Administrator’s Website</w:t>
      </w:r>
      <w:r>
        <w:rPr>
          <w:rFonts w:ascii="Arial" w:cs="Arial" w:eastAsia="Arial" w:hAnsi="Arial"/>
          <w:sz w:val="19"/>
          <w:szCs w:val="19"/>
          <w:u w:val="single" w:color="auto"/>
          <w:color w:val="0000FF"/>
        </w:rPr>
        <w:t>” means the Statistics page of the MAS website, http://www.mas.gov.sg, or any successor website officially designated by SORA Administrator from time to time (or as published by its authorized distributors).</w:t>
      </w:r>
    </w:p>
    <w:p>
      <w:pPr>
        <w:spacing w:after="0" w:line="15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Statutory Reserve Rate</w:t>
      </w:r>
      <w:r>
        <w:rPr>
          <w:rFonts w:ascii="Arial" w:cs="Arial" w:eastAsia="Arial" w:hAnsi="Arial"/>
          <w:sz w:val="18"/>
          <w:szCs w:val="18"/>
          <w:color w:val="auto"/>
        </w:rPr>
        <w:t xml:space="preserve">”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applicable Relevant Adjusted Rate for eurocurrency funding (currently referred to as “Eurocurrency liabilities” in Regulation D of the Board) or any other reserve ratio or analogous requirement of any central banking or financial regulatory authority imposed in respect of the maintenance of the Commitments or the funding of the Loans. Such reserve percentage shall include those imposed pursuant to Regulation D of the Board. </w:t>
      </w:r>
      <w:r>
        <w:rPr>
          <w:rFonts w:ascii="Arial" w:cs="Arial" w:eastAsia="Arial" w:hAnsi="Arial"/>
          <w:sz w:val="18"/>
          <w:szCs w:val="18"/>
          <w:color w:val="FF0000"/>
          <w:strike w:val="1"/>
        </w:rPr>
        <w:t>Eurocurrency Loans</w:t>
      </w:r>
      <w:r>
        <w:rPr>
          <w:rFonts w:ascii="Arial" w:cs="Arial" w:eastAsia="Arial" w:hAnsi="Arial"/>
          <w:sz w:val="18"/>
          <w:szCs w:val="18"/>
          <w:u w:val="single" w:color="auto"/>
          <w:color w:val="0000FF"/>
        </w:rPr>
        <w:t>Term Benchmark Loans for which the associated Benchmark is adjusted by reference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3" w:name="page104"/>
    <w:bookmarkEnd w:id="103"/>
    <w:p>
      <w:pPr>
        <w:jc w:val="both"/>
        <w:spacing w:after="0" w:line="246" w:lineRule="auto"/>
        <w:rPr>
          <w:sz w:val="20"/>
          <w:szCs w:val="20"/>
          <w:color w:val="auto"/>
        </w:rPr>
      </w:pPr>
      <w:r>
        <w:rPr>
          <w:rFonts w:ascii="Arial" w:cs="Arial" w:eastAsia="Arial" w:hAnsi="Arial"/>
          <w:sz w:val="20"/>
          <w:szCs w:val="20"/>
          <w:u w:val="single" w:color="auto"/>
          <w:color w:val="0000FF"/>
        </w:rPr>
        <w:t>to the Statutory Reserve Rate (per the related definition of such Benchmark)</w:t>
      </w:r>
      <w:r>
        <w:rPr>
          <w:rFonts w:ascii="Arial" w:cs="Arial" w:eastAsia="Arial" w:hAnsi="Arial"/>
          <w:sz w:val="20"/>
          <w:szCs w:val="20"/>
          <w:color w:val="0000FF"/>
        </w:rPr>
        <w:t xml:space="preserve"> </w:t>
      </w:r>
      <w:r>
        <w:rPr>
          <w:rFonts w:ascii="Arial" w:cs="Arial" w:eastAsia="Arial" w:hAnsi="Arial"/>
          <w:sz w:val="20"/>
          <w:szCs w:val="20"/>
          <w:color w:val="000000"/>
        </w:rPr>
        <w:t>shall be deemed to constitute eurocurrency funding and to be</w:t>
      </w:r>
      <w:r>
        <w:rPr>
          <w:rFonts w:ascii="Arial" w:cs="Arial" w:eastAsia="Arial" w:hAnsi="Arial"/>
          <w:sz w:val="20"/>
          <w:szCs w:val="20"/>
          <w:color w:val="0000FF"/>
        </w:rPr>
        <w:t xml:space="preserve"> </w:t>
      </w:r>
      <w:r>
        <w:rPr>
          <w:rFonts w:ascii="Arial" w:cs="Arial" w:eastAsia="Arial" w:hAnsi="Arial"/>
          <w:sz w:val="20"/>
          <w:szCs w:val="20"/>
          <w:color w:val="000000"/>
        </w:rPr>
        <w:t>subject to such reserve requirements without benefit of or credit for proration, exemptions or offsets that may be available from time to time to any Lender under Regulation D of the Board or any comparable regulation. The Statutory Reserve Rate shall be adjusted automatically on and as of the effective date of any change in any reserve percentage.</w:t>
      </w:r>
    </w:p>
    <w:p>
      <w:pPr>
        <w:spacing w:after="0" w:line="191"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any subsidiary of the Company.</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Supported QFC</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10.17.</w:t>
      </w:r>
    </w:p>
    <w:p>
      <w:pPr>
        <w:spacing w:after="0" w:line="216"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Company or its Subsidiaries shall be a Swap Agreement.</w:t>
      </w:r>
    </w:p>
    <w:p>
      <w:pPr>
        <w:spacing w:after="0" w:line="16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Commitment</w:t>
      </w:r>
      <w:r>
        <w:rPr>
          <w:rFonts w:ascii="Arial" w:cs="Arial" w:eastAsia="Arial" w:hAnsi="Arial"/>
          <w:sz w:val="20"/>
          <w:szCs w:val="20"/>
          <w:color w:val="auto"/>
        </w:rPr>
        <w:t xml:space="preserve">” means, as to any Lender, (a) the applicable amount set forth opposite such Lender’s name on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u w:val="single" w:color="auto"/>
          <w:color w:val="auto"/>
        </w:rPr>
        <w:t>2.01</w:t>
      </w:r>
      <w:r>
        <w:rPr>
          <w:rFonts w:ascii="Arial" w:cs="Arial" w:eastAsia="Arial" w:hAnsi="Arial"/>
          <w:sz w:val="20"/>
          <w:szCs w:val="20"/>
          <w:color w:val="auto"/>
        </w:rPr>
        <w:t xml:space="preserve"> or (b) if such Lender has entered into an Assignment and Assumption, the amount set forth for such Lender as its Swingline Commitment in the Register.</w:t>
      </w:r>
    </w:p>
    <w:p>
      <w:pPr>
        <w:spacing w:after="0" w:line="18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Exposure</w:t>
      </w:r>
      <w:r>
        <w:rPr>
          <w:rFonts w:ascii="Arial" w:cs="Arial" w:eastAsia="Arial" w:hAnsi="Arial"/>
          <w:sz w:val="20"/>
          <w:szCs w:val="20"/>
          <w:color w:val="auto"/>
        </w:rPr>
        <w:t>” means, at any time, the aggregate principal amount of all Swingline Loans outstanding at such time. The Swingline Exposure of any Lender at any time shall be the sum of (a) its Applicable Percentage of the total Swingline Exposure at such time other than with respect to any Swingline Loans made by such Lender in its capacity as a Swingline Lender and (b) the aggregate principal amount of all Swingline Loans made by such Lender as a Swingline Lender outstanding at such time (less the amount of participations funded by the other Lenders in such Swingline Loans).</w:t>
      </w:r>
    </w:p>
    <w:p>
      <w:pPr>
        <w:spacing w:after="0" w:line="194"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Swingline Lenders</w:t>
      </w:r>
      <w:r>
        <w:rPr>
          <w:rFonts w:ascii="Arial" w:cs="Arial" w:eastAsia="Arial" w:hAnsi="Arial"/>
          <w:sz w:val="18"/>
          <w:szCs w:val="18"/>
          <w:color w:val="auto"/>
        </w:rPr>
        <w:t xml:space="preserve">” means, collectively, JPMorgan Chase Bank, N.A., and any Lender that assumes all or any portion of another Lender’s Swingline Commitment in accordance with </w:t>
      </w:r>
      <w:r>
        <w:rPr>
          <w:rFonts w:ascii="Arial" w:cs="Arial" w:eastAsia="Arial" w:hAnsi="Arial"/>
          <w:sz w:val="18"/>
          <w:szCs w:val="18"/>
          <w:u w:val="single" w:color="auto"/>
          <w:color w:val="auto"/>
        </w:rPr>
        <w:t>Section 2.05(a)(ii)</w:t>
      </w:r>
      <w:r>
        <w:rPr>
          <w:rFonts w:ascii="Arial" w:cs="Arial" w:eastAsia="Arial" w:hAnsi="Arial"/>
          <w:sz w:val="18"/>
          <w:szCs w:val="18"/>
          <w:color w:val="auto"/>
        </w:rPr>
        <w:t>, each in its capacity as a lender of Swingline Loans hereunder.</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Loan</w:t>
      </w:r>
      <w:r>
        <w:rPr>
          <w:rFonts w:ascii="Arial" w:cs="Arial" w:eastAsia="Arial" w:hAnsi="Arial"/>
          <w:sz w:val="20"/>
          <w:szCs w:val="20"/>
          <w:color w:val="auto"/>
        </w:rPr>
        <w:t xml:space="preserve">” means a Loan made pursuant to </w:t>
      </w:r>
      <w:r>
        <w:rPr>
          <w:rFonts w:ascii="Arial" w:cs="Arial" w:eastAsia="Arial" w:hAnsi="Arial"/>
          <w:sz w:val="20"/>
          <w:szCs w:val="20"/>
          <w:u w:val="single" w:color="auto"/>
          <w:color w:val="auto"/>
        </w:rPr>
        <w:t>Section 2.05</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Swiss Francs</w:t>
      </w:r>
      <w:r>
        <w:rPr>
          <w:rFonts w:ascii="Arial" w:cs="Arial" w:eastAsia="Arial" w:hAnsi="Arial"/>
          <w:sz w:val="20"/>
          <w:szCs w:val="20"/>
          <w:color w:val="auto"/>
        </w:rPr>
        <w:t>” means the lawful currency of Switzerland.</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TARGET2</w:t>
      </w:r>
      <w:r>
        <w:rPr>
          <w:rFonts w:ascii="Arial" w:cs="Arial" w:eastAsia="Arial" w:hAnsi="Arial"/>
          <w:sz w:val="20"/>
          <w:szCs w:val="20"/>
          <w:color w:val="auto"/>
        </w:rPr>
        <w:t>” means the Trans-European Automated Real-time Gross Settlement Express Transfer payment system which utilizes a single shared platform and which was launched on November 19, 2007</w:t>
      </w:r>
      <w:r>
        <w:rPr>
          <w:rFonts w:ascii="Arial" w:cs="Arial" w:eastAsia="Arial" w:hAnsi="Arial"/>
          <w:sz w:val="20"/>
          <w:szCs w:val="20"/>
          <w:u w:val="single" w:color="auto"/>
          <w:color w:val="0000FF"/>
        </w:rPr>
        <w:t>, or any successor thereto</w:t>
      </w:r>
      <w:r>
        <w:rPr>
          <w:rFonts w:ascii="Arial" w:cs="Arial" w:eastAsia="Arial" w:hAnsi="Arial"/>
          <w:sz w:val="20"/>
          <w:szCs w:val="20"/>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4" w:name="page105"/>
    <w:bookmarkEnd w:id="104"/>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TARGET Day</w:t>
      </w:r>
      <w:r>
        <w:rPr>
          <w:rFonts w:ascii="Arial" w:cs="Arial" w:eastAsia="Arial" w:hAnsi="Arial"/>
          <w:sz w:val="20"/>
          <w:szCs w:val="20"/>
          <w:color w:val="auto"/>
        </w:rPr>
        <w:t>” means any day on which TARGET2 (or, if such payment system ceases to be operative, such other payment system (if any) reasonably determined by the Administrative Agent to be a suitable replacement) is open for the settlement of payments in Euro.</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Term SOFR</w:t>
      </w:r>
      <w:r>
        <w:rPr>
          <w:rFonts w:ascii="Arial" w:cs="Arial" w:eastAsia="Arial" w:hAnsi="Arial"/>
          <w:sz w:val="20"/>
          <w:szCs w:val="20"/>
          <w:color w:val="FF0000"/>
          <w:strike w:val="1"/>
        </w:rPr>
        <w:t>” means, for the applicable Corresponding Tenor as of the applicable Reference Time, the forward-looking term rate based on SOFR that has been selected or recommended by the Relevant Governmental Body.</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Term Benchmark</w:t>
      </w:r>
      <w:r>
        <w:rPr>
          <w:rFonts w:ascii="Arial" w:cs="Arial" w:eastAsia="Arial" w:hAnsi="Arial"/>
          <w:sz w:val="20"/>
          <w:szCs w:val="20"/>
          <w:u w:val="single" w:color="auto"/>
          <w:color w:val="0000FF"/>
        </w:rPr>
        <w:t>”, when used in reference to any Loan or Borrowing, means that such Loan, or the Loans comprising such Borrowing, bears interest at a rate determined by reference to the Adjusted Term SOFR Rate, the Adjusted EURIBO Rate, the Adjusted TIBO Rate, the Adjusted CDOR Rate or the Adjusted AUD Rate.</w:t>
      </w:r>
    </w:p>
    <w:p>
      <w:pPr>
        <w:spacing w:after="0" w:line="186"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SOFR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FF0000"/>
          <w:strike w:val="1"/>
        </w:rPr>
        <w:t>Notice</w:t>
      </w:r>
      <w:r>
        <w:rPr>
          <w:rFonts w:ascii="Arial" w:cs="Arial" w:eastAsia="Arial" w:hAnsi="Arial"/>
          <w:sz w:val="18"/>
          <w:szCs w:val="18"/>
          <w:color w:val="FF0000"/>
          <w:strike w:val="1"/>
        </w:rPr>
        <w:t>” means a notification by the Administrative Agent to the Lenders and the Borrower of the occurrence of a</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Term SOFR Transition Event. </w:t>
      </w:r>
      <w:r>
        <w:rPr>
          <w:rFonts w:ascii="Arial" w:cs="Arial" w:eastAsia="Arial" w:hAnsi="Arial"/>
          <w:sz w:val="18"/>
          <w:szCs w:val="18"/>
          <w:b w:val="1"/>
          <w:bCs w:val="1"/>
          <w:i w:val="1"/>
          <w:iCs w:val="1"/>
          <w:u w:val="single" w:color="auto"/>
          <w:color w:val="0000FF"/>
          <w:strike w:val="1"/>
        </w:rPr>
        <w:t>Determination Day</w:t>
      </w:r>
      <w:r>
        <w:rPr>
          <w:rFonts w:ascii="Arial" w:cs="Arial" w:eastAsia="Arial" w:hAnsi="Arial"/>
          <w:sz w:val="18"/>
          <w:szCs w:val="18"/>
          <w:u w:val="single" w:color="auto"/>
          <w:color w:val="0000FF"/>
          <w:strike w:val="1"/>
        </w:rPr>
        <w:t>” has the meaning assigned to it under the definition of Term SOFR Reference Rate.</w:t>
      </w:r>
    </w:p>
    <w:p>
      <w:pPr>
        <w:spacing w:after="0" w:line="13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Term SOFR Rate</w:t>
      </w:r>
      <w:r>
        <w:rPr>
          <w:rFonts w:ascii="Arial" w:cs="Arial" w:eastAsia="Arial" w:hAnsi="Arial"/>
          <w:sz w:val="20"/>
          <w:szCs w:val="20"/>
          <w:u w:val="single" w:color="auto"/>
          <w:color w:val="0000FF"/>
        </w:rPr>
        <w:t>” means, with respect to any Term Benchmark Borrowing denominated in U.S.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9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i w:val="1"/>
          <w:iCs w:val="1"/>
          <w:u w:val="single" w:color="auto"/>
          <w:color w:val="0000FF"/>
        </w:rPr>
        <w:t>Term SOFR Reference Rate</w:t>
      </w:r>
      <w:r>
        <w:rPr>
          <w:rFonts w:ascii="Arial" w:cs="Arial" w:eastAsia="Arial" w:hAnsi="Arial"/>
          <w:sz w:val="19"/>
          <w:szCs w:val="19"/>
          <w:u w:val="single" w:color="auto"/>
          <w:color w:val="0000FF"/>
        </w:rPr>
        <w:t>” means, for any day and time (such day, the “</w:t>
      </w:r>
      <w:r>
        <w:rPr>
          <w:rFonts w:ascii="Arial" w:cs="Arial" w:eastAsia="Arial" w:hAnsi="Arial"/>
          <w:sz w:val="19"/>
          <w:szCs w:val="19"/>
          <w:b w:val="1"/>
          <w:bCs w:val="1"/>
          <w:i w:val="1"/>
          <w:iCs w:val="1"/>
          <w:u w:val="single" w:color="auto"/>
          <w:color w:val="0000FF"/>
        </w:rPr>
        <w:t>Term SOFR Determination Day</w:t>
      </w:r>
      <w:r>
        <w:rPr>
          <w:rFonts w:ascii="Arial" w:cs="Arial" w:eastAsia="Arial" w:hAnsi="Arial"/>
          <w:sz w:val="19"/>
          <w:szCs w:val="19"/>
          <w:u w:val="single" w:color="auto"/>
          <w:color w:val="0000FF"/>
        </w:rPr>
        <w:t>”), with respect to any Term Benchmark Borrowing denominated in U.S.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90"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Term SOFR Transition Event</w:t>
      </w:r>
      <w:r>
        <w:rPr>
          <w:rFonts w:ascii="Arial" w:cs="Arial" w:eastAsia="Arial" w:hAnsi="Arial"/>
          <w:sz w:val="18"/>
          <w:szCs w:val="18"/>
          <w:color w:val="FF0000"/>
          <w:strike w:val="1"/>
        </w:rPr>
        <w:t>” means the determination by the Administrative Agent that (a) Term SOFR has been recommended for use by the Relevant Governmental Body, (b) the Administrative Agent and the Company agree (which agreement of the Company shall not be unreasonably withheld or delayed) that Term SOFR has become the then-prevailing market convention or any evolving market convention that could reasonably be expected to become the prevailing market convention for U.S. dollar-denominated broadly syndicated credit facilities, (c) the administration of Term SOFR is administratively feasible for the Administrative Agent and (d) a Benchmark Transition Event or an Early Opt-in Election, as applicable (and, for the avoidance of doubt, not in the case of an Other Benchmark Rate Election), has previously occurred resulting in a Benchmark Replacement in accordance with Section 2.14 that is not Term SOFR.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5" w:name="page106"/>
    <w:bookmarkEnd w:id="105"/>
    <w:p>
      <w:pPr>
        <w:jc w:val="both"/>
        <w:ind w:firstLine="749"/>
        <w:spacing w:after="0" w:line="257"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b w:val="1"/>
          <w:bCs w:val="1"/>
          <w:i w:val="1"/>
          <w:iCs w:val="1"/>
          <w:color w:val="FF0000"/>
          <w:strike w:val="1"/>
        </w:rPr>
        <w:t>TIBO Interpolated Rate</w:t>
      </w:r>
      <w:r>
        <w:rPr>
          <w:rFonts w:ascii="Arial" w:cs="Arial" w:eastAsia="Arial" w:hAnsi="Arial"/>
          <w:sz w:val="19"/>
          <w:szCs w:val="19"/>
          <w:color w:val="FF0000"/>
          <w:strike w:val="1"/>
        </w:rPr>
        <w:t xml:space="preserve">” means, at any time, with respect to any Eurocurrency Borrowing denominated in Japanese Yen and for any Interest Period, the rate per annum determined by the Administrative Agent (which determination shall be conclusive and binding absent manifest error) to be equal to the rate that results from interpolating on a linear basis between: (a) the TIBO Screen Rate for the longest period (for which the TIBO Screen Rate is available for Japanese Yen) that is shorter than the Impacted TIBO Rate Interest Period; and (b) the TIBO Screen Rate for the shortest period (for which the TIBO Screen Rate is available for Japanese Yen) that exceeds the Impacted TIBO Rate Interest Period, in each case, at such time;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if any TIBO Interpolated Rate as so determined would be less than zero, such rate shall be deemed to be zero for the purposes of this Agreement.</w:t>
      </w:r>
    </w:p>
    <w:p>
      <w:pPr>
        <w:spacing w:after="0" w:line="18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TIBO Rate</w:t>
      </w:r>
      <w:r>
        <w:rPr>
          <w:rFonts w:ascii="Arial" w:cs="Arial" w:eastAsia="Arial" w:hAnsi="Arial"/>
          <w:sz w:val="18"/>
          <w:szCs w:val="18"/>
          <w:color w:val="auto"/>
        </w:rPr>
        <w:t xml:space="preserve">” means, with respect to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Borrowing denominated in Japanese Yen and for any Interest Period, the TIBO Screen Rate </w:t>
      </w:r>
      <w:r>
        <w:rPr>
          <w:rFonts w:ascii="Arial" w:cs="Arial" w:eastAsia="Arial" w:hAnsi="Arial"/>
          <w:sz w:val="18"/>
          <w:szCs w:val="18"/>
          <w:color w:val="FF0000"/>
          <w:strike w:val="1"/>
        </w:rPr>
        <w:t>at approximately 11:00 a.m., Japan time,</w:t>
      </w:r>
      <w:r>
        <w:rPr>
          <w:rFonts w:ascii="Arial" w:cs="Arial" w:eastAsia="Arial" w:hAnsi="Arial"/>
          <w:sz w:val="18"/>
          <w:szCs w:val="18"/>
          <w:color w:val="auto"/>
        </w:rPr>
        <w:t xml:space="preserve"> two (2) Business Days prior to the commencement of such Interest Period</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provided</w:t>
      </w:r>
      <w:r>
        <w:rPr>
          <w:rFonts w:ascii="Arial" w:cs="Arial" w:eastAsia="Arial" w:hAnsi="Arial"/>
          <w:sz w:val="18"/>
          <w:szCs w:val="18"/>
          <w:color w:val="auto"/>
        </w:rPr>
        <w:t xml:space="preserve"> </w:t>
      </w:r>
      <w:r>
        <w:rPr>
          <w:rFonts w:ascii="Arial" w:cs="Arial" w:eastAsia="Arial" w:hAnsi="Arial"/>
          <w:sz w:val="18"/>
          <w:szCs w:val="18"/>
          <w:color w:val="FF0000"/>
          <w:strike w:val="1"/>
        </w:rPr>
        <w:t>that, if the TIBO Screen Rate shall not be available at such time for such Interest Period (an “</w:t>
      </w:r>
      <w:r>
        <w:rPr>
          <w:rFonts w:ascii="Arial" w:cs="Arial" w:eastAsia="Arial" w:hAnsi="Arial"/>
          <w:sz w:val="18"/>
          <w:szCs w:val="18"/>
          <w:b w:val="1"/>
          <w:bCs w:val="1"/>
          <w:i w:val="1"/>
          <w:iCs w:val="1"/>
          <w:color w:val="FF0000"/>
          <w:strike w:val="1"/>
        </w:rPr>
        <w:t>Impacted TIBO Rate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FF0000"/>
          <w:strike w:val="1"/>
        </w:rPr>
        <w:t>Interest Period</w:t>
      </w:r>
      <w:r>
        <w:rPr>
          <w:rFonts w:ascii="Arial" w:cs="Arial" w:eastAsia="Arial" w:hAnsi="Arial"/>
          <w:sz w:val="18"/>
          <w:szCs w:val="18"/>
          <w:color w:val="FF0000"/>
          <w:strike w:val="1"/>
        </w:rPr>
        <w:t>”) with respect to Japanese Yen then the TIBO Rate shall be the TIBO Interpolated Rate</w:t>
      </w:r>
      <w:r>
        <w:rPr>
          <w:rFonts w:ascii="Arial" w:cs="Arial" w:eastAsia="Arial" w:hAnsi="Arial"/>
          <w:sz w:val="18"/>
          <w:szCs w:val="18"/>
          <w:color w:val="000000"/>
        </w:rPr>
        <w:t>.</w:t>
      </w:r>
    </w:p>
    <w:p>
      <w:pPr>
        <w:spacing w:after="0" w:line="161"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TIBO Screen Rate</w:t>
      </w:r>
      <w:r>
        <w:rPr>
          <w:rFonts w:ascii="Arial" w:cs="Arial" w:eastAsia="Arial" w:hAnsi="Arial"/>
          <w:sz w:val="18"/>
          <w:szCs w:val="18"/>
          <w:color w:val="auto"/>
        </w:rPr>
        <w:t xml:space="preserve">” means, for any day and time, for any Interest Period, the Tokyo interbank offered rate administered by the Ippan Shadan Hojin JBA TIBOR Administration (or any other person which takes over the administration of such rate) for Japanese Yen for the relevant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w:t>
      </w:r>
      <w:r>
        <w:rPr>
          <w:rFonts w:ascii="Arial" w:cs="Arial" w:eastAsia="Arial" w:hAnsi="Arial"/>
          <w:sz w:val="18"/>
          <w:szCs w:val="18"/>
          <w:color w:val="0000FF"/>
        </w:rPr>
        <w:t>as published 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approximately 1:00 p.m., Japan time, two (2) Business Days prior to the commencement of such Interest Period.</w:t>
      </w:r>
      <w:r>
        <w:rPr>
          <w:rFonts w:ascii="Arial" w:cs="Arial" w:eastAsia="Arial" w:hAnsi="Arial"/>
          <w:sz w:val="18"/>
          <w:szCs w:val="18"/>
          <w:color w:val="0000FF"/>
        </w:rPr>
        <w:t xml:space="preserve"> </w:t>
      </w:r>
      <w:r>
        <w:rPr>
          <w:rFonts w:ascii="Arial" w:cs="Arial" w:eastAsia="Arial" w:hAnsi="Arial"/>
          <w:sz w:val="18"/>
          <w:szCs w:val="18"/>
          <w:color w:val="000000"/>
        </w:rPr>
        <w:t>If the TIBO Screen Rate as</w:t>
      </w:r>
      <w:r>
        <w:rPr>
          <w:rFonts w:ascii="Arial" w:cs="Arial" w:eastAsia="Arial" w:hAnsi="Arial"/>
          <w:sz w:val="18"/>
          <w:szCs w:val="18"/>
          <w:color w:val="0000FF"/>
        </w:rPr>
        <w:t xml:space="preserve"> </w:t>
      </w:r>
      <w:r>
        <w:rPr>
          <w:rFonts w:ascii="Arial" w:cs="Arial" w:eastAsia="Arial" w:hAnsi="Arial"/>
          <w:sz w:val="18"/>
          <w:szCs w:val="18"/>
          <w:color w:val="000000"/>
        </w:rPr>
        <w:t>so determined would be less than zero, such rate shall be deemed to be zero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6296660</wp:posOffset>
            </wp:positionH>
            <wp:positionV relativeFrom="paragraph">
              <wp:posOffset>-335915</wp:posOffset>
            </wp:positionV>
            <wp:extent cx="8718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TIBOR</w:t>
      </w:r>
      <w:r>
        <w:rPr>
          <w:rFonts w:ascii="Arial" w:cs="Arial" w:eastAsia="Arial" w:hAnsi="Arial"/>
          <w:sz w:val="20"/>
          <w:szCs w:val="20"/>
          <w:color w:val="FF0000"/>
          <w:strike w:val="1"/>
        </w:rPr>
        <w:t xml:space="preserve">” has the meaning assigned to such term in </w:t>
      </w:r>
      <w:r>
        <w:rPr>
          <w:rFonts w:ascii="Arial" w:cs="Arial" w:eastAsia="Arial" w:hAnsi="Arial"/>
          <w:sz w:val="20"/>
          <w:szCs w:val="20"/>
          <w:u w:val="single" w:color="auto"/>
          <w:color w:val="FF0000"/>
          <w:strike w:val="1"/>
        </w:rPr>
        <w:t>Section 1.07</w:t>
      </w:r>
      <w:r>
        <w:rPr>
          <w:rFonts w:ascii="Arial" w:cs="Arial" w:eastAsia="Arial" w:hAnsi="Arial"/>
          <w:sz w:val="20"/>
          <w:szCs w:val="20"/>
          <w:color w:val="FF0000"/>
          <w:strike w:val="1"/>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Capitalization</w:t>
      </w:r>
      <w:r>
        <w:rPr>
          <w:rFonts w:ascii="Arial" w:cs="Arial" w:eastAsia="Arial" w:hAnsi="Arial"/>
          <w:sz w:val="20"/>
          <w:szCs w:val="20"/>
          <w:color w:val="auto"/>
        </w:rPr>
        <w:t xml:space="preserve">” means, as of any date, Consolidated Total Debt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consolidated stockholders’ equity of the Company and its Subsidiaries (calculated excluding adjustments to translate foreign assets and liabilities for changes in foreign exchange rates made in accordance with Financial Accounting Standards Board Statement Nos. 52 and 133), all as would be presented according to GAAP in a consolidated balance sheet of the Company as of such date.</w:t>
      </w:r>
    </w:p>
    <w:p>
      <w:pPr>
        <w:spacing w:after="0" w:line="191"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Revolving Credit Exposure</w:t>
      </w:r>
      <w:r>
        <w:rPr>
          <w:rFonts w:ascii="Arial" w:cs="Arial" w:eastAsia="Arial" w:hAnsi="Arial"/>
          <w:sz w:val="19"/>
          <w:szCs w:val="19"/>
          <w:color w:val="auto"/>
        </w:rPr>
        <w:t xml:space="preserve">” means, the sum of the outstanding principal amount of all Lenders’ Revolving Loans, their LC Exposure and their Swingline Exposure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that, clause (a) of the definition of Swingline Exposure shall only be applicable to the extent Lenders shall have funded their respective participations in the outstanding Swingline Loans.</w:t>
      </w:r>
    </w:p>
    <w:p>
      <w:pPr>
        <w:spacing w:after="0" w:line="170" w:lineRule="exact"/>
        <w:rPr>
          <w:sz w:val="20"/>
          <w:szCs w:val="20"/>
          <w:color w:val="auto"/>
        </w:rPr>
      </w:pPr>
    </w:p>
    <w:p>
      <w:pPr>
        <w:jc w:val="both"/>
        <w:ind w:firstLine="81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Transactions</w:t>
      </w:r>
      <w:r>
        <w:rPr>
          <w:rFonts w:ascii="Arial" w:cs="Arial" w:eastAsia="Arial" w:hAnsi="Arial"/>
          <w:sz w:val="20"/>
          <w:szCs w:val="20"/>
          <w:color w:val="auto"/>
        </w:rPr>
        <w:t xml:space="preserve"> ” means the execution, delivery and performance by each Borrower of each Loan Document to which it is a party, the borrowing of Loans, the use of the proceeds thereof and the issuance of Letters of Credit hereunder.</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Type</w:t>
      </w:r>
      <w:r>
        <w:rPr>
          <w:rFonts w:ascii="Arial" w:cs="Arial" w:eastAsia="Arial" w:hAnsi="Arial"/>
          <w:sz w:val="20"/>
          <w:szCs w:val="20"/>
          <w:color w:val="auto"/>
        </w:rPr>
        <w:t xml:space="preserve">”, when used in reference to any Loan or Borrowing, refers to whether the rate of interest on such Loan, or on the Loans comprising such Borrowing, is determined by reference to a Relevant Adjusted Rate, the Alternate Base Rate, the Canadian Prime Rate, the </w:t>
      </w:r>
      <w:r>
        <w:rPr>
          <w:rFonts w:ascii="Arial" w:cs="Arial" w:eastAsia="Arial" w:hAnsi="Arial"/>
          <w:sz w:val="20"/>
          <w:szCs w:val="20"/>
          <w:color w:val="FF0000"/>
          <w:strike w:val="1"/>
        </w:rPr>
        <w:t>Daily Simple RFR</w:t>
      </w:r>
      <w:r>
        <w:rPr>
          <w:rFonts w:ascii="Arial" w:cs="Arial" w:eastAsia="Arial" w:hAnsi="Arial"/>
          <w:sz w:val="20"/>
          <w:szCs w:val="20"/>
          <w:u w:val="single" w:color="auto"/>
          <w:color w:val="0000FF"/>
        </w:rPr>
        <w:t>Japanese Prime Rate</w:t>
      </w:r>
      <w:r>
        <w:rPr>
          <w:rFonts w:ascii="Arial" w:cs="Arial" w:eastAsia="Arial" w:hAnsi="Arial"/>
          <w:sz w:val="20"/>
          <w:szCs w:val="20"/>
          <w:color w:val="FF0000"/>
        </w:rPr>
        <w:t xml:space="preserve"> </w:t>
      </w:r>
      <w:r>
        <w:rPr>
          <w:rFonts w:ascii="Arial" w:cs="Arial" w:eastAsia="Arial" w:hAnsi="Arial"/>
          <w:sz w:val="20"/>
          <w:szCs w:val="20"/>
          <w:color w:val="000000"/>
        </w:rPr>
        <w:t>or the Central Bank Rate.</w:t>
      </w:r>
    </w:p>
    <w:p>
      <w:pPr>
        <w:spacing w:after="0" w:line="186"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UK Borrower</w:t>
      </w:r>
      <w:r>
        <w:rPr>
          <w:rFonts w:ascii="Arial" w:cs="Arial" w:eastAsia="Arial" w:hAnsi="Arial"/>
          <w:sz w:val="18"/>
          <w:szCs w:val="18"/>
          <w:color w:val="auto"/>
        </w:rPr>
        <w:t>” means any Borrower (a) that is organized or formed under the laws of the United Kingdom and (b) payments from which under this Agreement or any other Loan Document are subject to withholding Taxes imposed by the laws of the United Kingdom.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6" w:name="page107"/>
    <w:bookmarkEnd w:id="106"/>
    <w:p>
      <w:pPr>
        <w:jc w:val="both"/>
        <w:ind w:firstLine="749"/>
        <w:spacing w:after="0" w:line="263" w:lineRule="auto"/>
        <w:rPr>
          <w:sz w:val="20"/>
          <w:szCs w:val="20"/>
          <w:color w:val="auto"/>
        </w:rPr>
      </w:pPr>
      <w:r>
        <w:rPr>
          <w:rFonts w:ascii="Arial" w:cs="Arial" w:eastAsia="Arial" w:hAnsi="Arial"/>
          <w:sz w:val="19"/>
          <w:szCs w:val="19"/>
          <w:b w:val="1"/>
          <w:bCs w:val="1"/>
          <w:i w:val="1"/>
          <w:iCs w:val="1"/>
          <w:color w:val="auto"/>
        </w:rPr>
        <w:t>“UK Financial Institutions</w:t>
      </w:r>
      <w:r>
        <w:rPr>
          <w:rFonts w:ascii="Arial" w:cs="Arial" w:eastAsia="Arial" w:hAnsi="Arial"/>
          <w:sz w:val="19"/>
          <w:szCs w:val="19"/>
          <w:color w:val="auto"/>
        </w:rPr>
        <w:t>” means any BRRD Undertaking (as such term is defined under the PRA Rulebook (as amended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Dollars</w:t>
      </w:r>
      <w:r>
        <w:rPr>
          <w:rFonts w:ascii="Arial" w:cs="Arial" w:eastAsia="Arial" w:hAnsi="Arial"/>
          <w:sz w:val="20"/>
          <w:szCs w:val="20"/>
          <w:color w:val="auto"/>
        </w:rPr>
        <w:t>” or “</w:t>
      </w:r>
      <w:r>
        <w:rPr>
          <w:rFonts w:ascii="Arial" w:cs="Arial" w:eastAsia="Arial" w:hAnsi="Arial"/>
          <w:sz w:val="20"/>
          <w:szCs w:val="20"/>
          <w:b w:val="1"/>
          <w:bCs w:val="1"/>
          <w:i w:val="1"/>
          <w:iCs w:val="1"/>
          <w:color w:val="auto"/>
        </w:rPr>
        <w:t>$</w:t>
      </w:r>
      <w:r>
        <w:rPr>
          <w:rFonts w:ascii="Arial" w:cs="Arial" w:eastAsia="Arial" w:hAnsi="Arial"/>
          <w:sz w:val="20"/>
          <w:szCs w:val="20"/>
          <w:color w:val="auto"/>
        </w:rPr>
        <w:t>” means the lawful currency of the United States of America.</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U.S. Government Securities Business Day</w:t>
      </w:r>
      <w:r>
        <w:rPr>
          <w:rFonts w:ascii="Arial" w:cs="Arial" w:eastAsia="Arial" w:hAnsi="Arial"/>
          <w:sz w:val="20"/>
          <w:szCs w:val="20"/>
          <w:u w:val="single" w:color="auto"/>
          <w:color w:val="0000FF"/>
        </w:rPr>
        <w:t xml:space="preserve"> ”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Person</w:t>
      </w:r>
      <w:r>
        <w:rPr>
          <w:rFonts w:ascii="Arial" w:cs="Arial" w:eastAsia="Arial" w:hAnsi="Arial"/>
          <w:sz w:val="20"/>
          <w:szCs w:val="20"/>
          <w:color w:val="auto"/>
        </w:rPr>
        <w:t>” means a “United States person” within the meaning of Section 7701(a)(30) of the Code.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Special Resolution Regime</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10.17</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Tax Compliance Certificate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2.17(f)(ii)(B)(3)</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17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72"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u w:val="single" w:color="auto"/>
          <w:color w:val="auto"/>
        </w:rPr>
        <w:t>SECTION 1.02Classification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u w:val="single" w:color="auto"/>
          <w:color w:val="auto"/>
        </w:rPr>
        <w:t>e</w:t>
      </w:r>
      <w:r>
        <w:rPr>
          <w:rFonts w:ascii="Arial" w:cs="Arial" w:eastAsia="Arial" w:hAnsi="Arial"/>
          <w:sz w:val="18"/>
          <w:szCs w:val="18"/>
          <w:color w:val="auto"/>
        </w:rPr>
        <w:t>.</w:t>
      </w:r>
      <w:r>
        <w:rPr>
          <w:rFonts w:ascii="Arial" w:cs="Arial" w:eastAsia="Arial" w:hAnsi="Arial"/>
          <w:sz w:val="18"/>
          <w:szCs w:val="18"/>
          <w:u w:val="single" w:color="auto"/>
          <w:color w:val="auto"/>
        </w:rPr>
        <w:t>g</w:t>
      </w:r>
      <w:r>
        <w:rPr>
          <w:rFonts w:ascii="Arial" w:cs="Arial" w:eastAsia="Arial" w:hAnsi="Arial"/>
          <w:sz w:val="18"/>
          <w:szCs w:val="18"/>
          <w:color w:val="auto"/>
        </w:rPr>
        <w:t>., a “</w:t>
      </w:r>
      <w:r>
        <w:rPr>
          <w:rFonts w:ascii="Arial" w:cs="Arial" w:eastAsia="Arial" w:hAnsi="Arial"/>
          <w:sz w:val="18"/>
          <w:szCs w:val="18"/>
          <w:b w:val="1"/>
          <w:bCs w:val="1"/>
          <w:i w:val="1"/>
          <w:iCs w:val="1"/>
          <w:color w:val="auto"/>
        </w:rPr>
        <w:t>Revolving Loan</w:t>
      </w:r>
      <w:r>
        <w:rPr>
          <w:rFonts w:ascii="Arial" w:cs="Arial" w:eastAsia="Arial" w:hAnsi="Arial"/>
          <w:sz w:val="18"/>
          <w:szCs w:val="18"/>
          <w:color w:val="auto"/>
        </w:rPr>
        <w:t>”) or by Type (</w:t>
      </w:r>
      <w:r>
        <w:rPr>
          <w:rFonts w:ascii="Arial" w:cs="Arial" w:eastAsia="Arial" w:hAnsi="Arial"/>
          <w:sz w:val="18"/>
          <w:szCs w:val="18"/>
          <w:u w:val="single" w:color="auto"/>
          <w:color w:val="auto"/>
        </w:rPr>
        <w:t>e</w:t>
      </w:r>
      <w:r>
        <w:rPr>
          <w:rFonts w:ascii="Arial" w:cs="Arial" w:eastAsia="Arial" w:hAnsi="Arial"/>
          <w:sz w:val="18"/>
          <w:szCs w:val="18"/>
          <w:color w:val="auto"/>
        </w:rPr>
        <w:t>.</w:t>
      </w:r>
      <w:r>
        <w:rPr>
          <w:rFonts w:ascii="Arial" w:cs="Arial" w:eastAsia="Arial" w:hAnsi="Arial"/>
          <w:sz w:val="18"/>
          <w:szCs w:val="18"/>
          <w:u w:val="single" w:color="auto"/>
          <w:color w:val="auto"/>
        </w:rPr>
        <w:t>g</w:t>
      </w:r>
      <w:r>
        <w:rPr>
          <w:rFonts w:ascii="Arial" w:cs="Arial" w:eastAsia="Arial" w:hAnsi="Arial"/>
          <w:sz w:val="18"/>
          <w:szCs w:val="18"/>
          <w:color w:val="auto"/>
        </w:rPr>
        <w:t>., a “</w:t>
      </w:r>
      <w:r>
        <w:rPr>
          <w:rFonts w:ascii="Arial" w:cs="Arial" w:eastAsia="Arial" w:hAnsi="Arial"/>
          <w:sz w:val="18"/>
          <w:szCs w:val="18"/>
          <w:b w:val="1"/>
          <w:bCs w:val="1"/>
          <w:i w:val="1"/>
          <w:iCs w:val="1"/>
          <w:color w:val="FF0000"/>
          <w:strike w:val="1"/>
        </w:rPr>
        <w:t>Eurocurrency</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0000FF"/>
        </w:rPr>
        <w:t>Term Benchmark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Loan</w:t>
      </w:r>
      <w:r>
        <w:rPr>
          <w:rFonts w:ascii="Arial" w:cs="Arial" w:eastAsia="Arial" w:hAnsi="Arial"/>
          <w:sz w:val="18"/>
          <w:szCs w:val="18"/>
          <w:color w:val="auto"/>
        </w:rPr>
        <w:t xml:space="preserve">” or an “ </w:t>
      </w:r>
      <w:r>
        <w:rPr>
          <w:rFonts w:ascii="Arial" w:cs="Arial" w:eastAsia="Arial" w:hAnsi="Arial"/>
          <w:sz w:val="18"/>
          <w:szCs w:val="18"/>
          <w:b w:val="1"/>
          <w:bCs w:val="1"/>
          <w:i w:val="1"/>
          <w:iCs w:val="1"/>
          <w:color w:val="auto"/>
        </w:rPr>
        <w:t>RFR Loan</w:t>
      </w:r>
      <w:r>
        <w:rPr>
          <w:rFonts w:ascii="Arial" w:cs="Arial" w:eastAsia="Arial" w:hAnsi="Arial"/>
          <w:sz w:val="18"/>
          <w:szCs w:val="18"/>
          <w:color w:val="auto"/>
        </w:rPr>
        <w:t>”) or by Class and Type (</w:t>
      </w:r>
      <w:r>
        <w:rPr>
          <w:rFonts w:ascii="Arial" w:cs="Arial" w:eastAsia="Arial" w:hAnsi="Arial"/>
          <w:sz w:val="18"/>
          <w:szCs w:val="18"/>
          <w:u w:val="single" w:color="auto"/>
          <w:color w:val="auto"/>
        </w:rPr>
        <w:t>e</w:t>
      </w:r>
      <w:r>
        <w:rPr>
          <w:rFonts w:ascii="Arial" w:cs="Arial" w:eastAsia="Arial" w:hAnsi="Arial"/>
          <w:sz w:val="18"/>
          <w:szCs w:val="18"/>
          <w:color w:val="auto"/>
        </w:rPr>
        <w:t>.</w:t>
      </w:r>
      <w:r>
        <w:rPr>
          <w:rFonts w:ascii="Arial" w:cs="Arial" w:eastAsia="Arial" w:hAnsi="Arial"/>
          <w:sz w:val="18"/>
          <w:szCs w:val="18"/>
          <w:u w:val="single" w:color="auto"/>
          <w:color w:val="auto"/>
        </w:rPr>
        <w:t>g</w:t>
      </w:r>
      <w:r>
        <w:rPr>
          <w:rFonts w:ascii="Arial" w:cs="Arial" w:eastAsia="Arial" w:hAnsi="Arial"/>
          <w:sz w:val="18"/>
          <w:szCs w:val="18"/>
          <w:color w:val="auto"/>
        </w:rPr>
        <w:t>., a “</w:t>
      </w:r>
      <w:r>
        <w:rPr>
          <w:rFonts w:ascii="Arial" w:cs="Arial" w:eastAsia="Arial" w:hAnsi="Arial"/>
          <w:sz w:val="18"/>
          <w:szCs w:val="18"/>
          <w:b w:val="1"/>
          <w:bCs w:val="1"/>
          <w:i w:val="1"/>
          <w:iCs w:val="1"/>
          <w:color w:val="FF0000"/>
          <w:strike w:val="1"/>
        </w:rPr>
        <w:t>Eurocurrency</w:t>
      </w:r>
      <w:r>
        <w:rPr>
          <w:rFonts w:ascii="Arial" w:cs="Arial" w:eastAsia="Arial" w:hAnsi="Arial"/>
          <w:sz w:val="18"/>
          <w:szCs w:val="18"/>
          <w:b w:val="1"/>
          <w:bCs w:val="1"/>
          <w:i w:val="1"/>
          <w:iCs w:val="1"/>
          <w:u w:val="single" w:color="auto"/>
          <w:color w:val="0000FF"/>
        </w:rPr>
        <w:t>Term Benchmark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Revolving Loan</w:t>
      </w:r>
      <w:r>
        <w:rPr>
          <w:rFonts w:ascii="Arial" w:cs="Arial" w:eastAsia="Arial" w:hAnsi="Arial"/>
          <w:sz w:val="18"/>
          <w:szCs w:val="18"/>
          <w:color w:val="auto"/>
        </w:rPr>
        <w:t>” or an “</w:t>
      </w:r>
      <w:r>
        <w:rPr>
          <w:rFonts w:ascii="Arial" w:cs="Arial" w:eastAsia="Arial" w:hAnsi="Arial"/>
          <w:sz w:val="18"/>
          <w:szCs w:val="18"/>
          <w:b w:val="1"/>
          <w:bCs w:val="1"/>
          <w:i w:val="1"/>
          <w:iCs w:val="1"/>
          <w:color w:val="auto"/>
        </w:rPr>
        <w:t>RFR Revolving Loan</w:t>
      </w:r>
      <w:r>
        <w:rPr>
          <w:rFonts w:ascii="Arial" w:cs="Arial" w:eastAsia="Arial" w:hAnsi="Arial"/>
          <w:sz w:val="18"/>
          <w:szCs w:val="18"/>
          <w:color w:val="auto"/>
        </w:rPr>
        <w:t xml:space="preserve">”). Borrowings also may be classified and referred to by Class ( </w:t>
      </w:r>
      <w:r>
        <w:rPr>
          <w:rFonts w:ascii="Arial" w:cs="Arial" w:eastAsia="Arial" w:hAnsi="Arial"/>
          <w:sz w:val="18"/>
          <w:szCs w:val="18"/>
          <w:u w:val="single" w:color="auto"/>
          <w:color w:val="auto"/>
        </w:rPr>
        <w:t>e</w:t>
      </w:r>
      <w:r>
        <w:rPr>
          <w:rFonts w:ascii="Arial" w:cs="Arial" w:eastAsia="Arial" w:hAnsi="Arial"/>
          <w:sz w:val="18"/>
          <w:szCs w:val="18"/>
          <w:color w:val="auto"/>
        </w:rPr>
        <w:t>.</w:t>
      </w:r>
      <w:r>
        <w:rPr>
          <w:rFonts w:ascii="Arial" w:cs="Arial" w:eastAsia="Arial" w:hAnsi="Arial"/>
          <w:sz w:val="18"/>
          <w:szCs w:val="18"/>
          <w:u w:val="single" w:color="auto"/>
          <w:color w:val="auto"/>
        </w:rPr>
        <w:t>g</w:t>
      </w:r>
      <w:r>
        <w:rPr>
          <w:rFonts w:ascii="Arial" w:cs="Arial" w:eastAsia="Arial" w:hAnsi="Arial"/>
          <w:sz w:val="18"/>
          <w:szCs w:val="18"/>
          <w:color w:val="auto"/>
        </w:rPr>
        <w:t>., a “</w:t>
      </w:r>
      <w:r>
        <w:rPr>
          <w:rFonts w:ascii="Arial" w:cs="Arial" w:eastAsia="Arial" w:hAnsi="Arial"/>
          <w:sz w:val="18"/>
          <w:szCs w:val="18"/>
          <w:b w:val="1"/>
          <w:bCs w:val="1"/>
          <w:i w:val="1"/>
          <w:iCs w:val="1"/>
          <w:color w:val="auto"/>
        </w:rPr>
        <w:t>Revolving Borrowing</w:t>
      </w:r>
      <w:r>
        <w:rPr>
          <w:rFonts w:ascii="Arial" w:cs="Arial" w:eastAsia="Arial" w:hAnsi="Arial"/>
          <w:sz w:val="18"/>
          <w:szCs w:val="18"/>
          <w:color w:val="auto"/>
        </w:rPr>
        <w:t>”) or by Type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a “</w:t>
      </w:r>
      <w:r>
        <w:rPr>
          <w:rFonts w:ascii="Arial" w:cs="Arial" w:eastAsia="Arial" w:hAnsi="Arial"/>
          <w:sz w:val="18"/>
          <w:szCs w:val="18"/>
          <w:b w:val="1"/>
          <w:bCs w:val="1"/>
          <w:i w:val="1"/>
          <w:iCs w:val="1"/>
          <w:color w:val="FF0000"/>
          <w:strike w:val="1"/>
        </w:rPr>
        <w:t>Eurocurrency</w:t>
      </w:r>
      <w:r>
        <w:rPr>
          <w:rFonts w:ascii="Arial" w:cs="Arial" w:eastAsia="Arial" w:hAnsi="Arial"/>
          <w:sz w:val="18"/>
          <w:szCs w:val="18"/>
          <w:b w:val="1"/>
          <w:bCs w:val="1"/>
          <w:i w:val="1"/>
          <w:iCs w:val="1"/>
          <w:u w:val="single" w:color="auto"/>
          <w:color w:val="0000FF"/>
        </w:rPr>
        <w:t>Term Benchmark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Borrowing</w:t>
      </w:r>
      <w:r>
        <w:rPr>
          <w:rFonts w:ascii="Arial" w:cs="Arial" w:eastAsia="Arial" w:hAnsi="Arial"/>
          <w:sz w:val="18"/>
          <w:szCs w:val="18"/>
          <w:color w:val="auto"/>
        </w:rPr>
        <w:t>” or an “</w:t>
      </w:r>
      <w:r>
        <w:rPr>
          <w:rFonts w:ascii="Arial" w:cs="Arial" w:eastAsia="Arial" w:hAnsi="Arial"/>
          <w:sz w:val="18"/>
          <w:szCs w:val="18"/>
          <w:b w:val="1"/>
          <w:bCs w:val="1"/>
          <w:i w:val="1"/>
          <w:iCs w:val="1"/>
          <w:color w:val="auto"/>
        </w:rPr>
        <w:t>RFR Borrowing</w:t>
      </w:r>
      <w:r>
        <w:rPr>
          <w:rFonts w:ascii="Arial" w:cs="Arial" w:eastAsia="Arial" w:hAnsi="Arial"/>
          <w:sz w:val="18"/>
          <w:szCs w:val="18"/>
          <w:color w:val="auto"/>
        </w:rPr>
        <w:t>”) or by Class and Type (</w:t>
      </w:r>
      <w:r>
        <w:rPr>
          <w:rFonts w:ascii="Arial" w:cs="Arial" w:eastAsia="Arial" w:hAnsi="Arial"/>
          <w:sz w:val="18"/>
          <w:szCs w:val="18"/>
          <w:u w:val="single" w:color="auto"/>
          <w:color w:val="auto"/>
        </w:rPr>
        <w:t>e</w:t>
      </w:r>
      <w:r>
        <w:rPr>
          <w:rFonts w:ascii="Arial" w:cs="Arial" w:eastAsia="Arial" w:hAnsi="Arial"/>
          <w:sz w:val="18"/>
          <w:szCs w:val="18"/>
          <w:color w:val="auto"/>
        </w:rPr>
        <w:t>.</w:t>
      </w:r>
      <w:r>
        <w:rPr>
          <w:rFonts w:ascii="Arial" w:cs="Arial" w:eastAsia="Arial" w:hAnsi="Arial"/>
          <w:sz w:val="18"/>
          <w:szCs w:val="18"/>
          <w:u w:val="single" w:color="auto"/>
          <w:color w:val="auto"/>
        </w:rPr>
        <w:t>g</w:t>
      </w:r>
      <w:r>
        <w:rPr>
          <w:rFonts w:ascii="Arial" w:cs="Arial" w:eastAsia="Arial" w:hAnsi="Arial"/>
          <w:sz w:val="18"/>
          <w:szCs w:val="18"/>
          <w:color w:val="auto"/>
        </w:rPr>
        <w:t>., a “</w:t>
      </w:r>
      <w:r>
        <w:rPr>
          <w:rFonts w:ascii="Arial" w:cs="Arial" w:eastAsia="Arial" w:hAnsi="Arial"/>
          <w:sz w:val="18"/>
          <w:szCs w:val="18"/>
          <w:b w:val="1"/>
          <w:bCs w:val="1"/>
          <w:i w:val="1"/>
          <w:iCs w:val="1"/>
          <w:color w:val="FF0000"/>
          <w:strike w:val="1"/>
        </w:rPr>
        <w:t>Eurocurrency</w:t>
      </w:r>
      <w:r>
        <w:rPr>
          <w:rFonts w:ascii="Arial" w:cs="Arial" w:eastAsia="Arial" w:hAnsi="Arial"/>
          <w:sz w:val="18"/>
          <w:szCs w:val="18"/>
          <w:b w:val="1"/>
          <w:bCs w:val="1"/>
          <w:i w:val="1"/>
          <w:iCs w:val="1"/>
          <w:u w:val="single" w:color="auto"/>
          <w:color w:val="0000FF"/>
        </w:rPr>
        <w:t>Term Benchmark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Revolving Borrowing</w:t>
      </w:r>
      <w:r>
        <w:rPr>
          <w:rFonts w:ascii="Arial" w:cs="Arial" w:eastAsia="Arial" w:hAnsi="Arial"/>
          <w:sz w:val="18"/>
          <w:szCs w:val="18"/>
          <w:color w:val="auto"/>
        </w:rPr>
        <w:t>” or an “</w:t>
      </w:r>
      <w:r>
        <w:rPr>
          <w:rFonts w:ascii="Arial" w:cs="Arial" w:eastAsia="Arial" w:hAnsi="Arial"/>
          <w:sz w:val="18"/>
          <w:szCs w:val="18"/>
          <w:b w:val="1"/>
          <w:bCs w:val="1"/>
          <w:i w:val="1"/>
          <w:iCs w:val="1"/>
          <w:color w:val="auto"/>
        </w:rPr>
        <w:t>RFR Revolving Borrowing</w:t>
      </w:r>
      <w:r>
        <w:rPr>
          <w:rFonts w:ascii="Arial" w:cs="Arial" w:eastAsia="Arial" w:hAnsi="Arial"/>
          <w:sz w:val="18"/>
          <w:szCs w:val="18"/>
          <w:color w:val="auto"/>
        </w:rPr>
        <w:t>”).</w:t>
      </w:r>
    </w:p>
    <w:p>
      <w:pPr>
        <w:spacing w:after="0" w:line="16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u w:val="single" w:color="auto"/>
          <w:color w:val="auto"/>
        </w:rPr>
        <w:t>SECTION 1.03Terms Generally</w:t>
      </w:r>
      <w:r>
        <w:rPr>
          <w:rFonts w:ascii="Arial" w:cs="Arial" w:eastAsia="Arial" w:hAnsi="Arial"/>
          <w:sz w:val="20"/>
          <w:szCs w:val="20"/>
          <w:color w:val="auto"/>
        </w:rPr>
        <w:t>. The definitions of terms herein shall apply equally to the singular and plural forms of the terms defined. Whenever the context may require, any pronoun shall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7" w:name="page108"/>
    <w:bookmarkEnd w:id="107"/>
    <w:p>
      <w:pPr>
        <w:jc w:val="both"/>
        <w:spacing w:after="0" w:line="268" w:lineRule="auto"/>
        <w:rPr>
          <w:sz w:val="20"/>
          <w:szCs w:val="20"/>
          <w:color w:val="auto"/>
        </w:rPr>
      </w:pPr>
      <w:r>
        <w:rPr>
          <w:rFonts w:ascii="Arial" w:cs="Arial" w:eastAsia="Arial" w:hAnsi="Arial"/>
          <w:sz w:val="18"/>
          <w:szCs w:val="18"/>
          <w:color w:val="auto"/>
        </w:rPr>
        <w:t>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w:t>
      </w:r>
    </w:p>
    <w:p>
      <w:pPr>
        <w:spacing w:after="0" w:line="3" w:lineRule="exact"/>
        <w:rPr>
          <w:sz w:val="20"/>
          <w:szCs w:val="20"/>
          <w:color w:val="auto"/>
        </w:rPr>
      </w:pPr>
    </w:p>
    <w:p>
      <w:pPr>
        <w:ind w:firstLine="8"/>
        <w:spacing w:after="0" w:line="244" w:lineRule="auto"/>
        <w:tabs>
          <w:tab w:leader="none" w:pos="304"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words “asset” and “property” shall be construed to have the same meaning and effect and to refer to any and all tangible and intangible assets and properties, including cash, securities, accounts and contract rights.</w:t>
      </w:r>
    </w:p>
    <w:p>
      <w:pPr>
        <w:spacing w:after="0" w:line="191"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u w:val="single" w:color="auto"/>
          <w:color w:val="auto"/>
        </w:rPr>
        <w:t>SECTION 1.04Accounting Terms; GAAP</w:t>
      </w:r>
      <w:r>
        <w:rPr>
          <w:rFonts w:ascii="Arial" w:cs="Arial" w:eastAsia="Arial" w:hAnsi="Arial"/>
          <w:sz w:val="18"/>
          <w:szCs w:val="18"/>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Such amendment, regardless of whether requested by the Company or the Required Lenders, shall be negotiated in good faith by the Company, the Administrative Agent and the Lenders.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the Company or any Subsidiary at “fair value”, as defined therein.</w:t>
      </w:r>
    </w:p>
    <w:p>
      <w:pPr>
        <w:spacing w:after="0" w:line="17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u w:val="single" w:color="auto"/>
          <w:color w:val="auto"/>
        </w:rPr>
        <w:t>SECTION 1.05Letter of Credit Amounts</w:t>
      </w:r>
      <w:r>
        <w:rPr>
          <w:rFonts w:ascii="Arial" w:cs="Arial" w:eastAsia="Arial" w:hAnsi="Arial"/>
          <w:sz w:val="19"/>
          <w:szCs w:val="19"/>
          <w:color w:val="auto"/>
        </w:rPr>
        <w:t xml:space="preserve"> . Unless otherwise specified herein, the amount of a Letter of Credit at any time shall be deemed to be the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upon such maximum amount being available to be drawn at such time.</w:t>
      </w:r>
    </w:p>
    <w:p>
      <w:pPr>
        <w:spacing w:after="0" w:line="18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u w:val="single" w:color="auto"/>
          <w:color w:val="auto"/>
        </w:rPr>
        <w:t>SECTION 1.06Divisions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u w:val="single" w:color="auto"/>
          <w:color w:val="auto"/>
        </w:rPr>
        <w:t>SECTION 1.07Interest Rates;</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LIBOR</w:t>
      </w:r>
      <w:r>
        <w:rPr>
          <w:rFonts w:ascii="Arial" w:cs="Arial" w:eastAsia="Arial" w:hAnsi="Arial"/>
          <w:sz w:val="20"/>
          <w:szCs w:val="20"/>
          <w:u w:val="single" w:color="auto"/>
          <w:color w:val="0000FF"/>
        </w:rPr>
        <w:t>Benchmark</w:t>
      </w:r>
      <w:r>
        <w:rPr>
          <w:rFonts w:ascii="Arial" w:cs="Arial" w:eastAsia="Arial" w:hAnsi="Arial"/>
          <w:sz w:val="20"/>
          <w:szCs w:val="20"/>
          <w:color w:val="auto"/>
        </w:rPr>
        <w:t xml:space="preserve"> </w:t>
      </w:r>
      <w:r>
        <w:rPr>
          <w:rFonts w:ascii="Arial" w:cs="Arial" w:eastAsia="Arial" w:hAnsi="Arial"/>
          <w:sz w:val="20"/>
          <w:szCs w:val="20"/>
          <w:u w:val="single" w:color="auto"/>
          <w:color w:val="auto"/>
        </w:rPr>
        <w:t>Notification</w:t>
      </w:r>
      <w:r>
        <w:rPr>
          <w:rFonts w:ascii="Arial" w:cs="Arial" w:eastAsia="Arial" w:hAnsi="Arial"/>
          <w:sz w:val="20"/>
          <w:szCs w:val="20"/>
          <w:color w:val="auto"/>
        </w:rPr>
        <w:t xml:space="preserve">. The interest rate on a Loan denominated in </w:t>
      </w:r>
      <w:r>
        <w:rPr>
          <w:rFonts w:ascii="Arial" w:cs="Arial" w:eastAsia="Arial" w:hAnsi="Arial"/>
          <w:sz w:val="20"/>
          <w:szCs w:val="20"/>
          <w:color w:val="FF0000"/>
          <w:strike w:val="1"/>
        </w:rPr>
        <w:t>an Agreed</w:t>
      </w:r>
      <w:r>
        <w:rPr>
          <w:rFonts w:ascii="Arial" w:cs="Arial" w:eastAsia="Arial" w:hAnsi="Arial"/>
          <w:sz w:val="20"/>
          <w:szCs w:val="20"/>
          <w:u w:val="single" w:color="auto"/>
          <w:color w:val="0000FF"/>
        </w:rPr>
        <w:t>U.S. Dollars</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or a Foreign</w:t>
      </w:r>
      <w:r>
        <w:rPr>
          <w:rFonts w:ascii="Arial" w:cs="Arial" w:eastAsia="Arial" w:hAnsi="Arial"/>
          <w:sz w:val="20"/>
          <w:szCs w:val="20"/>
          <w:color w:val="0000FF"/>
        </w:rPr>
        <w:t xml:space="preserve"> </w:t>
      </w:r>
      <w:r>
        <w:rPr>
          <w:rFonts w:ascii="Arial" w:cs="Arial" w:eastAsia="Arial" w:hAnsi="Arial"/>
          <w:sz w:val="20"/>
          <w:szCs w:val="20"/>
          <w:color w:val="000000"/>
        </w:rPr>
        <w:t>Currency may be derived from an interest rate benchmark that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may be discontinued or</w:t>
      </w:r>
      <w:r>
        <w:rPr>
          <w:rFonts w:ascii="Arial" w:cs="Arial" w:eastAsia="Arial" w:hAnsi="Arial"/>
          <w:sz w:val="20"/>
          <w:szCs w:val="20"/>
          <w:color w:val="0000FF"/>
        </w:rPr>
        <w:t xml:space="preserve"> </w:t>
      </w:r>
      <w:r>
        <w:rPr>
          <w:rFonts w:ascii="Arial" w:cs="Arial" w:eastAsia="Arial" w:hAnsi="Arial"/>
          <w:sz w:val="20"/>
          <w:szCs w:val="20"/>
          <w:color w:val="000000"/>
        </w:rPr>
        <w:t>is, or may in the future become, the</w:t>
      </w:r>
      <w:r>
        <w:rPr>
          <w:rFonts w:ascii="Arial" w:cs="Arial" w:eastAsia="Arial" w:hAnsi="Arial"/>
          <w:sz w:val="20"/>
          <w:szCs w:val="20"/>
          <w:color w:val="0000FF"/>
        </w:rPr>
        <w:t xml:space="preserve"> </w:t>
      </w:r>
      <w:r>
        <w:rPr>
          <w:rFonts w:ascii="Arial" w:cs="Arial" w:eastAsia="Arial" w:hAnsi="Arial"/>
          <w:sz w:val="20"/>
          <w:szCs w:val="20"/>
          <w:color w:val="000000"/>
        </w:rPr>
        <w:t>subject of regulatory reform.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8" w:name="page109"/>
    <w:bookmarkEnd w:id="108"/>
    <w:p>
      <w:pPr>
        <w:jc w:val="both"/>
        <w:spacing w:after="0" w:line="267" w:lineRule="auto"/>
        <w:rPr>
          <w:sz w:val="20"/>
          <w:szCs w:val="20"/>
          <w:color w:val="auto"/>
        </w:rPr>
      </w:pPr>
      <w:r>
        <w:rPr>
          <w:rFonts w:ascii="Arial" w:cs="Arial" w:eastAsia="Arial" w:hAnsi="Arial"/>
          <w:sz w:val="18"/>
          <w:szCs w:val="18"/>
          <w:color w:val="FF0000"/>
          <w:strike w:val="1"/>
        </w:rPr>
        <w:t>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w:t>
      </w:r>
      <w:r>
        <w:rPr>
          <w:rFonts w:ascii="Arial" w:cs="Arial" w:eastAsia="Arial" w:hAnsi="Arial"/>
          <w:sz w:val="18"/>
          <w:szCs w:val="18"/>
          <w:b w:val="1"/>
          <w:bCs w:val="1"/>
          <w:i w:val="1"/>
          <w:iCs w:val="1"/>
          <w:color w:val="FF0000"/>
          <w:strike w:val="1"/>
        </w:rPr>
        <w:t>LIBOR</w:t>
      </w:r>
      <w:r>
        <w:rPr>
          <w:rFonts w:ascii="Arial" w:cs="Arial" w:eastAsia="Arial" w:hAnsi="Arial"/>
          <w:sz w:val="18"/>
          <w:szCs w:val="18"/>
          <w:color w:val="FF0000"/>
          <w:strike w:val="1"/>
        </w:rPr>
        <w:t>”) is intended to represent the rate at which contributing banks may obtain short-term borrowings from each other in the London interbank market. On March 5, 2021, the U.K. Financial Conduct Authority (“</w:t>
      </w:r>
      <w:r>
        <w:rPr>
          <w:rFonts w:ascii="Arial" w:cs="Arial" w:eastAsia="Arial" w:hAnsi="Arial"/>
          <w:sz w:val="18"/>
          <w:szCs w:val="18"/>
          <w:b w:val="1"/>
          <w:bCs w:val="1"/>
          <w:i w:val="1"/>
          <w:iCs w:val="1"/>
          <w:color w:val="FF0000"/>
          <w:strike w:val="1"/>
        </w:rPr>
        <w:t>FCA</w:t>
      </w:r>
      <w:r>
        <w:rPr>
          <w:rFonts w:ascii="Arial" w:cs="Arial" w:eastAsia="Arial" w:hAnsi="Arial"/>
          <w:sz w:val="18"/>
          <w:szCs w:val="18"/>
          <w:color w:val="FF0000"/>
          <w:strike w:val="1"/>
        </w:rPr>
        <w:t xml:space="preserve">”) publicly announced that: (a) immediately after December 31, 2021, publication of all seven Euro LIBOR settings, all seven Swiss Franc LIBOR settings, the spot next, 1-week, 2-month and 12-month Japanese Yen LIBOR settings, the overnight, 1-week, 2-month and 12-month Pound Sterling LIBOR settings, and the 1-week and 2-month U.S. Dollar LIBOR settings will permanently cease; immediately after June 30, 2023, publication of the overnight and 12-month U.S. Dollar LIBOR settings will permanently cease; immediately after December 31, 2021, the 1-month, 3-month and 6-month Japanese Yen LIBOR settings and the 1-month, 3-month and 6-month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immediately after June 30, 2023, the 1-month, 3-month and 6-month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w:t>
      </w:r>
      <w:r>
        <w:rPr>
          <w:rFonts w:ascii="Arial" w:cs="Arial" w:eastAsia="Arial" w:hAnsi="Arial"/>
          <w:sz w:val="18"/>
          <w:szCs w:val="18"/>
          <w:color w:val="000000"/>
          <w:strike w:val="1"/>
        </w:rPr>
        <w:t>Upon</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the occurrence of a Benchmark Transition Event, </w:t>
      </w:r>
      <w:r>
        <w:rPr>
          <w:rFonts w:ascii="Arial" w:cs="Arial" w:eastAsia="Arial" w:hAnsi="Arial"/>
          <w:sz w:val="18"/>
          <w:szCs w:val="18"/>
          <w:color w:val="FF0000"/>
          <w:strike w:val="1"/>
        </w:rPr>
        <w:t>a Term SOFR Transition Event, an Early Opt-in Election or an Other Benchmark Rate</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 xml:space="preserve">Election, </w:t>
      </w:r>
      <w:r>
        <w:rPr>
          <w:rFonts w:ascii="Arial" w:cs="Arial" w:eastAsia="Arial" w:hAnsi="Arial"/>
          <w:sz w:val="18"/>
          <w:szCs w:val="18"/>
          <w:color w:val="000000"/>
          <w:strike w:val="1"/>
        </w:rPr>
        <w:t>Section 2.14(b)</w:t>
      </w:r>
      <w:r>
        <w:rPr>
          <w:rFonts w:ascii="Arial" w:cs="Arial" w:eastAsia="Arial" w:hAnsi="Arial"/>
          <w:sz w:val="18"/>
          <w:szCs w:val="18"/>
          <w:color w:val="FF0000"/>
          <w:strike w:val="1"/>
        </w:rPr>
        <w:t xml:space="preserve"> and </w:t>
      </w:r>
      <w:r>
        <w:rPr>
          <w:rFonts w:ascii="Arial" w:cs="Arial" w:eastAsia="Arial" w:hAnsi="Arial"/>
          <w:sz w:val="18"/>
          <w:szCs w:val="18"/>
          <w:u w:val="single" w:color="auto"/>
          <w:color w:val="FF0000"/>
          <w:strike w:val="1"/>
        </w:rPr>
        <w:t>Section 2.14(c)</w:t>
      </w:r>
      <w:r>
        <w:rPr>
          <w:rFonts w:ascii="Arial" w:cs="Arial" w:eastAsia="Arial" w:hAnsi="Arial"/>
          <w:sz w:val="18"/>
          <w:szCs w:val="18"/>
          <w:color w:val="FF0000"/>
          <w:strike w:val="1"/>
        </w:rPr>
        <w:t xml:space="preserve"> provide</w:t>
      </w:r>
      <w:r>
        <w:rPr>
          <w:rFonts w:ascii="Arial" w:cs="Arial" w:eastAsia="Arial" w:hAnsi="Arial"/>
          <w:sz w:val="18"/>
          <w:szCs w:val="18"/>
          <w:u w:val="single" w:color="auto"/>
          <w:color w:val="0000FF"/>
          <w:strike w:val="1"/>
        </w:rPr>
        <w:t>provides</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a mechanism for determining an alternative rate of interest. The</w:t>
      </w:r>
      <w:r>
        <w:rPr>
          <w:rFonts w:ascii="Arial" w:cs="Arial" w:eastAsia="Arial" w:hAnsi="Arial"/>
          <w:sz w:val="18"/>
          <w:szCs w:val="18"/>
          <w:color w:val="FF0000"/>
          <w:strike w:val="1"/>
        </w:rPr>
        <w:t xml:space="preserve"> Administrative Agent will promptly notify the Company, pursuant to </w:t>
      </w:r>
      <w:r>
        <w:rPr>
          <w:rFonts w:ascii="Arial" w:cs="Arial" w:eastAsia="Arial" w:hAnsi="Arial"/>
          <w:sz w:val="18"/>
          <w:szCs w:val="18"/>
          <w:u w:val="single" w:color="auto"/>
          <w:color w:val="FF0000"/>
          <w:strike w:val="1"/>
        </w:rPr>
        <w:t>Section 2.14(e)</w:t>
      </w:r>
      <w:r>
        <w:rPr>
          <w:rFonts w:ascii="Arial" w:cs="Arial" w:eastAsia="Arial" w:hAnsi="Arial"/>
          <w:sz w:val="18"/>
          <w:szCs w:val="18"/>
          <w:color w:val="FF0000"/>
          <w:strike w:val="1"/>
        </w:rPr>
        <w:t xml:space="preserve">, of any change to the reference rate upon which the interest rate on Eurocurrency Loans is based. However, the </w:t>
      </w:r>
      <w:r>
        <w:rPr>
          <w:rFonts w:ascii="Arial" w:cs="Arial" w:eastAsia="Arial" w:hAnsi="Arial"/>
          <w:sz w:val="18"/>
          <w:szCs w:val="18"/>
          <w:color w:val="000000"/>
          <w:strike w:val="1"/>
        </w:rPr>
        <w:t>Administrative Agent does not warrant or accept any responsibility for, and shall</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not have any liability with respect to, the administration, submission, performance or any other matter related to </w:t>
      </w:r>
      <w:r>
        <w:rPr>
          <w:rFonts w:ascii="Arial" w:cs="Arial" w:eastAsia="Arial" w:hAnsi="Arial"/>
          <w:sz w:val="18"/>
          <w:szCs w:val="18"/>
          <w:color w:val="FF0000"/>
          <w:strike w:val="1"/>
        </w:rPr>
        <w:t>the Daily Simple RFR,</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LIBOR, EURIBOR, TIBOR, CDOR, BBSY, SIBOR or other rates in the definition of “LIBO Rate” (or “EURIBO Rate”, or “TIBO Rate”, or “CDOR Rate”, or “AUD Rate” or “SIBO Rate”, as applicable) or</w:t>
      </w:r>
      <w:r>
        <w:rPr>
          <w:rFonts w:ascii="Arial" w:cs="Arial" w:eastAsia="Arial" w:hAnsi="Arial"/>
          <w:sz w:val="18"/>
          <w:szCs w:val="18"/>
          <w:u w:val="single" w:color="auto"/>
          <w:color w:val="0000FF"/>
          <w:strike w:val="1"/>
        </w:rPr>
        <w:t>any interest rate used in this Agreement, or</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with respect to any alternative or</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successor rate thereto, or replacement rate thereof </w:t>
      </w:r>
      <w:r>
        <w:rPr>
          <w:rFonts w:ascii="Arial" w:cs="Arial" w:eastAsia="Arial" w:hAnsi="Arial"/>
          <w:sz w:val="18"/>
          <w:szCs w:val="18"/>
          <w:color w:val="FF0000"/>
          <w:strike w:val="1"/>
        </w:rPr>
        <w:t>(including, without limitation, (i) any such alternative, successor or replacement rate</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 xml:space="preserve">implemented pursuant to </w:t>
      </w:r>
      <w:r>
        <w:rPr>
          <w:rFonts w:ascii="Arial" w:cs="Arial" w:eastAsia="Arial" w:hAnsi="Arial"/>
          <w:sz w:val="18"/>
          <w:szCs w:val="18"/>
          <w:u w:val="single" w:color="auto"/>
          <w:color w:val="FF0000"/>
          <w:strike w:val="1"/>
        </w:rPr>
        <w:t>Section 2.14(b)</w:t>
      </w:r>
      <w:r>
        <w:rPr>
          <w:rFonts w:ascii="Arial" w:cs="Arial" w:eastAsia="Arial" w:hAnsi="Arial"/>
          <w:sz w:val="18"/>
          <w:szCs w:val="18"/>
          <w:color w:val="FF0000"/>
          <w:strike w:val="1"/>
        </w:rPr>
        <w:t xml:space="preserve"> or </w:t>
      </w:r>
      <w:r>
        <w:rPr>
          <w:rFonts w:ascii="Arial" w:cs="Arial" w:eastAsia="Arial" w:hAnsi="Arial"/>
          <w:sz w:val="18"/>
          <w:szCs w:val="18"/>
          <w:u w:val="single" w:color="auto"/>
          <w:color w:val="FF0000"/>
          <w:strike w:val="1"/>
        </w:rPr>
        <w:t>Section 2.14(c)</w:t>
      </w:r>
      <w:r>
        <w:rPr>
          <w:rFonts w:ascii="Arial" w:cs="Arial" w:eastAsia="Arial" w:hAnsi="Arial"/>
          <w:sz w:val="18"/>
          <w:szCs w:val="18"/>
          <w:color w:val="FF0000"/>
          <w:strike w:val="1"/>
        </w:rPr>
        <w:t xml:space="preserve"> , whether upon the occurrence of a Benchmark Transition Event, a Term SOFR Transition Event, an Early Opt-in Election or an Other Benchmark Rate Election, and (ii) the implementation of any Benchmark Replacement Conforming Changes pursuant to </w:t>
      </w:r>
      <w:r>
        <w:rPr>
          <w:rFonts w:ascii="Arial" w:cs="Arial" w:eastAsia="Arial" w:hAnsi="Arial"/>
          <w:sz w:val="18"/>
          <w:szCs w:val="18"/>
          <w:u w:val="single" w:color="auto"/>
          <w:color w:val="FF0000"/>
          <w:strike w:val="1"/>
        </w:rPr>
        <w:t>Section 2.14(d)</w:t>
      </w:r>
      <w:r>
        <w:rPr>
          <w:rFonts w:ascii="Arial" w:cs="Arial" w:eastAsia="Arial" w:hAnsi="Arial"/>
          <w:sz w:val="18"/>
          <w:szCs w:val="18"/>
          <w:color w:val="FF0000"/>
          <w:strike w:val="1"/>
        </w:rPr>
        <w:t>)</w:t>
      </w:r>
      <w:r>
        <w:rPr>
          <w:rFonts w:ascii="Arial" w:cs="Arial" w:eastAsia="Arial" w:hAnsi="Arial"/>
          <w:sz w:val="18"/>
          <w:szCs w:val="18"/>
          <w:color w:val="000000"/>
          <w:strike w:val="1"/>
        </w:rPr>
        <w:t>, including without limitation, whether the composition or characteristics of</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any such alternative, successor or replacement reference rate will be similar to, or produce the same value or economic equivalence of, the </w:t>
      </w:r>
      <w:r>
        <w:rPr>
          <w:rFonts w:ascii="Arial" w:cs="Arial" w:eastAsia="Arial" w:hAnsi="Arial"/>
          <w:sz w:val="18"/>
          <w:szCs w:val="18"/>
          <w:color w:val="FF0000"/>
          <w:strike w:val="1"/>
        </w:rPr>
        <w:t>Daily Simple RFR, the LIBO Rate (or the “EURIBO Rate”, or the “TIBO Rate”, or the “CDOR Rate”, or the “AUD Rate” or the “SIBO Rate”, as applicable)</w:t>
      </w:r>
      <w:r>
        <w:rPr>
          <w:rFonts w:ascii="Arial" w:cs="Arial" w:eastAsia="Arial" w:hAnsi="Arial"/>
          <w:sz w:val="18"/>
          <w:szCs w:val="18"/>
          <w:u w:val="single" w:color="auto"/>
          <w:color w:val="0000FF"/>
          <w:strike w:val="1"/>
        </w:rPr>
        <w:t>existing interest rate being replaced</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or have the same volume or liquidity as did</w:t>
      </w:r>
      <w:r>
        <w:rPr>
          <w:rFonts w:ascii="Arial" w:cs="Arial" w:eastAsia="Arial" w:hAnsi="Arial"/>
          <w:sz w:val="18"/>
          <w:szCs w:val="18"/>
          <w:color w:val="FF0000"/>
          <w:strike w:val="1"/>
        </w:rPr>
        <w:t xml:space="preserve"> LIBOR (or the Euro interbank offered rate (“</w:t>
      </w:r>
      <w:r>
        <w:rPr>
          <w:rFonts w:ascii="Arial" w:cs="Arial" w:eastAsia="Arial" w:hAnsi="Arial"/>
          <w:sz w:val="18"/>
          <w:szCs w:val="18"/>
          <w:b w:val="1"/>
          <w:bCs w:val="1"/>
          <w:i w:val="1"/>
          <w:iCs w:val="1"/>
          <w:color w:val="FF0000"/>
          <w:strike w:val="1"/>
        </w:rPr>
        <w:t>EURIBOR</w:t>
      </w:r>
      <w:r>
        <w:rPr>
          <w:rFonts w:ascii="Arial" w:cs="Arial" w:eastAsia="Arial" w:hAnsi="Arial"/>
          <w:sz w:val="18"/>
          <w:szCs w:val="18"/>
          <w:color w:val="FF0000"/>
          <w:strike w:val="1"/>
        </w:rPr>
        <w:t>”), or the Tokyo interbank offered rate (“</w:t>
      </w:r>
      <w:r>
        <w:rPr>
          <w:rFonts w:ascii="Arial" w:cs="Arial" w:eastAsia="Arial" w:hAnsi="Arial"/>
          <w:sz w:val="18"/>
          <w:szCs w:val="18"/>
          <w:b w:val="1"/>
          <w:bCs w:val="1"/>
          <w:i w:val="1"/>
          <w:iCs w:val="1"/>
          <w:color w:val="FF0000"/>
          <w:strike w:val="1"/>
        </w:rPr>
        <w:t>TIBOR</w:t>
      </w:r>
      <w:r>
        <w:rPr>
          <w:rFonts w:ascii="Arial" w:cs="Arial" w:eastAsia="Arial" w:hAnsi="Arial"/>
          <w:sz w:val="18"/>
          <w:szCs w:val="18"/>
          <w:color w:val="FF0000"/>
          <w:strike w:val="1"/>
        </w:rPr>
        <w:t>”), or the Canadian Dollar offered rate (“</w:t>
      </w:r>
      <w:r>
        <w:rPr>
          <w:rFonts w:ascii="Arial" w:cs="Arial" w:eastAsia="Arial" w:hAnsi="Arial"/>
          <w:sz w:val="18"/>
          <w:szCs w:val="18"/>
          <w:b w:val="1"/>
          <w:bCs w:val="1"/>
          <w:i w:val="1"/>
          <w:iCs w:val="1"/>
          <w:color w:val="FF0000"/>
          <w:strike w:val="1"/>
        </w:rPr>
        <w:t>CDOR</w:t>
      </w:r>
      <w:r>
        <w:rPr>
          <w:rFonts w:ascii="Arial" w:cs="Arial" w:eastAsia="Arial" w:hAnsi="Arial"/>
          <w:sz w:val="18"/>
          <w:szCs w:val="18"/>
          <w:color w:val="FF0000"/>
          <w:strike w:val="1"/>
        </w:rPr>
        <w:t>”), or the Bank Bill Swap Bid Rate for Australian Dollars (“</w:t>
      </w:r>
      <w:r>
        <w:rPr>
          <w:rFonts w:ascii="Arial" w:cs="Arial" w:eastAsia="Arial" w:hAnsi="Arial"/>
          <w:sz w:val="18"/>
          <w:szCs w:val="18"/>
          <w:b w:val="1"/>
          <w:bCs w:val="1"/>
          <w:i w:val="1"/>
          <w:iCs w:val="1"/>
          <w:color w:val="FF0000"/>
          <w:strike w:val="1"/>
        </w:rPr>
        <w:t>BBSY</w:t>
      </w:r>
      <w:r>
        <w:rPr>
          <w:rFonts w:ascii="Arial" w:cs="Arial" w:eastAsia="Arial" w:hAnsi="Arial"/>
          <w:sz w:val="18"/>
          <w:szCs w:val="18"/>
          <w:color w:val="FF0000"/>
          <w:strike w:val="1"/>
        </w:rPr>
        <w:t>”) or the Singapore interbank offered rate (“</w:t>
      </w:r>
      <w:r>
        <w:rPr>
          <w:rFonts w:ascii="Arial" w:cs="Arial" w:eastAsia="Arial" w:hAnsi="Arial"/>
          <w:sz w:val="18"/>
          <w:szCs w:val="18"/>
          <w:b w:val="1"/>
          <w:bCs w:val="1"/>
          <w:i w:val="1"/>
          <w:iCs w:val="1"/>
          <w:color w:val="FF0000"/>
          <w:strike w:val="1"/>
        </w:rPr>
        <w:t>SIBOR</w:t>
      </w:r>
      <w:r>
        <w:rPr>
          <w:rFonts w:ascii="Arial" w:cs="Arial" w:eastAsia="Arial" w:hAnsi="Arial"/>
          <w:sz w:val="18"/>
          <w:szCs w:val="18"/>
          <w:color w:val="FF0000"/>
          <w:strike w:val="1"/>
        </w:rPr>
        <w:t xml:space="preserve">”), as applicable) </w:t>
      </w:r>
      <w:r>
        <w:rPr>
          <w:rFonts w:ascii="Arial" w:cs="Arial" w:eastAsia="Arial" w:hAnsi="Arial"/>
          <w:sz w:val="18"/>
          <w:szCs w:val="18"/>
          <w:u w:val="single" w:color="auto"/>
          <w:color w:val="0000FF"/>
          <w:strike w:val="1"/>
        </w:rPr>
        <w:t>any existing interest rate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prior to</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its discontinuance or unavailability. The Administrative Agent and its affiliates and/or other related entities may engage in transactions that affect the calculation of any </w:t>
      </w:r>
      <w:r>
        <w:rPr>
          <w:rFonts w:ascii="Arial" w:cs="Arial" w:eastAsia="Arial" w:hAnsi="Arial"/>
          <w:sz w:val="18"/>
          <w:szCs w:val="18"/>
          <w:color w:val="FF0000"/>
          <w:strike w:val="1"/>
        </w:rPr>
        <w:t>Daily Simple RFR,</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interest rate used in this Agreement or</w:t>
      </w:r>
      <w:r>
        <w:rPr>
          <w:rFonts w:ascii="Arial" w:cs="Arial" w:eastAsia="Arial" w:hAnsi="Arial"/>
          <w:sz w:val="18"/>
          <w:szCs w:val="18"/>
          <w:color w:val="000000"/>
          <w:strike w:val="1"/>
        </w:rPr>
        <w:t xml:space="preserve">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w:t>
      </w:r>
      <w:r>
        <w:rPr>
          <w:rFonts w:ascii="Arial" w:cs="Arial" w:eastAsia="Arial" w:hAnsi="Arial"/>
          <w:sz w:val="18"/>
          <w:szCs w:val="18"/>
          <w:color w:val="FF0000"/>
          <w:strike w:val="1"/>
        </w:rPr>
        <w:t>RFR, Daily Simple RFR or</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Relevant Rate</w:t>
      </w:r>
      <w:r>
        <w:rPr>
          <w:rFonts w:ascii="Arial" w:cs="Arial" w:eastAsia="Arial" w:hAnsi="Arial"/>
          <w:sz w:val="18"/>
          <w:szCs w:val="18"/>
          <w:u w:val="single" w:color="auto"/>
          <w:color w:val="0000FF"/>
          <w:strike w:val="1"/>
        </w:rPr>
        <w:t>interest rate used in this Agreement</w:t>
      </w:r>
      <w:r>
        <w:rPr>
          <w:rFonts w:ascii="Arial" w:cs="Arial" w:eastAsia="Arial" w:hAnsi="Arial"/>
          <w:sz w:val="18"/>
          <w:szCs w:val="18"/>
          <w:color w:val="000000"/>
          <w:strike w:val="1"/>
        </w:rPr>
        <w:t>, any component thereof, or rates referenced in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9" w:name="page110"/>
    <w:bookmarkEnd w:id="109"/>
    <w:p>
      <w:pPr>
        <w:jc w:val="both"/>
        <w:spacing w:after="0" w:line="246" w:lineRule="auto"/>
        <w:rPr>
          <w:sz w:val="20"/>
          <w:szCs w:val="20"/>
          <w:color w:val="auto"/>
        </w:rPr>
      </w:pPr>
      <w:r>
        <w:rPr>
          <w:rFonts w:ascii="Arial" w:cs="Arial" w:eastAsia="Arial" w:hAnsi="Arial"/>
          <w:sz w:val="20"/>
          <w:szCs w:val="20"/>
          <w:color w:val="auto"/>
        </w:rPr>
        <w:t>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The Credits</w:t>
      </w:r>
    </w:p>
    <w:p>
      <w:pPr>
        <w:spacing w:after="0" w:line="21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u w:val="single" w:color="auto"/>
          <w:color w:val="auto"/>
        </w:rPr>
        <w:t>SECTION 2.01Commitments</w:t>
      </w:r>
      <w:r>
        <w:rPr>
          <w:rFonts w:ascii="Arial" w:cs="Arial" w:eastAsia="Arial" w:hAnsi="Arial"/>
          <w:sz w:val="19"/>
          <w:szCs w:val="19"/>
          <w:color w:val="auto"/>
        </w:rPr>
        <w:t xml:space="preserve">. Subject to the terms and conditions set forth herein, each Lender agrees to make Revolving Loans to the Borrowers in Agreed Currencies from time to time during the Availability Period in an aggregate principal amount that will not result (after giving effect to any application of proceeds of such Borrowing pursuant to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in, subject to </w:t>
      </w:r>
      <w:r>
        <w:rPr>
          <w:rFonts w:ascii="Arial" w:cs="Arial" w:eastAsia="Arial" w:hAnsi="Arial"/>
          <w:sz w:val="19"/>
          <w:szCs w:val="19"/>
          <w:u w:val="single" w:color="auto"/>
          <w:color w:val="auto"/>
        </w:rPr>
        <w:t>Sections 2.04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2.11(c)</w:t>
      </w:r>
      <w:r>
        <w:rPr>
          <w:rFonts w:ascii="Arial" w:cs="Arial" w:eastAsia="Arial" w:hAnsi="Arial"/>
          <w:sz w:val="19"/>
          <w:szCs w:val="19"/>
          <w:color w:val="auto"/>
        </w:rPr>
        <w:t>, (a) the Dollar Amount of such Lender’s Revolving Credit Exposure exceeding such Lender’s Commitment or (b) the Dollar Amount of the Total Revolving Credit Exposures exceeding the total Commitments. Within the foregoing limits and subject to the terms and conditions set forth herein, the Borrowers may borrow, prepay and reborrow Revolving Loans.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2.02Loans and Borrowings</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46" w:lineRule="auto"/>
        <w:tabs>
          <w:tab w:leader="none" w:pos="2036"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Commitments of the Lenders are several and no Lender shall be responsible for any other Lender’s failure to make Loans as required.</w:t>
      </w:r>
    </w:p>
    <w:p>
      <w:pPr>
        <w:spacing w:after="0" w:line="191" w:lineRule="exact"/>
        <w:rPr>
          <w:rFonts w:ascii="Arial" w:cs="Arial" w:eastAsia="Arial" w:hAnsi="Arial"/>
          <w:sz w:val="20"/>
          <w:szCs w:val="20"/>
          <w:color w:val="auto"/>
        </w:rPr>
      </w:pPr>
    </w:p>
    <w:p>
      <w:pPr>
        <w:jc w:val="both"/>
        <w:ind w:firstLine="1505"/>
        <w:spacing w:after="0" w:line="273" w:lineRule="auto"/>
        <w:tabs>
          <w:tab w:leader="none" w:pos="20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each Revolving Borrowing shall be comprised (i) in the case of Borrowings in U.S. Dollars, entirely of ABR Loans or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Loans, (ii) in the case of Borrowings in any other Agreed Currency, entirely of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Loans or RFR Loans or Canadian Prime Rate Loans, as applicable, in each case of the same Agreed Currency, as the Company may request in accordance herewith, provided that (x) ABR Loans shall be only available in U.S. Dollars and (y) Canadian Prime Rate Loans shall only be available in Canadian Dollars. Each Swingline Loan shall be an ABR Loan. Each Lender at its option may make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Loan or Canadian Prime Rate Loan to any Borrower, or any Loan to a Foreign Obligor,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applicable Borrower to repay such Loan in accordance with the terms of this Agreement.</w:t>
      </w:r>
    </w:p>
    <w:p>
      <w:pPr>
        <w:spacing w:after="0" w:line="168" w:lineRule="exact"/>
        <w:rPr>
          <w:rFonts w:ascii="Arial" w:cs="Arial" w:eastAsia="Arial" w:hAnsi="Arial"/>
          <w:sz w:val="18"/>
          <w:szCs w:val="18"/>
          <w:color w:val="auto"/>
        </w:rPr>
      </w:pPr>
    </w:p>
    <w:p>
      <w:pPr>
        <w:jc w:val="both"/>
        <w:ind w:firstLine="1505"/>
        <w:spacing w:after="0" w:line="301" w:lineRule="auto"/>
        <w:tabs>
          <w:tab w:leader="none" w:pos="2036"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At the commencement of each Interest Period for any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Term Benchmark</w:t>
      </w:r>
      <w:r>
        <w:rPr>
          <w:rFonts w:ascii="Arial" w:cs="Arial" w:eastAsia="Arial" w:hAnsi="Arial"/>
          <w:sz w:val="16"/>
          <w:szCs w:val="16"/>
          <w:color w:val="auto"/>
        </w:rPr>
        <w:t xml:space="preserve"> Revolving Borrowing, such Borrowing shall be in an aggregate amount that is (i) an integral multiple of (A) in the case of a Borrowing denominated in U.S. Dollars, $1,000,000, (B) in the case of a Borrowing denominated in Japanese Yen, ¥100,000,000, and (C) in the case of a Borrowing denominated in any other Foreign Currency, the smallest amount of such Foreign Currency that has a Dollar Amount in excess of $1,000,000, and (ii) not less than (A) in the case of a Borrowing denominated in U.S. Dollars, $1,000,000, (B) in the case of a Borrowing denominated in Japanese Yen, ¥100,000,000, and (C) in the case of a Borrowing denominated in any other Foreign Currency, the smallest amount of such Foreign Currency that has a Dollar Amount in excess of $1,000,000. At the time that each ABR Revolving Borrowing and/or RFR Borrowing is made, such Borrowing shall be in an aggregate Dollar Amount that is not less than $250,000;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ABR Revolving Borrowing may be in an aggregate amount that is equal to the entire unused balance of the total Commitments or that is required to finance the reimbursement of an</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LC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0" w:name="page111"/>
    <w:bookmarkEnd w:id="110"/>
    <w:p>
      <w:pPr>
        <w:jc w:val="both"/>
        <w:spacing w:after="0" w:line="250" w:lineRule="auto"/>
        <w:rPr>
          <w:sz w:val="20"/>
          <w:szCs w:val="20"/>
          <w:color w:val="auto"/>
        </w:rPr>
      </w:pPr>
      <w:r>
        <w:rPr>
          <w:rFonts w:ascii="Arial" w:cs="Arial" w:eastAsia="Arial" w:hAnsi="Arial"/>
          <w:sz w:val="20"/>
          <w:szCs w:val="20"/>
          <w:color w:val="auto"/>
        </w:rPr>
        <w:t xml:space="preserve">Disbursement as contemplated by </w:t>
      </w:r>
      <w:r>
        <w:rPr>
          <w:rFonts w:ascii="Arial" w:cs="Arial" w:eastAsia="Arial" w:hAnsi="Arial"/>
          <w:sz w:val="20"/>
          <w:szCs w:val="20"/>
          <w:u w:val="single" w:color="auto"/>
          <w:color w:val="auto"/>
        </w:rPr>
        <w:t>Section 2.06(e)</w:t>
      </w:r>
      <w:r>
        <w:rPr>
          <w:rFonts w:ascii="Arial" w:cs="Arial" w:eastAsia="Arial" w:hAnsi="Arial"/>
          <w:sz w:val="20"/>
          <w:szCs w:val="20"/>
          <w:color w:val="auto"/>
        </w:rPr>
        <w:t xml:space="preserve">. Each Swingline Loan shall be in an amount that is not less than $250,000. Borrowings of more than one Type and Class may be outstanding at the same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there shall not at any time be more than a total of ten (10)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FF0000"/>
        </w:rPr>
        <w:t xml:space="preserve"> </w:t>
      </w:r>
      <w:r>
        <w:rPr>
          <w:rFonts w:ascii="Arial" w:cs="Arial" w:eastAsia="Arial" w:hAnsi="Arial"/>
          <w:sz w:val="20"/>
          <w:szCs w:val="20"/>
          <w:color w:val="000000"/>
        </w:rPr>
        <w:t>Revolving Borrowings or RFR Revolving Borrowings outstanding.</w:t>
      </w:r>
    </w:p>
    <w:p>
      <w:pPr>
        <w:spacing w:after="0" w:line="186" w:lineRule="exact"/>
        <w:rPr>
          <w:sz w:val="20"/>
          <w:szCs w:val="20"/>
          <w:color w:val="auto"/>
        </w:rPr>
      </w:pPr>
    </w:p>
    <w:p>
      <w:pPr>
        <w:ind w:firstLine="1505"/>
        <w:spacing w:after="0" w:line="287" w:lineRule="auto"/>
        <w:tabs>
          <w:tab w:leader="none" w:pos="2036" w:val="left"/>
        </w:tabs>
        <w:numPr>
          <w:ilvl w:val="0"/>
          <w:numId w:val="56"/>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the Company shall not be entitled to request, or to elect to convert or continue, any Borrowing if the Interest Period requested with respect thereto would end after the Maturity Date.</w:t>
      </w:r>
    </w:p>
    <w:p>
      <w:pPr>
        <w:spacing w:after="0" w:line="15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u w:val="single" w:color="auto"/>
          <w:color w:val="auto"/>
        </w:rPr>
        <w:t>SECTION 2.03Requests for Revolving Borrowings</w:t>
      </w:r>
      <w:r>
        <w:rPr>
          <w:rFonts w:ascii="Arial" w:cs="Arial" w:eastAsia="Arial" w:hAnsi="Arial"/>
          <w:sz w:val="20"/>
          <w:szCs w:val="20"/>
          <w:color w:val="auto"/>
        </w:rPr>
        <w:t xml:space="preserve">. To request a Revolving Borrowing, the Company shall notify the Administrative Agent of such request by telecopy of a written Borrowing Request in a form approved by the Administrative Agent and signed by the Company (a) in the case of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Borrowing denominated in U.S. Dollars, not later than 11:00 a.m., New York City time, three (3) </w:t>
      </w:r>
      <w:r>
        <w:rPr>
          <w:rFonts w:ascii="Arial" w:cs="Arial" w:eastAsia="Arial" w:hAnsi="Arial"/>
          <w:sz w:val="20"/>
          <w:szCs w:val="20"/>
          <w:u w:val="single" w:color="auto"/>
          <w:color w:val="0000FF"/>
        </w:rPr>
        <w:t>U.S. Government Securities</w:t>
      </w:r>
      <w:r>
        <w:rPr>
          <w:rFonts w:ascii="Arial" w:cs="Arial" w:eastAsia="Arial" w:hAnsi="Arial"/>
          <w:sz w:val="20"/>
          <w:szCs w:val="20"/>
          <w:color w:val="auto"/>
        </w:rPr>
        <w:t xml:space="preserve"> Business Days before the date of the proposed Borrowing, (b) in the case of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FF0000"/>
        </w:rPr>
        <w:t xml:space="preserve"> </w:t>
      </w:r>
      <w:r>
        <w:rPr>
          <w:rFonts w:ascii="Arial" w:cs="Arial" w:eastAsia="Arial" w:hAnsi="Arial"/>
          <w:sz w:val="20"/>
          <w:szCs w:val="20"/>
          <w:color w:val="000000"/>
        </w:rPr>
        <w:t>Borrowing denominated in a Foreign Currency, not later than 11:00 a.m.,</w:t>
      </w:r>
      <w:r>
        <w:rPr>
          <w:rFonts w:ascii="Arial" w:cs="Arial" w:eastAsia="Arial" w:hAnsi="Arial"/>
          <w:sz w:val="20"/>
          <w:szCs w:val="20"/>
          <w:color w:val="FF0000"/>
        </w:rPr>
        <w:t xml:space="preserve"> </w:t>
      </w:r>
      <w:r>
        <w:rPr>
          <w:rFonts w:ascii="Arial" w:cs="Arial" w:eastAsia="Arial" w:hAnsi="Arial"/>
          <w:sz w:val="20"/>
          <w:szCs w:val="20"/>
          <w:color w:val="FF0000"/>
          <w:strike w:val="1"/>
        </w:rPr>
        <w:t>Local Time</w:t>
      </w:r>
      <w:r>
        <w:rPr>
          <w:rFonts w:ascii="Arial" w:cs="Arial" w:eastAsia="Arial" w:hAnsi="Arial"/>
          <w:sz w:val="20"/>
          <w:szCs w:val="20"/>
          <w:u w:val="single" w:color="auto"/>
          <w:color w:val="0000FF"/>
        </w:rPr>
        <w:t>New York City time</w:t>
      </w:r>
      <w:r>
        <w:rPr>
          <w:rFonts w:ascii="Arial" w:cs="Arial" w:eastAsia="Arial" w:hAnsi="Arial"/>
          <w:sz w:val="20"/>
          <w:szCs w:val="20"/>
          <w:color w:val="000000"/>
        </w:rPr>
        <w:t>,</w:t>
      </w:r>
      <w:r>
        <w:rPr>
          <w:rFonts w:ascii="Arial" w:cs="Arial" w:eastAsia="Arial" w:hAnsi="Arial"/>
          <w:sz w:val="20"/>
          <w:szCs w:val="20"/>
          <w:color w:val="FF0000"/>
        </w:rPr>
        <w:t xml:space="preserve"> </w:t>
      </w:r>
      <w:r>
        <w:rPr>
          <w:rFonts w:ascii="Arial" w:cs="Arial" w:eastAsia="Arial" w:hAnsi="Arial"/>
          <w:sz w:val="20"/>
          <w:szCs w:val="20"/>
          <w:color w:val="000000"/>
        </w:rPr>
        <w:t xml:space="preserve">four (4) Business Days before the date of the proposed Borrowing, (c) in the case of an RFR Borrowing denominated in Pounds Sterling </w:t>
      </w:r>
      <w:r>
        <w:rPr>
          <w:rFonts w:ascii="Arial" w:cs="Arial" w:eastAsia="Arial" w:hAnsi="Arial"/>
          <w:sz w:val="20"/>
          <w:szCs w:val="20"/>
          <w:color w:val="FF0000"/>
        </w:rPr>
        <w:t>or</w:t>
      </w:r>
      <w:r>
        <w:rPr>
          <w:rFonts w:ascii="Arial" w:cs="Arial" w:eastAsia="Arial" w:hAnsi="Arial"/>
          <w:sz w:val="20"/>
          <w:szCs w:val="20"/>
          <w:u w:val="single" w:color="auto"/>
          <w:color w:val="0000FF"/>
        </w:rPr>
        <w:t>,</w:t>
      </w:r>
      <w:r>
        <w:rPr>
          <w:rFonts w:ascii="Arial" w:cs="Arial" w:eastAsia="Arial" w:hAnsi="Arial"/>
          <w:sz w:val="20"/>
          <w:szCs w:val="20"/>
          <w:color w:val="000000"/>
        </w:rPr>
        <w:t xml:space="preserve"> Swiss Francs </w:t>
      </w:r>
      <w:r>
        <w:rPr>
          <w:rFonts w:ascii="Arial" w:cs="Arial" w:eastAsia="Arial" w:hAnsi="Arial"/>
          <w:sz w:val="20"/>
          <w:szCs w:val="20"/>
          <w:color w:val="0000FF"/>
        </w:rPr>
        <w:t>or Singapore Dollars</w:t>
      </w:r>
      <w:r>
        <w:rPr>
          <w:rFonts w:ascii="Arial" w:cs="Arial" w:eastAsia="Arial" w:hAnsi="Arial"/>
          <w:sz w:val="20"/>
          <w:szCs w:val="20"/>
          <w:color w:val="000000"/>
        </w:rPr>
        <w:t xml:space="preserve">, not later than 11:00 a.m., </w:t>
      </w:r>
      <w:r>
        <w:rPr>
          <w:rFonts w:ascii="Arial" w:cs="Arial" w:eastAsia="Arial" w:hAnsi="Arial"/>
          <w:sz w:val="20"/>
          <w:szCs w:val="20"/>
          <w:color w:val="FF0000"/>
          <w:strike w:val="1"/>
        </w:rPr>
        <w:t>Local Time, three (3)</w:t>
      </w:r>
      <w:r>
        <w:rPr>
          <w:rFonts w:ascii="Arial" w:cs="Arial" w:eastAsia="Arial" w:hAnsi="Arial"/>
          <w:sz w:val="20"/>
          <w:szCs w:val="20"/>
          <w:u w:val="single" w:color="auto"/>
          <w:color w:val="0000FF"/>
        </w:rPr>
        <w:t>New York City time, five (5) RFR</w:t>
      </w:r>
      <w:r>
        <w:rPr>
          <w:rFonts w:ascii="Arial" w:cs="Arial" w:eastAsia="Arial" w:hAnsi="Arial"/>
          <w:sz w:val="20"/>
          <w:szCs w:val="20"/>
          <w:color w:val="000000"/>
        </w:rPr>
        <w:t xml:space="preserve"> Business Days before the date of the proposed Borrowing, (d) in the case of an ABR Borrowing not later than 11:00 a.m., New York City time, on the date of the proposed Borrowing and (e) in the case of or a Canadian Prime Rate Borrowing, not later than 11:00 a.m., Local Time, on the date of the proposed Borrowing. Each such Borrowing Request shall be irrevocable and shall specify the following information in compliance with </w:t>
      </w:r>
      <w:r>
        <w:rPr>
          <w:rFonts w:ascii="Arial" w:cs="Arial" w:eastAsia="Arial" w:hAnsi="Arial"/>
          <w:sz w:val="20"/>
          <w:szCs w:val="20"/>
          <w:u w:val="single" w:color="auto"/>
          <w:color w:val="000000"/>
        </w:rPr>
        <w:t>Section 2.02</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6969760</wp:posOffset>
            </wp:positionH>
            <wp:positionV relativeFrom="paragraph">
              <wp:posOffset>-804545</wp:posOffset>
            </wp:positionV>
            <wp:extent cx="135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-607060</wp:posOffset>
            </wp:positionV>
            <wp:extent cx="10972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0" w:lineRule="exact"/>
        <w:rPr>
          <w:sz w:val="20"/>
          <w:szCs w:val="20"/>
          <w:color w:val="auto"/>
        </w:rPr>
      </w:pPr>
    </w:p>
    <w:p>
      <w:pPr>
        <w:ind w:left="2260" w:hanging="755"/>
        <w:spacing w:after="0"/>
        <w:tabs>
          <w:tab w:leader="none" w:pos="22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Borrower requesting such Borrowing;</w:t>
      </w:r>
    </w:p>
    <w:p>
      <w:pPr>
        <w:spacing w:after="0" w:line="215" w:lineRule="exact"/>
        <w:rPr>
          <w:rFonts w:ascii="Arial" w:cs="Arial" w:eastAsia="Arial" w:hAnsi="Arial"/>
          <w:sz w:val="20"/>
          <w:szCs w:val="20"/>
          <w:color w:val="auto"/>
        </w:rPr>
      </w:pPr>
    </w:p>
    <w:p>
      <w:pPr>
        <w:ind w:left="2260" w:hanging="755"/>
        <w:spacing w:after="0"/>
        <w:tabs>
          <w:tab w:leader="none" w:pos="22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currency and aggregate amount of the requested Borrowing;</w:t>
      </w:r>
    </w:p>
    <w:p>
      <w:pPr>
        <w:spacing w:after="0" w:line="215" w:lineRule="exact"/>
        <w:rPr>
          <w:rFonts w:ascii="Arial" w:cs="Arial" w:eastAsia="Arial" w:hAnsi="Arial"/>
          <w:sz w:val="20"/>
          <w:szCs w:val="20"/>
          <w:color w:val="auto"/>
        </w:rPr>
      </w:pPr>
    </w:p>
    <w:p>
      <w:pPr>
        <w:ind w:left="2260" w:hanging="755"/>
        <w:spacing w:after="0"/>
        <w:tabs>
          <w:tab w:leader="none" w:pos="22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215" w:lineRule="exact"/>
        <w:rPr>
          <w:rFonts w:ascii="Arial" w:cs="Arial" w:eastAsia="Arial" w:hAnsi="Arial"/>
          <w:sz w:val="20"/>
          <w:szCs w:val="20"/>
          <w:color w:val="auto"/>
        </w:rPr>
      </w:pPr>
    </w:p>
    <w:p>
      <w:pPr>
        <w:ind w:left="2260" w:hanging="755"/>
        <w:spacing w:after="0" w:line="260" w:lineRule="auto"/>
        <w:tabs>
          <w:tab w:leader="none" w:pos="22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whether such Borrowing is to be an ABR Borrowing,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Borrowing, a Canadian Prime Rate Borrowing or an RFR Borrowing, as applicable;</w:t>
      </w:r>
    </w:p>
    <w:p>
      <w:pPr>
        <w:spacing w:after="0" w:line="176" w:lineRule="exact"/>
        <w:rPr>
          <w:rFonts w:ascii="Arial" w:cs="Arial" w:eastAsia="Arial" w:hAnsi="Arial"/>
          <w:sz w:val="20"/>
          <w:szCs w:val="20"/>
          <w:color w:val="auto"/>
        </w:rPr>
      </w:pPr>
    </w:p>
    <w:p>
      <w:pPr>
        <w:ind w:left="2260" w:hanging="755"/>
        <w:spacing w:after="0" w:line="260" w:lineRule="auto"/>
        <w:tabs>
          <w:tab w:leader="none" w:pos="22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in the case of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Borrowing, the initial Interest Period to be applicable thereto, which shall be a period contemplated by the definition of the term “Interest Period”; and</w:t>
      </w:r>
    </w:p>
    <w:p>
      <w:pPr>
        <w:spacing w:after="0" w:line="176" w:lineRule="exact"/>
        <w:rPr>
          <w:rFonts w:ascii="Arial" w:cs="Arial" w:eastAsia="Arial" w:hAnsi="Arial"/>
          <w:sz w:val="20"/>
          <w:szCs w:val="20"/>
          <w:color w:val="auto"/>
        </w:rPr>
      </w:pPr>
    </w:p>
    <w:p>
      <w:pPr>
        <w:ind w:left="2260" w:hanging="755"/>
        <w:spacing w:after="0" w:line="260" w:lineRule="auto"/>
        <w:tabs>
          <w:tab w:leader="none" w:pos="22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the location and number of the applicable Borrower’s account to which funds are to be disbursed, which shall comply with the requirements of </w:t>
      </w:r>
      <w:r>
        <w:rPr>
          <w:rFonts w:ascii="Arial" w:cs="Arial" w:eastAsia="Arial" w:hAnsi="Arial"/>
          <w:sz w:val="20"/>
          <w:szCs w:val="20"/>
          <w:u w:val="single" w:color="auto"/>
          <w:color w:val="auto"/>
        </w:rPr>
        <w:t>Section 2.07</w:t>
      </w:r>
      <w:r>
        <w:rPr>
          <w:rFonts w:ascii="Arial" w:cs="Arial" w:eastAsia="Arial" w:hAnsi="Arial"/>
          <w:sz w:val="20"/>
          <w:szCs w:val="20"/>
          <w:color w:val="auto"/>
        </w:rPr>
        <w:t>.</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If no currency is specified with respect to any requested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Benchmark</w:t>
      </w:r>
      <w:r>
        <w:rPr>
          <w:rFonts w:ascii="Arial" w:cs="Arial" w:eastAsia="Arial" w:hAnsi="Arial"/>
          <w:sz w:val="19"/>
          <w:szCs w:val="19"/>
          <w:color w:val="auto"/>
        </w:rPr>
        <w:t xml:space="preserve"> Borrowing, then the requested Revolving Borrowing shall be denominated in U.S. Dollars. If no election as to the Type of Revolving Borrowing is specified, then, (A) in the case of a Borrowing denominated in U.S. Dollars, the requested Revolving Borrowing shall be an ABR Borrowing, (B) in the case of a Borrowing denominated in any Foreign Currency (other than Pounds Sterling or Swiss Francs), the requested Revolving Borrowing shall be a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w:t>
      </w:r>
      <w:r>
        <w:rPr>
          <w:rFonts w:ascii="Arial" w:cs="Arial" w:eastAsia="Arial" w:hAnsi="Arial"/>
          <w:sz w:val="19"/>
          <w:szCs w:val="19"/>
          <w:u w:val="single" w:color="auto"/>
          <w:color w:val="0000FF"/>
        </w:rPr>
        <w:t>Benchmark</w:t>
      </w:r>
      <w:r>
        <w:rPr>
          <w:rFonts w:ascii="Arial" w:cs="Arial" w:eastAsia="Arial" w:hAnsi="Arial"/>
          <w:sz w:val="19"/>
          <w:szCs w:val="19"/>
          <w:color w:val="0000FF"/>
        </w:rPr>
        <w:t xml:space="preserve"> </w:t>
      </w:r>
      <w:r>
        <w:rPr>
          <w:rFonts w:ascii="Arial" w:cs="Arial" w:eastAsia="Arial" w:hAnsi="Arial"/>
          <w:sz w:val="19"/>
          <w:szCs w:val="19"/>
          <w:color w:val="000000"/>
        </w:rPr>
        <w:t>Borrowing, and (C) in the case of a Borrowing denominated in Pounds Sterling or Swiss Francs, the requested Revolving</w:t>
      </w:r>
      <w:r>
        <w:rPr>
          <w:rFonts w:ascii="Arial" w:cs="Arial" w:eastAsia="Arial" w:hAnsi="Arial"/>
          <w:sz w:val="19"/>
          <w:szCs w:val="19"/>
          <w:color w:val="0000FF"/>
        </w:rPr>
        <w:t xml:space="preserve"> </w:t>
      </w:r>
      <w:r>
        <w:rPr>
          <w:rFonts w:ascii="Arial" w:cs="Arial" w:eastAsia="Arial" w:hAnsi="Arial"/>
          <w:sz w:val="19"/>
          <w:szCs w:val="19"/>
          <w:color w:val="000000"/>
        </w:rPr>
        <w:t xml:space="preserve">Borrowing shall be an RFR Borrowing. If no Interest Period is specified with respect to any requested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Benchmark</w:t>
      </w:r>
      <w:r>
        <w:rPr>
          <w:rFonts w:ascii="Arial" w:cs="Arial" w:eastAsia="Arial" w:hAnsi="Arial"/>
          <w:sz w:val="19"/>
          <w:szCs w:val="19"/>
          <w:color w:val="000000"/>
        </w:rPr>
        <w:t xml:space="preserve"> Revolving Borrowing, then the Company shall be deemed to have selected an Interest Period of one (1) month’s duration. Promptly following receipt of a Borrowing Request in accordance with this Section,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1" w:name="page112"/>
    <w:bookmarkEnd w:id="111"/>
    <w:p>
      <w:pPr>
        <w:spacing w:after="0" w:line="260" w:lineRule="auto"/>
        <w:rPr>
          <w:sz w:val="20"/>
          <w:szCs w:val="20"/>
          <w:color w:val="auto"/>
        </w:rPr>
      </w:pPr>
      <w:r>
        <w:rPr>
          <w:rFonts w:ascii="Arial" w:cs="Arial" w:eastAsia="Arial" w:hAnsi="Arial"/>
          <w:sz w:val="20"/>
          <w:szCs w:val="20"/>
          <w:color w:val="auto"/>
        </w:rPr>
        <w:t>Administrative Agent shall advise each Lender of the details thereof and of the amount of such Lender’s Loan to be made as part of the requested Borrowing.</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2.04Determination of Dollar Amounts</w:t>
      </w:r>
      <w:r>
        <w:rPr>
          <w:rFonts w:ascii="Arial" w:cs="Arial" w:eastAsia="Arial" w:hAnsi="Arial"/>
          <w:sz w:val="20"/>
          <w:szCs w:val="20"/>
          <w:color w:val="auto"/>
        </w:rPr>
        <w:t>. The Administrative Agent will determine the Dollar Amount of:</w:t>
      </w:r>
    </w:p>
    <w:p>
      <w:pPr>
        <w:spacing w:after="0" w:line="216" w:lineRule="exact"/>
        <w:rPr>
          <w:sz w:val="20"/>
          <w:szCs w:val="20"/>
          <w:color w:val="auto"/>
        </w:rPr>
      </w:pPr>
    </w:p>
    <w:p>
      <w:pPr>
        <w:ind w:firstLine="1505"/>
        <w:spacing w:after="0" w:line="260" w:lineRule="auto"/>
        <w:tabs>
          <w:tab w:leader="none" w:pos="1810" w:val="left"/>
        </w:tabs>
        <w:numPr>
          <w:ilvl w:val="0"/>
          <w:numId w:val="58"/>
        </w:numPr>
        <w:rPr>
          <w:rFonts w:ascii="Arial" w:cs="Arial" w:eastAsia="Arial" w:hAnsi="Arial"/>
          <w:sz w:val="20"/>
          <w:szCs w:val="20"/>
          <w:color w:val="FF0000"/>
          <w:strike w:val="1"/>
        </w:rPr>
      </w:pPr>
      <w:r>
        <w:rPr>
          <w:rFonts w:ascii="Arial" w:cs="Arial" w:eastAsia="Arial" w:hAnsi="Arial"/>
          <w:sz w:val="20"/>
          <w:szCs w:val="20"/>
          <w:color w:val="FF0000"/>
          <w:strike w:val="1"/>
        </w:rPr>
        <w:t>each Eurocurrency Borrowing as of the date two (2) Business Days prior to the date of such Borrowing or, if applicable, the date of conversion or continuation of any Borrowing as a Eurocurrency Borrowing;</w:t>
      </w:r>
    </w:p>
    <w:p>
      <w:pPr>
        <w:spacing w:after="0" w:line="177" w:lineRule="exact"/>
        <w:rPr>
          <w:sz w:val="20"/>
          <w:szCs w:val="20"/>
          <w:color w:val="auto"/>
        </w:rPr>
      </w:pPr>
    </w:p>
    <w:p>
      <w:pPr>
        <w:jc w:val="both"/>
        <w:ind w:firstLine="1505"/>
        <w:spacing w:after="0" w:line="244" w:lineRule="auto"/>
        <w:tabs>
          <w:tab w:leader="none" w:pos="2036"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0000FF"/>
        </w:rPr>
        <w:t>any Loan denominated in a Foreign Currency (other than a Canadian Prime Rate Borrowing), on each of the following: (i) the date of the Borrowing of such Loan and (ii)(A) with respect to any Term Benchmark Loan, each date of a conversion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w:t>
      </w:r>
    </w:p>
    <w:p>
      <w:pPr>
        <w:spacing w:after="0" w:line="194" w:lineRule="exact"/>
        <w:rPr>
          <w:rFonts w:ascii="Arial" w:cs="Arial" w:eastAsia="Arial" w:hAnsi="Arial"/>
          <w:sz w:val="20"/>
          <w:szCs w:val="20"/>
          <w:color w:val="auto"/>
        </w:rPr>
      </w:pPr>
    </w:p>
    <w:p>
      <w:pPr>
        <w:ind w:left="2040" w:hanging="535"/>
        <w:spacing w:after="0"/>
        <w:tabs>
          <w:tab w:leader="none" w:pos="20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each Canadian Prime Rate Borrowing, as of the date of such Borrowing;</w:t>
      </w:r>
    </w:p>
    <w:p>
      <w:pPr>
        <w:spacing w:after="0" w:line="215" w:lineRule="exact"/>
        <w:rPr>
          <w:rFonts w:ascii="Arial" w:cs="Arial" w:eastAsia="Arial" w:hAnsi="Arial"/>
          <w:sz w:val="20"/>
          <w:szCs w:val="20"/>
          <w:color w:val="auto"/>
        </w:rPr>
      </w:pPr>
    </w:p>
    <w:p>
      <w:pPr>
        <w:ind w:left="2040" w:hanging="535"/>
        <w:spacing w:after="0"/>
        <w:tabs>
          <w:tab w:leader="none" w:pos="2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LC Exposure as of the date of each request for the issuance, amendment, renewal or extension of any Letter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Credit; and</w:t>
      </w:r>
    </w:p>
    <w:p>
      <w:pPr>
        <w:spacing w:after="0" w:line="199" w:lineRule="exact"/>
        <w:rPr>
          <w:rFonts w:ascii="Arial" w:cs="Arial" w:eastAsia="Arial" w:hAnsi="Arial"/>
          <w:sz w:val="18"/>
          <w:szCs w:val="18"/>
          <w:color w:val="auto"/>
        </w:rPr>
      </w:pPr>
    </w:p>
    <w:p>
      <w:pPr>
        <w:jc w:val="both"/>
        <w:ind w:firstLine="1505"/>
        <w:spacing w:after="0" w:line="250" w:lineRule="auto"/>
        <w:tabs>
          <w:tab w:leader="none" w:pos="2036" w:val="left"/>
        </w:tabs>
        <w:numPr>
          <w:ilvl w:val="0"/>
          <w:numId w:val="59"/>
        </w:numPr>
        <w:rPr>
          <w:rFonts w:ascii="Arial" w:cs="Arial" w:eastAsia="Arial" w:hAnsi="Arial"/>
          <w:sz w:val="20"/>
          <w:szCs w:val="20"/>
          <w:color w:val="auto"/>
        </w:rPr>
      </w:pPr>
      <w:r>
        <w:rPr>
          <w:rFonts w:ascii="Arial" w:cs="Arial" w:eastAsia="Arial" w:hAnsi="Arial"/>
          <w:sz w:val="20"/>
          <w:szCs w:val="20"/>
          <w:color w:val="auto"/>
        </w:rPr>
        <w:t>all outstanding Revolving Loans and the LC Exposure on and as of the last Business Day of each calendar quarter and, during the continuation of an Event of Default, on any other Business Day elected by the Administrative Agent in its discretion or upon instruction by the Required Lenders.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Each day upon or as of which the Administrative Agent determines Dollar Amounts as described in the preceding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(d)</w:t>
      </w:r>
      <w:r>
        <w:rPr>
          <w:rFonts w:ascii="Arial" w:cs="Arial" w:eastAsia="Arial" w:hAnsi="Arial"/>
          <w:sz w:val="20"/>
          <w:szCs w:val="20"/>
          <w:color w:val="auto"/>
        </w:rPr>
        <w:t xml:space="preserve"> is herein described as a “</w:t>
      </w:r>
      <w:r>
        <w:rPr>
          <w:rFonts w:ascii="Arial" w:cs="Arial" w:eastAsia="Arial" w:hAnsi="Arial"/>
          <w:sz w:val="20"/>
          <w:szCs w:val="20"/>
          <w:b w:val="1"/>
          <w:bCs w:val="1"/>
          <w:i w:val="1"/>
          <w:iCs w:val="1"/>
          <w:color w:val="auto"/>
        </w:rPr>
        <w:t>Computation Date</w:t>
      </w:r>
      <w:r>
        <w:rPr>
          <w:rFonts w:ascii="Arial" w:cs="Arial" w:eastAsia="Arial" w:hAnsi="Arial"/>
          <w:sz w:val="20"/>
          <w:szCs w:val="20"/>
          <w:color w:val="auto"/>
        </w:rPr>
        <w:t>” with respect to each Borrowing, Letter of Credit or LC Exposure for which a Dollar Amount is determined on or as of such day.</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2.05Swingline Loans</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71" w:lineRule="auto"/>
        <w:tabs>
          <w:tab w:leader="none" w:pos="20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each Swingline Lender may in its sole discretion (and without any obligation to do so) make Swingline Loans in U.S. Dollars to the Company from time to time during the Availability Period, in an aggregate principal amount at any time outstanding that will not result in (i) the aggregate principal amount of outstanding Swingline Loans made by such Swingline Lender exceeding such Swingline Lender’s Swingline Commitment, (ii) the Dollar Amount of such Swingline Lender’s Revolving Credit Exposure exceeding its Commitment (such Commitment to be calculated without giving effect to any assignment of any portion of the initial Swingline Lender’s original Commitment as of the Effective Date, unless such Swingline Lender also assigns a proportional amount of its Swingline Commitment to the assignee or to another Lender with a Commitment at least equal to the Commitment amount being assigned), or (iii) the Dollar Amount of the Total Revolving Credit Exposures exceeding the total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Swingline Lender shall not be required to make a Swingline Loan to refinance an outstanding Swingline Loan. Within the foregoing limits and subject to the terms and conditions set forth herein, the Company may borrow, prepay and reborrow Swingline Loans.</w:t>
      </w:r>
    </w:p>
    <w:p>
      <w:pPr>
        <w:spacing w:after="0" w:line="173" w:lineRule="exact"/>
        <w:rPr>
          <w:rFonts w:ascii="Arial" w:cs="Arial" w:eastAsia="Arial" w:hAnsi="Arial"/>
          <w:sz w:val="18"/>
          <w:szCs w:val="18"/>
          <w:color w:val="auto"/>
        </w:rPr>
      </w:pPr>
    </w:p>
    <w:p>
      <w:pPr>
        <w:jc w:val="both"/>
        <w:ind w:firstLine="1505"/>
        <w:spacing w:after="0" w:line="246" w:lineRule="auto"/>
        <w:tabs>
          <w:tab w:leader="none" w:pos="2036" w:val="left"/>
        </w:tabs>
        <w:numPr>
          <w:ilvl w:val="0"/>
          <w:numId w:val="60"/>
        </w:numPr>
        <w:rPr>
          <w:rFonts w:ascii="Arial" w:cs="Arial" w:eastAsia="Arial" w:hAnsi="Arial"/>
          <w:sz w:val="20"/>
          <w:szCs w:val="20"/>
          <w:color w:val="auto"/>
        </w:rPr>
      </w:pPr>
      <w:r>
        <w:rPr>
          <w:rFonts w:ascii="Arial" w:cs="Arial" w:eastAsia="Arial" w:hAnsi="Arial"/>
          <w:sz w:val="20"/>
          <w:szCs w:val="20"/>
          <w:color w:val="auto"/>
        </w:rPr>
        <w:t>To request a Swingline Loan, the Company shall notify the Administrative Agent of such request by telecopy of a written request in a form approved by the Administrative Agent and signed by the Company, not later than 1:00 p.m., New York City time, on the day of a proposed Swingline Loan. Each such notice shall be irrevocable and shall specify the requested date (which shall be a Business Day)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2" w:name="page113"/>
    <w:bookmarkEnd w:id="112"/>
    <w:p>
      <w:pPr>
        <w:jc w:val="both"/>
        <w:spacing w:after="0" w:line="276" w:lineRule="auto"/>
        <w:rPr>
          <w:sz w:val="20"/>
          <w:szCs w:val="20"/>
          <w:color w:val="auto"/>
        </w:rPr>
      </w:pPr>
      <w:r>
        <w:rPr>
          <w:rFonts w:ascii="Arial" w:cs="Arial" w:eastAsia="Arial" w:hAnsi="Arial"/>
          <w:sz w:val="18"/>
          <w:szCs w:val="18"/>
          <w:color w:val="auto"/>
        </w:rPr>
        <w:t xml:space="preserve">and amount of the requested Swingline Loan. The Administrative Agent will promptly advise the Swingline Lenders of any such notice received from the Company. Each Swingline Lender shall make its ratable portion of the requested Swingline Loan (such ratable portion to be calculated based upon such Swingline Lender’s Swingline Commitment in proportion to the total Swingline Commitments of all of the Swingline Lenders) available to the Company by means of a credit to an account of the Company with the Administrative Agent designated for such purpose (or, in the case of a Swingline Loan made to finance the reimbursement of an LC Disbursement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2.06(e)</w:t>
      </w:r>
      <w:r>
        <w:rPr>
          <w:rFonts w:ascii="Arial" w:cs="Arial" w:eastAsia="Arial" w:hAnsi="Arial"/>
          <w:sz w:val="18"/>
          <w:szCs w:val="18"/>
          <w:color w:val="auto"/>
        </w:rPr>
        <w:t>, by remittance to such Issuing Bank) by 3:00 p.m., New York City time, on the requested date of such Swingline Loan.</w:t>
      </w:r>
    </w:p>
    <w:p>
      <w:pPr>
        <w:spacing w:after="0" w:line="165" w:lineRule="exact"/>
        <w:rPr>
          <w:sz w:val="20"/>
          <w:szCs w:val="20"/>
          <w:color w:val="auto"/>
        </w:rPr>
      </w:pPr>
    </w:p>
    <w:p>
      <w:pPr>
        <w:jc w:val="both"/>
        <w:ind w:firstLine="1505"/>
        <w:spacing w:after="0" w:line="246" w:lineRule="auto"/>
        <w:tabs>
          <w:tab w:leader="none" w:pos="2036"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failure of any Swingline Lender to make its ratable portion of a Swingline Loan shall not relieve any other Swingline Lender of its obligation hereunder to make its ratable portion of such Swingline Loan on the date of such Swingline Loan, but no Swingline Lender shall be responsible for the failure of any other Swingline Lender to make the ratable portion of a Swingline Loan to be made by such other Swingline Lender on the date of any Swingline Loan.</w:t>
      </w:r>
    </w:p>
    <w:p>
      <w:pPr>
        <w:spacing w:after="0" w:line="191" w:lineRule="exact"/>
        <w:rPr>
          <w:rFonts w:ascii="Arial" w:cs="Arial" w:eastAsia="Arial" w:hAnsi="Arial"/>
          <w:sz w:val="20"/>
          <w:szCs w:val="20"/>
          <w:color w:val="auto"/>
        </w:rPr>
      </w:pPr>
    </w:p>
    <w:p>
      <w:pPr>
        <w:jc w:val="both"/>
        <w:ind w:firstLine="1505"/>
        <w:spacing w:after="0" w:line="268" w:lineRule="auto"/>
        <w:tabs>
          <w:tab w:leader="none" w:pos="20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Any Swingline Lender may by written notice given to the Administrative Agent require the Lenders to acquire participations in all or a portion of its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Loans. Each Lender hereby absolutely and unconditionally agrees, promptly upon receipt of such notice from the Administrative Agent (and in any event, if such notice is received by 12:00 Noon, New York City time, on a Business Day, then no later than 5:00 p.m., New York City time, on such Business Day, and if received after 12:00 Noon, New York City time, on a Business Day, then no later than 10:00 a.m., New York City Time, on the immediately succeeding Business Day), to pay to the Administrative Agent, for the account of such Swingline Lender, such Lender’s Applicable Percentage of such Swingline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with respect to Loans made by such Lender (and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to the payment obligations of the Lenders), and the Administrative Agent shall promptly pay to such Swingline Lender the amounts so received by it from the Lenders. The Administrative Agent shall notify the Company of any participations in any Swingline Loan acquired pursuant to this paragraph, and thereafter payments in respect of such Swingline Loan shall be made to the Administrative Agent and not to such Swingline Lender. Any amounts received by a Swingline Lender from the Company (or other party on behalf of the Company)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such Swingline Lender, as their interests may appear; provided that any such payment so remitted shall be repaid to such Swingline Lender or to the Administrative Agent, as applicable, if and to the extent such payment is required to be refunded to the Company for any reason. The purchase of participations in a Swingline Loan pursuant to this paragraph shall not relieve the Company of any default in the payment thereof.</w:t>
      </w:r>
    </w:p>
    <w:p>
      <w:pPr>
        <w:spacing w:after="0" w:line="178" w:lineRule="exact"/>
        <w:rPr>
          <w:rFonts w:ascii="Arial" w:cs="Arial" w:eastAsia="Arial" w:hAnsi="Arial"/>
          <w:sz w:val="18"/>
          <w:szCs w:val="18"/>
          <w:color w:val="auto"/>
        </w:rPr>
      </w:pPr>
    </w:p>
    <w:p>
      <w:pPr>
        <w:jc w:val="both"/>
        <w:ind w:firstLine="1505"/>
        <w:spacing w:after="0" w:line="282" w:lineRule="auto"/>
        <w:tabs>
          <w:tab w:leader="none" w:pos="20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Any Swingline Lender may be replaced at any time by written agreement among the Company, the Administrative Agent, the replaced Swingline Lender and the successor Swingline Lender. The Administrative Agent shall notify the Lenders of any such replacement of a Swingline Lender. At the time any such replacement shall become effective, the Company shall pay all unpaid interest accrued for the account of the replaced Swingline Lender pursuant to </w:t>
      </w:r>
      <w:r>
        <w:rPr>
          <w:rFonts w:ascii="Arial" w:cs="Arial" w:eastAsia="Arial" w:hAnsi="Arial"/>
          <w:sz w:val="18"/>
          <w:szCs w:val="18"/>
          <w:u w:val="single" w:color="auto"/>
          <w:color w:val="auto"/>
        </w:rPr>
        <w:t>Section 2.13(a)</w:t>
      </w:r>
      <w:r>
        <w:rPr>
          <w:rFonts w:ascii="Arial" w:cs="Arial" w:eastAsia="Arial" w:hAnsi="Arial"/>
          <w:sz w:val="18"/>
          <w:szCs w:val="18"/>
          <w:color w:val="auto"/>
        </w:rPr>
        <w:t>. From and after the effective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3" w:name="page114"/>
    <w:bookmarkEnd w:id="113"/>
    <w:p>
      <w:pPr>
        <w:jc w:val="both"/>
        <w:spacing w:after="0" w:line="276" w:lineRule="auto"/>
        <w:rPr>
          <w:sz w:val="20"/>
          <w:szCs w:val="20"/>
          <w:color w:val="auto"/>
        </w:rPr>
      </w:pPr>
      <w:r>
        <w:rPr>
          <w:rFonts w:ascii="Arial" w:cs="Arial" w:eastAsia="Arial" w:hAnsi="Arial"/>
          <w:sz w:val="18"/>
          <w:szCs w:val="18"/>
          <w:color w:val="auto"/>
        </w:rPr>
        <w:t>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65" w:lineRule="exact"/>
        <w:rPr>
          <w:sz w:val="20"/>
          <w:szCs w:val="20"/>
          <w:color w:val="auto"/>
        </w:rPr>
      </w:pPr>
    </w:p>
    <w:p>
      <w:pPr>
        <w:jc w:val="both"/>
        <w:ind w:firstLine="1505"/>
        <w:spacing w:after="0" w:line="250" w:lineRule="auto"/>
        <w:tabs>
          <w:tab w:leader="none" w:pos="2036"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Subject to the prior appointment and acceptance of a successor Swingline Lender, any Swingline Lender may resign as a Swingline Lender at any time upon thirty days’ prior written notice to the Administrative Agent, the Company and the Lenders, in which case, such Swingline Lender shall be replaced in accordance with </w:t>
      </w:r>
      <w:r>
        <w:rPr>
          <w:rFonts w:ascii="Arial" w:cs="Arial" w:eastAsia="Arial" w:hAnsi="Arial"/>
          <w:sz w:val="20"/>
          <w:szCs w:val="20"/>
          <w:u w:val="single" w:color="auto"/>
          <w:color w:val="auto"/>
        </w:rPr>
        <w:t>Section 2.05(e)</w:t>
      </w:r>
      <w:r>
        <w:rPr>
          <w:rFonts w:ascii="Arial" w:cs="Arial" w:eastAsia="Arial" w:hAnsi="Arial"/>
          <w:sz w:val="20"/>
          <w:szCs w:val="20"/>
          <w:color w:val="auto"/>
        </w:rPr>
        <w:t xml:space="preserve"> above.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2.06Letters of Credit</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68" w:lineRule="auto"/>
        <w:tabs>
          <w:tab w:leader="none" w:pos="2036"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Subject to the terms and conditions set forth herein, the Company may request the issuance of Letters of Credit denominated in Agreed Currencies as the applicant thereof for the support of its or its Subsidiaries’ obligations, in a form reasonably acceptable to the Administrative Agent and the Issuing Bank, at any time and from time to time during the Availability Period. In the event of any inconsistency between the terms and conditions of this Agreement and the terms and conditions of any form of letter of credit application or other agreement submitted by the Company to, or entered into by the Company with, the Issuing Bank relating to any Letter of Credit, the terms and conditions of this Agreement shall control. Notwithstanding anything herein to the contrary, the Issuing Bank shall have no obligation hereunder to issue, and shall not issue, any Letter of Credit the proceeds of which would be made available to any Person</w:t>
      </w:r>
    </w:p>
    <w:p>
      <w:pPr>
        <w:spacing w:after="0" w:line="4" w:lineRule="exact"/>
        <w:rPr>
          <w:rFonts w:ascii="Arial" w:cs="Arial" w:eastAsia="Arial" w:hAnsi="Arial"/>
          <w:sz w:val="18"/>
          <w:szCs w:val="18"/>
          <w:color w:val="auto"/>
        </w:rPr>
      </w:pPr>
    </w:p>
    <w:p>
      <w:pPr>
        <w:jc w:val="both"/>
        <w:ind w:firstLine="8"/>
        <w:spacing w:after="0" w:line="241" w:lineRule="auto"/>
        <w:tabs>
          <w:tab w:leader="none" w:pos="25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to fund any activity or business of or with any Sanctioned Person, or in any country or territory that, at the time of such funding, is the subject of any Sanctions so as to result in a violation of any Sanctions or (ii) in any other manner that would result in a violation of any Sanctions by any party to this Agreement.</w:t>
      </w:r>
    </w:p>
    <w:p>
      <w:pPr>
        <w:spacing w:after="0" w:line="195" w:lineRule="exact"/>
        <w:rPr>
          <w:rFonts w:ascii="Arial" w:cs="Arial" w:eastAsia="Arial" w:hAnsi="Arial"/>
          <w:sz w:val="20"/>
          <w:szCs w:val="20"/>
          <w:color w:val="auto"/>
        </w:rPr>
      </w:pPr>
    </w:p>
    <w:p>
      <w:pPr>
        <w:jc w:val="both"/>
        <w:ind w:firstLine="1505"/>
        <w:spacing w:after="0" w:line="269" w:lineRule="auto"/>
        <w:tabs>
          <w:tab w:leader="none" w:pos="2036"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Notice of Issuance, Amendment, Renewal, Extension; Certain Conditions</w:t>
      </w:r>
      <w:r>
        <w:rPr>
          <w:rFonts w:ascii="Arial" w:cs="Arial" w:eastAsia="Arial" w:hAnsi="Arial"/>
          <w:sz w:val="18"/>
          <w:szCs w:val="18"/>
          <w:color w:val="auto"/>
        </w:rPr>
        <w:t xml:space="preserve">. To request the issuance of a Letter of Credit (or the amendment, renewal or extension of an outstanding Letter of Credit), the Company shall hand deliver or telecopy (or transmit by electronic communication, if arrangements for doing so have been approved by the Issuing Bank) to the Issuing Bank and the Administrative Agent (no less than three (3) Business Days in advance of the requested date of issuance, amendment, renewal or extension, or such later date and time as the Administrative Agent and the Issuing Bank may agree in a particular instance in their sole discretion)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Section), the amount of such Letter of Credit, the Agreed Currency applicable thereto, the name and address of the beneficiary thereof and such other information as shall be necessary to prepare, amend, renew or extend such Letter of Credit. If requested by the Issuing Bank, the Company also shall submit a letter of credit application on the Issuing Bank’s standard form in connection with any request for a Letter of Credit. A Letter of Credit shall be issued, amended, renewed or extended only if (and upon issuance, amendment, renewal or extension of each Letter of Credit the Borrowers shall be deemed to represent and warrant that), after giving effect to such issuance, amendment, renewal or extension, subject to </w:t>
      </w:r>
      <w:r>
        <w:rPr>
          <w:rFonts w:ascii="Arial" w:cs="Arial" w:eastAsia="Arial" w:hAnsi="Arial"/>
          <w:sz w:val="18"/>
          <w:szCs w:val="18"/>
          <w:u w:val="single" w:color="auto"/>
          <w:color w:val="auto"/>
        </w:rPr>
        <w:t>Sections 2.04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2.11(c)</w:t>
      </w:r>
      <w:r>
        <w:rPr>
          <w:rFonts w:ascii="Arial" w:cs="Arial" w:eastAsia="Arial" w:hAnsi="Arial"/>
          <w:sz w:val="18"/>
          <w:szCs w:val="18"/>
          <w:color w:val="auto"/>
        </w:rPr>
        <w:t>, (i) (x) the aggregate undrawn amount of all outstanding Letters of Credit issued by the Issuing Bank at such time plus (y) the aggregate amount of all LC Disbursements made by the Issuing Bank that have not yet been reimbursed by or on behalf of the Borrower at such time shall not exceed its Letter of Credit Commitment, (ii) the sum of the Dollar Amount of the Revolving Credit Exposure of each Lender shall not exceed such Lender’s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4" w:name="page115"/>
    <w:bookmarkEnd w:id="114"/>
    <w:p>
      <w:pPr>
        <w:jc w:val="both"/>
        <w:spacing w:after="0" w:line="246" w:lineRule="auto"/>
        <w:rPr>
          <w:sz w:val="20"/>
          <w:szCs w:val="20"/>
          <w:color w:val="auto"/>
        </w:rPr>
      </w:pPr>
      <w:r>
        <w:rPr>
          <w:rFonts w:ascii="Arial" w:cs="Arial" w:eastAsia="Arial" w:hAnsi="Arial"/>
          <w:sz w:val="20"/>
          <w:szCs w:val="20"/>
          <w:color w:val="auto"/>
        </w:rPr>
        <w:t xml:space="preserve">Commitment, and (iii) the Dollar Amount of the Total Revolving Credit Exposures shall not exceed the total Commitments. The Company may, at any time and from time to time, reduce the Letter of Credit Commitment of any Issuing Bank with the consent of such Issuing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shall not reduce the Letter of Credit Commitment of any Issuing Bank if, after giving effect of such reduction, the conditions set forth in clauses (i) through (iii) above shall not be satisfied.</w:t>
      </w:r>
    </w:p>
    <w:p>
      <w:pPr>
        <w:spacing w:after="0" w:line="191" w:lineRule="exact"/>
        <w:rPr>
          <w:sz w:val="20"/>
          <w:szCs w:val="20"/>
          <w:color w:val="auto"/>
        </w:rPr>
      </w:pPr>
    </w:p>
    <w:p>
      <w:pPr>
        <w:jc w:val="both"/>
        <w:ind w:firstLine="1505"/>
        <w:spacing w:after="0" w:line="272" w:lineRule="auto"/>
        <w:tabs>
          <w:tab w:leader="none" w:pos="2036"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Each Letter of Credit shall expire (or be subject to termination by notice from the Issuing Bank to the beneficiary thereof) at or prior to the close of business on the earlier of (i) the date one (1) year after the date of the issuance of such Letter of Credit (or, in the case of any renewal or extension thereof, one (1) year after such renewal or extension) and (ii) the date that is five</w:t>
      </w:r>
    </w:p>
    <w:p>
      <w:pPr>
        <w:jc w:val="both"/>
        <w:ind w:firstLine="8"/>
        <w:spacing w:after="0"/>
        <w:tabs>
          <w:tab w:leader="none" w:pos="284"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Business Days prior to the Maturity Date (unless such Letter of Credit has been cash collateralized in a manner satisfactory to the Issuing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Letter of Credit may contain customary automatic renewal provisions agreed upon by the Company and the Issuing Bank pursuant to which the expiration date of such Letter of Credit shall be automatically extended for a period of up to 12 months (but not to a date later than the date set forth in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above (unless such Letter of Credit has been cash collateralized in a manner satisfactory to the Issuing Bank)).</w:t>
      </w:r>
    </w:p>
    <w:p>
      <w:pPr>
        <w:spacing w:after="0" w:line="197" w:lineRule="exact"/>
        <w:rPr>
          <w:rFonts w:ascii="Arial" w:cs="Arial" w:eastAsia="Arial" w:hAnsi="Arial"/>
          <w:sz w:val="20"/>
          <w:szCs w:val="20"/>
          <w:color w:val="auto"/>
        </w:rPr>
      </w:pPr>
    </w:p>
    <w:p>
      <w:pPr>
        <w:jc w:val="both"/>
        <w:ind w:firstLine="1505"/>
        <w:spacing w:after="0" w:line="271" w:lineRule="auto"/>
        <w:tabs>
          <w:tab w:leader="none" w:pos="2036"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xml:space="preserve">. By the issuance of a Letter of Credit (or an amendment to a Letter of Credit increasing the amount thereof) and without any further action on the part of the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Company on the date due as provided in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or of any reimbursement payment required to be refunded to the Company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69" w:lineRule="exact"/>
        <w:rPr>
          <w:rFonts w:ascii="Arial" w:cs="Arial" w:eastAsia="Arial" w:hAnsi="Arial"/>
          <w:sz w:val="18"/>
          <w:szCs w:val="18"/>
          <w:color w:val="auto"/>
        </w:rPr>
      </w:pPr>
    </w:p>
    <w:p>
      <w:pPr>
        <w:jc w:val="both"/>
        <w:ind w:firstLine="1505"/>
        <w:spacing w:after="0" w:line="269" w:lineRule="auto"/>
        <w:tabs>
          <w:tab w:leader="none" w:pos="2036"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xml:space="preserve">. If the Issuing Bank shall make any LC Disbursement in respect of a Letter of Credit, the Company shall reimburse such LC Disbursement by paying to the Administrative Agent in an amount equal to such LC Disbursement not later than 1:00 p.m., Local Time, on the date that such LC Disbursement is made, if the Company shall have received notice of such LC Disbursement prior to 10:00 a.m., Local Time, on such date, or, if such notice has not been received by the Company prior to such time on such date, then not later than 1:00 p.m., Local Time, on the Business Day immediately following the day that the Company receives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LC Disbursement is not less than a Dollar Amount of $100,000, the Company may, subject to the conditions to borrowing set forth herein, request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that such payment be financed with an ABR Revolving Borrowing or Swingline Loan in the Dollar Amount of such LC Disbursement and, to the extent so financed, the Company’s obligation to make such payment shall be discharged and replaced by the resulting ABR Revolving Borrowing or Swingline Loan. If the Company fails to make such payment when due, the Administrative Agent shall notify each Lender of the applicable LC Disbursement, the payment then due from the Company in respect thereof and such Lender’s Applicable Percentage thereof. Promptly following receipt of such notice, each Lender shall pay to the Administrative Agent its Applicable Percentage of the payment then due from the Company, in the same manner as provided in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with respect to Loans made by such Lender (and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to the payment obligations of the Lenders), and the Administrative Agent shall promptly pay to the Issuing Bank the amounts so received by it from the Lenders. Promptly following receipt by the Administrative Agent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5" w:name="page116"/>
    <w:bookmarkEnd w:id="115"/>
    <w:p>
      <w:pPr>
        <w:jc w:val="both"/>
        <w:spacing w:after="0" w:line="255" w:lineRule="auto"/>
        <w:rPr>
          <w:sz w:val="20"/>
          <w:szCs w:val="20"/>
          <w:color w:val="auto"/>
        </w:rPr>
      </w:pPr>
      <w:r>
        <w:rPr>
          <w:rFonts w:ascii="Arial" w:cs="Arial" w:eastAsia="Arial" w:hAnsi="Arial"/>
          <w:sz w:val="19"/>
          <w:szCs w:val="19"/>
          <w:color w:val="auto"/>
        </w:rPr>
        <w:t>any payment from the Company pursuant to this paragraph, the Administrative Agent shall distribute such payment to the Issuing Bank or, to the extent that Lenders have made payments pursuant to this paragraph to reimburse the Issuing Bank, then to such Lenders and the Issuing Bank as their interests may appear. Any payment made by a Lender pursuant to this paragraph to reimburse the Issuing Bank for any LC Disbursement (other than the funding of ABR Revolving Loans or a Swingline Loan as contemplated above) shall not constitute a Loan and shall not relieve the Company of its obligation to reimburse such LC Disbursement. If the Company’s reimbursement of, or obligation to reimburse, any amounts in any Foreign Currency would subject a Credit Party to any stamp duty, ad valorem charge or similar tax that would not be payable if such reimbursement were made or required to be made in U.S. Dollars, the Company shall, at its option, either (x) pay the amount of any such tax requested by such Credit Party or (y) reimburse each LC Disbursement made in such Foreign Currency in U.S. Dollars, in an amount equal to the Dollar Amount, calculated using the applicable exchange rates, on the date such LC Disbursement is made, of such LC Disbursement.</w:t>
      </w:r>
    </w:p>
    <w:p>
      <w:pPr>
        <w:spacing w:after="0" w:line="190" w:lineRule="exact"/>
        <w:rPr>
          <w:sz w:val="20"/>
          <w:szCs w:val="20"/>
          <w:color w:val="auto"/>
        </w:rPr>
      </w:pPr>
    </w:p>
    <w:p>
      <w:pPr>
        <w:jc w:val="both"/>
        <w:ind w:firstLine="1505"/>
        <w:spacing w:after="0" w:line="268" w:lineRule="auto"/>
        <w:tabs>
          <w:tab w:leader="none" w:pos="203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xml:space="preserve">. The Company’s obligation to reimburse LC Disbursements as provided in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Company’s obligations hereunder or (v) any adverse change in the relevant exchange rates or in the availability of the relevant Foreign Currency to the Company or any Subsidiary or in the relevant currency markets generally. Neither the Credit Parties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be construed to excuse the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5" w:lineRule="exact"/>
        <w:rPr>
          <w:rFonts w:ascii="Arial" w:cs="Arial" w:eastAsia="Arial" w:hAnsi="Arial"/>
          <w:sz w:val="18"/>
          <w:szCs w:val="18"/>
          <w:color w:val="auto"/>
        </w:rPr>
      </w:pPr>
    </w:p>
    <w:p>
      <w:pPr>
        <w:jc w:val="both"/>
        <w:ind w:firstLine="1505"/>
        <w:spacing w:after="0" w:line="291" w:lineRule="auto"/>
        <w:tabs>
          <w:tab w:leader="none" w:pos="203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The Issuing Bank shall, within the time allowed by applicable law or the specific terms of the Letter of Credit following its receipt thereof, examine all documents purporting to represent a demand for payment under a Letter of Credit. The Issuing Bank shall promptly notify the Administrative Agent and the Company by telephone (confirmed by telecopy) of such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6" w:name="page117"/>
    <w:bookmarkEnd w:id="116"/>
    <w:p>
      <w:pPr>
        <w:jc w:val="both"/>
        <w:spacing w:after="0" w:line="250" w:lineRule="auto"/>
        <w:rPr>
          <w:sz w:val="20"/>
          <w:szCs w:val="20"/>
          <w:color w:val="auto"/>
        </w:rPr>
      </w:pPr>
      <w:r>
        <w:rPr>
          <w:rFonts w:ascii="Arial" w:cs="Arial" w:eastAsia="Arial" w:hAnsi="Arial"/>
          <w:sz w:val="20"/>
          <w:szCs w:val="20"/>
          <w:color w:val="auto"/>
        </w:rPr>
        <w:t xml:space="preserve">demand for payment and whether the Issuing Bank has made or will make an LC Disbursement thereunder;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failure to give or delay in giving such notice shall not relieve the Company of its obligation to reimburse the Issuing Bank and the Lenders with respect to any such LC Disbursement.</w:t>
      </w:r>
    </w:p>
    <w:p>
      <w:pPr>
        <w:spacing w:after="0" w:line="186" w:lineRule="exact"/>
        <w:rPr>
          <w:sz w:val="20"/>
          <w:szCs w:val="20"/>
          <w:color w:val="auto"/>
        </w:rPr>
      </w:pPr>
    </w:p>
    <w:p>
      <w:pPr>
        <w:jc w:val="both"/>
        <w:ind w:firstLine="1505"/>
        <w:spacing w:after="0" w:line="272" w:lineRule="auto"/>
        <w:tabs>
          <w:tab w:leader="none" w:pos="203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Interim Interest</w:t>
      </w:r>
      <w:r>
        <w:rPr>
          <w:rFonts w:ascii="Arial" w:cs="Arial" w:eastAsia="Arial" w:hAnsi="Arial"/>
          <w:sz w:val="18"/>
          <w:szCs w:val="18"/>
          <w:color w:val="auto"/>
        </w:rPr>
        <w:t xml:space="preserve">. If the Issuing Bank shall make any LC Disbursement, then, unless the Company shall reimburse such LC Disbursement in full on the date such LC Disbursement is made, the unpaid amount thereof shall bear interest, for each day from and including the date such LC Disbursement is made to but excluding the date that the reimbursement is due and payable at the rate per annum then applicable to ABR Revolving Loans (or, if such LC Disbursement is denominated in a Foreign Currency, at the Overnight Rate for such Foreign Currency plus the then effective Applicable Rate with respect to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Revolving Loans), and such interest shall be due and payable on the date when such reimbursement is payable;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Company fails to reimburse such LC Disbursement when due pursuant to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then </w:t>
      </w:r>
      <w:r>
        <w:rPr>
          <w:rFonts w:ascii="Arial" w:cs="Arial" w:eastAsia="Arial" w:hAnsi="Arial"/>
          <w:sz w:val="18"/>
          <w:szCs w:val="18"/>
          <w:u w:val="single" w:color="auto"/>
          <w:color w:val="auto"/>
        </w:rPr>
        <w:t>Section 2.13(d)</w:t>
      </w:r>
      <w:r>
        <w:rPr>
          <w:rFonts w:ascii="Arial" w:cs="Arial" w:eastAsia="Arial" w:hAnsi="Arial"/>
          <w:sz w:val="18"/>
          <w:szCs w:val="18"/>
          <w:color w:val="auto"/>
        </w:rPr>
        <w:t xml:space="preserve"> shall apply. Interest accrued pursuant to this paragraph shall be for the account of the Issuing Bank, except that interest accrued on and after the date of payment by any Lender pursuant to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to reimburse the Issuing Bank shall be for the account of such Lender to the extent of such payment.</w:t>
      </w:r>
    </w:p>
    <w:p>
      <w:pPr>
        <w:spacing w:after="0" w:line="170" w:lineRule="exact"/>
        <w:rPr>
          <w:rFonts w:ascii="Arial" w:cs="Arial" w:eastAsia="Arial" w:hAnsi="Arial"/>
          <w:sz w:val="18"/>
          <w:szCs w:val="18"/>
          <w:color w:val="auto"/>
        </w:rPr>
      </w:pPr>
    </w:p>
    <w:p>
      <w:pPr>
        <w:jc w:val="both"/>
        <w:ind w:firstLine="1505"/>
        <w:spacing w:after="0" w:line="270" w:lineRule="auto"/>
        <w:tabs>
          <w:tab w:leader="none" w:pos="203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Replacement of the Issuing Bank</w:t>
      </w:r>
      <w:r>
        <w:rPr>
          <w:rFonts w:ascii="Arial" w:cs="Arial" w:eastAsia="Arial" w:hAnsi="Arial"/>
          <w:sz w:val="18"/>
          <w:szCs w:val="18"/>
          <w:color w:val="auto"/>
        </w:rPr>
        <w:t xml:space="preserve">. The Issuing Bank may be replaced at any time by written agreement among the Company, the Administrative Agent, the replaced Issuing Bank and the successor Issuing Bank. The Administrative Agent shall notify the Lenders of any such replacement of the Issuing Bank. At the time any such replacement shall become effective, the Company shall pay all unpaid fees accrued for the account of the replaced Issuing Bank pursuant to </w:t>
      </w:r>
      <w:r>
        <w:rPr>
          <w:rFonts w:ascii="Arial" w:cs="Arial" w:eastAsia="Arial" w:hAnsi="Arial"/>
          <w:sz w:val="18"/>
          <w:szCs w:val="18"/>
          <w:u w:val="single" w:color="auto"/>
          <w:color w:val="auto"/>
        </w:rPr>
        <w:t>Section 2.12(b)</w:t>
      </w:r>
      <w:r>
        <w:rPr>
          <w:rFonts w:ascii="Arial" w:cs="Arial" w:eastAsia="Arial" w:hAnsi="Arial"/>
          <w:sz w:val="18"/>
          <w:szCs w:val="18"/>
          <w:color w:val="auto"/>
        </w:rPr>
        <w:t>.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Subject to the prior appointment and acceptance of a successor Issuing Bank, any Issuing Bank may resign as an Issuing Bank at any time upon 30 days’ prior written notice to the Administrative Agent, the Company and the Lenders, in which case, such Issuing Bank shall be replaced in accordance with this Section 2.06(i).</w:t>
      </w:r>
    </w:p>
    <w:p>
      <w:pPr>
        <w:spacing w:after="0" w:line="175" w:lineRule="exact"/>
        <w:rPr>
          <w:rFonts w:ascii="Arial" w:cs="Arial" w:eastAsia="Arial" w:hAnsi="Arial"/>
          <w:sz w:val="18"/>
          <w:szCs w:val="18"/>
          <w:color w:val="auto"/>
        </w:rPr>
      </w:pPr>
    </w:p>
    <w:p>
      <w:pPr>
        <w:jc w:val="both"/>
        <w:ind w:firstLine="1505"/>
        <w:spacing w:after="0" w:line="270" w:lineRule="auto"/>
        <w:tabs>
          <w:tab w:leader="none" w:pos="203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 xml:space="preserve">. If any Event of Default shall occur and be continuing, on the Business Day that the Company receives notice from the Administrative Agent at the written request of the Required Lenders (or, if the maturity of the Loans has been accelerated, Lenders with LC Exposure representing greater than fifty percent (50%) of the total LC Exposure) demanding the deposit of cash collateral pursuant to this paragraph, the Company shall deposit in an account with the Administrative Agent, in the name of the Administrative Agent and for the benefit of the Issuing Bank and the Lenders, an amount in cash equal to the LC Exposure as of such date plus any accrued and unpaid interest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 Such deposit shall be held by the Administrative Agent as collateral for the payment and performance of the Obligations. The Administrative Agent shall have exclusive dominion and control, including the exclusive right of withdrawal, over such account, and the Borrowers hereby grant to the Administrative Agent, for the benefit of the Issuing Bank and the Lenders, a security interest in such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such account. Moneys 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7" w:name="page118"/>
    <w:bookmarkEnd w:id="117"/>
    <w:p>
      <w:pPr>
        <w:jc w:val="both"/>
        <w:spacing w:after="0" w:line="276" w:lineRule="auto"/>
        <w:rPr>
          <w:sz w:val="20"/>
          <w:szCs w:val="20"/>
          <w:color w:val="auto"/>
        </w:rPr>
      </w:pPr>
      <w:r>
        <w:rPr>
          <w:rFonts w:ascii="Arial" w:cs="Arial" w:eastAsia="Arial" w:hAnsi="Arial"/>
          <w:sz w:val="18"/>
          <w:szCs w:val="18"/>
          <w:color w:val="auto"/>
        </w:rPr>
        <w:t>such account shall be applied by the Administrative Agent to reimburse the Issuing Bank for LC Disbursements for which it has not been reimbursed and, to the extent not so applied, shall be held for the satisfaction of the reimbursement obligations of the Company for the LC Exposure at such time or, if the maturity of the Loans has been accelerated (but subject to the consent of Lenders with LC Exposure representing greater than fifty percent (50%) of the total LC Exposure), be applied to satisfy other Obligations. If the Company is required to provide an amount of cash collateral hereunder as a result of the occurrence of an Event of Default, such amount (to the extent not applied as aforesaid) shall be returned to the Company within three (3) Business Days after all Events of Default have been cured or waived.</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2.07Funding of Borrowings</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71" w:lineRule="auto"/>
        <w:tabs>
          <w:tab w:leader="none" w:pos="2036"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Each Lender shall make each Loan to be made by it hereunder on the proposed date thereof by wire transfer of immediately available funds (i) in the case of Loans denominated in U.S. Dollars, by 12:00 noon, New York City time, to the account of the Administrative Agent most recently designated by it for such purpose by notice to the Lenders, and (ii) in the case of Loans denominated in a Foreign Currency, by 12:00 noon, Local Time, in the city of the Administrative Agent’s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Foreign Currency</w:t>
      </w:r>
      <w:r>
        <w:rPr>
          <w:rFonts w:ascii="Arial" w:cs="Arial" w:eastAsia="Arial" w:hAnsi="Arial"/>
          <w:sz w:val="18"/>
          <w:szCs w:val="18"/>
          <w:color w:val="auto"/>
        </w:rPr>
        <w:t xml:space="preserve"> Payment Office for such Foreign Currency and at such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Foreign Currency</w:t>
      </w:r>
      <w:r>
        <w:rPr>
          <w:rFonts w:ascii="Arial" w:cs="Arial" w:eastAsia="Arial" w:hAnsi="Arial"/>
          <w:sz w:val="18"/>
          <w:szCs w:val="18"/>
          <w:color w:val="auto"/>
        </w:rPr>
        <w:t xml:space="preserve"> Payment Office;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Swingline Loans shall be made as provided in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The Administrative Agent will make such Loans available to the applicable Borrower by promptly crediting the amounts so received, in like funds, to (x) in the case of Loans denominated in U.S. Dollars, an account of such Borrower maintained with the Administrative Agent in New York City and designated by the Company in the applicable Borrowing Request, and (y) in the case of Loans denominated in a Foreign Currency, an account of such Borrower in the relevant jurisdiction and designated by the Company in the applicable Borrowing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color w:val="FF0000"/>
          <w:strike w:val="1"/>
        </w:rPr>
        <w:t>ABR</w:t>
      </w:r>
      <w:r>
        <w:rPr>
          <w:rFonts w:ascii="Arial" w:cs="Arial" w:eastAsia="Arial" w:hAnsi="Arial"/>
          <w:sz w:val="18"/>
          <w:szCs w:val="18"/>
          <w:color w:val="auto"/>
        </w:rPr>
        <w:t xml:space="preserve"> Revolving Loans made to finance the reimbursement of an LC Disbursement as provided in </w:t>
      </w:r>
      <w:r>
        <w:rPr>
          <w:rFonts w:ascii="Arial" w:cs="Arial" w:eastAsia="Arial" w:hAnsi="Arial"/>
          <w:sz w:val="18"/>
          <w:szCs w:val="18"/>
          <w:u w:val="single" w:color="auto"/>
          <w:color w:val="auto"/>
        </w:rPr>
        <w:t>Section 2.06(e)</w:t>
      </w:r>
      <w:r>
        <w:rPr>
          <w:rFonts w:ascii="Arial" w:cs="Arial" w:eastAsia="Arial" w:hAnsi="Arial"/>
          <w:sz w:val="18"/>
          <w:szCs w:val="18"/>
          <w:color w:val="auto"/>
        </w:rPr>
        <w:t xml:space="preserve"> shall be remitted by the Administrative Agent to the Issuing Bank.</w:t>
      </w:r>
    </w:p>
    <w:p>
      <w:pPr>
        <w:spacing w:after="0" w:line="169" w:lineRule="exact"/>
        <w:rPr>
          <w:rFonts w:ascii="Arial" w:cs="Arial" w:eastAsia="Arial" w:hAnsi="Arial"/>
          <w:sz w:val="18"/>
          <w:szCs w:val="18"/>
          <w:color w:val="auto"/>
        </w:rPr>
      </w:pPr>
    </w:p>
    <w:p>
      <w:pPr>
        <w:jc w:val="both"/>
        <w:ind w:firstLine="1505"/>
        <w:spacing w:after="0" w:line="270" w:lineRule="auto"/>
        <w:tabs>
          <w:tab w:leader="none" w:pos="2036"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Unless the Administrative Agent shall have received notice from a Lender prior to the proposed date of any Borrowing (or in the case of an ABR Borrowing,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such Borrower, the interest rate applicable to ABR Loans, or in the case of Foreign Currencies, in accordance with relevant market practice, in each case, as applicable. If such Lender pays such amount to the Administrative Agent, then such amount shall constitute such Lender’s Loan included in such Borrowing.</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2.08Interest Elections</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44" w:lineRule="auto"/>
        <w:tabs>
          <w:tab w:leader="none" w:pos="2036"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Each Revolving Borrowing initially shall be of the Type and Agreed Currency specified in the applicable Borrowing Request and, in the case of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Revolving Borrowing, shall have an initial Interest Period as specified in such Borrowing Request. Thereafter, the Company may elect to convert such Borrowing to a different Type or to continue such Borrowing and, in the case of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Revolving Borrowing, may elect Interest Periods therefor, all as provided in this Section. The Company may elect different options with respect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8" w:name="page119"/>
    <w:bookmarkEnd w:id="118"/>
    <w:p>
      <w:pPr>
        <w:jc w:val="both"/>
        <w:spacing w:after="0" w:line="250" w:lineRule="auto"/>
        <w:rPr>
          <w:sz w:val="20"/>
          <w:szCs w:val="20"/>
          <w:color w:val="auto"/>
        </w:rPr>
      </w:pPr>
      <w:r>
        <w:rPr>
          <w:rFonts w:ascii="Arial" w:cs="Arial" w:eastAsia="Arial" w:hAnsi="Arial"/>
          <w:sz w:val="20"/>
          <w:szCs w:val="20"/>
          <w:color w:val="auto"/>
        </w:rPr>
        <w:t>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86" w:lineRule="exact"/>
        <w:rPr>
          <w:sz w:val="20"/>
          <w:szCs w:val="20"/>
          <w:color w:val="auto"/>
        </w:rPr>
      </w:pPr>
    </w:p>
    <w:p>
      <w:pPr>
        <w:jc w:val="both"/>
        <w:ind w:firstLine="1505"/>
        <w:spacing w:after="0" w:line="257" w:lineRule="auto"/>
        <w:tabs>
          <w:tab w:leader="none" w:pos="2036"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To make an election pursuant to this Section, the Company shall notify the Administrative Agent of such election by telecopy of a written Interest Election Request in a form approved by the Administrative Agent and signed by the Company by the time that a Borrowing Request would be required under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if the Company were requesting a Revolving Borrowing of the Type resulting from such election to be made on the effective date of such election. Notwithstanding any other provision of this Section, the Company shall not be permitted to (i) change the currency of any Borrowing, (ii) elect an Interest Period for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Benchmark</w:t>
      </w:r>
      <w:r>
        <w:rPr>
          <w:rFonts w:ascii="Arial" w:cs="Arial" w:eastAsia="Arial" w:hAnsi="Arial"/>
          <w:sz w:val="19"/>
          <w:szCs w:val="19"/>
          <w:color w:val="auto"/>
        </w:rPr>
        <w:t xml:space="preserve"> Loans that does not comply with </w:t>
      </w:r>
      <w:r>
        <w:rPr>
          <w:rFonts w:ascii="Arial" w:cs="Arial" w:eastAsia="Arial" w:hAnsi="Arial"/>
          <w:sz w:val="19"/>
          <w:szCs w:val="19"/>
          <w:u w:val="single" w:color="auto"/>
          <w:color w:val="auto"/>
        </w:rPr>
        <w:t>Section 2.02(d)</w:t>
      </w:r>
      <w:r>
        <w:rPr>
          <w:rFonts w:ascii="Arial" w:cs="Arial" w:eastAsia="Arial" w:hAnsi="Arial"/>
          <w:sz w:val="19"/>
          <w:szCs w:val="19"/>
          <w:color w:val="auto"/>
        </w:rPr>
        <w:t xml:space="preserve"> or (iii) convert any Borrowing to a Borrowing of a Type not available to the applicable Borrower for such Borrowing when it was made.</w:t>
      </w:r>
    </w:p>
    <w:p>
      <w:pPr>
        <w:spacing w:after="0" w:line="184" w:lineRule="exact"/>
        <w:rPr>
          <w:rFonts w:ascii="Arial" w:cs="Arial" w:eastAsia="Arial" w:hAnsi="Arial"/>
          <w:sz w:val="19"/>
          <w:szCs w:val="19"/>
          <w:color w:val="auto"/>
        </w:rPr>
      </w:pPr>
    </w:p>
    <w:p>
      <w:pPr>
        <w:ind w:firstLine="1505"/>
        <w:spacing w:after="0" w:line="260" w:lineRule="auto"/>
        <w:tabs>
          <w:tab w:leader="none" w:pos="2036" w:val="left"/>
        </w:tabs>
        <w:numPr>
          <w:ilvl w:val="0"/>
          <w:numId w:val="71"/>
        </w:numPr>
        <w:rPr>
          <w:rFonts w:ascii="Arial" w:cs="Arial" w:eastAsia="Arial" w:hAnsi="Arial"/>
          <w:sz w:val="20"/>
          <w:szCs w:val="20"/>
          <w:color w:val="auto"/>
        </w:rPr>
      </w:pPr>
      <w:r>
        <w:rPr>
          <w:rFonts w:ascii="Arial" w:cs="Arial" w:eastAsia="Arial" w:hAnsi="Arial"/>
          <w:sz w:val="20"/>
          <w:szCs w:val="20"/>
          <w:color w:val="auto"/>
        </w:rPr>
        <w:t xml:space="preserve">Each written Interest Election Request shall be irrevocable and shall specify the following information in compliance with </w:t>
      </w:r>
      <w:r>
        <w:rPr>
          <w:rFonts w:ascii="Arial" w:cs="Arial" w:eastAsia="Arial" w:hAnsi="Arial"/>
          <w:sz w:val="20"/>
          <w:szCs w:val="20"/>
          <w:u w:val="single" w:color="auto"/>
          <w:color w:val="auto"/>
        </w:rPr>
        <w:t>Section 2.02</w:t>
      </w:r>
      <w:r>
        <w:rPr>
          <w:rFonts w:ascii="Arial" w:cs="Arial" w:eastAsia="Arial" w:hAnsi="Arial"/>
          <w:sz w:val="20"/>
          <w:szCs w:val="20"/>
          <w:color w:val="auto"/>
        </w:rPr>
        <w:t>:</w:t>
      </w:r>
    </w:p>
    <w:p>
      <w:pPr>
        <w:spacing w:after="0" w:line="177" w:lineRule="exact"/>
        <w:rPr>
          <w:sz w:val="20"/>
          <w:szCs w:val="20"/>
          <w:color w:val="auto"/>
        </w:rPr>
      </w:pPr>
    </w:p>
    <w:p>
      <w:pPr>
        <w:jc w:val="both"/>
        <w:ind w:left="2260" w:hanging="755"/>
        <w:spacing w:after="0" w:line="282" w:lineRule="auto"/>
        <w:tabs>
          <w:tab w:leader="none" w:pos="2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0000FF"/>
        </w:rPr>
        <w:t>name of the applicable Borrower and the Agreed Currency and principal amount of the</w:t>
      </w:r>
      <w:r>
        <w:rPr>
          <w:rFonts w:ascii="Arial" w:cs="Arial" w:eastAsia="Arial" w:hAnsi="Arial"/>
          <w:sz w:val="18"/>
          <w:szCs w:val="18"/>
          <w:color w:val="auto"/>
        </w:rPr>
        <w:t xml:space="preserv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below shall be specified for each resulting Borrowing);</w:t>
      </w:r>
    </w:p>
    <w:p>
      <w:pPr>
        <w:spacing w:after="0" w:line="161" w:lineRule="exact"/>
        <w:rPr>
          <w:rFonts w:ascii="Arial" w:cs="Arial" w:eastAsia="Arial" w:hAnsi="Arial"/>
          <w:sz w:val="18"/>
          <w:szCs w:val="18"/>
          <w:color w:val="auto"/>
        </w:rPr>
      </w:pPr>
    </w:p>
    <w:p>
      <w:pPr>
        <w:ind w:left="2260" w:hanging="755"/>
        <w:spacing w:after="0"/>
        <w:tabs>
          <w:tab w:leader="none" w:pos="22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effective date of the election made pursuant to such Interest Election Request, which shall be a Business Day;</w:t>
      </w:r>
    </w:p>
    <w:p>
      <w:pPr>
        <w:spacing w:after="0" w:line="261" w:lineRule="exact"/>
        <w:rPr>
          <w:rFonts w:ascii="Arial" w:cs="Arial" w:eastAsia="Arial" w:hAnsi="Arial"/>
          <w:sz w:val="16"/>
          <w:szCs w:val="16"/>
          <w:color w:val="auto"/>
        </w:rPr>
      </w:pPr>
    </w:p>
    <w:p>
      <w:pPr>
        <w:ind w:left="2260" w:hanging="755"/>
        <w:spacing w:after="0" w:line="260" w:lineRule="auto"/>
        <w:tabs>
          <w:tab w:leader="none" w:pos="22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 xml:space="preserve">whether the resulting Borrowing is to be an ABR Borrowing,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Borrowing </w:t>
      </w:r>
      <w:r>
        <w:rPr>
          <w:rFonts w:ascii="Arial" w:cs="Arial" w:eastAsia="Arial" w:hAnsi="Arial"/>
          <w:sz w:val="20"/>
          <w:szCs w:val="20"/>
          <w:color w:val="FF0000"/>
        </w:rPr>
        <w:t>or</w:t>
      </w:r>
      <w:r>
        <w:rPr>
          <w:rFonts w:ascii="Arial" w:cs="Arial" w:eastAsia="Arial" w:hAnsi="Arial"/>
          <w:sz w:val="20"/>
          <w:szCs w:val="20"/>
          <w:u w:val="single" w:color="auto"/>
          <w:color w:val="0000FF"/>
        </w:rPr>
        <w:t>,</w:t>
      </w:r>
      <w:r>
        <w:rPr>
          <w:rFonts w:ascii="Arial" w:cs="Arial" w:eastAsia="Arial" w:hAnsi="Arial"/>
          <w:sz w:val="20"/>
          <w:szCs w:val="20"/>
          <w:color w:val="auto"/>
        </w:rPr>
        <w:t xml:space="preserve"> a Canadian Prime Rate Borrowing </w:t>
      </w:r>
      <w:r>
        <w:rPr>
          <w:rFonts w:ascii="Arial" w:cs="Arial" w:eastAsia="Arial" w:hAnsi="Arial"/>
          <w:sz w:val="20"/>
          <w:szCs w:val="20"/>
          <w:color w:val="0000FF"/>
        </w:rPr>
        <w:t>or an RFR Borrowing</w:t>
      </w:r>
      <w:r>
        <w:rPr>
          <w:rFonts w:ascii="Arial" w:cs="Arial" w:eastAsia="Arial" w:hAnsi="Arial"/>
          <w:sz w:val="20"/>
          <w:szCs w:val="20"/>
          <w:color w:val="auto"/>
        </w:rPr>
        <w:t>, as applicable; and</w:t>
      </w:r>
    </w:p>
    <w:p>
      <w:pPr>
        <w:spacing w:after="0" w:line="176" w:lineRule="exact"/>
        <w:rPr>
          <w:rFonts w:ascii="Arial" w:cs="Arial" w:eastAsia="Arial" w:hAnsi="Arial"/>
          <w:sz w:val="20"/>
          <w:szCs w:val="20"/>
          <w:color w:val="auto"/>
        </w:rPr>
      </w:pPr>
    </w:p>
    <w:p>
      <w:pPr>
        <w:jc w:val="both"/>
        <w:ind w:left="2260" w:hanging="755"/>
        <w:spacing w:after="0" w:line="250" w:lineRule="auto"/>
        <w:tabs>
          <w:tab w:leader="none" w:pos="22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 xml:space="preserve">if the resulting Borrowing is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Borrowing, the Interest Period to be applicable thereto after giving effect to such election, which Interest Period shall be a period contemplated by the definition of the term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6870065</wp:posOffset>
            </wp:positionH>
            <wp:positionV relativeFrom="paragraph">
              <wp:posOffset>-805180</wp:posOffset>
            </wp:positionV>
            <wp:extent cx="139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139700" cy="8890"/>
                    </a:xfrm>
                    <a:prstGeom prst="rect">
                      <a:avLst/>
                    </a:prstGeom>
                    <a:noFill/>
                  </pic:spPr>
                </pic:pic>
              </a:graphicData>
            </a:graphic>
          </wp:anchor>
        </w:drawing>
        <w:drawing>
          <wp:anchor simplePos="0" relativeHeight="251657728" behindDoc="1" locked="0" layoutInCell="0" allowOverlap="1">
            <wp:simplePos x="0" y="0"/>
            <wp:positionH relativeFrom="column">
              <wp:posOffset>3074670</wp:posOffset>
            </wp:positionH>
            <wp:positionV relativeFrom="paragraph">
              <wp:posOffset>-607695</wp:posOffset>
            </wp:positionV>
            <wp:extent cx="11309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spacing w:after="0" w:line="16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If any such Interest Election Request requests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Borrowing but does not specify an Interest Period, then the Company shall be deemed to have selected an Interest Period of one (1) month’s duration.</w:t>
      </w:r>
    </w:p>
    <w:p>
      <w:pPr>
        <w:spacing w:after="0" w:line="177" w:lineRule="exact"/>
        <w:rPr>
          <w:sz w:val="20"/>
          <w:szCs w:val="20"/>
          <w:color w:val="auto"/>
        </w:rPr>
      </w:pPr>
    </w:p>
    <w:p>
      <w:pPr>
        <w:ind w:firstLine="1505"/>
        <w:spacing w:after="0" w:line="260" w:lineRule="auto"/>
        <w:tabs>
          <w:tab w:leader="none" w:pos="2036" w:val="left"/>
        </w:tabs>
        <w:numPr>
          <w:ilvl w:val="0"/>
          <w:numId w:val="73"/>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the Administrative Agent shall advise each Lender of the details thereof and of such Lender’s portion of each resulting Borrowing.</w:t>
      </w:r>
    </w:p>
    <w:p>
      <w:pPr>
        <w:spacing w:after="0" w:line="176" w:lineRule="exact"/>
        <w:rPr>
          <w:rFonts w:ascii="Arial" w:cs="Arial" w:eastAsia="Arial" w:hAnsi="Arial"/>
          <w:sz w:val="20"/>
          <w:szCs w:val="20"/>
          <w:color w:val="auto"/>
        </w:rPr>
      </w:pPr>
    </w:p>
    <w:p>
      <w:pPr>
        <w:jc w:val="both"/>
        <w:ind w:firstLine="1505"/>
        <w:spacing w:after="0" w:line="243" w:lineRule="auto"/>
        <w:tabs>
          <w:tab w:leader="none" w:pos="2036"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If the Company fails to deliver a timely Interest Election Request with respect to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Borrowing denominated in U.S. Dollars prior to the end of the Interest Period applicable thereto, then, unless such Borrowing is repaid as provided herein, at the end of such Interest Period such Borrowing shall be </w:t>
      </w:r>
      <w:r>
        <w:rPr>
          <w:rFonts w:ascii="Arial" w:cs="Arial" w:eastAsia="Arial" w:hAnsi="Arial"/>
          <w:sz w:val="20"/>
          <w:szCs w:val="20"/>
          <w:color w:val="FF0000"/>
          <w:strike w:val="1"/>
        </w:rPr>
        <w:t>converted to an ABR Borrowing at the end of such Interest</w:t>
      </w:r>
      <w:r>
        <w:rPr>
          <w:rFonts w:ascii="Arial" w:cs="Arial" w:eastAsia="Arial" w:hAnsi="Arial"/>
          <w:sz w:val="20"/>
          <w:szCs w:val="20"/>
          <w:color w:val="auto"/>
        </w:rPr>
        <w:t xml:space="preserve"> </w:t>
      </w:r>
      <w:r>
        <w:rPr>
          <w:rFonts w:ascii="Arial" w:cs="Arial" w:eastAsia="Arial" w:hAnsi="Arial"/>
          <w:sz w:val="20"/>
          <w:szCs w:val="20"/>
          <w:color w:val="FF0000"/>
          <w:strike w:val="1"/>
        </w:rPr>
        <w:t>Period. If the Company fails to deliver a timely Interest Election Request with respect to a Eurocurrency Borrowing denominated in Canadian Dollars prior to the end of the Interest Period applicable thereto, then, unless such Borrowing is repaid as provided herein, at the end of such Interest Period such Borrowing shall be converted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9" w:name="page120"/>
    <w:bookmarkEnd w:id="119"/>
    <w:p>
      <w:pPr>
        <w:jc w:val="both"/>
        <w:spacing w:after="0" w:line="308" w:lineRule="auto"/>
        <w:rPr>
          <w:sz w:val="20"/>
          <w:szCs w:val="20"/>
          <w:color w:val="auto"/>
        </w:rPr>
      </w:pPr>
      <w:r>
        <w:rPr>
          <w:rFonts w:ascii="Arial" w:cs="Arial" w:eastAsia="Arial" w:hAnsi="Arial"/>
          <w:sz w:val="16"/>
          <w:szCs w:val="16"/>
          <w:color w:val="FF0000"/>
          <w:strike w:val="1"/>
        </w:rPr>
        <w:t>to an Canadian Prime Rate Borrowing at the end of such Interest Period</w:t>
      </w:r>
      <w:r>
        <w:rPr>
          <w:rFonts w:ascii="Arial" w:cs="Arial" w:eastAsia="Arial" w:hAnsi="Arial"/>
          <w:sz w:val="16"/>
          <w:szCs w:val="16"/>
          <w:u w:val="single" w:color="auto"/>
          <w:color w:val="0000FF"/>
        </w:rPr>
        <w:t>deemed to have an Interest Period that is one (1) month</w:t>
      </w:r>
      <w:r>
        <w:rPr>
          <w:rFonts w:ascii="Arial" w:cs="Arial" w:eastAsia="Arial" w:hAnsi="Arial"/>
          <w:sz w:val="16"/>
          <w:szCs w:val="16"/>
          <w:color w:val="000000"/>
        </w:rPr>
        <w:t>. If the</w:t>
      </w:r>
      <w:r>
        <w:rPr>
          <w:rFonts w:ascii="Arial" w:cs="Arial" w:eastAsia="Arial" w:hAnsi="Arial"/>
          <w:sz w:val="16"/>
          <w:szCs w:val="16"/>
          <w:color w:val="FF0000"/>
        </w:rPr>
        <w:t xml:space="preserve"> </w:t>
      </w:r>
      <w:r>
        <w:rPr>
          <w:rFonts w:ascii="Arial" w:cs="Arial" w:eastAsia="Arial" w:hAnsi="Arial"/>
          <w:sz w:val="16"/>
          <w:szCs w:val="16"/>
          <w:color w:val="000000"/>
        </w:rPr>
        <w:t xml:space="preserve">Company fails to deliver a timely and complete Interest Election Request with respect to a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Term Benchmark</w:t>
      </w:r>
      <w:r>
        <w:rPr>
          <w:rFonts w:ascii="Arial" w:cs="Arial" w:eastAsia="Arial" w:hAnsi="Arial"/>
          <w:sz w:val="16"/>
          <w:szCs w:val="16"/>
          <w:color w:val="000000"/>
        </w:rPr>
        <w:t xml:space="preserve"> Borrowing denominated in a Foreign Currency </w:t>
      </w:r>
      <w:r>
        <w:rPr>
          <w:rFonts w:ascii="Arial" w:cs="Arial" w:eastAsia="Arial" w:hAnsi="Arial"/>
          <w:sz w:val="16"/>
          <w:szCs w:val="16"/>
          <w:color w:val="FF0000"/>
          <w:strike w:val="1"/>
        </w:rPr>
        <w:t>(other than Canadian Dollars)</w:t>
      </w:r>
      <w:r>
        <w:rPr>
          <w:rFonts w:ascii="Arial" w:cs="Arial" w:eastAsia="Arial" w:hAnsi="Arial"/>
          <w:sz w:val="16"/>
          <w:szCs w:val="16"/>
          <w:color w:val="000000"/>
        </w:rPr>
        <w:t xml:space="preserve"> prior to the end of the Interest Period therefor, then, unless such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Term Benchmark</w:t>
      </w:r>
      <w:r>
        <w:rPr>
          <w:rFonts w:ascii="Arial" w:cs="Arial" w:eastAsia="Arial" w:hAnsi="Arial"/>
          <w:sz w:val="16"/>
          <w:szCs w:val="16"/>
          <w:color w:val="FF0000"/>
        </w:rPr>
        <w:t xml:space="preserve"> </w:t>
      </w:r>
      <w:r>
        <w:rPr>
          <w:rFonts w:ascii="Arial" w:cs="Arial" w:eastAsia="Arial" w:hAnsi="Arial"/>
          <w:sz w:val="16"/>
          <w:szCs w:val="16"/>
          <w:color w:val="000000"/>
        </w:rPr>
        <w:t>Borrowing is repaid as provided herein, the Company shall be deemed to have selected that such</w:t>
      </w:r>
      <w:r>
        <w:rPr>
          <w:rFonts w:ascii="Arial" w:cs="Arial" w:eastAsia="Arial" w:hAnsi="Arial"/>
          <w:sz w:val="16"/>
          <w:szCs w:val="16"/>
          <w:color w:val="FF0000"/>
        </w:rPr>
        <w:t xml:space="preserve">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Term Benchmark</w:t>
      </w:r>
      <w:r>
        <w:rPr>
          <w:rFonts w:ascii="Arial" w:cs="Arial" w:eastAsia="Arial" w:hAnsi="Arial"/>
          <w:sz w:val="16"/>
          <w:szCs w:val="16"/>
          <w:color w:val="FF0000"/>
        </w:rPr>
        <w:t xml:space="preserve"> </w:t>
      </w:r>
      <w:r>
        <w:rPr>
          <w:rFonts w:ascii="Arial" w:cs="Arial" w:eastAsia="Arial" w:hAnsi="Arial"/>
          <w:sz w:val="16"/>
          <w:szCs w:val="16"/>
          <w:color w:val="000000"/>
        </w:rPr>
        <w:t>Borrowing shall automatically be continued as a</w:t>
      </w:r>
      <w:r>
        <w:rPr>
          <w:rFonts w:ascii="Arial" w:cs="Arial" w:eastAsia="Arial" w:hAnsi="Arial"/>
          <w:sz w:val="16"/>
          <w:szCs w:val="16"/>
          <w:color w:val="FF0000"/>
        </w:rPr>
        <w:t xml:space="preserve">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Term Benchmark</w:t>
      </w:r>
      <w:r>
        <w:rPr>
          <w:rFonts w:ascii="Arial" w:cs="Arial" w:eastAsia="Arial" w:hAnsi="Arial"/>
          <w:sz w:val="16"/>
          <w:szCs w:val="16"/>
          <w:color w:val="FF0000"/>
        </w:rPr>
        <w:t xml:space="preserve"> </w:t>
      </w:r>
      <w:r>
        <w:rPr>
          <w:rFonts w:ascii="Arial" w:cs="Arial" w:eastAsia="Arial" w:hAnsi="Arial"/>
          <w:sz w:val="16"/>
          <w:szCs w:val="16"/>
          <w:color w:val="000000"/>
        </w:rPr>
        <w:t>Borrowing in its original</w:t>
      </w:r>
      <w:r>
        <w:rPr>
          <w:rFonts w:ascii="Arial" w:cs="Arial" w:eastAsia="Arial" w:hAnsi="Arial"/>
          <w:sz w:val="16"/>
          <w:szCs w:val="16"/>
          <w:color w:val="FF0000"/>
        </w:rPr>
        <w:t xml:space="preserve"> </w:t>
      </w:r>
      <w:r>
        <w:rPr>
          <w:rFonts w:ascii="Arial" w:cs="Arial" w:eastAsia="Arial" w:hAnsi="Arial"/>
          <w:sz w:val="16"/>
          <w:szCs w:val="16"/>
          <w:color w:val="000000"/>
        </w:rPr>
        <w:t xml:space="preserve">Agreed Currency with an Interest Period of one </w:t>
      </w:r>
      <w:r>
        <w:rPr>
          <w:rFonts w:ascii="Arial" w:cs="Arial" w:eastAsia="Arial" w:hAnsi="Arial"/>
          <w:sz w:val="16"/>
          <w:szCs w:val="16"/>
          <w:color w:val="FF0000"/>
          <w:strike w:val="1"/>
        </w:rPr>
        <w:t>(1)</w:t>
      </w:r>
      <w:r>
        <w:rPr>
          <w:rFonts w:ascii="Arial" w:cs="Arial" w:eastAsia="Arial" w:hAnsi="Arial"/>
          <w:sz w:val="16"/>
          <w:szCs w:val="16"/>
          <w:color w:val="000000"/>
        </w:rPr>
        <w:t xml:space="preserve"> month at the end of such Interest Period. Notwithstanding any contrary provision hereof, if an Event of Default has occurred and is continuing and the Administrative Agent, at the request of the Required Lenders, so notifies the Company, then, so long as an Event of Default is continuing (i) no outstanding Borrowing may be converted to or continued as a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Term Benchmark</w:t>
      </w:r>
      <w:r>
        <w:rPr>
          <w:rFonts w:ascii="Arial" w:cs="Arial" w:eastAsia="Arial" w:hAnsi="Arial"/>
          <w:sz w:val="16"/>
          <w:szCs w:val="16"/>
          <w:color w:val="FF0000"/>
        </w:rPr>
        <w:t xml:space="preserve"> </w:t>
      </w:r>
      <w:r>
        <w:rPr>
          <w:rFonts w:ascii="Arial" w:cs="Arial" w:eastAsia="Arial" w:hAnsi="Arial"/>
          <w:sz w:val="16"/>
          <w:szCs w:val="16"/>
          <w:color w:val="000000"/>
        </w:rPr>
        <w:t>Borrowing and (ii) unless repaid, (</w:t>
      </w:r>
      <w:r>
        <w:rPr>
          <w:rFonts w:ascii="Arial" w:cs="Arial" w:eastAsia="Arial" w:hAnsi="Arial"/>
          <w:sz w:val="16"/>
          <w:szCs w:val="16"/>
          <w:color w:val="FF0000"/>
          <w:strike w:val="1"/>
        </w:rPr>
        <w:t>x</w:t>
      </w:r>
      <w:r>
        <w:rPr>
          <w:rFonts w:ascii="Arial" w:cs="Arial" w:eastAsia="Arial" w:hAnsi="Arial"/>
          <w:sz w:val="16"/>
          <w:szCs w:val="16"/>
          <w:u w:val="single" w:color="auto"/>
          <w:color w:val="0000FF"/>
        </w:rPr>
        <w:t>w</w:t>
      </w:r>
      <w:r>
        <w:rPr>
          <w:rFonts w:ascii="Arial" w:cs="Arial" w:eastAsia="Arial" w:hAnsi="Arial"/>
          <w:sz w:val="16"/>
          <w:szCs w:val="16"/>
          <w:color w:val="000000"/>
        </w:rPr>
        <w:t>) each</w:t>
      </w:r>
      <w:r>
        <w:rPr>
          <w:rFonts w:ascii="Arial" w:cs="Arial" w:eastAsia="Arial" w:hAnsi="Arial"/>
          <w:sz w:val="16"/>
          <w:szCs w:val="16"/>
          <w:color w:val="FF0000"/>
        </w:rPr>
        <w:t xml:space="preserve">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Term Benchmark</w:t>
      </w:r>
      <w:r>
        <w:rPr>
          <w:rFonts w:ascii="Arial" w:cs="Arial" w:eastAsia="Arial" w:hAnsi="Arial"/>
          <w:sz w:val="16"/>
          <w:szCs w:val="16"/>
          <w:color w:val="FF0000"/>
        </w:rPr>
        <w:t xml:space="preserve"> </w:t>
      </w:r>
      <w:r>
        <w:rPr>
          <w:rFonts w:ascii="Arial" w:cs="Arial" w:eastAsia="Arial" w:hAnsi="Arial"/>
          <w:sz w:val="16"/>
          <w:szCs w:val="16"/>
          <w:color w:val="000000"/>
        </w:rPr>
        <w:t>Borrowing</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and each RFR</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Borrowing, in each case</w:t>
      </w:r>
      <w:r>
        <w:rPr>
          <w:rFonts w:ascii="Arial" w:cs="Arial" w:eastAsia="Arial" w:hAnsi="Arial"/>
          <w:sz w:val="16"/>
          <w:szCs w:val="16"/>
          <w:color w:val="0000FF"/>
        </w:rPr>
        <w:t xml:space="preserve"> </w:t>
      </w:r>
      <w:r>
        <w:rPr>
          <w:rFonts w:ascii="Arial" w:cs="Arial" w:eastAsia="Arial" w:hAnsi="Arial"/>
          <w:sz w:val="16"/>
          <w:szCs w:val="16"/>
          <w:color w:val="000000"/>
        </w:rPr>
        <w:t>denominated in U.S. Dollars shall be converted to an ABR Borrowing</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(in the case of a Term Benchmark Borrowing)</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at the end of the Interest Period applicable thereto or (in the case of an RFR Borrowing) on the next Interest Payment Date in respect thereof,</w:t>
      </w:r>
    </w:p>
    <w:p>
      <w:pPr>
        <w:spacing w:after="0" w:line="179" w:lineRule="exact"/>
        <w:rPr>
          <w:sz w:val="20"/>
          <w:szCs w:val="20"/>
          <w:color w:val="auto"/>
        </w:rPr>
      </w:pPr>
    </w:p>
    <w:p>
      <w:pPr>
        <w:jc w:val="both"/>
        <w:ind w:firstLine="8"/>
        <w:spacing w:after="0" w:line="304" w:lineRule="auto"/>
        <w:tabs>
          <w:tab w:leader="none" w:pos="299" w:val="left"/>
        </w:tabs>
        <w:numPr>
          <w:ilvl w:val="0"/>
          <w:numId w:val="7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each Term Benchmark Borrowing denominated in Japanese Yen shall be converted to a Loan that bears interest at the Japanese Prime Rate plus the Applicable Rate</w:t>
      </w:r>
      <w:r>
        <w:rPr>
          <w:rFonts w:ascii="Arial" w:cs="Arial" w:eastAsia="Arial" w:hAnsi="Arial"/>
          <w:sz w:val="16"/>
          <w:szCs w:val="16"/>
          <w:color w:val="0000FF"/>
        </w:rPr>
        <w:t xml:space="preserve"> </w:t>
      </w:r>
      <w:r>
        <w:rPr>
          <w:rFonts w:ascii="Arial" w:cs="Arial" w:eastAsia="Arial" w:hAnsi="Arial"/>
          <w:sz w:val="16"/>
          <w:szCs w:val="16"/>
          <w:color w:val="000000"/>
        </w:rPr>
        <w:t>at the end of the Interest Period applicable thereto, (y) each</w:t>
      </w:r>
      <w:r>
        <w:rPr>
          <w:rFonts w:ascii="Arial" w:cs="Arial" w:eastAsia="Arial" w:hAnsi="Arial"/>
          <w:sz w:val="16"/>
          <w:szCs w:val="16"/>
          <w:color w:val="0000FF"/>
        </w:rPr>
        <w:t xml:space="preserve">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Term Benchmark</w:t>
      </w:r>
      <w:r>
        <w:rPr>
          <w:rFonts w:ascii="Arial" w:cs="Arial" w:eastAsia="Arial" w:hAnsi="Arial"/>
          <w:sz w:val="16"/>
          <w:szCs w:val="16"/>
          <w:color w:val="0000FF"/>
        </w:rPr>
        <w:t xml:space="preserve"> </w:t>
      </w:r>
      <w:r>
        <w:rPr>
          <w:rFonts w:ascii="Arial" w:cs="Arial" w:eastAsia="Arial" w:hAnsi="Arial"/>
          <w:sz w:val="16"/>
          <w:szCs w:val="16"/>
          <w:color w:val="000000"/>
        </w:rPr>
        <w:t>Borrowing</w:t>
      </w:r>
      <w:r>
        <w:rPr>
          <w:rFonts w:ascii="Arial" w:cs="Arial" w:eastAsia="Arial" w:hAnsi="Arial"/>
          <w:sz w:val="16"/>
          <w:szCs w:val="16"/>
          <w:color w:val="0000FF"/>
        </w:rPr>
        <w:t xml:space="preserve"> </w:t>
      </w:r>
      <w:r>
        <w:rPr>
          <w:rFonts w:ascii="Arial" w:cs="Arial" w:eastAsia="Arial" w:hAnsi="Arial"/>
          <w:sz w:val="16"/>
          <w:szCs w:val="16"/>
          <w:color w:val="000000"/>
        </w:rPr>
        <w:t xml:space="preserve">denominated in Canadian Dollars shall be converted to </w:t>
      </w:r>
      <w:r>
        <w:rPr>
          <w:rFonts w:ascii="Arial" w:cs="Arial" w:eastAsia="Arial" w:hAnsi="Arial"/>
          <w:sz w:val="16"/>
          <w:szCs w:val="16"/>
          <w:color w:val="FF0000"/>
          <w:strike w:val="1"/>
        </w:rPr>
        <w:t>an</w:t>
      </w:r>
      <w:r>
        <w:rPr>
          <w:rFonts w:ascii="Arial" w:cs="Arial" w:eastAsia="Arial" w:hAnsi="Arial"/>
          <w:sz w:val="16"/>
          <w:szCs w:val="16"/>
          <w:u w:val="single" w:color="auto"/>
          <w:color w:val="0000FF"/>
        </w:rPr>
        <w:t>a Loan that bears interest at the</w:t>
      </w:r>
      <w:r>
        <w:rPr>
          <w:rFonts w:ascii="Arial" w:cs="Arial" w:eastAsia="Arial" w:hAnsi="Arial"/>
          <w:sz w:val="16"/>
          <w:szCs w:val="16"/>
          <w:color w:val="000000"/>
        </w:rPr>
        <w:t xml:space="preserve"> Canadian Prime Rate </w:t>
      </w:r>
      <w:r>
        <w:rPr>
          <w:rFonts w:ascii="Arial" w:cs="Arial" w:eastAsia="Arial" w:hAnsi="Arial"/>
          <w:sz w:val="16"/>
          <w:szCs w:val="16"/>
          <w:color w:val="FF0000"/>
          <w:strike w:val="1"/>
        </w:rPr>
        <w:t>Borrowing</w:t>
      </w:r>
      <w:r>
        <w:rPr>
          <w:rFonts w:ascii="Arial" w:cs="Arial" w:eastAsia="Arial" w:hAnsi="Arial"/>
          <w:sz w:val="16"/>
          <w:szCs w:val="16"/>
          <w:u w:val="single" w:color="auto"/>
          <w:color w:val="0000FF"/>
        </w:rPr>
        <w:t>plus the Applicable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Rate</w:t>
      </w:r>
      <w:r>
        <w:rPr>
          <w:rFonts w:ascii="Arial" w:cs="Arial" w:eastAsia="Arial" w:hAnsi="Arial"/>
          <w:sz w:val="16"/>
          <w:szCs w:val="16"/>
          <w:color w:val="0000FF"/>
        </w:rPr>
        <w:t xml:space="preserve"> </w:t>
      </w:r>
      <w:r>
        <w:rPr>
          <w:rFonts w:ascii="Arial" w:cs="Arial" w:eastAsia="Arial" w:hAnsi="Arial"/>
          <w:sz w:val="16"/>
          <w:szCs w:val="16"/>
          <w:color w:val="000000"/>
        </w:rPr>
        <w:t>at the end of the Interest Period applicable thereto and (z) each</w:t>
      </w:r>
      <w:r>
        <w:rPr>
          <w:rFonts w:ascii="Arial" w:cs="Arial" w:eastAsia="Arial" w:hAnsi="Arial"/>
          <w:sz w:val="16"/>
          <w:szCs w:val="16"/>
          <w:color w:val="0000FF"/>
        </w:rPr>
        <w:t xml:space="preserve">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Term Benchmark</w:t>
      </w:r>
      <w:r>
        <w:rPr>
          <w:rFonts w:ascii="Arial" w:cs="Arial" w:eastAsia="Arial" w:hAnsi="Arial"/>
          <w:sz w:val="16"/>
          <w:szCs w:val="16"/>
          <w:color w:val="0000FF"/>
        </w:rPr>
        <w:t xml:space="preserve"> </w:t>
      </w:r>
      <w:r>
        <w:rPr>
          <w:rFonts w:ascii="Arial" w:cs="Arial" w:eastAsia="Arial" w:hAnsi="Arial"/>
          <w:sz w:val="16"/>
          <w:szCs w:val="16"/>
          <w:color w:val="000000"/>
        </w:rPr>
        <w:t>Borrowing</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and each RFR Borrowing, in</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each case</w:t>
      </w:r>
      <w:r>
        <w:rPr>
          <w:rFonts w:ascii="Arial" w:cs="Arial" w:eastAsia="Arial" w:hAnsi="Arial"/>
          <w:sz w:val="16"/>
          <w:szCs w:val="16"/>
          <w:color w:val="0000FF"/>
        </w:rPr>
        <w:t xml:space="preserve"> </w:t>
      </w:r>
      <w:r>
        <w:rPr>
          <w:rFonts w:ascii="Arial" w:cs="Arial" w:eastAsia="Arial" w:hAnsi="Arial"/>
          <w:sz w:val="16"/>
          <w:szCs w:val="16"/>
          <w:color w:val="000000"/>
        </w:rPr>
        <w:t>denominated in a Foreign Currency</w:t>
      </w:r>
      <w:r>
        <w:rPr>
          <w:rFonts w:ascii="Arial" w:cs="Arial" w:eastAsia="Arial" w:hAnsi="Arial"/>
          <w:sz w:val="16"/>
          <w:szCs w:val="16"/>
          <w:color w:val="0000FF"/>
        </w:rPr>
        <w:t xml:space="preserve"> </w:t>
      </w:r>
      <w:r>
        <w:rPr>
          <w:rFonts w:ascii="Arial" w:cs="Arial" w:eastAsia="Arial" w:hAnsi="Arial"/>
          <w:sz w:val="16"/>
          <w:szCs w:val="16"/>
          <w:color w:val="FF0000"/>
          <w:strike w:val="1"/>
        </w:rPr>
        <w:t>(</w:t>
      </w:r>
      <w:r>
        <w:rPr>
          <w:rFonts w:ascii="Arial" w:cs="Arial" w:eastAsia="Arial" w:hAnsi="Arial"/>
          <w:sz w:val="16"/>
          <w:szCs w:val="16"/>
          <w:color w:val="000000"/>
        </w:rPr>
        <w:t>other than</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Japanese Yen or</w:t>
      </w:r>
      <w:r>
        <w:rPr>
          <w:rFonts w:ascii="Arial" w:cs="Arial" w:eastAsia="Arial" w:hAnsi="Arial"/>
          <w:sz w:val="16"/>
          <w:szCs w:val="16"/>
          <w:color w:val="0000FF"/>
        </w:rPr>
        <w:t xml:space="preserve"> </w:t>
      </w:r>
      <w:r>
        <w:rPr>
          <w:rFonts w:ascii="Arial" w:cs="Arial" w:eastAsia="Arial" w:hAnsi="Arial"/>
          <w:sz w:val="16"/>
          <w:szCs w:val="16"/>
          <w:color w:val="000000"/>
        </w:rPr>
        <w:t>Canadian Dollars</w:t>
      </w:r>
      <w:r>
        <w:rPr>
          <w:rFonts w:ascii="Arial" w:cs="Arial" w:eastAsia="Arial" w:hAnsi="Arial"/>
          <w:sz w:val="16"/>
          <w:szCs w:val="16"/>
          <w:color w:val="FF0000"/>
          <w:strike w:val="1"/>
        </w:rPr>
        <w:t>)</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color w:val="000000"/>
        </w:rPr>
        <w:t>shall bear interest at the Central Bank Rate for</w:t>
      </w:r>
      <w:r>
        <w:rPr>
          <w:rFonts w:ascii="Arial" w:cs="Arial" w:eastAsia="Arial" w:hAnsi="Arial"/>
          <w:sz w:val="16"/>
          <w:szCs w:val="16"/>
          <w:color w:val="0000FF"/>
        </w:rPr>
        <w:t xml:space="preserve"> </w:t>
      </w:r>
      <w:r>
        <w:rPr>
          <w:rFonts w:ascii="Arial" w:cs="Arial" w:eastAsia="Arial" w:hAnsi="Arial"/>
          <w:sz w:val="16"/>
          <w:szCs w:val="16"/>
          <w:color w:val="000000"/>
        </w:rPr>
        <w:t xml:space="preserve">the applicable Agreed Currency plus the Applicable Rate;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if the Administrative Agent determines (which determination shall be conclusive and binding absent manifest error) that the Central Bank Rate for the applicable Agreed Currency </w:t>
      </w:r>
      <w:r>
        <w:rPr>
          <w:rFonts w:ascii="Arial" w:cs="Arial" w:eastAsia="Arial" w:hAnsi="Arial"/>
          <w:sz w:val="16"/>
          <w:szCs w:val="16"/>
          <w:u w:val="single" w:color="auto"/>
          <w:color w:val="0000FF"/>
        </w:rPr>
        <w:t>(or in the case of (1)</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Japanese Yen, the Japanese Prime Rate or (2) Canadian Dollars, the Canadian Prime Rate)</w:t>
      </w:r>
      <w:r>
        <w:rPr>
          <w:rFonts w:ascii="Arial" w:cs="Arial" w:eastAsia="Arial" w:hAnsi="Arial"/>
          <w:sz w:val="16"/>
          <w:szCs w:val="16"/>
          <w:color w:val="0000FF"/>
        </w:rPr>
        <w:t xml:space="preserve"> </w:t>
      </w:r>
      <w:r>
        <w:rPr>
          <w:rFonts w:ascii="Arial" w:cs="Arial" w:eastAsia="Arial" w:hAnsi="Arial"/>
          <w:sz w:val="16"/>
          <w:szCs w:val="16"/>
          <w:color w:val="000000"/>
        </w:rPr>
        <w:t>cannot be determined, any outstanding affected</w:t>
      </w:r>
      <w:r>
        <w:rPr>
          <w:rFonts w:ascii="Arial" w:cs="Arial" w:eastAsia="Arial" w:hAnsi="Arial"/>
          <w:sz w:val="16"/>
          <w:szCs w:val="16"/>
          <w:color w:val="0000FF"/>
        </w:rPr>
        <w:t xml:space="preserve">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Term Benchmark Loans or RFR</w:t>
      </w:r>
      <w:r>
        <w:rPr>
          <w:rFonts w:ascii="Arial" w:cs="Arial" w:eastAsia="Arial" w:hAnsi="Arial"/>
          <w:sz w:val="16"/>
          <w:szCs w:val="16"/>
          <w:color w:val="FF0000"/>
        </w:rPr>
        <w:t xml:space="preserve"> </w:t>
      </w:r>
      <w:r>
        <w:rPr>
          <w:rFonts w:ascii="Arial" w:cs="Arial" w:eastAsia="Arial" w:hAnsi="Arial"/>
          <w:sz w:val="16"/>
          <w:szCs w:val="16"/>
          <w:color w:val="000000"/>
        </w:rPr>
        <w:t>Loans denominated in any Foreign Currency</w:t>
      </w:r>
      <w:r>
        <w:rPr>
          <w:rFonts w:ascii="Arial" w:cs="Arial" w:eastAsia="Arial" w:hAnsi="Arial"/>
          <w:sz w:val="16"/>
          <w:szCs w:val="16"/>
          <w:color w:val="FF0000"/>
        </w:rPr>
        <w:t xml:space="preserve"> </w:t>
      </w:r>
      <w:r>
        <w:rPr>
          <w:rFonts w:ascii="Arial" w:cs="Arial" w:eastAsia="Arial" w:hAnsi="Arial"/>
          <w:sz w:val="16"/>
          <w:szCs w:val="16"/>
          <w:color w:val="FF0000"/>
          <w:strike w:val="1"/>
        </w:rPr>
        <w:t>(other than Canadian Dollars)</w:t>
      </w:r>
      <w:r>
        <w:rPr>
          <w:rFonts w:ascii="Arial" w:cs="Arial" w:eastAsia="Arial" w:hAnsi="Arial"/>
          <w:sz w:val="16"/>
          <w:szCs w:val="16"/>
          <w:color w:val="FF0000"/>
        </w:rPr>
        <w:t xml:space="preserve"> </w:t>
      </w:r>
      <w:r>
        <w:rPr>
          <w:rFonts w:ascii="Arial" w:cs="Arial" w:eastAsia="Arial" w:hAnsi="Arial"/>
          <w:sz w:val="16"/>
          <w:szCs w:val="16"/>
          <w:color w:val="000000"/>
        </w:rPr>
        <w:t>shall either be (A)</w:t>
      </w:r>
      <w:r>
        <w:rPr>
          <w:rFonts w:ascii="Arial" w:cs="Arial" w:eastAsia="Arial" w:hAnsi="Arial"/>
          <w:sz w:val="16"/>
          <w:szCs w:val="16"/>
          <w:color w:val="FF0000"/>
        </w:rPr>
        <w:t xml:space="preserve"> </w:t>
      </w:r>
      <w:r>
        <w:rPr>
          <w:rFonts w:ascii="Arial" w:cs="Arial" w:eastAsia="Arial" w:hAnsi="Arial"/>
          <w:sz w:val="16"/>
          <w:szCs w:val="16"/>
          <w:color w:val="000000"/>
        </w:rPr>
        <w:t xml:space="preserve">converted to an ABR Borrowing denominated in U.S. Dollars (in an amount equal to the Dollar Amount of such Foreign Currency) at the end of the Interest Period </w:t>
      </w:r>
      <w:r>
        <w:rPr>
          <w:rFonts w:ascii="Arial" w:cs="Arial" w:eastAsia="Arial" w:hAnsi="Arial"/>
          <w:sz w:val="16"/>
          <w:szCs w:val="16"/>
          <w:u w:val="single" w:color="auto"/>
          <w:color w:val="0000FF"/>
        </w:rPr>
        <w:t>or on the Interest Payment Date, as applicable,</w:t>
      </w:r>
      <w:r>
        <w:rPr>
          <w:rFonts w:ascii="Arial" w:cs="Arial" w:eastAsia="Arial" w:hAnsi="Arial"/>
          <w:sz w:val="16"/>
          <w:szCs w:val="16"/>
          <w:color w:val="000000"/>
        </w:rPr>
        <w:t xml:space="preserve"> therefor or (B) prepaid at the end of the applicable Interest Period </w:t>
      </w:r>
      <w:r>
        <w:rPr>
          <w:rFonts w:ascii="Arial" w:cs="Arial" w:eastAsia="Arial" w:hAnsi="Arial"/>
          <w:sz w:val="16"/>
          <w:szCs w:val="16"/>
          <w:u w:val="single" w:color="auto"/>
          <w:color w:val="0000FF"/>
        </w:rPr>
        <w:t>or on</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the Interest Payment Date, as applicable,</w:t>
      </w:r>
      <w:r>
        <w:rPr>
          <w:rFonts w:ascii="Arial" w:cs="Arial" w:eastAsia="Arial" w:hAnsi="Arial"/>
          <w:sz w:val="16"/>
          <w:szCs w:val="16"/>
          <w:color w:val="0000FF"/>
        </w:rPr>
        <w:t xml:space="preserve"> </w:t>
      </w:r>
      <w:r>
        <w:rPr>
          <w:rFonts w:ascii="Arial" w:cs="Arial" w:eastAsia="Arial" w:hAnsi="Arial"/>
          <w:sz w:val="16"/>
          <w:szCs w:val="16"/>
          <w:color w:val="000000"/>
        </w:rPr>
        <w:t>in full;</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FF"/>
        </w:rPr>
        <w:t xml:space="preserve"> </w:t>
      </w:r>
      <w:r>
        <w:rPr>
          <w:rFonts w:ascii="Arial" w:cs="Arial" w:eastAsia="Arial" w:hAnsi="Arial"/>
          <w:sz w:val="16"/>
          <w:szCs w:val="16"/>
          <w:color w:val="000000"/>
        </w:rPr>
        <w:t>that if no election is made by the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applicable</w:t>
      </w:r>
      <w:r>
        <w:rPr>
          <w:rFonts w:ascii="Arial" w:cs="Arial" w:eastAsia="Arial" w:hAnsi="Arial"/>
          <w:sz w:val="16"/>
          <w:szCs w:val="16"/>
          <w:color w:val="0000FF"/>
        </w:rPr>
        <w:t xml:space="preserve"> </w:t>
      </w:r>
      <w:r>
        <w:rPr>
          <w:rFonts w:ascii="Arial" w:cs="Arial" w:eastAsia="Arial" w:hAnsi="Arial"/>
          <w:sz w:val="16"/>
          <w:szCs w:val="16"/>
          <w:color w:val="000000"/>
        </w:rPr>
        <w:t>Borrower by the earlier of (x) the date</w:t>
      </w:r>
      <w:r>
        <w:rPr>
          <w:rFonts w:ascii="Arial" w:cs="Arial" w:eastAsia="Arial" w:hAnsi="Arial"/>
          <w:sz w:val="16"/>
          <w:szCs w:val="16"/>
          <w:color w:val="0000FF"/>
        </w:rPr>
        <w:t xml:space="preserve"> </w:t>
      </w:r>
      <w:r>
        <w:rPr>
          <w:rFonts w:ascii="Arial" w:cs="Arial" w:eastAsia="Arial" w:hAnsi="Arial"/>
          <w:sz w:val="16"/>
          <w:szCs w:val="16"/>
          <w:color w:val="000000"/>
        </w:rPr>
        <w:t xml:space="preserve">that is three (3) Business Days after receipt by the </w:t>
      </w:r>
      <w:r>
        <w:rPr>
          <w:rFonts w:ascii="Arial" w:cs="Arial" w:eastAsia="Arial" w:hAnsi="Arial"/>
          <w:sz w:val="16"/>
          <w:szCs w:val="16"/>
          <w:color w:val="FF0000"/>
          <w:strike w:val="1"/>
        </w:rPr>
        <w:t>Borrower</w:t>
      </w:r>
      <w:r>
        <w:rPr>
          <w:rFonts w:ascii="Arial" w:cs="Arial" w:eastAsia="Arial" w:hAnsi="Arial"/>
          <w:sz w:val="16"/>
          <w:szCs w:val="16"/>
          <w:u w:val="single" w:color="auto"/>
          <w:color w:val="0000FF"/>
        </w:rPr>
        <w:t>Company</w:t>
      </w:r>
      <w:r>
        <w:rPr>
          <w:rFonts w:ascii="Arial" w:cs="Arial" w:eastAsia="Arial" w:hAnsi="Arial"/>
          <w:sz w:val="16"/>
          <w:szCs w:val="16"/>
          <w:color w:val="000000"/>
        </w:rPr>
        <w:t xml:space="preserve"> of such notice and (y) the last day of the current Interest Period for the applicable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Term Benchmark</w:t>
      </w:r>
      <w:r>
        <w:rPr>
          <w:rFonts w:ascii="Arial" w:cs="Arial" w:eastAsia="Arial" w:hAnsi="Arial"/>
          <w:sz w:val="16"/>
          <w:szCs w:val="16"/>
          <w:color w:val="000000"/>
        </w:rPr>
        <w:t xml:space="preserve"> Loan,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such</w:t>
      </w:r>
      <w:r>
        <w:rPr>
          <w:rFonts w:ascii="Arial" w:cs="Arial" w:eastAsia="Arial" w:hAnsi="Arial"/>
          <w:sz w:val="16"/>
          <w:szCs w:val="16"/>
          <w:color w:val="000000"/>
        </w:rPr>
        <w:t xml:space="preserve"> Borrower shall be deemed to have elected clause (A) above.</w:t>
      </w:r>
    </w:p>
    <w:p>
      <w:pPr>
        <w:spacing w:after="0" w:line="383"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2.09Termination and Reduction of Commitments</w:t>
      </w:r>
      <w:r>
        <w:rPr>
          <w:rFonts w:ascii="Arial" w:cs="Arial" w:eastAsia="Arial" w:hAnsi="Arial"/>
          <w:sz w:val="20"/>
          <w:szCs w:val="20"/>
          <w:color w:val="auto"/>
        </w:rPr>
        <w:t>.</w:t>
      </w:r>
    </w:p>
    <w:p>
      <w:pPr>
        <w:spacing w:after="0" w:line="216" w:lineRule="exact"/>
        <w:rPr>
          <w:sz w:val="20"/>
          <w:szCs w:val="20"/>
          <w:color w:val="auto"/>
        </w:rPr>
      </w:pPr>
    </w:p>
    <w:p>
      <w:pPr>
        <w:ind w:left="2040" w:hanging="535"/>
        <w:spacing w:after="0"/>
        <w:tabs>
          <w:tab w:leader="none" w:pos="20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Unless previously terminated, the Commitments shall terminate on the Maturity Date.</w:t>
      </w:r>
    </w:p>
    <w:p>
      <w:pPr>
        <w:spacing w:after="0" w:line="215" w:lineRule="exact"/>
        <w:rPr>
          <w:rFonts w:ascii="Arial" w:cs="Arial" w:eastAsia="Arial" w:hAnsi="Arial"/>
          <w:sz w:val="20"/>
          <w:szCs w:val="20"/>
          <w:color w:val="auto"/>
        </w:rPr>
      </w:pPr>
    </w:p>
    <w:p>
      <w:pPr>
        <w:jc w:val="both"/>
        <w:ind w:firstLine="1505"/>
        <w:spacing w:after="0" w:line="244" w:lineRule="auto"/>
        <w:tabs>
          <w:tab w:leader="none" w:pos="2036"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The Borrowers may at any time terminate, or from time to time reduce, the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each reduction of the Commitments shall be in an amount that is an integral multiple of $1,000,000 and not less than $1,000,000 and (ii) the Borrowers shall not terminate or reduce the Commitments if, after giving effect to any concurrent prepayment of the Loans in accordance with </w:t>
      </w:r>
      <w:r>
        <w:rPr>
          <w:rFonts w:ascii="Arial" w:cs="Arial" w:eastAsia="Arial" w:hAnsi="Arial"/>
          <w:sz w:val="20"/>
          <w:szCs w:val="20"/>
          <w:u w:val="single" w:color="auto"/>
          <w:color w:val="auto"/>
        </w:rPr>
        <w:t>Section 2.11</w:t>
      </w:r>
      <w:r>
        <w:rPr>
          <w:rFonts w:ascii="Arial" w:cs="Arial" w:eastAsia="Arial" w:hAnsi="Arial"/>
          <w:sz w:val="20"/>
          <w:szCs w:val="20"/>
          <w:color w:val="auto"/>
        </w:rPr>
        <w:t>, (A) any Lender’s Revolving Credit Exposure would exceed its Commitment or (B) the Dollar Amount of the Total Revolving Credit Exposures would exceed the total Commitments.</w:t>
      </w:r>
    </w:p>
    <w:p>
      <w:pPr>
        <w:spacing w:after="0" w:line="194" w:lineRule="exact"/>
        <w:rPr>
          <w:rFonts w:ascii="Arial" w:cs="Arial" w:eastAsia="Arial" w:hAnsi="Arial"/>
          <w:sz w:val="20"/>
          <w:szCs w:val="20"/>
          <w:color w:val="auto"/>
        </w:rPr>
      </w:pPr>
    </w:p>
    <w:p>
      <w:pPr>
        <w:jc w:val="both"/>
        <w:ind w:firstLine="1505"/>
        <w:spacing w:after="0" w:line="263" w:lineRule="auto"/>
        <w:tabs>
          <w:tab w:leader="none" w:pos="2036"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The Company shall notify the Administrative Agent of any election to terminate or reduce the Commitments under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at least three (3)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Company pursuant to this Section shall be irrevocable;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0" w:name="page121"/>
    <w:bookmarkEnd w:id="120"/>
    <w:p>
      <w:pPr>
        <w:jc w:val="both"/>
        <w:spacing w:after="0" w:line="282"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Commitments delivered by the Company may state that such notice is conditioned upon the effectiveness of other credit facilities, in which case such notice may be revoked by the Company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2.10Repayment of Loans; Evidence of Debt</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43" w:lineRule="auto"/>
        <w:tabs>
          <w:tab w:leader="none" w:pos="2036" w:val="left"/>
        </w:tabs>
        <w:numPr>
          <w:ilvl w:val="0"/>
          <w:numId w:val="76"/>
        </w:numPr>
        <w:rPr>
          <w:rFonts w:ascii="Arial" w:cs="Arial" w:eastAsia="Arial" w:hAnsi="Arial"/>
          <w:sz w:val="20"/>
          <w:szCs w:val="20"/>
          <w:color w:val="auto"/>
        </w:rPr>
      </w:pPr>
      <w:r>
        <w:rPr>
          <w:rFonts w:ascii="Arial" w:cs="Arial" w:eastAsia="Arial" w:hAnsi="Arial"/>
          <w:sz w:val="20"/>
          <w:szCs w:val="20"/>
          <w:color w:val="auto"/>
        </w:rPr>
        <w:t>(i) Each Borrower hereby unconditionally promises to pay to the Administrative Agent for the account of each Lender the then unpaid principal amount of each Revolving Loan made to such Borrower on the Maturity Date in the currency of such Loan and (ii) the Company hereby unconditionally promises to pay to the Administrative Agent for the account of the Swingline Lenders the then unpaid principal amount of each Swingline Loan on the earlier of the Maturity Date and the fifth (5</w:t>
      </w:r>
      <w:r>
        <w:rPr>
          <w:rFonts w:ascii="Arial" w:cs="Arial" w:eastAsia="Arial" w:hAnsi="Arial"/>
          <w:sz w:val="13"/>
          <w:szCs w:val="13"/>
          <w:color w:val="auto"/>
        </w:rPr>
        <w:t>th</w:t>
      </w:r>
      <w:r>
        <w:rPr>
          <w:rFonts w:ascii="Arial" w:cs="Arial" w:eastAsia="Arial" w:hAnsi="Arial"/>
          <w:sz w:val="20"/>
          <w:szCs w:val="20"/>
          <w:color w:val="auto"/>
        </w:rPr>
        <w:t xml:space="preserve">) Business Day after such Swingline Loan is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on each date that a Revolving Borrowing is made to the Company, the Company shall repay all Swingline Loans then outstanding, and the proceeds of any such Borrowing shall be applied by the Administrative Agent to repay any Swingline Loans outstanding.</w:t>
      </w:r>
    </w:p>
    <w:p>
      <w:pPr>
        <w:spacing w:after="0" w:line="192" w:lineRule="exact"/>
        <w:rPr>
          <w:rFonts w:ascii="Arial" w:cs="Arial" w:eastAsia="Arial" w:hAnsi="Arial"/>
          <w:sz w:val="20"/>
          <w:szCs w:val="20"/>
          <w:color w:val="auto"/>
        </w:rPr>
      </w:pPr>
    </w:p>
    <w:p>
      <w:pPr>
        <w:jc w:val="both"/>
        <w:ind w:firstLine="1505"/>
        <w:spacing w:after="0" w:line="250" w:lineRule="auto"/>
        <w:tabs>
          <w:tab w:leader="none" w:pos="2036" w:val="left"/>
        </w:tabs>
        <w:numPr>
          <w:ilvl w:val="0"/>
          <w:numId w:val="76"/>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indebtedness of each Borrower to such Lender resulting from each Loan made to such Borrower by such Lender, including the amounts of principal and interest payable and paid to such Lender from time to time hereunder.</w:t>
      </w:r>
    </w:p>
    <w:p>
      <w:pPr>
        <w:spacing w:after="0" w:line="185" w:lineRule="exact"/>
        <w:rPr>
          <w:rFonts w:ascii="Arial" w:cs="Arial" w:eastAsia="Arial" w:hAnsi="Arial"/>
          <w:sz w:val="20"/>
          <w:szCs w:val="20"/>
          <w:color w:val="auto"/>
        </w:rPr>
      </w:pPr>
    </w:p>
    <w:p>
      <w:pPr>
        <w:jc w:val="both"/>
        <w:ind w:firstLine="1505"/>
        <w:spacing w:after="0" w:line="263" w:lineRule="auto"/>
        <w:tabs>
          <w:tab w:leader="none" w:pos="2036"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76" w:lineRule="exact"/>
        <w:rPr>
          <w:rFonts w:ascii="Arial" w:cs="Arial" w:eastAsia="Arial" w:hAnsi="Arial"/>
          <w:sz w:val="19"/>
          <w:szCs w:val="19"/>
          <w:color w:val="auto"/>
        </w:rPr>
      </w:pPr>
    </w:p>
    <w:p>
      <w:pPr>
        <w:jc w:val="both"/>
        <w:ind w:firstLine="1505"/>
        <w:spacing w:after="0" w:line="263" w:lineRule="auto"/>
        <w:tabs>
          <w:tab w:leader="none" w:pos="2036"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10.04(b)(iv)</w:t>
      </w:r>
      <w:r>
        <w:rPr>
          <w:rFonts w:ascii="Arial" w:cs="Arial" w:eastAsia="Arial" w:hAnsi="Arial"/>
          <w:sz w:val="19"/>
          <w:szCs w:val="19"/>
          <w:color w:val="auto"/>
        </w:rPr>
        <w:t xml:space="preserve">, the entries made in the accounts maintained pursuant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Section shall be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of the existence and amounts of the Obligations recorded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Lender or the Administrative Agent to maintain such accounts or any error therein shall not in any manner affect the obligation of each Borrower to repay the Loans made to such Borrower in accordance with the terms of this Agreement.</w:t>
      </w:r>
    </w:p>
    <w:p>
      <w:pPr>
        <w:spacing w:after="0" w:line="176" w:lineRule="exact"/>
        <w:rPr>
          <w:rFonts w:ascii="Arial" w:cs="Arial" w:eastAsia="Arial" w:hAnsi="Arial"/>
          <w:sz w:val="19"/>
          <w:szCs w:val="19"/>
          <w:color w:val="auto"/>
        </w:rPr>
      </w:pPr>
    </w:p>
    <w:p>
      <w:pPr>
        <w:jc w:val="both"/>
        <w:ind w:firstLine="1505"/>
        <w:spacing w:after="0" w:line="260" w:lineRule="auto"/>
        <w:tabs>
          <w:tab w:leader="none" w:pos="2036"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Any Lender may request that Loans made by it be evidenced by a promissory note. In such event, the Borrowers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9"/>
          <w:szCs w:val="19"/>
          <w:u w:val="single" w:color="auto"/>
          <w:color w:val="auto"/>
        </w:rPr>
        <w:t>Section 10.04</w:t>
      </w:r>
      <w:r>
        <w:rPr>
          <w:rFonts w:ascii="Arial" w:cs="Arial" w:eastAsia="Arial" w:hAnsi="Arial"/>
          <w:sz w:val="19"/>
          <w:szCs w:val="19"/>
          <w:color w:val="auto"/>
        </w:rPr>
        <w:t>) be represented by one or more promissory notes in such form payable to the payee named therein and its registered assigns.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2.11Prepayment of Loans</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309" w:lineRule="auto"/>
        <w:tabs>
          <w:tab w:leader="none" w:pos="2036"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The Borrowers shall have the right at any time and from time to time to prepay any Borrowing in whole or in part, subject to prior notice in accordance with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prepayment shall be in an aggregate amount that is</w:t>
      </w:r>
    </w:p>
    <w:p>
      <w:pPr>
        <w:spacing w:after="0" w:line="1" w:lineRule="exact"/>
        <w:rPr>
          <w:rFonts w:ascii="Arial" w:cs="Arial" w:eastAsia="Arial" w:hAnsi="Arial"/>
          <w:sz w:val="16"/>
          <w:szCs w:val="16"/>
          <w:color w:val="auto"/>
        </w:rPr>
      </w:pPr>
    </w:p>
    <w:p>
      <w:pPr>
        <w:jc w:val="both"/>
        <w:ind w:firstLine="8"/>
        <w:spacing w:after="0" w:line="241" w:lineRule="auto"/>
        <w:tabs>
          <w:tab w:leader="none" w:pos="255"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an integral multiple of (A) in the case of an ABR Revolving Borrowing, $100,000, (B) in the case of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Revolving Borrowing denominated in U.S. Dollars, $1,000,000, (C) in the case of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Revolving Borrowing denominated in Japanese Yen, ¥100,000,000, and (D) in the case of a</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1" w:name="page122"/>
    <w:bookmarkEnd w:id="121"/>
    <w:p>
      <w:pPr>
        <w:jc w:val="both"/>
        <w:spacing w:after="0" w:line="257" w:lineRule="auto"/>
        <w:rPr>
          <w:sz w:val="20"/>
          <w:szCs w:val="20"/>
          <w:color w:val="auto"/>
        </w:rPr>
      </w:pP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Benchmark</w:t>
      </w:r>
      <w:r>
        <w:rPr>
          <w:rFonts w:ascii="Arial" w:cs="Arial" w:eastAsia="Arial" w:hAnsi="Arial"/>
          <w:sz w:val="19"/>
          <w:szCs w:val="19"/>
          <w:color w:val="FF0000"/>
        </w:rPr>
        <w:t xml:space="preserve"> </w:t>
      </w:r>
      <w:r>
        <w:rPr>
          <w:rFonts w:ascii="Arial" w:cs="Arial" w:eastAsia="Arial" w:hAnsi="Arial"/>
          <w:sz w:val="19"/>
          <w:szCs w:val="19"/>
          <w:color w:val="000000"/>
        </w:rPr>
        <w:t>Revolving Borrowing denominated in any other Foreign Currency or a Canadian Prime Rate Revolving</w:t>
      </w:r>
      <w:r>
        <w:rPr>
          <w:rFonts w:ascii="Arial" w:cs="Arial" w:eastAsia="Arial" w:hAnsi="Arial"/>
          <w:sz w:val="19"/>
          <w:szCs w:val="19"/>
          <w:color w:val="FF0000"/>
        </w:rPr>
        <w:t xml:space="preserve"> </w:t>
      </w:r>
      <w:r>
        <w:rPr>
          <w:rFonts w:ascii="Arial" w:cs="Arial" w:eastAsia="Arial" w:hAnsi="Arial"/>
          <w:sz w:val="19"/>
          <w:szCs w:val="19"/>
          <w:color w:val="000000"/>
        </w:rPr>
        <w:t xml:space="preserve">Borrowing, the smallest amount of such Foreign Currency that has a Dollar Amount in excess of $1,000,000, and (ii) not less than (A) in the case of a Swingline Borrowing, $100,000, (B) in the case of an ABR Revolving Borrowing, $1,000,000, (C) in the case of a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Benchmark</w:t>
      </w:r>
      <w:r>
        <w:rPr>
          <w:rFonts w:ascii="Arial" w:cs="Arial" w:eastAsia="Arial" w:hAnsi="Arial"/>
          <w:sz w:val="19"/>
          <w:szCs w:val="19"/>
          <w:color w:val="FF0000"/>
        </w:rPr>
        <w:t xml:space="preserve"> </w:t>
      </w:r>
      <w:r>
        <w:rPr>
          <w:rFonts w:ascii="Arial" w:cs="Arial" w:eastAsia="Arial" w:hAnsi="Arial"/>
          <w:sz w:val="19"/>
          <w:szCs w:val="19"/>
          <w:color w:val="000000"/>
        </w:rPr>
        <w:t>Revolving Borrowing denominated in U.S. Dollars, $1,000,000, (D) in the case of a</w:t>
      </w:r>
      <w:r>
        <w:rPr>
          <w:rFonts w:ascii="Arial" w:cs="Arial" w:eastAsia="Arial" w:hAnsi="Arial"/>
          <w:sz w:val="19"/>
          <w:szCs w:val="19"/>
          <w:color w:val="FF0000"/>
        </w:rPr>
        <w:t xml:space="preserve">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Benchmark</w:t>
      </w:r>
      <w:r>
        <w:rPr>
          <w:rFonts w:ascii="Arial" w:cs="Arial" w:eastAsia="Arial" w:hAnsi="Arial"/>
          <w:sz w:val="19"/>
          <w:szCs w:val="19"/>
          <w:color w:val="0000FF"/>
        </w:rPr>
        <w:t xml:space="preserve"> </w:t>
      </w:r>
      <w:r>
        <w:rPr>
          <w:rFonts w:ascii="Arial" w:cs="Arial" w:eastAsia="Arial" w:hAnsi="Arial"/>
          <w:sz w:val="19"/>
          <w:szCs w:val="19"/>
          <w:color w:val="000000"/>
        </w:rPr>
        <w:t>Revolving Borrowing denominated in Japanese Yen, ¥100,000,000, and (E) in the case of a</w:t>
      </w:r>
      <w:r>
        <w:rPr>
          <w:rFonts w:ascii="Arial" w:cs="Arial" w:eastAsia="Arial" w:hAnsi="Arial"/>
          <w:sz w:val="19"/>
          <w:szCs w:val="19"/>
          <w:color w:val="0000FF"/>
        </w:rPr>
        <w:t xml:space="preserve">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Benchmark</w:t>
      </w:r>
      <w:r>
        <w:rPr>
          <w:rFonts w:ascii="Arial" w:cs="Arial" w:eastAsia="Arial" w:hAnsi="Arial"/>
          <w:sz w:val="19"/>
          <w:szCs w:val="19"/>
          <w:color w:val="0000FF"/>
        </w:rPr>
        <w:t xml:space="preserve"> </w:t>
      </w:r>
      <w:r>
        <w:rPr>
          <w:rFonts w:ascii="Arial" w:cs="Arial" w:eastAsia="Arial" w:hAnsi="Arial"/>
          <w:sz w:val="19"/>
          <w:szCs w:val="19"/>
          <w:color w:val="000000"/>
        </w:rPr>
        <w:t>Revolving Borrowing denominated in any other Foreign Currency, or a Canadian Prime Rate Revolving Borrowing, the smallest amount of such Foreign Currency that has a Dollar Amount in excess of $1,000,000.</w:t>
      </w:r>
    </w:p>
    <w:p>
      <w:pPr>
        <w:spacing w:after="0" w:line="185" w:lineRule="exact"/>
        <w:rPr>
          <w:sz w:val="20"/>
          <w:szCs w:val="20"/>
          <w:color w:val="auto"/>
        </w:rPr>
      </w:pPr>
    </w:p>
    <w:p>
      <w:pPr>
        <w:jc w:val="both"/>
        <w:ind w:firstLine="1505"/>
        <w:spacing w:after="0" w:line="269" w:lineRule="auto"/>
        <w:tabs>
          <w:tab w:leader="none" w:pos="2036"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Company, on behalf of the applicable Borrower, shall notify the Administrative Agent (and, in the case of prepayment of Swingline Loans, the Company shall notify the Swingline Lenders) by telecopy of a written notice signed by the Borrower of any prepayment hereunder (i) in the case of prepayment of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Revolving Borrowing denominated in U.S. Dollars, not later than 11:00 a.m., New York City time, three (3) Business Days before the date of prepayment, (ii) in the case of prepayment of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Revolving Borrowing denominated in a Foreign Currency or a Canadian Prime Rate Revolving Borrowing, not later than 11:00 a.m., Local Time, four (4) Business Days before the date of prepayment, (iii) in the case of prepayment of an RFR Borrowing denominated in Pounds Sterling or Swiss Francs, not later than 11:00 a.m., Local Time, five (5) Business Days before the date of prepayment, (iv) in the case of prepayment of an ABR Revolving Borrowing, not later than 11:00 a.m., New York City time, on the date of prepayment or (v)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notice of prepayment is given in connection with a conditional notice of termination of the Commitments as contemplated by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then such notice of prepayment may be revoked if such notice of termination is revoked in accordance with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Each prepayment of a Revolving Borrowing shall be applied ratably to the Loans included in the prepaid Borrowing. Prepayments shall be accompanied by accrued interest to the extent required by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break funding payments to the extent required by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firstLine="1505"/>
        <w:spacing w:after="0" w:line="273" w:lineRule="auto"/>
        <w:tabs>
          <w:tab w:leader="none" w:pos="2036"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If at any time, (i) other than as a result of fluctuations in currency exchange rates, the sum of the aggregate principal Dollar Amount of the Total Revolving Credit Exposures (calculated, with respect to Revolving Loans and LC Exposure denominated in Foreign Currencies, as of the most recent Computation Date with respect to each such Revolving Loans and LC Exposure) exceeds the total Commitments or (ii) solely as a result of fluctuations in currency exchange rates, the aggregate principal Dollar Amount of the Total Revolving Credit Exposures (so calculated), as of the most recent Computation Date, exceeds one hundred five percent (105%) of the total Commitments, the Borrowers shall, in each case, immediately repay Borrowings or cash collateralize LC Exposure in accordance with the procedures set forth in </w:t>
      </w:r>
      <w:r>
        <w:rPr>
          <w:rFonts w:ascii="Arial" w:cs="Arial" w:eastAsia="Arial" w:hAnsi="Arial"/>
          <w:sz w:val="18"/>
          <w:szCs w:val="18"/>
          <w:u w:val="single" w:color="auto"/>
          <w:color w:val="auto"/>
        </w:rPr>
        <w:t>Section 2.06(j)</w:t>
      </w:r>
      <w:r>
        <w:rPr>
          <w:rFonts w:ascii="Arial" w:cs="Arial" w:eastAsia="Arial" w:hAnsi="Arial"/>
          <w:sz w:val="18"/>
          <w:szCs w:val="18"/>
          <w:color w:val="auto"/>
        </w:rPr>
        <w:t>, as applicable, in an aggregate principal amount sufficient to cause the Dollar Amount of the Total Revolving Credit Exposures (so calculated) to be less than or equal to the total Commitments.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2.12Fees</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50" w:lineRule="auto"/>
        <w:tabs>
          <w:tab w:leader="none" w:pos="2036"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Company agrees to pay to the Administrative Agent for the account of each Lender a facility fee, which shall accrue at the Applicable Rate on the daily amount of the Commitment of such Lender (whether used or unused) during the period from and including the Effective Date to but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2" w:name="page123"/>
    <w:bookmarkEnd w:id="122"/>
    <w:p>
      <w:pPr>
        <w:jc w:val="both"/>
        <w:spacing w:after="0" w:line="256" w:lineRule="auto"/>
        <w:rPr>
          <w:sz w:val="20"/>
          <w:szCs w:val="20"/>
          <w:color w:val="auto"/>
        </w:rPr>
      </w:pPr>
      <w:r>
        <w:rPr>
          <w:rFonts w:ascii="Arial" w:cs="Arial" w:eastAsia="Arial" w:hAnsi="Arial"/>
          <w:sz w:val="19"/>
          <w:szCs w:val="19"/>
          <w:color w:val="auto"/>
        </w:rPr>
        <w:t xml:space="preserve">excluding the date on which such Commitment terminates;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Lender continues to have any Revolving Credit Exposure after its Commitment terminates, then such facility fee shall continue to accrue on the daily amount of such Lender’s Revolving Credit Exposure from and including the date on which its Commitment terminates to but excluding the date on which such Lender ceases to have any Revolving Credit Exposure. </w:t>
      </w:r>
      <w:r>
        <w:rPr>
          <w:rFonts w:ascii="Arial" w:cs="Arial" w:eastAsia="Arial" w:hAnsi="Arial"/>
          <w:sz w:val="19"/>
          <w:szCs w:val="19"/>
          <w:color w:val="FF0000"/>
          <w:strike w:val="1"/>
        </w:rPr>
        <w:t>Accrued facility fees shall be payable in arrears on</w:t>
      </w:r>
      <w:r>
        <w:rPr>
          <w:rFonts w:ascii="Arial" w:cs="Arial" w:eastAsia="Arial" w:hAnsi="Arial"/>
          <w:sz w:val="19"/>
          <w:szCs w:val="19"/>
          <w:u w:val="single" w:color="auto"/>
          <w:color w:val="0000FF"/>
        </w:rPr>
        <w:t>Facility fees accrued through and including</w:t>
      </w:r>
      <w:r>
        <w:rPr>
          <w:rFonts w:ascii="Arial" w:cs="Arial" w:eastAsia="Arial" w:hAnsi="Arial"/>
          <w:sz w:val="19"/>
          <w:szCs w:val="19"/>
          <w:color w:val="auto"/>
        </w:rPr>
        <w:t xml:space="preserve"> the last day of March, June, September and December of each year </w:t>
      </w:r>
      <w:r>
        <w:rPr>
          <w:rFonts w:ascii="Arial" w:cs="Arial" w:eastAsia="Arial" w:hAnsi="Arial"/>
          <w:sz w:val="19"/>
          <w:szCs w:val="19"/>
          <w:u w:val="single" w:color="auto"/>
          <w:color w:val="0000FF"/>
        </w:rPr>
        <w:t>shall be payable in arrears on the fifteenth (15th) day following such last day</w:t>
      </w:r>
      <w:r>
        <w:rPr>
          <w:rFonts w:ascii="Arial" w:cs="Arial" w:eastAsia="Arial" w:hAnsi="Arial"/>
          <w:sz w:val="19"/>
          <w:szCs w:val="19"/>
          <w:color w:val="auto"/>
        </w:rPr>
        <w:t xml:space="preserve"> and on the date on which the Commitments terminate</w:t>
      </w:r>
      <w:r>
        <w:rPr>
          <w:rFonts w:ascii="Arial" w:cs="Arial" w:eastAsia="Arial" w:hAnsi="Arial"/>
          <w:sz w:val="19"/>
          <w:szCs w:val="19"/>
          <w:color w:val="FF0000"/>
          <w:strike w:val="1"/>
        </w:rPr>
        <w:t>, commencing on the first such date to occur after the date hereof</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facility fees accruing after the date on which the Commitments terminate shall be payable on demand. All facility fees shall be computed on the basis of a year of three hundred sixty (360) days and shall be payable for the actual number of days elapsed (including the first day but excluding the last day).</w:t>
      </w:r>
    </w:p>
    <w:p>
      <w:pPr>
        <w:spacing w:after="0" w:line="184" w:lineRule="exact"/>
        <w:rPr>
          <w:sz w:val="20"/>
          <w:szCs w:val="20"/>
          <w:color w:val="auto"/>
        </w:rPr>
      </w:pPr>
    </w:p>
    <w:p>
      <w:pPr>
        <w:jc w:val="both"/>
        <w:ind w:firstLine="1505"/>
        <w:spacing w:after="0" w:line="269" w:lineRule="auto"/>
        <w:tabs>
          <w:tab w:leader="none" w:pos="2036"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The Company agrees to pay (i) to the Administrative Agent for the account of each Lender a participation fee with respect to its participations in Letters of Credit, which shall accrue at the same Applicable Rate used to determine the interest rate applicable to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Revolving Loans on the average daily Dollar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w:t>
      </w:r>
    </w:p>
    <w:p>
      <w:pPr>
        <w:spacing w:after="0" w:line="3" w:lineRule="exact"/>
        <w:rPr>
          <w:rFonts w:ascii="Arial" w:cs="Arial" w:eastAsia="Arial" w:hAnsi="Arial"/>
          <w:sz w:val="18"/>
          <w:szCs w:val="18"/>
          <w:color w:val="auto"/>
        </w:rPr>
      </w:pPr>
    </w:p>
    <w:p>
      <w:pPr>
        <w:jc w:val="both"/>
        <w:ind w:firstLine="8"/>
        <w:spacing w:after="0" w:line="269" w:lineRule="auto"/>
        <w:tabs>
          <w:tab w:leader="none" w:pos="293"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to the Issuing Bank a fronting fee, which shall accrue at the rate or rates per annum separately agreed upon between the Company and the Issuing Bank on the average daily Dollar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w:t>
      </w:r>
      <w:r>
        <w:rPr>
          <w:rFonts w:ascii="Arial" w:cs="Arial" w:eastAsia="Arial" w:hAnsi="Arial"/>
          <w:sz w:val="18"/>
          <w:szCs w:val="18"/>
          <w:color w:val="FF0000"/>
          <w:strike w:val="1"/>
        </w:rPr>
        <w:t>third (3</w:t>
      </w:r>
      <w:r>
        <w:rPr>
          <w:rFonts w:ascii="Arial" w:cs="Arial" w:eastAsia="Arial" w:hAnsi="Arial"/>
          <w:sz w:val="12"/>
          <w:szCs w:val="12"/>
          <w:color w:val="FF0000"/>
          <w:strike w:val="1"/>
        </w:rPr>
        <w:t>rd</w:t>
      </w:r>
      <w:r>
        <w:rPr>
          <w:rFonts w:ascii="Arial" w:cs="Arial" w:eastAsia="Arial" w:hAnsi="Arial"/>
          <w:sz w:val="18"/>
          <w:szCs w:val="18"/>
          <w:color w:val="FF0000"/>
          <w:strike w:val="1"/>
        </w:rPr>
        <w:t>) Business</w:t>
      </w:r>
      <w:r>
        <w:rPr>
          <w:rFonts w:ascii="Arial" w:cs="Arial" w:eastAsia="Arial" w:hAnsi="Arial"/>
          <w:sz w:val="18"/>
          <w:szCs w:val="18"/>
          <w:color w:val="auto"/>
        </w:rPr>
        <w:t xml:space="preserve"> </w:t>
      </w:r>
      <w:r>
        <w:rPr>
          <w:rFonts w:ascii="Arial" w:cs="Arial" w:eastAsia="Arial" w:hAnsi="Arial"/>
          <w:sz w:val="18"/>
          <w:szCs w:val="18"/>
          <w:color w:val="FF0000"/>
          <w:strike w:val="1"/>
        </w:rPr>
        <w:t>Day</w:t>
      </w:r>
      <w:r>
        <w:rPr>
          <w:rFonts w:ascii="Arial" w:cs="Arial" w:eastAsia="Arial" w:hAnsi="Arial"/>
          <w:sz w:val="18"/>
          <w:szCs w:val="18"/>
          <w:u w:val="single" w:color="auto"/>
          <w:color w:val="0000FF"/>
        </w:rPr>
        <w:t>fifteenth (15th) day</w:t>
      </w:r>
      <w:r>
        <w:rPr>
          <w:rFonts w:ascii="Arial" w:cs="Arial" w:eastAsia="Arial" w:hAnsi="Arial"/>
          <w:sz w:val="18"/>
          <w:szCs w:val="18"/>
          <w:color w:val="FF0000"/>
        </w:rPr>
        <w:t xml:space="preserve"> </w:t>
      </w:r>
      <w:r>
        <w:rPr>
          <w:rFonts w:ascii="Arial" w:cs="Arial" w:eastAsia="Arial" w:hAnsi="Arial"/>
          <w:sz w:val="18"/>
          <w:szCs w:val="18"/>
          <w:color w:val="000000"/>
        </w:rPr>
        <w:t>following such last day</w:t>
      </w:r>
      <w:r>
        <w:rPr>
          <w:rFonts w:ascii="Arial" w:cs="Arial" w:eastAsia="Arial" w:hAnsi="Arial"/>
          <w:sz w:val="18"/>
          <w:szCs w:val="18"/>
          <w:color w:val="FF0000"/>
          <w:strike w:val="1"/>
        </w:rPr>
        <w:t>, commencing on the first such date to occur after the Effective Date</w:t>
      </w:r>
      <w:r>
        <w:rPr>
          <w:rFonts w:ascii="Arial" w:cs="Arial" w:eastAsia="Arial" w:hAnsi="Arial"/>
          <w:sz w:val="18"/>
          <w:szCs w:val="18"/>
          <w:color w:val="000000"/>
        </w:rPr>
        <w:t>;</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FF0000"/>
        </w:rPr>
        <w:t xml:space="preserve"> </w:t>
      </w:r>
      <w:r>
        <w:rPr>
          <w:rFonts w:ascii="Arial" w:cs="Arial" w:eastAsia="Arial" w:hAnsi="Arial"/>
          <w:sz w:val="18"/>
          <w:szCs w:val="18"/>
          <w:color w:val="000000"/>
        </w:rPr>
        <w:t>that all such</w:t>
      </w:r>
      <w:r>
        <w:rPr>
          <w:rFonts w:ascii="Arial" w:cs="Arial" w:eastAsia="Arial" w:hAnsi="Arial"/>
          <w:sz w:val="18"/>
          <w:szCs w:val="18"/>
          <w:color w:val="FF0000"/>
        </w:rPr>
        <w:t xml:space="preserve"> </w:t>
      </w:r>
      <w:r>
        <w:rPr>
          <w:rFonts w:ascii="Arial" w:cs="Arial" w:eastAsia="Arial" w:hAnsi="Arial"/>
          <w:sz w:val="18"/>
          <w:szCs w:val="18"/>
          <w:color w:val="000000"/>
        </w:rPr>
        <w:t>fees shall be payable on the date on which the Commitments terminate and any such fees accruing after the date on which the Commitments terminate shall be payable on demand. Any other fees payable to the Issuing Bank pursuant to this paragraph shall be payable within ten (10) days after demand. All participation fees and fronting fees shall be computed on the basis of a year of three hundred sixty (360) days and shall be payable for the actual number of days elapsed (including the first day but excluding the last day).</w:t>
      </w:r>
    </w:p>
    <w:p>
      <w:pPr>
        <w:spacing w:after="0" w:line="172" w:lineRule="exact"/>
        <w:rPr>
          <w:rFonts w:ascii="Arial" w:cs="Arial" w:eastAsia="Arial" w:hAnsi="Arial"/>
          <w:sz w:val="18"/>
          <w:szCs w:val="18"/>
          <w:color w:val="auto"/>
        </w:rPr>
      </w:pPr>
    </w:p>
    <w:p>
      <w:pPr>
        <w:jc w:val="both"/>
        <w:ind w:firstLine="1505"/>
        <w:spacing w:after="0" w:line="250" w:lineRule="auto"/>
        <w:tabs>
          <w:tab w:leader="none" w:pos="2036" w:val="left"/>
        </w:tabs>
        <w:numPr>
          <w:ilvl w:val="1"/>
          <w:numId w:val="82"/>
        </w:numPr>
        <w:rPr>
          <w:rFonts w:ascii="Arial" w:cs="Arial" w:eastAsia="Arial" w:hAnsi="Arial"/>
          <w:sz w:val="20"/>
          <w:szCs w:val="20"/>
          <w:color w:val="auto"/>
        </w:rPr>
      </w:pPr>
      <w:r>
        <w:rPr>
          <w:rFonts w:ascii="Arial" w:cs="Arial" w:eastAsia="Arial" w:hAnsi="Arial"/>
          <w:sz w:val="20"/>
          <w:szCs w:val="20"/>
          <w:color w:val="auto"/>
        </w:rPr>
        <w:t>The Company agrees to pay to the Administrative Agent and the Arrangers, for their own respective accounts, fees payable in the amounts and at the times separately agreed upon between the Company, on the one hand, and the Administrative Agent or either Arranger, on the other.</w:t>
      </w:r>
    </w:p>
    <w:p>
      <w:pPr>
        <w:spacing w:after="0" w:line="185" w:lineRule="exact"/>
        <w:rPr>
          <w:rFonts w:ascii="Arial" w:cs="Arial" w:eastAsia="Arial" w:hAnsi="Arial"/>
          <w:sz w:val="20"/>
          <w:szCs w:val="20"/>
          <w:color w:val="auto"/>
        </w:rPr>
      </w:pPr>
    </w:p>
    <w:p>
      <w:pPr>
        <w:jc w:val="both"/>
        <w:ind w:firstLine="1505"/>
        <w:spacing w:after="0" w:line="250" w:lineRule="auto"/>
        <w:tabs>
          <w:tab w:leader="none" w:pos="2036" w:val="left"/>
        </w:tabs>
        <w:numPr>
          <w:ilvl w:val="1"/>
          <w:numId w:val="82"/>
        </w:numPr>
        <w:rPr>
          <w:rFonts w:ascii="Arial" w:cs="Arial" w:eastAsia="Arial" w:hAnsi="Arial"/>
          <w:sz w:val="20"/>
          <w:szCs w:val="20"/>
          <w:color w:val="auto"/>
        </w:rPr>
      </w:pPr>
      <w:r>
        <w:rPr>
          <w:rFonts w:ascii="Arial" w:cs="Arial" w:eastAsia="Arial" w:hAnsi="Arial"/>
          <w:sz w:val="20"/>
          <w:szCs w:val="20"/>
          <w:color w:val="auto"/>
        </w:rPr>
        <w:t>All fees payable hereunder shall be paid on the dates due, in U.S. Dollars and immediately available funds, to the Administrative Agent (or to the Issuing Bank, in the case of fees payable to it) for distribution, in the case of facility fees and participation fees, to the Lenders. Fees paid shall not be refundable under any circumstances.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2.13Interest</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46" w:lineRule="auto"/>
        <w:tabs>
          <w:tab w:leader="none" w:pos="2036"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The Loans comprising each ABR Borrowing (including each Swingline Loan) shall bear interest at the Alternate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w:t>
      </w:r>
      <w:r>
        <w:rPr>
          <w:rFonts w:ascii="Arial" w:cs="Arial" w:eastAsia="Arial" w:hAnsi="Arial"/>
          <w:sz w:val="20"/>
          <w:szCs w:val="20"/>
          <w:color w:val="FF0000"/>
          <w:strike w:val="1"/>
        </w:rPr>
        <w:t>and</w:t>
      </w:r>
      <w:r>
        <w:rPr>
          <w:rFonts w:ascii="Arial" w:cs="Arial" w:eastAsia="Arial" w:hAnsi="Arial"/>
          <w:sz w:val="20"/>
          <w:szCs w:val="20"/>
          <w:color w:val="auto"/>
        </w:rPr>
        <w:t xml:space="preserve"> the Loans comprising each Canadian Prime Rate Borrowing shall bear interest at the Canadian Prime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w:t>
      </w:r>
      <w:r>
        <w:rPr>
          <w:rFonts w:ascii="Arial" w:cs="Arial" w:eastAsia="Arial" w:hAnsi="Arial"/>
          <w:sz w:val="20"/>
          <w:szCs w:val="20"/>
          <w:color w:val="0000FF"/>
        </w:rPr>
        <w:t>and the Loans comprising each Japanese Prime Rate Borrowing shall bear interest at the Japanese Prime Rate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plus the Applicable Rate</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-175895</wp:posOffset>
            </wp:positionV>
            <wp:extent cx="56508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5650865"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3" w:name="page124"/>
    <w:bookmarkEnd w:id="123"/>
    <w:p>
      <w:pPr>
        <w:ind w:firstLine="1505"/>
        <w:spacing w:after="0" w:line="260" w:lineRule="auto"/>
        <w:tabs>
          <w:tab w:leader="none" w:pos="2036"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The Loans comprising each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Borrowing shall bear interest at the applicable Relevant Adjusted Rate for the Interest Period in effect for such Borrowing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w:t>
      </w:r>
    </w:p>
    <w:p>
      <w:pPr>
        <w:spacing w:after="0" w:line="176" w:lineRule="exact"/>
        <w:rPr>
          <w:rFonts w:ascii="Arial" w:cs="Arial" w:eastAsia="Arial" w:hAnsi="Arial"/>
          <w:sz w:val="20"/>
          <w:szCs w:val="20"/>
          <w:color w:val="auto"/>
        </w:rPr>
      </w:pPr>
    </w:p>
    <w:p>
      <w:pPr>
        <w:ind w:left="2040" w:hanging="535"/>
        <w:spacing w:after="0"/>
        <w:tabs>
          <w:tab w:leader="none" w:pos="20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Each RFR Loan shall bear interest at a rate per annum equal to the applicable </w:t>
      </w:r>
      <w:r>
        <w:rPr>
          <w:rFonts w:ascii="Arial" w:cs="Arial" w:eastAsia="Arial" w:hAnsi="Arial"/>
          <w:sz w:val="18"/>
          <w:szCs w:val="18"/>
          <w:u w:val="single" w:color="auto"/>
          <w:color w:val="0000FF"/>
        </w:rPr>
        <w:t>Adjusted</w:t>
      </w:r>
      <w:r>
        <w:rPr>
          <w:rFonts w:ascii="Arial" w:cs="Arial" w:eastAsia="Arial" w:hAnsi="Arial"/>
          <w:sz w:val="18"/>
          <w:szCs w:val="18"/>
          <w:color w:val="auto"/>
        </w:rPr>
        <w:t xml:space="preserve"> Daily Simple RFR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Applicable Rate.</w:t>
      </w:r>
    </w:p>
    <w:p>
      <w:pPr>
        <w:spacing w:after="0" w:line="199" w:lineRule="exact"/>
        <w:rPr>
          <w:rFonts w:ascii="Arial" w:cs="Arial" w:eastAsia="Arial" w:hAnsi="Arial"/>
          <w:sz w:val="18"/>
          <w:szCs w:val="18"/>
          <w:color w:val="auto"/>
        </w:rPr>
      </w:pPr>
    </w:p>
    <w:p>
      <w:pPr>
        <w:jc w:val="both"/>
        <w:ind w:firstLine="1505"/>
        <w:spacing w:after="0" w:line="260" w:lineRule="auto"/>
        <w:tabs>
          <w:tab w:leader="none" w:pos="2036"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any principal of or interest on any Loan or any fee or other amount payable by the Borrowers hereunder is not paid when due, whether at stated maturity, upon acceleration or otherwise, such overdue amount shall bear interest, after as well as before judgment, at a rate per annum equal to (i) in the case of overdue principal of any Loan, two percent (2%) plus the rate otherwise applicable to such Loan as provided in the preceding paragraphs of this Section or (ii) in the case of any other amount, two percent (2%) plus the rate applicable to ABR Loans as provided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Section.</w:t>
      </w:r>
    </w:p>
    <w:p>
      <w:pPr>
        <w:spacing w:after="0" w:line="180" w:lineRule="exact"/>
        <w:rPr>
          <w:rFonts w:ascii="Arial" w:cs="Arial" w:eastAsia="Arial" w:hAnsi="Arial"/>
          <w:sz w:val="19"/>
          <w:szCs w:val="19"/>
          <w:color w:val="auto"/>
        </w:rPr>
      </w:pPr>
    </w:p>
    <w:p>
      <w:pPr>
        <w:jc w:val="both"/>
        <w:ind w:firstLine="1505"/>
        <w:spacing w:after="0" w:line="274" w:lineRule="auto"/>
        <w:tabs>
          <w:tab w:leader="none" w:pos="2036"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and, in the case of Revolving Loans, upon termination of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Section shall be payable on demand, (ii) in the event of any repayment or prepayment of any Loan (other than a prepayment of an ABR Revolving Loan or a Canadian Prime Rate Loan prior to the end of the Availability Period), accrued interest on the principal amount repaid or prepaid shall be payable on the date of such repayment or prepayment and (iii) in the event of any conversion of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Loan prior to the end of the current Interest Period therefor, accrued interest on such Loan shall be payable on the effective date of such conversion. All interest shall be payable in the currency in which the applicable Loan is denominated.</w:t>
      </w:r>
    </w:p>
    <w:p>
      <w:pPr>
        <w:spacing w:after="0" w:line="168" w:lineRule="exact"/>
        <w:rPr>
          <w:rFonts w:ascii="Arial" w:cs="Arial" w:eastAsia="Arial" w:hAnsi="Arial"/>
          <w:sz w:val="18"/>
          <w:szCs w:val="18"/>
          <w:color w:val="auto"/>
        </w:rPr>
      </w:pPr>
    </w:p>
    <w:p>
      <w:pPr>
        <w:jc w:val="both"/>
        <w:ind w:firstLine="1505"/>
        <w:spacing w:after="0" w:line="256" w:lineRule="auto"/>
        <w:tabs>
          <w:tab w:leader="none" w:pos="2036" w:val="left"/>
        </w:tabs>
        <w:numPr>
          <w:ilvl w:val="0"/>
          <w:numId w:val="84"/>
        </w:numPr>
        <w:rPr>
          <w:rFonts w:ascii="Arial" w:cs="Arial" w:eastAsia="Arial" w:hAnsi="Arial"/>
          <w:sz w:val="19"/>
          <w:szCs w:val="19"/>
          <w:color w:val="auto"/>
        </w:rPr>
      </w:pPr>
      <w:r>
        <w:rPr>
          <w:rFonts w:ascii="Arial" w:cs="Arial" w:eastAsia="Arial" w:hAnsi="Arial"/>
          <w:sz w:val="19"/>
          <w:szCs w:val="19"/>
          <w:color w:val="FF0000"/>
          <w:strike w:val="1"/>
        </w:rPr>
        <w:t>Interest computed by reference to the LIBO Rate, the EURIBO Rate or Daily Simple RFR with respect to Swiss Francs</w:t>
      </w:r>
      <w:r>
        <w:rPr>
          <w:rFonts w:ascii="Arial" w:cs="Arial" w:eastAsia="Arial" w:hAnsi="Arial"/>
          <w:sz w:val="19"/>
          <w:szCs w:val="19"/>
          <w:u w:val="single" w:color="auto"/>
          <w:color w:val="0000FF"/>
          <w:strike w:val="1"/>
        </w:rPr>
        <w:t>All interest</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hereunder shall be computed on the basis of a year of 360 days</w:t>
      </w:r>
      <w:r>
        <w:rPr>
          <w:rFonts w:ascii="Arial" w:cs="Arial" w:eastAsia="Arial" w:hAnsi="Arial"/>
          <w:sz w:val="19"/>
          <w:szCs w:val="19"/>
          <w:color w:val="FF0000"/>
          <w:strike w:val="1"/>
        </w:rPr>
        <w:t>. Interest</w:t>
      </w:r>
      <w:r>
        <w:rPr>
          <w:rFonts w:ascii="Arial" w:cs="Arial" w:eastAsia="Arial" w:hAnsi="Arial"/>
          <w:sz w:val="19"/>
          <w:szCs w:val="19"/>
          <w:u w:val="single" w:color="auto"/>
          <w:color w:val="0000FF"/>
          <w:strike w:val="1"/>
        </w:rPr>
        <w:t>, except that interest</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computed by reference to the</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Daily Simple RFR with respect to Pounds Sterling </w:t>
      </w:r>
      <w:r>
        <w:rPr>
          <w:rFonts w:ascii="Arial" w:cs="Arial" w:eastAsia="Arial" w:hAnsi="Arial"/>
          <w:sz w:val="19"/>
          <w:szCs w:val="19"/>
          <w:color w:val="0000FF"/>
          <w:strike w:val="1"/>
        </w:rPr>
        <w:t>and Singapore Dollars, the TIBO Rate</w:t>
      </w:r>
      <w:r>
        <w:rPr>
          <w:rFonts w:ascii="Arial" w:cs="Arial" w:eastAsia="Arial" w:hAnsi="Arial"/>
          <w:sz w:val="19"/>
          <w:szCs w:val="19"/>
          <w:color w:val="000000"/>
          <w:strike w:val="1"/>
        </w:rPr>
        <w:t xml:space="preserve">, the CDOR Rate or the Alternate Base Rate </w:t>
      </w:r>
      <w:r>
        <w:rPr>
          <w:rFonts w:ascii="Arial" w:cs="Arial" w:eastAsia="Arial" w:hAnsi="Arial"/>
          <w:sz w:val="19"/>
          <w:szCs w:val="19"/>
          <w:u w:val="single" w:color="auto"/>
          <w:color w:val="0000FF"/>
          <w:strike w:val="1"/>
        </w:rPr>
        <w:t>only</w:t>
      </w:r>
      <w:r>
        <w:rPr>
          <w:rFonts w:ascii="Arial" w:cs="Arial" w:eastAsia="Arial" w:hAnsi="Arial"/>
          <w:sz w:val="19"/>
          <w:szCs w:val="19"/>
          <w:color w:val="000000"/>
          <w:strike w:val="1"/>
        </w:rPr>
        <w:t xml:space="preserve">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w:t>
      </w:r>
      <w:r>
        <w:rPr>
          <w:rFonts w:ascii="Arial" w:cs="Arial" w:eastAsia="Arial" w:hAnsi="Arial"/>
          <w:sz w:val="19"/>
          <w:szCs w:val="19"/>
          <w:color w:val="FF0000"/>
          <w:strike w:val="1"/>
        </w:rPr>
        <w:t>The</w:t>
      </w:r>
      <w:r>
        <w:rPr>
          <w:rFonts w:ascii="Arial" w:cs="Arial" w:eastAsia="Arial" w:hAnsi="Arial"/>
          <w:sz w:val="19"/>
          <w:szCs w:val="19"/>
          <w:u w:val="single" w:color="auto"/>
          <w:color w:val="0000FF"/>
          <w:strike w:val="1"/>
        </w:rPr>
        <w:t>A determination of the</w:t>
      </w:r>
      <w:r>
        <w:rPr>
          <w:rFonts w:ascii="Arial" w:cs="Arial" w:eastAsia="Arial" w:hAnsi="Arial"/>
          <w:sz w:val="19"/>
          <w:szCs w:val="19"/>
          <w:color w:val="000000"/>
          <w:strike w:val="1"/>
        </w:rPr>
        <w:t xml:space="preserve"> applicable Alternate Base Rate, Relevant Adjusted Rate, Relevant Rate </w:t>
      </w:r>
      <w:r>
        <w:rPr>
          <w:rFonts w:ascii="Arial" w:cs="Arial" w:eastAsia="Arial" w:hAnsi="Arial"/>
          <w:sz w:val="19"/>
          <w:szCs w:val="19"/>
          <w:color w:val="FF0000"/>
          <w:strike w:val="1"/>
        </w:rPr>
        <w:t>or</w:t>
      </w:r>
      <w:r>
        <w:rPr>
          <w:rFonts w:ascii="Arial" w:cs="Arial" w:eastAsia="Arial" w:hAnsi="Arial"/>
          <w:sz w:val="19"/>
          <w:szCs w:val="19"/>
          <w:u w:val="single" w:color="auto"/>
          <w:color w:val="0000FF"/>
          <w:strike w:val="1"/>
        </w:rPr>
        <w:t>,</w:t>
      </w:r>
      <w:r>
        <w:rPr>
          <w:rFonts w:ascii="Arial" w:cs="Arial" w:eastAsia="Arial" w:hAnsi="Arial"/>
          <w:sz w:val="19"/>
          <w:szCs w:val="19"/>
          <w:color w:val="000000"/>
          <w:strike w:val="1"/>
        </w:rPr>
        <w:t xml:space="preserve"> Daily Simple RFR</w:t>
      </w:r>
      <w:r>
        <w:rPr>
          <w:rFonts w:ascii="Arial" w:cs="Arial" w:eastAsia="Arial" w:hAnsi="Arial"/>
          <w:sz w:val="19"/>
          <w:szCs w:val="19"/>
          <w:u w:val="single" w:color="auto"/>
          <w:color w:val="0000FF"/>
          <w:strike w:val="1"/>
        </w:rPr>
        <w:t>, Central Bank Rate, Japanese Prime Rate or Canadian Prime Rate</w:t>
      </w:r>
      <w:r>
        <w:rPr>
          <w:rFonts w:ascii="Arial" w:cs="Arial" w:eastAsia="Arial" w:hAnsi="Arial"/>
          <w:sz w:val="19"/>
          <w:szCs w:val="19"/>
          <w:color w:val="000000"/>
          <w:strike w:val="1"/>
        </w:rPr>
        <w:t xml:space="preserve"> shall be determined by the Administrative Agent, and such determination shall be conclusive absent manifest error.</w:t>
      </w:r>
    </w:p>
    <w:p>
      <w:pPr>
        <w:spacing w:after="0" w:line="184" w:lineRule="exact"/>
        <w:rPr>
          <w:rFonts w:ascii="Arial" w:cs="Arial" w:eastAsia="Arial" w:hAnsi="Arial"/>
          <w:sz w:val="19"/>
          <w:szCs w:val="19"/>
          <w:color w:val="auto"/>
        </w:rPr>
      </w:pPr>
    </w:p>
    <w:p>
      <w:pPr>
        <w:jc w:val="both"/>
        <w:ind w:firstLine="1505"/>
        <w:spacing w:after="0" w:line="244" w:lineRule="auto"/>
        <w:tabs>
          <w:tab w:leader="none" w:pos="2036"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0000FF"/>
        </w:rPr>
        <w:t>Notwithstanding anything in this Agreement or any other Loan Document to the contrary, and subject to the requirements of Section 2.16 of this Agreement immediately prior to the Amendment No. 1 Effective Date, all “Eurocurrency Loans” (as defined in this Agreement immediately prior to the Amendment No. 1 Effective Date) denominated in U.S. Dollars outstanding under this Agreement immediately prior to the Amendment No. 1 Effective Date shall automatically be converted to Term Benchmark Loans with a one month Interest Period as of the Amendment No. 1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2559050</wp:posOffset>
            </wp:positionH>
            <wp:positionV relativeFrom="paragraph">
              <wp:posOffset>-1768475</wp:posOffset>
            </wp:positionV>
            <wp:extent cx="19691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1969135" cy="8255"/>
                    </a:xfrm>
                    <a:prstGeom prst="rect">
                      <a:avLst/>
                    </a:prstGeom>
                    <a:noFill/>
                  </pic:spPr>
                </pic:pic>
              </a:graphicData>
            </a:graphic>
          </wp:anchor>
        </w:drawing>
        <w:drawing>
          <wp:anchor simplePos="0" relativeHeight="251657728" behindDoc="1" locked="0" layoutInCell="0" allowOverlap="1">
            <wp:simplePos x="0" y="0"/>
            <wp:positionH relativeFrom="column">
              <wp:posOffset>6662420</wp:posOffset>
            </wp:positionH>
            <wp:positionV relativeFrom="paragraph">
              <wp:posOffset>-1236980</wp:posOffset>
            </wp:positionV>
            <wp:extent cx="1320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1320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2.14Alternate Rate of Interest</w:t>
      </w:r>
      <w:r>
        <w:rPr>
          <w:rFonts w:ascii="Arial" w:cs="Arial" w:eastAsia="Arial" w:hAnsi="Arial"/>
          <w:sz w:val="20"/>
          <w:szCs w:val="20"/>
          <w:color w:val="auto"/>
        </w:rPr>
        <w:t>.</w:t>
      </w:r>
    </w:p>
    <w:p>
      <w:pPr>
        <w:spacing w:after="0" w:line="216" w:lineRule="exact"/>
        <w:rPr>
          <w:sz w:val="20"/>
          <w:szCs w:val="20"/>
          <w:color w:val="auto"/>
        </w:rPr>
      </w:pPr>
    </w:p>
    <w:p>
      <w:pPr>
        <w:ind w:left="2040" w:hanging="535"/>
        <w:spacing w:after="0"/>
        <w:tabs>
          <w:tab w:leader="none" w:pos="20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clauses (b)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w:t>
      </w:r>
      <w:r>
        <w:rPr>
          <w:rFonts w:ascii="Arial" w:cs="Arial" w:eastAsia="Arial" w:hAnsi="Arial"/>
          <w:sz w:val="20"/>
          <w:szCs w:val="20"/>
          <w:u w:val="single" w:color="auto"/>
          <w:color w:val="auto"/>
        </w:rPr>
        <w:t>(e)</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and</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xml:space="preserve"> </w:t>
      </w:r>
      <w:r>
        <w:rPr>
          <w:rFonts w:ascii="Arial" w:cs="Arial" w:eastAsia="Arial" w:hAnsi="Arial"/>
          <w:sz w:val="20"/>
          <w:szCs w:val="20"/>
          <w:color w:val="FF0000"/>
          <w:strike w:val="1"/>
        </w:rPr>
        <w:t>and</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(g)</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w:t>
      </w:r>
      <w:r>
        <w:rPr>
          <w:rFonts w:ascii="Arial" w:cs="Arial" w:eastAsia="Arial" w:hAnsi="Arial"/>
          <w:sz w:val="20"/>
          <w:szCs w:val="20"/>
          <w:color w:val="0000FF"/>
        </w:rPr>
        <w:t>if</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760" w:firstLine="1494"/>
        <w:spacing w:after="0" w:line="260" w:lineRule="auto"/>
        <w:tabs>
          <w:tab w:leader="none" w:pos="2557" w:val="left"/>
        </w:tabs>
        <w:numPr>
          <w:ilvl w:val="1"/>
          <w:numId w:val="85"/>
        </w:numPr>
        <w:rPr>
          <w:rFonts w:ascii="Arial" w:cs="Arial" w:eastAsia="Arial" w:hAnsi="Arial"/>
          <w:sz w:val="20"/>
          <w:szCs w:val="20"/>
          <w:color w:val="auto"/>
        </w:rPr>
      </w:pPr>
      <w:r>
        <w:rPr>
          <w:rFonts w:ascii="Arial" w:cs="Arial" w:eastAsia="Arial" w:hAnsi="Arial"/>
          <w:sz w:val="20"/>
          <w:szCs w:val="20"/>
          <w:color w:val="FF0000"/>
          <w:strike w:val="1"/>
        </w:rPr>
        <w:t>if</w:t>
      </w:r>
      <w:r>
        <w:rPr>
          <w:rFonts w:ascii="Arial" w:cs="Arial" w:eastAsia="Arial" w:hAnsi="Arial"/>
          <w:sz w:val="20"/>
          <w:szCs w:val="20"/>
          <w:color w:val="FF0000"/>
        </w:rPr>
        <w:t xml:space="preserve"> </w:t>
      </w:r>
      <w:r>
        <w:rPr>
          <w:rFonts w:ascii="Arial" w:cs="Arial" w:eastAsia="Arial" w:hAnsi="Arial"/>
          <w:sz w:val="20"/>
          <w:szCs w:val="20"/>
          <w:color w:val="000000"/>
        </w:rPr>
        <w:t>the Administrative Agent determines (which determination shall be conclusive absent manifest error) (A)</w:t>
      </w:r>
      <w:r>
        <w:rPr>
          <w:rFonts w:ascii="Arial" w:cs="Arial" w:eastAsia="Arial" w:hAnsi="Arial"/>
          <w:sz w:val="20"/>
          <w:szCs w:val="20"/>
          <w:color w:val="FF0000"/>
        </w:rPr>
        <w:t xml:space="preserve"> </w:t>
      </w:r>
      <w:r>
        <w:rPr>
          <w:rFonts w:ascii="Arial" w:cs="Arial" w:eastAsia="Arial" w:hAnsi="Arial"/>
          <w:sz w:val="20"/>
          <w:szCs w:val="20"/>
          <w:color w:val="000000"/>
        </w:rPr>
        <w:t>prior to the commencement of any Interest Period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4791710</wp:posOffset>
            </wp:positionH>
            <wp:positionV relativeFrom="paragraph">
              <wp:posOffset>-467995</wp:posOffset>
            </wp:positionV>
            <wp:extent cx="10795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107950"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4" w:name="page125"/>
    <w:bookmarkEnd w:id="124"/>
    <w:p>
      <w:pPr>
        <w:jc w:val="both"/>
        <w:ind w:left="760"/>
        <w:spacing w:after="0" w:line="282" w:lineRule="auto"/>
        <w:rPr>
          <w:sz w:val="20"/>
          <w:szCs w:val="20"/>
          <w:color w:val="auto"/>
        </w:rPr>
      </w:pP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FF0000"/>
        </w:rPr>
        <w:t xml:space="preserve"> </w:t>
      </w:r>
      <w:r>
        <w:rPr>
          <w:rFonts w:ascii="Arial" w:cs="Arial" w:eastAsia="Arial" w:hAnsi="Arial"/>
          <w:sz w:val="18"/>
          <w:szCs w:val="18"/>
          <w:color w:val="000000"/>
        </w:rPr>
        <w:t>Borrowing, that adequate and reasonable means do not exist for ascertaining the applicable Relevant</w:t>
      </w:r>
      <w:r>
        <w:rPr>
          <w:rFonts w:ascii="Arial" w:cs="Arial" w:eastAsia="Arial" w:hAnsi="Arial"/>
          <w:sz w:val="18"/>
          <w:szCs w:val="18"/>
          <w:color w:val="FF0000"/>
        </w:rPr>
        <w:t xml:space="preserve"> </w:t>
      </w:r>
      <w:r>
        <w:rPr>
          <w:rFonts w:ascii="Arial" w:cs="Arial" w:eastAsia="Arial" w:hAnsi="Arial"/>
          <w:sz w:val="18"/>
          <w:szCs w:val="18"/>
          <w:color w:val="000000"/>
        </w:rPr>
        <w:t xml:space="preserve">Adjusted Rate </w:t>
      </w:r>
      <w:r>
        <w:rPr>
          <w:rFonts w:ascii="Arial" w:cs="Arial" w:eastAsia="Arial" w:hAnsi="Arial"/>
          <w:sz w:val="18"/>
          <w:szCs w:val="18"/>
          <w:color w:val="FF0000"/>
          <w:strike w:val="1"/>
        </w:rPr>
        <w:t>or Relevant Rate</w:t>
      </w:r>
      <w:r>
        <w:rPr>
          <w:rFonts w:ascii="Arial" w:cs="Arial" w:eastAsia="Arial" w:hAnsi="Arial"/>
          <w:sz w:val="18"/>
          <w:szCs w:val="18"/>
          <w:color w:val="000000"/>
        </w:rPr>
        <w:t xml:space="preserve"> (including because the </w:t>
      </w:r>
      <w:r>
        <w:rPr>
          <w:rFonts w:ascii="Arial" w:cs="Arial" w:eastAsia="Arial" w:hAnsi="Arial"/>
          <w:sz w:val="18"/>
          <w:szCs w:val="18"/>
          <w:color w:val="FF0000"/>
          <w:strike w:val="1"/>
        </w:rPr>
        <w:t>applicable</w:t>
      </w:r>
      <w:r>
        <w:rPr>
          <w:rFonts w:ascii="Arial" w:cs="Arial" w:eastAsia="Arial" w:hAnsi="Arial"/>
          <w:sz w:val="18"/>
          <w:szCs w:val="18"/>
          <w:color w:val="000000"/>
        </w:rPr>
        <w:t xml:space="preserve"> Relevant Screen Rate is not available or published on a current basis)</w:t>
      </w:r>
      <w:r>
        <w:rPr>
          <w:rFonts w:ascii="Arial" w:cs="Arial" w:eastAsia="Arial" w:hAnsi="Arial"/>
          <w:sz w:val="18"/>
          <w:szCs w:val="18"/>
          <w:color w:val="FF0000"/>
          <w:strike w:val="1"/>
        </w:rPr>
        <w:t>,</w:t>
      </w:r>
      <w:r>
        <w:rPr>
          <w:rFonts w:ascii="Arial" w:cs="Arial" w:eastAsia="Arial" w:hAnsi="Arial"/>
          <w:sz w:val="18"/>
          <w:szCs w:val="18"/>
          <w:color w:val="000000"/>
        </w:rPr>
        <w:t xml:space="preserve"> for the applicable Agreed Currency and such Interest Period or (B) at any time, that adequate and reasonable means do not exist for ascertaining the applicable </w:t>
      </w:r>
      <w:r>
        <w:rPr>
          <w:rFonts w:ascii="Arial" w:cs="Arial" w:eastAsia="Arial" w:hAnsi="Arial"/>
          <w:sz w:val="18"/>
          <w:szCs w:val="18"/>
          <w:u w:val="single" w:color="auto"/>
          <w:color w:val="0000FF"/>
        </w:rPr>
        <w:t>Adjusted</w:t>
      </w:r>
      <w:r>
        <w:rPr>
          <w:rFonts w:ascii="Arial" w:cs="Arial" w:eastAsia="Arial" w:hAnsi="Arial"/>
          <w:sz w:val="18"/>
          <w:szCs w:val="18"/>
          <w:color w:val="000000"/>
        </w:rPr>
        <w:t xml:space="preserve"> Daily Simple RFR </w:t>
      </w:r>
      <w:r>
        <w:rPr>
          <w:rFonts w:ascii="Arial" w:cs="Arial" w:eastAsia="Arial" w:hAnsi="Arial"/>
          <w:sz w:val="18"/>
          <w:szCs w:val="18"/>
          <w:color w:val="FF0000"/>
          <w:strike w:val="1"/>
        </w:rPr>
        <w:t>or RFR</w:t>
      </w:r>
      <w:r>
        <w:rPr>
          <w:rFonts w:ascii="Arial" w:cs="Arial" w:eastAsia="Arial" w:hAnsi="Arial"/>
          <w:sz w:val="18"/>
          <w:szCs w:val="18"/>
          <w:color w:val="000000"/>
        </w:rPr>
        <w:t xml:space="preserve"> for the applicable Agreed Currency; or</w:t>
      </w:r>
    </w:p>
    <w:p>
      <w:pPr>
        <w:spacing w:after="0" w:line="161" w:lineRule="exact"/>
        <w:rPr>
          <w:sz w:val="20"/>
          <w:szCs w:val="20"/>
          <w:color w:val="auto"/>
        </w:rPr>
      </w:pPr>
    </w:p>
    <w:p>
      <w:pPr>
        <w:jc w:val="both"/>
        <w:ind w:left="760" w:firstLine="1494"/>
        <w:spacing w:after="0" w:line="276" w:lineRule="auto"/>
        <w:tabs>
          <w:tab w:leader="none" w:pos="2557" w:val="left"/>
        </w:tabs>
        <w:numPr>
          <w:ilvl w:val="0"/>
          <w:numId w:val="86"/>
        </w:numPr>
        <w:rPr>
          <w:rFonts w:ascii="Arial" w:cs="Arial" w:eastAsia="Arial" w:hAnsi="Arial"/>
          <w:sz w:val="18"/>
          <w:szCs w:val="18"/>
          <w:color w:val="auto"/>
        </w:rPr>
      </w:pPr>
      <w:r>
        <w:rPr>
          <w:rFonts w:ascii="Arial" w:cs="Arial" w:eastAsia="Arial" w:hAnsi="Arial"/>
          <w:sz w:val="18"/>
          <w:szCs w:val="18"/>
          <w:color w:val="FF0000"/>
          <w:strike w:val="1"/>
        </w:rPr>
        <w:t>if</w:t>
      </w:r>
      <w:r>
        <w:rPr>
          <w:rFonts w:ascii="Arial" w:cs="Arial" w:eastAsia="Arial" w:hAnsi="Arial"/>
          <w:sz w:val="18"/>
          <w:szCs w:val="18"/>
          <w:color w:val="FF0000"/>
        </w:rPr>
        <w:t xml:space="preserve"> </w:t>
      </w:r>
      <w:r>
        <w:rPr>
          <w:rFonts w:ascii="Arial" w:cs="Arial" w:eastAsia="Arial" w:hAnsi="Arial"/>
          <w:sz w:val="18"/>
          <w:szCs w:val="18"/>
          <w:color w:val="000000"/>
        </w:rPr>
        <w:t>the Administrative Agent is advised by the Required Lenders that (A) prior to the commencement of any</w:t>
      </w:r>
      <w:r>
        <w:rPr>
          <w:rFonts w:ascii="Arial" w:cs="Arial" w:eastAsia="Arial" w:hAnsi="Arial"/>
          <w:sz w:val="18"/>
          <w:szCs w:val="18"/>
          <w:color w:val="FF0000"/>
        </w:rPr>
        <w:t xml:space="preserve"> </w:t>
      </w:r>
      <w:r>
        <w:rPr>
          <w:rFonts w:ascii="Arial" w:cs="Arial" w:eastAsia="Arial" w:hAnsi="Arial"/>
          <w:sz w:val="18"/>
          <w:szCs w:val="18"/>
          <w:color w:val="000000"/>
        </w:rPr>
        <w:t xml:space="preserve">Interest Period for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000000"/>
        </w:rPr>
        <w:t xml:space="preserve"> Borrowing, the applicable Relevant Adjusted </w:t>
      </w:r>
      <w:r>
        <w:rPr>
          <w:rFonts w:ascii="Arial" w:cs="Arial" w:eastAsia="Arial" w:hAnsi="Arial"/>
          <w:sz w:val="18"/>
          <w:szCs w:val="18"/>
          <w:color w:val="FF0000"/>
          <w:strike w:val="1"/>
        </w:rPr>
        <w:t>Rate or Relevant</w:t>
      </w:r>
      <w:r>
        <w:rPr>
          <w:rFonts w:ascii="Arial" w:cs="Arial" w:eastAsia="Arial" w:hAnsi="Arial"/>
          <w:sz w:val="18"/>
          <w:szCs w:val="18"/>
          <w:color w:val="000000"/>
        </w:rPr>
        <w:t xml:space="preserve">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w:t>
      </w:r>
      <w:r>
        <w:rPr>
          <w:rFonts w:ascii="Arial" w:cs="Arial" w:eastAsia="Arial" w:hAnsi="Arial"/>
          <w:sz w:val="18"/>
          <w:szCs w:val="18"/>
          <w:u w:val="single" w:color="auto"/>
          <w:color w:val="0000FF"/>
        </w:rPr>
        <w:t>Adjusted</w:t>
      </w:r>
      <w:r>
        <w:rPr>
          <w:rFonts w:ascii="Arial" w:cs="Arial" w:eastAsia="Arial" w:hAnsi="Arial"/>
          <w:sz w:val="18"/>
          <w:szCs w:val="18"/>
          <w:color w:val="000000"/>
        </w:rPr>
        <w:t xml:space="preserve"> Daily Simple RFR </w:t>
      </w:r>
      <w:r>
        <w:rPr>
          <w:rFonts w:ascii="Arial" w:cs="Arial" w:eastAsia="Arial" w:hAnsi="Arial"/>
          <w:sz w:val="18"/>
          <w:szCs w:val="18"/>
          <w:color w:val="FF0000"/>
          <w:strike w:val="1"/>
        </w:rPr>
        <w:t>or RFR</w:t>
      </w:r>
      <w:r>
        <w:rPr>
          <w:rFonts w:ascii="Arial" w:cs="Arial" w:eastAsia="Arial" w:hAnsi="Arial"/>
          <w:sz w:val="18"/>
          <w:szCs w:val="18"/>
          <w:color w:val="000000"/>
        </w:rPr>
        <w:t xml:space="preserve"> for the applicable Agreed Currency will not adequately and fairly reflect the cost to such Lenders of making or maintaining their Loans included in such Borrowing for the applicable Agreed Currency.</w:t>
      </w:r>
    </w:p>
    <w:p>
      <w:pPr>
        <w:spacing w:after="0" w:line="165"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color w:val="auto"/>
        </w:rPr>
        <w:t xml:space="preserve">then the Administrative Agent shall promptly give notice thereof to the Company and the Lenders by telephone, telecopy or electronic mail as promptly as practicable thereafter and, until </w:t>
      </w:r>
      <w:r>
        <w:rPr>
          <w:rFonts w:ascii="Arial" w:cs="Arial" w:eastAsia="Arial" w:hAnsi="Arial"/>
          <w:sz w:val="18"/>
          <w:szCs w:val="18"/>
          <w:u w:val="single" w:color="auto"/>
          <w:color w:val="0000FF"/>
        </w:rPr>
        <w:t>(x)</w:t>
      </w:r>
      <w:r>
        <w:rPr>
          <w:rFonts w:ascii="Arial" w:cs="Arial" w:eastAsia="Arial" w:hAnsi="Arial"/>
          <w:sz w:val="18"/>
          <w:szCs w:val="18"/>
          <w:color w:val="auto"/>
        </w:rPr>
        <w:t xml:space="preserve"> the Administrative Agent notifies the Company and the Lenders that the circumstances giving rise to such notice no longer exist </w:t>
      </w:r>
      <w:r>
        <w:rPr>
          <w:rFonts w:ascii="Arial" w:cs="Arial" w:eastAsia="Arial" w:hAnsi="Arial"/>
          <w:sz w:val="18"/>
          <w:szCs w:val="18"/>
          <w:color w:val="0000FF"/>
        </w:rPr>
        <w:t>with respect to the relevant Benchmark</w:t>
      </w:r>
      <w:r>
        <w:rPr>
          <w:rFonts w:ascii="Arial" w:cs="Arial" w:eastAsia="Arial" w:hAnsi="Arial"/>
          <w:sz w:val="18"/>
          <w:szCs w:val="18"/>
          <w:color w:val="auto"/>
        </w:rPr>
        <w:t xml:space="preserve">, which the Administrative Agent agrees promptly to do, </w:t>
      </w:r>
      <w:r>
        <w:rPr>
          <w:rFonts w:ascii="Arial" w:cs="Arial" w:eastAsia="Arial" w:hAnsi="Arial"/>
          <w:sz w:val="18"/>
          <w:szCs w:val="18"/>
          <w:color w:val="FF0000"/>
          <w:strike w:val="1"/>
        </w:rPr>
        <w:t>(i)</w:t>
      </w:r>
      <w:r>
        <w:rPr>
          <w:rFonts w:ascii="Arial" w:cs="Arial" w:eastAsia="Arial" w:hAnsi="Arial"/>
          <w:sz w:val="18"/>
          <w:szCs w:val="18"/>
          <w:u w:val="single" w:color="auto"/>
          <w:color w:val="0000FF"/>
        </w:rPr>
        <w:t>and (y) the applicable Borrower delivers a new Interest Election Request in accordance with the terms of Section 2.08 or a</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new Borrowing Request in accordance with the terms of Section 2.03, (A) for Loans denominated in U.S. Dollars,</w:t>
      </w:r>
      <w:r>
        <w:rPr>
          <w:rFonts w:ascii="Arial" w:cs="Arial" w:eastAsia="Arial" w:hAnsi="Arial"/>
          <w:sz w:val="18"/>
          <w:szCs w:val="18"/>
          <w:color w:val="0000FF"/>
        </w:rPr>
        <w:t xml:space="preserve"> </w:t>
      </w:r>
      <w:r>
        <w:rPr>
          <w:rFonts w:ascii="Arial" w:cs="Arial" w:eastAsia="Arial" w:hAnsi="Arial"/>
          <w:sz w:val="18"/>
          <w:szCs w:val="18"/>
          <w:color w:val="000000"/>
        </w:rPr>
        <w:t>any Interest Election</w:t>
      </w:r>
      <w:r>
        <w:rPr>
          <w:rFonts w:ascii="Arial" w:cs="Arial" w:eastAsia="Arial" w:hAnsi="Arial"/>
          <w:sz w:val="18"/>
          <w:szCs w:val="18"/>
          <w:color w:val="0000FF"/>
        </w:rPr>
        <w:t xml:space="preserve"> </w:t>
      </w:r>
      <w:r>
        <w:rPr>
          <w:rFonts w:ascii="Arial" w:cs="Arial" w:eastAsia="Arial" w:hAnsi="Arial"/>
          <w:sz w:val="18"/>
          <w:szCs w:val="18"/>
          <w:color w:val="000000"/>
        </w:rPr>
        <w:t xml:space="preserve">Request that requests the conversion of any Borrowing to, or continuation of any Borrowing as,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000000"/>
        </w:rPr>
        <w:t xml:space="preserve"> Borrowing </w:t>
      </w:r>
      <w:r>
        <w:rPr>
          <w:rFonts w:ascii="Arial" w:cs="Arial" w:eastAsia="Arial" w:hAnsi="Arial"/>
          <w:sz w:val="18"/>
          <w:szCs w:val="18"/>
          <w:color w:val="FF0000"/>
          <w:strike w:val="1"/>
        </w:rPr>
        <w:t>shall be ineffective, (ii) if</w:t>
      </w:r>
      <w:r>
        <w:rPr>
          <w:rFonts w:ascii="Arial" w:cs="Arial" w:eastAsia="Arial" w:hAnsi="Arial"/>
          <w:sz w:val="18"/>
          <w:szCs w:val="18"/>
          <w:u w:val="single" w:color="auto"/>
          <w:color w:val="0000FF"/>
        </w:rPr>
        <w:t>and</w:t>
      </w:r>
      <w:r>
        <w:rPr>
          <w:rFonts w:ascii="Arial" w:cs="Arial" w:eastAsia="Arial" w:hAnsi="Arial"/>
          <w:sz w:val="18"/>
          <w:szCs w:val="18"/>
          <w:color w:val="FF0000"/>
        </w:rPr>
        <w:t xml:space="preserve"> </w:t>
      </w:r>
      <w:r>
        <w:rPr>
          <w:rFonts w:ascii="Arial" w:cs="Arial" w:eastAsia="Arial" w:hAnsi="Arial"/>
          <w:sz w:val="18"/>
          <w:szCs w:val="18"/>
          <w:color w:val="000000"/>
        </w:rPr>
        <w:t>any Borrowing Request</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that</w:t>
      </w:r>
      <w:r>
        <w:rPr>
          <w:rFonts w:ascii="Arial" w:cs="Arial" w:eastAsia="Arial" w:hAnsi="Arial"/>
          <w:sz w:val="18"/>
          <w:szCs w:val="18"/>
          <w:color w:val="FF0000"/>
        </w:rPr>
        <w:t xml:space="preserve"> </w:t>
      </w:r>
      <w:r>
        <w:rPr>
          <w:rFonts w:ascii="Arial" w:cs="Arial" w:eastAsia="Arial" w:hAnsi="Arial"/>
          <w:sz w:val="18"/>
          <w:szCs w:val="18"/>
          <w:color w:val="000000"/>
        </w:rPr>
        <w:t>requests a</w:t>
      </w:r>
      <w:r>
        <w:rPr>
          <w:rFonts w:ascii="Arial" w:cs="Arial" w:eastAsia="Arial" w:hAnsi="Arial"/>
          <w:sz w:val="18"/>
          <w:szCs w:val="18"/>
          <w:color w:val="FF0000"/>
        </w:rPr>
        <w:t xml:space="preserve"> </w:t>
      </w:r>
      <w:r>
        <w:rPr>
          <w:rFonts w:ascii="Arial" w:cs="Arial" w:eastAsia="Arial" w:hAnsi="Arial"/>
          <w:sz w:val="18"/>
          <w:szCs w:val="18"/>
          <w:color w:val="FF0000"/>
          <w:strike w:val="1"/>
        </w:rPr>
        <w:t>Eurocurrency Borrowing in U.S. Dollars, such Borrowing shall be made</w:t>
      </w:r>
      <w:r>
        <w:rPr>
          <w:rFonts w:ascii="Arial" w:cs="Arial" w:eastAsia="Arial" w:hAnsi="Arial"/>
          <w:sz w:val="18"/>
          <w:szCs w:val="18"/>
          <w:color w:val="FF0000"/>
        </w:rPr>
        <w:t xml:space="preserve"> </w:t>
      </w:r>
      <w:r>
        <w:rPr>
          <w:rFonts w:ascii="Arial" w:cs="Arial" w:eastAsia="Arial" w:hAnsi="Arial"/>
          <w:sz w:val="18"/>
          <w:szCs w:val="18"/>
          <w:color w:val="FF0000"/>
          <w:strike w:val="1"/>
        </w:rPr>
        <w:t>as an ABR Borrowing (iii) if</w:t>
      </w:r>
      <w:r>
        <w:rPr>
          <w:rFonts w:ascii="Arial" w:cs="Arial" w:eastAsia="Arial" w:hAnsi="Arial"/>
          <w:sz w:val="18"/>
          <w:szCs w:val="18"/>
          <w:u w:val="single" w:color="auto"/>
          <w:color w:val="0000FF"/>
          <w:strike w:val="1"/>
        </w:rPr>
        <w:t>Term Benchmark Revolving Borrowing shall instead be deemed to be an Interest Election Request or a</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Borrowing Request, as applicable, for (x) an RFR Borrowing denominated in U.S. Dollars so long as the Adjusted Daily Simple RFR for U.S. Dollar Borrowings is not also the subject of Section 2.14(a)(i) or (ii) above or (y) an ABR Borrowing if the Adjusted Daily Simple RFR for U.S. Dollar Borrowings also is the subject of Section 2.14(a)(i) or (ii) above and (B) for Loans denominated in a Foreign Currency, any Interest Election Request that requests the conversion of any Revolving Borrowing to, or continuation of any Revolving Borrowing as, a Term Benchmark Borrowing and</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any Borrowing Request</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that</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requests a</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Eurocurrency Borrowing in Canadian Dollars, such Borrowing shall</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 xml:space="preserve">be made as an Canadian Prime Rate Borrowing and (iv) if any Borrowing Request requests a Eurocurrency </w:t>
      </w:r>
      <w:r>
        <w:rPr>
          <w:rFonts w:ascii="Arial" w:cs="Arial" w:eastAsia="Arial" w:hAnsi="Arial"/>
          <w:sz w:val="18"/>
          <w:szCs w:val="18"/>
          <w:u w:val="single" w:color="auto"/>
          <w:color w:val="0000FF"/>
          <w:strike w:val="1"/>
        </w:rPr>
        <w:t>Term Benchmark</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Borrowing or an</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RFR Borrowing</w:t>
      </w:r>
      <w:r>
        <w:rPr>
          <w:rFonts w:ascii="Arial" w:cs="Arial" w:eastAsia="Arial" w:hAnsi="Arial"/>
          <w:sz w:val="18"/>
          <w:szCs w:val="18"/>
          <w:u w:val="single" w:color="auto"/>
          <w:color w:val="0000FF"/>
          <w:strike w:val="1"/>
        </w:rPr>
        <w:t>, in each case,</w:t>
      </w:r>
      <w:r>
        <w:rPr>
          <w:rFonts w:ascii="Arial" w:cs="Arial" w:eastAsia="Arial" w:hAnsi="Arial"/>
          <w:sz w:val="18"/>
          <w:szCs w:val="18"/>
          <w:color w:val="000000"/>
          <w:strike w:val="1"/>
        </w:rPr>
        <w:t xml:space="preserve"> for the relevant </w:t>
      </w:r>
      <w:r>
        <w:rPr>
          <w:rFonts w:ascii="Arial" w:cs="Arial" w:eastAsia="Arial" w:hAnsi="Arial"/>
          <w:sz w:val="18"/>
          <w:szCs w:val="18"/>
          <w:color w:val="FF0000"/>
          <w:strike w:val="1"/>
        </w:rPr>
        <w:t>rate above in a Foreign Currency (other than Canadian Dollars), then such request shall</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be</w:t>
      </w:r>
      <w:r>
        <w:rPr>
          <w:rFonts w:ascii="Arial" w:cs="Arial" w:eastAsia="Arial" w:hAnsi="Arial"/>
          <w:sz w:val="18"/>
          <w:szCs w:val="18"/>
          <w:u w:val="single" w:color="auto"/>
          <w:color w:val="0000FF"/>
          <w:strike w:val="1"/>
        </w:rPr>
        <w:t>Benchmark, shall be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ineffective; provided that if the circumstances giving rise to such notice affect only one Type of</w:t>
      </w:r>
      <w:r>
        <w:rPr>
          <w:rFonts w:ascii="Arial" w:cs="Arial" w:eastAsia="Arial" w:hAnsi="Arial"/>
          <w:sz w:val="18"/>
          <w:szCs w:val="18"/>
          <w:color w:val="FF0000"/>
          <w:strike w:val="1"/>
        </w:rPr>
        <w:t xml:space="preserve"> Borrowings</w:t>
      </w:r>
      <w:r>
        <w:rPr>
          <w:rFonts w:ascii="Arial" w:cs="Arial" w:eastAsia="Arial" w:hAnsi="Arial"/>
          <w:sz w:val="18"/>
          <w:szCs w:val="18"/>
          <w:u w:val="single" w:color="auto"/>
          <w:color w:val="0000FF"/>
          <w:strike w:val="1"/>
        </w:rPr>
        <w:t>Borrowing</w:t>
      </w:r>
      <w:r>
        <w:rPr>
          <w:rFonts w:ascii="Arial" w:cs="Arial" w:eastAsia="Arial" w:hAnsi="Arial"/>
          <w:sz w:val="18"/>
          <w:szCs w:val="18"/>
          <w:color w:val="000000"/>
          <w:strike w:val="1"/>
        </w:rPr>
        <w:t>, then all other Types of Borrowings shall be permitted. Furthermore, if any</w:t>
      </w:r>
      <w:r>
        <w:rPr>
          <w:rFonts w:ascii="Arial" w:cs="Arial" w:eastAsia="Arial" w:hAnsi="Arial"/>
          <w:sz w:val="18"/>
          <w:szCs w:val="18"/>
          <w:color w:val="FF0000"/>
          <w:strike w:val="1"/>
        </w:rPr>
        <w:t xml:space="preserve"> Eurocurrency</w:t>
      </w:r>
      <w:r>
        <w:rPr>
          <w:rFonts w:ascii="Arial" w:cs="Arial" w:eastAsia="Arial" w:hAnsi="Arial"/>
          <w:sz w:val="18"/>
          <w:szCs w:val="18"/>
          <w:u w:val="single" w:color="auto"/>
          <w:color w:val="0000FF"/>
          <w:strike w:val="1"/>
        </w:rPr>
        <w:t>Term Benchmark</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Loan or</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RFR Loan in any Agreed Currency is outstanding on the date of the Company’s receipt of the notice from the Administrative Agent referred to in this Section 2.14(a) with respect to a Relevant </w:t>
      </w:r>
      <w:r>
        <w:rPr>
          <w:rFonts w:ascii="Arial" w:cs="Arial" w:eastAsia="Arial" w:hAnsi="Arial"/>
          <w:sz w:val="18"/>
          <w:szCs w:val="18"/>
          <w:u w:val="single" w:color="auto"/>
          <w:color w:val="0000FF"/>
          <w:strike w:val="1"/>
        </w:rPr>
        <w:t>Adjusted</w:t>
      </w:r>
      <w:r>
        <w:rPr>
          <w:rFonts w:ascii="Arial" w:cs="Arial" w:eastAsia="Arial" w:hAnsi="Arial"/>
          <w:sz w:val="18"/>
          <w:szCs w:val="18"/>
          <w:color w:val="000000"/>
          <w:strike w:val="1"/>
        </w:rPr>
        <w:t xml:space="preserve"> Rate applicable to such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strike w:val="1"/>
        </w:rPr>
        <w:t>Term Benchmark</w:t>
      </w:r>
      <w:r>
        <w:rPr>
          <w:rFonts w:ascii="Arial" w:cs="Arial" w:eastAsia="Arial" w:hAnsi="Arial"/>
          <w:sz w:val="18"/>
          <w:szCs w:val="18"/>
          <w:color w:val="000000"/>
          <w:strike w:val="1"/>
        </w:rPr>
        <w:t xml:space="preserve"> Loan or </w:t>
      </w:r>
      <w:r>
        <w:rPr>
          <w:rFonts w:ascii="Arial" w:cs="Arial" w:eastAsia="Arial" w:hAnsi="Arial"/>
          <w:sz w:val="18"/>
          <w:szCs w:val="18"/>
          <w:color w:val="FF0000"/>
          <w:strike w:val="1"/>
        </w:rPr>
        <w:t>a</w:t>
      </w:r>
      <w:r>
        <w:rPr>
          <w:rFonts w:ascii="Arial" w:cs="Arial" w:eastAsia="Arial" w:hAnsi="Arial"/>
          <w:sz w:val="18"/>
          <w:szCs w:val="18"/>
          <w:color w:val="000000"/>
          <w:strike w:val="1"/>
        </w:rPr>
        <w:t xml:space="preserve"> RFR Loan, then until </w:t>
      </w:r>
      <w:r>
        <w:rPr>
          <w:rFonts w:ascii="Arial" w:cs="Arial" w:eastAsia="Arial" w:hAnsi="Arial"/>
          <w:sz w:val="18"/>
          <w:szCs w:val="18"/>
          <w:u w:val="single" w:color="auto"/>
          <w:color w:val="0000FF"/>
          <w:strike w:val="1"/>
        </w:rPr>
        <w:t>(x)</w:t>
      </w:r>
      <w:r>
        <w:rPr>
          <w:rFonts w:ascii="Arial" w:cs="Arial" w:eastAsia="Arial" w:hAnsi="Arial"/>
          <w:sz w:val="18"/>
          <w:szCs w:val="18"/>
          <w:color w:val="000000"/>
          <w:strike w:val="1"/>
        </w:rPr>
        <w:t xml:space="preserve"> the Administrative Agent notifies the Company and the Lenders that the circumstances giving rise to such notice no longer exist</w:t>
      </w:r>
      <w:r>
        <w:rPr>
          <w:rFonts w:ascii="Arial" w:cs="Arial" w:eastAsia="Arial" w:hAnsi="Arial"/>
          <w:sz w:val="18"/>
          <w:szCs w:val="18"/>
          <w:color w:val="FF0000"/>
          <w:strike w:val="1"/>
        </w:rPr>
        <w:t>, (1) if such Eurocurrency Loan is</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with respect to the relevant Benchmark and (y) the applicable Borrower delivers a new Interest</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Election Request in accordance with the terms of Section 2.08 or a new Borrowing Request in accordance with the terms of Section 2.03, (A) for Loans</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denominated in U.S. Dollars,</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then</w:t>
      </w:r>
      <w:r>
        <w:rPr>
          <w:rFonts w:ascii="Arial" w:cs="Arial" w:eastAsia="Arial" w:hAnsi="Arial"/>
          <w:sz w:val="18"/>
          <w:szCs w:val="18"/>
          <w:u w:val="single" w:color="auto"/>
          <w:color w:val="0000FF"/>
          <w:strike w:val="1"/>
        </w:rPr>
        <w:t>any Term Benchmark Loan shall</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on the last day of the Interest Period applicable to such</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Eurocurrency Loan (or the next succeeding Business Day if such day is not a Business Day), such Eurocurrency</w:t>
      </w:r>
      <w:r>
        <w:rPr>
          <w:rFonts w:ascii="Arial" w:cs="Arial" w:eastAsia="Arial" w:hAnsi="Arial"/>
          <w:sz w:val="18"/>
          <w:szCs w:val="18"/>
          <w:u w:val="single" w:color="auto"/>
          <w:color w:val="0000FF"/>
          <w:strike w:val="1"/>
        </w:rPr>
        <w:t>Loan, be converted by the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Administrative Agent to, and shall constitute, (x) an RFR Borrowing denominated in U.S. Dollars so long as the Adjusted Daily Simple RFR for U.S. Dollar Borrowings is not also the subject of Section 2.14(a)(i) or (ii) above or (y) an ABR Loan if the Adjusted Daily Simple RFR for U.S. Dollar Borrowings also is the subject of Section 2.14(a)(i) or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-3540125</wp:posOffset>
            </wp:positionV>
            <wp:extent cx="210629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2106295"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5" w:name="page126"/>
    <w:bookmarkEnd w:id="125"/>
    <w:p>
      <w:pPr>
        <w:jc w:val="both"/>
        <w:spacing w:after="0" w:line="303" w:lineRule="auto"/>
        <w:rPr>
          <w:sz w:val="20"/>
          <w:szCs w:val="20"/>
          <w:color w:val="auto"/>
        </w:rPr>
      </w:pPr>
      <w:r>
        <w:rPr>
          <w:rFonts w:ascii="Arial" w:cs="Arial" w:eastAsia="Arial" w:hAnsi="Arial"/>
          <w:sz w:val="16"/>
          <w:szCs w:val="16"/>
          <w:u w:val="single" w:color="auto"/>
          <w:color w:val="0000FF"/>
        </w:rPr>
        <w:t>above, on such day, (B) for Term Benchmark Loans denominated in Japanese Yen, on the last day of the Interest Period applicable to such Term Benchmark Loan such Term Benchmark</w:t>
      </w:r>
      <w:r>
        <w:rPr>
          <w:rFonts w:ascii="Arial" w:cs="Arial" w:eastAsia="Arial" w:hAnsi="Arial"/>
          <w:sz w:val="16"/>
          <w:szCs w:val="16"/>
          <w:color w:val="0000FF"/>
        </w:rPr>
        <w:t xml:space="preserve"> </w:t>
      </w:r>
      <w:r>
        <w:rPr>
          <w:rFonts w:ascii="Arial" w:cs="Arial" w:eastAsia="Arial" w:hAnsi="Arial"/>
          <w:sz w:val="16"/>
          <w:szCs w:val="16"/>
          <w:color w:val="000000"/>
        </w:rPr>
        <w:t>Loan shall be converted by the Administrative Agent to, and shall constitute,</w:t>
      </w:r>
      <w:r>
        <w:rPr>
          <w:rFonts w:ascii="Arial" w:cs="Arial" w:eastAsia="Arial" w:hAnsi="Arial"/>
          <w:sz w:val="16"/>
          <w:szCs w:val="16"/>
          <w:color w:val="0000FF"/>
        </w:rPr>
        <w:t xml:space="preserve"> </w:t>
      </w:r>
      <w:r>
        <w:rPr>
          <w:rFonts w:ascii="Arial" w:cs="Arial" w:eastAsia="Arial" w:hAnsi="Arial"/>
          <w:sz w:val="16"/>
          <w:szCs w:val="16"/>
          <w:color w:val="FF0000"/>
          <w:strike w:val="1"/>
        </w:rPr>
        <w:t>an ABR</w:t>
      </w:r>
      <w:r>
        <w:rPr>
          <w:rFonts w:ascii="Arial" w:cs="Arial" w:eastAsia="Arial" w:hAnsi="Arial"/>
          <w:sz w:val="16"/>
          <w:szCs w:val="16"/>
          <w:u w:val="single" w:color="auto"/>
          <w:color w:val="0000FF"/>
        </w:rPr>
        <w:t>a</w:t>
      </w:r>
      <w:r>
        <w:rPr>
          <w:rFonts w:ascii="Arial" w:cs="Arial" w:eastAsia="Arial" w:hAnsi="Arial"/>
          <w:sz w:val="16"/>
          <w:szCs w:val="16"/>
          <w:color w:val="0000FF"/>
        </w:rPr>
        <w:t xml:space="preserve"> </w:t>
      </w:r>
      <w:r>
        <w:rPr>
          <w:rFonts w:ascii="Arial" w:cs="Arial" w:eastAsia="Arial" w:hAnsi="Arial"/>
          <w:sz w:val="16"/>
          <w:szCs w:val="16"/>
          <w:color w:val="000000"/>
        </w:rPr>
        <w:t>Loan</w:t>
      </w:r>
      <w:r>
        <w:rPr>
          <w:rFonts w:ascii="Arial" w:cs="Arial" w:eastAsia="Arial" w:hAnsi="Arial"/>
          <w:sz w:val="16"/>
          <w:szCs w:val="16"/>
          <w:color w:val="0000FF"/>
        </w:rPr>
        <w:t xml:space="preserve"> </w:t>
      </w:r>
      <w:r>
        <w:rPr>
          <w:rFonts w:ascii="Arial" w:cs="Arial" w:eastAsia="Arial" w:hAnsi="Arial"/>
          <w:sz w:val="16"/>
          <w:szCs w:val="16"/>
          <w:color w:val="FF0000"/>
          <w:strike w:val="1"/>
        </w:rPr>
        <w:t>denominated in U.S. Dollars on such day, (2) if such Eurocurrency Loan is</w:t>
      </w:r>
      <w:r>
        <w:rPr>
          <w:rFonts w:ascii="Arial" w:cs="Arial" w:eastAsia="Arial" w:hAnsi="Arial"/>
          <w:sz w:val="16"/>
          <w:szCs w:val="16"/>
          <w:u w:val="single" w:color="auto"/>
          <w:color w:val="0000FF"/>
          <w:strike w:val="1"/>
        </w:rPr>
        <w:t>that bears interest at the Japanese Prime Rate plus the Applicable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Rate, (C) for Term Benchmark Loans</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denominated in Canadian Dollars,</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then</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on the last day of the Interest Period applicable to such</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Eurocurrency Loan (or the next succeeding Business Day if such day is not a Business Day), such Eurocurrency</w:t>
      </w:r>
      <w:r>
        <w:rPr>
          <w:rFonts w:ascii="Arial" w:cs="Arial" w:eastAsia="Arial" w:hAnsi="Arial"/>
          <w:sz w:val="16"/>
          <w:szCs w:val="16"/>
          <w:u w:val="single" w:color="auto"/>
          <w:color w:val="0000FF"/>
          <w:strike w:val="1"/>
        </w:rPr>
        <w:t>Term Benchmark Loan such</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Term Benchmark</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Loan shall be converted by the Administrative Agent to, and shall constitute, a</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Loan that bears interest at the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Canadian</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Prime Rate </w:t>
      </w:r>
      <w:r>
        <w:rPr>
          <w:rFonts w:ascii="Arial" w:cs="Arial" w:eastAsia="Arial" w:hAnsi="Arial"/>
          <w:sz w:val="16"/>
          <w:szCs w:val="16"/>
          <w:color w:val="FF0000"/>
          <w:strike w:val="1"/>
        </w:rPr>
        <w:t>Loan</w:t>
      </w:r>
      <w:r>
        <w:rPr>
          <w:rFonts w:ascii="Arial" w:cs="Arial" w:eastAsia="Arial" w:hAnsi="Arial"/>
          <w:sz w:val="16"/>
          <w:szCs w:val="16"/>
          <w:u w:val="single" w:color="auto"/>
          <w:color w:val="0000FF"/>
          <w:strike w:val="1"/>
        </w:rPr>
        <w:t>plus the Applicable Rate and (D) for Loans</w:t>
      </w:r>
      <w:r>
        <w:rPr>
          <w:rFonts w:ascii="Arial" w:cs="Arial" w:eastAsia="Arial" w:hAnsi="Arial"/>
          <w:sz w:val="16"/>
          <w:szCs w:val="16"/>
          <w:color w:val="000000"/>
          <w:strike w:val="1"/>
        </w:rPr>
        <w:t xml:space="preserve"> denominated in </w:t>
      </w:r>
      <w:r>
        <w:rPr>
          <w:rFonts w:ascii="Arial" w:cs="Arial" w:eastAsia="Arial" w:hAnsi="Arial"/>
          <w:sz w:val="16"/>
          <w:szCs w:val="16"/>
          <w:color w:val="FF0000"/>
          <w:strike w:val="1"/>
        </w:rPr>
        <w:t>Canadian Dollars on such day, (3) if such Eurocurrency Loan is</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denominated in any Agreed</w:t>
      </w:r>
      <w:r>
        <w:rPr>
          <w:rFonts w:ascii="Arial" w:cs="Arial" w:eastAsia="Arial" w:hAnsi="Arial"/>
          <w:sz w:val="16"/>
          <w:szCs w:val="16"/>
          <w:u w:val="single" w:color="auto"/>
          <w:color w:val="0000FF"/>
          <w:strike w:val="1"/>
        </w:rPr>
        <w:t>a Foreign</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Currency other than</w:t>
      </w:r>
      <w:r>
        <w:rPr>
          <w:rFonts w:ascii="Arial" w:cs="Arial" w:eastAsia="Arial" w:hAnsi="Arial"/>
          <w:sz w:val="16"/>
          <w:szCs w:val="16"/>
          <w:color w:val="FF0000"/>
          <w:strike w:val="1"/>
        </w:rPr>
        <w:t xml:space="preserve"> U.S. Dollars</w:t>
      </w:r>
      <w:r>
        <w:rPr>
          <w:rFonts w:ascii="Arial" w:cs="Arial" w:eastAsia="Arial" w:hAnsi="Arial"/>
          <w:sz w:val="16"/>
          <w:szCs w:val="16"/>
          <w:u w:val="single" w:color="auto"/>
          <w:color w:val="0000FF"/>
          <w:strike w:val="1"/>
        </w:rPr>
        <w:t>Japanese Yen</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or Canadian Dollars,</w:t>
      </w:r>
      <w:r>
        <w:rPr>
          <w:rFonts w:ascii="Arial" w:cs="Arial" w:eastAsia="Arial" w:hAnsi="Arial"/>
          <w:sz w:val="16"/>
          <w:szCs w:val="16"/>
          <w:color w:val="FF0000"/>
          <w:strike w:val="1"/>
        </w:rPr>
        <w:t xml:space="preserve"> then such Eurocurrency</w:t>
      </w:r>
      <w:r>
        <w:rPr>
          <w:rFonts w:ascii="Arial" w:cs="Arial" w:eastAsia="Arial" w:hAnsi="Arial"/>
          <w:sz w:val="16"/>
          <w:szCs w:val="16"/>
          <w:u w:val="single" w:color="auto"/>
          <w:color w:val="0000FF"/>
          <w:strike w:val="1"/>
        </w:rPr>
        <w:t>(1) any</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Term Benchmark</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Loan shall, on the last day of the Interest Period applicable to such</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Eurocurrency</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Loan</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(or the next succeeding Business</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 xml:space="preserve">Day if such day is not a Business Day) </w:t>
      </w:r>
      <w:r>
        <w:rPr>
          <w:rFonts w:ascii="Arial" w:cs="Arial" w:eastAsia="Arial" w:hAnsi="Arial"/>
          <w:sz w:val="16"/>
          <w:szCs w:val="16"/>
          <w:color w:val="000000"/>
          <w:strike w:val="1"/>
        </w:rPr>
        <w:t>bear interest at the Central Bank Rate for the applicable</w:t>
      </w:r>
      <w:r>
        <w:rPr>
          <w:rFonts w:ascii="Arial" w:cs="Arial" w:eastAsia="Arial" w:hAnsi="Arial"/>
          <w:sz w:val="16"/>
          <w:szCs w:val="16"/>
          <w:color w:val="FF0000"/>
          <w:strike w:val="1"/>
        </w:rPr>
        <w:t xml:space="preserve"> Agreed</w:t>
      </w:r>
      <w:r>
        <w:rPr>
          <w:rFonts w:ascii="Arial" w:cs="Arial" w:eastAsia="Arial" w:hAnsi="Arial"/>
          <w:sz w:val="16"/>
          <w:szCs w:val="16"/>
          <w:u w:val="single" w:color="auto"/>
          <w:color w:val="0000FF"/>
          <w:strike w:val="1"/>
        </w:rPr>
        <w:t>Foreign</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Currency</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00"/>
          <w:strike w:val="1"/>
        </w:rPr>
        <w:t>plus</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the Applicable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Rate; </w:t>
      </w:r>
      <w:r>
        <w:rPr>
          <w:rFonts w:ascii="Arial" w:cs="Arial" w:eastAsia="Arial" w:hAnsi="Arial"/>
          <w:sz w:val="16"/>
          <w:szCs w:val="16"/>
          <w:u w:val="single" w:color="auto"/>
          <w:color w:val="000000"/>
          <w:strike w:val="1"/>
        </w:rPr>
        <w:t>provided</w:t>
      </w:r>
      <w:r>
        <w:rPr>
          <w:rFonts w:ascii="Arial" w:cs="Arial" w:eastAsia="Arial" w:hAnsi="Arial"/>
          <w:sz w:val="16"/>
          <w:szCs w:val="16"/>
          <w:color w:val="000000"/>
          <w:strike w:val="1"/>
        </w:rPr>
        <w:t xml:space="preserve"> that, if the Administrative Agent determines, in consultation with the Company, </w:t>
      </w:r>
      <w:r>
        <w:rPr>
          <w:rFonts w:ascii="Arial" w:cs="Arial" w:eastAsia="Arial" w:hAnsi="Arial"/>
          <w:sz w:val="16"/>
          <w:szCs w:val="16"/>
          <w:u w:val="single" w:color="auto"/>
          <w:color w:val="0000FF"/>
          <w:strike w:val="1"/>
        </w:rPr>
        <w:t>(which determination shall be conclusive and</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binding absent manifest error)</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that the Central Bank Rate for the applicable</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Agreed Currency</w:t>
      </w:r>
      <w:r>
        <w:rPr>
          <w:rFonts w:ascii="Arial" w:cs="Arial" w:eastAsia="Arial" w:hAnsi="Arial"/>
          <w:sz w:val="16"/>
          <w:szCs w:val="16"/>
          <w:u w:val="single" w:color="auto"/>
          <w:color w:val="0000FF"/>
          <w:strike w:val="1"/>
        </w:rPr>
        <w:t>Foreign Currency (or in the case of (I) Japanese</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Yen, the Japanese Prime Rate or (II) Canadian Dollars, the Canadian Prime Rate)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cannot be determined, any outstanding affected</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strike w:val="1"/>
        </w:rPr>
        <w:t>Term Benchmark</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Loans denominated in</w:t>
      </w:r>
      <w:r>
        <w:rPr>
          <w:rFonts w:ascii="Arial" w:cs="Arial" w:eastAsia="Arial" w:hAnsi="Arial"/>
          <w:sz w:val="16"/>
          <w:szCs w:val="16"/>
          <w:color w:val="FF0000"/>
          <w:strike w:val="1"/>
        </w:rPr>
        <w:t xml:space="preserve"> any Agreed</w:t>
      </w:r>
      <w:r>
        <w:rPr>
          <w:rFonts w:ascii="Arial" w:cs="Arial" w:eastAsia="Arial" w:hAnsi="Arial"/>
          <w:sz w:val="16"/>
          <w:szCs w:val="16"/>
          <w:u w:val="single" w:color="auto"/>
          <w:color w:val="0000FF"/>
          <w:strike w:val="1"/>
        </w:rPr>
        <w:t>such Foreign</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Currency</w:t>
      </w:r>
      <w:r>
        <w:rPr>
          <w:rFonts w:ascii="Arial" w:cs="Arial" w:eastAsia="Arial" w:hAnsi="Arial"/>
          <w:sz w:val="16"/>
          <w:szCs w:val="16"/>
          <w:color w:val="FF0000"/>
          <w:strike w:val="1"/>
        </w:rPr>
        <w:t xml:space="preserve"> other than U.S. Dollars or Canadian Dollars </w:t>
      </w:r>
      <w:r>
        <w:rPr>
          <w:rFonts w:ascii="Arial" w:cs="Arial" w:eastAsia="Arial" w:hAnsi="Arial"/>
          <w:sz w:val="16"/>
          <w:szCs w:val="16"/>
          <w:color w:val="000000"/>
          <w:strike w:val="1"/>
        </w:rPr>
        <w:t>shall, at</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the Company’s election prior to such day: (A) be prepaid by the applicable Borrower on such day or (B) solely for the purpose of calculating the interest rate applicable to such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strike w:val="1"/>
        </w:rPr>
        <w:t>Term Benchmark</w:t>
      </w:r>
      <w:r>
        <w:rPr>
          <w:rFonts w:ascii="Arial" w:cs="Arial" w:eastAsia="Arial" w:hAnsi="Arial"/>
          <w:sz w:val="16"/>
          <w:szCs w:val="16"/>
          <w:color w:val="000000"/>
          <w:strike w:val="1"/>
        </w:rPr>
        <w:t xml:space="preserve"> Loan, such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strike w:val="1"/>
        </w:rPr>
        <w:t>Term Benchmark</w:t>
      </w:r>
      <w:r>
        <w:rPr>
          <w:rFonts w:ascii="Arial" w:cs="Arial" w:eastAsia="Arial" w:hAnsi="Arial"/>
          <w:sz w:val="16"/>
          <w:szCs w:val="16"/>
          <w:color w:val="000000"/>
          <w:strike w:val="1"/>
        </w:rPr>
        <w:t xml:space="preserve"> Loan denominated in </w:t>
      </w:r>
      <w:r>
        <w:rPr>
          <w:rFonts w:ascii="Arial" w:cs="Arial" w:eastAsia="Arial" w:hAnsi="Arial"/>
          <w:sz w:val="16"/>
          <w:szCs w:val="16"/>
          <w:color w:val="FF0000"/>
          <w:strike w:val="1"/>
        </w:rPr>
        <w:t>any</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Agreed</w:t>
      </w:r>
      <w:r>
        <w:rPr>
          <w:rFonts w:ascii="Arial" w:cs="Arial" w:eastAsia="Arial" w:hAnsi="Arial"/>
          <w:sz w:val="16"/>
          <w:szCs w:val="16"/>
          <w:u w:val="single" w:color="auto"/>
          <w:color w:val="0000FF"/>
          <w:strike w:val="1"/>
        </w:rPr>
        <w:t>such Foreign</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Currency</w:t>
      </w:r>
      <w:r>
        <w:rPr>
          <w:rFonts w:ascii="Arial" w:cs="Arial" w:eastAsia="Arial" w:hAnsi="Arial"/>
          <w:sz w:val="16"/>
          <w:szCs w:val="16"/>
          <w:color w:val="FF0000"/>
          <w:strike w:val="1"/>
        </w:rPr>
        <w:t xml:space="preserve"> other than U.S. Dollars or Canadian Dollars </w:t>
      </w:r>
      <w:r>
        <w:rPr>
          <w:rFonts w:ascii="Arial" w:cs="Arial" w:eastAsia="Arial" w:hAnsi="Arial"/>
          <w:sz w:val="16"/>
          <w:szCs w:val="16"/>
          <w:color w:val="000000"/>
          <w:strike w:val="1"/>
        </w:rPr>
        <w:t>shall be deemed to be a</w:t>
      </w:r>
      <w:r>
        <w:rPr>
          <w:rFonts w:ascii="Arial" w:cs="Arial" w:eastAsia="Arial" w:hAnsi="Arial"/>
          <w:sz w:val="16"/>
          <w:szCs w:val="16"/>
          <w:color w:val="FF0000"/>
          <w:strike w:val="1"/>
        </w:rPr>
        <w:t xml:space="preserve"> Eurocurrency</w:t>
      </w:r>
      <w:r>
        <w:rPr>
          <w:rFonts w:ascii="Arial" w:cs="Arial" w:eastAsia="Arial" w:hAnsi="Arial"/>
          <w:sz w:val="16"/>
          <w:szCs w:val="16"/>
          <w:u w:val="single" w:color="auto"/>
          <w:color w:val="0000FF"/>
          <w:strike w:val="1"/>
        </w:rPr>
        <w:t>Term Benchmark</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Loan</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denominated in U.S. Dollars and shall accrue interest at the same interest rate applicable to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strike w:val="1"/>
        </w:rPr>
        <w:t>Term Benchmark</w:t>
      </w:r>
      <w:r>
        <w:rPr>
          <w:rFonts w:ascii="Arial" w:cs="Arial" w:eastAsia="Arial" w:hAnsi="Arial"/>
          <w:sz w:val="16"/>
          <w:szCs w:val="16"/>
          <w:color w:val="000000"/>
          <w:strike w:val="1"/>
        </w:rPr>
        <w:t xml:space="preserve"> Loans denominated in U.S. Dollars at such time </w:t>
      </w:r>
      <w:r>
        <w:rPr>
          <w:rFonts w:ascii="Arial" w:cs="Arial" w:eastAsia="Arial" w:hAnsi="Arial"/>
          <w:sz w:val="16"/>
          <w:szCs w:val="16"/>
          <w:color w:val="FF0000"/>
          <w:strike w:val="1"/>
        </w:rPr>
        <w:t>or</w:t>
      </w:r>
      <w:r>
        <w:rPr>
          <w:rFonts w:ascii="Arial" w:cs="Arial" w:eastAsia="Arial" w:hAnsi="Arial"/>
          <w:sz w:val="16"/>
          <w:szCs w:val="16"/>
          <w:u w:val="single" w:color="auto"/>
          <w:color w:val="0000FF"/>
          <w:strike w:val="1"/>
        </w:rPr>
        <w:t>and</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4</w:t>
      </w:r>
      <w:r>
        <w:rPr>
          <w:rFonts w:ascii="Arial" w:cs="Arial" w:eastAsia="Arial" w:hAnsi="Arial"/>
          <w:sz w:val="16"/>
          <w:szCs w:val="16"/>
          <w:u w:val="single" w:color="auto"/>
          <w:color w:val="0000FF"/>
          <w:strike w:val="1"/>
        </w:rPr>
        <w:t>2</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if such RFR Loan is denominated in any Agreed Currency other than U.S. Dollars, then</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such</w:t>
      </w:r>
      <w:r>
        <w:rPr>
          <w:rFonts w:ascii="Arial" w:cs="Arial" w:eastAsia="Arial" w:hAnsi="Arial"/>
          <w:sz w:val="16"/>
          <w:szCs w:val="16"/>
          <w:u w:val="single" w:color="auto"/>
          <w:color w:val="0000FF"/>
          <w:strike w:val="1"/>
        </w:rPr>
        <w:t>any</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RFR Loan shall bear interest at the Central Bank Rate for the applicable</w:t>
      </w:r>
      <w:r>
        <w:rPr>
          <w:rFonts w:ascii="Arial" w:cs="Arial" w:eastAsia="Arial" w:hAnsi="Arial"/>
          <w:sz w:val="16"/>
          <w:szCs w:val="16"/>
          <w:color w:val="FF0000"/>
          <w:strike w:val="1"/>
        </w:rPr>
        <w:t xml:space="preserve"> Agreed</w:t>
      </w:r>
      <w:r>
        <w:rPr>
          <w:rFonts w:ascii="Arial" w:cs="Arial" w:eastAsia="Arial" w:hAnsi="Arial"/>
          <w:sz w:val="16"/>
          <w:szCs w:val="16"/>
          <w:u w:val="single" w:color="auto"/>
          <w:color w:val="0000FF"/>
          <w:strike w:val="1"/>
        </w:rPr>
        <w:t>Foreign</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Currency</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00"/>
          <w:strike w:val="1"/>
        </w:rPr>
        <w:t>plus</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the Applicable Rate;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00"/>
          <w:strike w:val="1"/>
        </w:rPr>
        <w:t>provided</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that, if the Administrative Agent determines, in consultation with the Company, </w:t>
      </w:r>
      <w:r>
        <w:rPr>
          <w:rFonts w:ascii="Arial" w:cs="Arial" w:eastAsia="Arial" w:hAnsi="Arial"/>
          <w:sz w:val="16"/>
          <w:szCs w:val="16"/>
          <w:u w:val="single" w:color="auto"/>
          <w:color w:val="0000FF"/>
          <w:strike w:val="1"/>
        </w:rPr>
        <w:t>(which determination shall be conclusive and binding absent</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manifest error)</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that the Central Bank Rate for the applicable</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Agreed</w:t>
      </w:r>
      <w:r>
        <w:rPr>
          <w:rFonts w:ascii="Arial" w:cs="Arial" w:eastAsia="Arial" w:hAnsi="Arial"/>
          <w:sz w:val="16"/>
          <w:szCs w:val="16"/>
          <w:u w:val="single" w:color="auto"/>
          <w:color w:val="0000FF"/>
          <w:strike w:val="1"/>
        </w:rPr>
        <w:t>Foreign</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Currency cannot be determined, any outstanding affected RFR</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Loans denominated in any </w:t>
      </w:r>
      <w:r>
        <w:rPr>
          <w:rFonts w:ascii="Arial" w:cs="Arial" w:eastAsia="Arial" w:hAnsi="Arial"/>
          <w:sz w:val="16"/>
          <w:szCs w:val="16"/>
          <w:color w:val="FF0000"/>
          <w:strike w:val="1"/>
        </w:rPr>
        <w:t>Agreed</w:t>
      </w:r>
      <w:r>
        <w:rPr>
          <w:rFonts w:ascii="Arial" w:cs="Arial" w:eastAsia="Arial" w:hAnsi="Arial"/>
          <w:sz w:val="16"/>
          <w:szCs w:val="16"/>
          <w:u w:val="single" w:color="auto"/>
          <w:color w:val="0000FF"/>
          <w:strike w:val="1"/>
        </w:rPr>
        <w:t>Foreign</w:t>
      </w:r>
      <w:r>
        <w:rPr>
          <w:rFonts w:ascii="Arial" w:cs="Arial" w:eastAsia="Arial" w:hAnsi="Arial"/>
          <w:sz w:val="16"/>
          <w:szCs w:val="16"/>
          <w:color w:val="000000"/>
          <w:strike w:val="1"/>
        </w:rPr>
        <w:t xml:space="preserve"> Currency, at the Company’s election, shall either (</w:t>
      </w:r>
      <w:r>
        <w:rPr>
          <w:rFonts w:ascii="Arial" w:cs="Arial" w:eastAsia="Arial" w:hAnsi="Arial"/>
          <w:sz w:val="16"/>
          <w:szCs w:val="16"/>
          <w:color w:val="FF0000"/>
          <w:strike w:val="1"/>
        </w:rPr>
        <w:t>x</w:t>
      </w:r>
      <w:r>
        <w:rPr>
          <w:rFonts w:ascii="Arial" w:cs="Arial" w:eastAsia="Arial" w:hAnsi="Arial"/>
          <w:sz w:val="16"/>
          <w:szCs w:val="16"/>
          <w:u w:val="single" w:color="auto"/>
          <w:color w:val="0000FF"/>
          <w:strike w:val="1"/>
        </w:rPr>
        <w:t>A</w:t>
      </w:r>
      <w:r>
        <w:rPr>
          <w:rFonts w:ascii="Arial" w:cs="Arial" w:eastAsia="Arial" w:hAnsi="Arial"/>
          <w:sz w:val="16"/>
          <w:szCs w:val="16"/>
          <w:color w:val="000000"/>
          <w:strike w:val="1"/>
        </w:rPr>
        <w:t>) be converted into ABR Loans denominated in U.S. Dollars (in an amount equal to the Dollar Amount of such Foreign Currency) immediately or (</w:t>
      </w:r>
      <w:r>
        <w:rPr>
          <w:rFonts w:ascii="Arial" w:cs="Arial" w:eastAsia="Arial" w:hAnsi="Arial"/>
          <w:sz w:val="16"/>
          <w:szCs w:val="16"/>
          <w:color w:val="FF0000"/>
          <w:strike w:val="1"/>
        </w:rPr>
        <w:t>y</w:t>
      </w:r>
      <w:r>
        <w:rPr>
          <w:rFonts w:ascii="Arial" w:cs="Arial" w:eastAsia="Arial" w:hAnsi="Arial"/>
          <w:sz w:val="16"/>
          <w:szCs w:val="16"/>
          <w:u w:val="single" w:color="auto"/>
          <w:color w:val="0000FF"/>
          <w:strike w:val="1"/>
        </w:rPr>
        <w:t>B</w:t>
      </w:r>
      <w:r>
        <w:rPr>
          <w:rFonts w:ascii="Arial" w:cs="Arial" w:eastAsia="Arial" w:hAnsi="Arial"/>
          <w:sz w:val="16"/>
          <w:szCs w:val="16"/>
          <w:color w:val="000000"/>
          <w:strike w:val="1"/>
        </w:rPr>
        <w:t>) be prepaid in full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1529715</wp:posOffset>
            </wp:positionH>
            <wp:positionV relativeFrom="paragraph">
              <wp:posOffset>-1510665</wp:posOffset>
            </wp:positionV>
            <wp:extent cx="3365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33655"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both"/>
        <w:ind w:firstLine="1505"/>
        <w:spacing w:after="0" w:line="269" w:lineRule="auto"/>
        <w:tabs>
          <w:tab w:leader="none" w:pos="20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if a Benchmark Transition Event</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FF0000"/>
          <w:strike w:val="1"/>
        </w:rPr>
        <w:t>an Early Opt-in Election or an Other Benchmark Rate Election, as applicable,</w:t>
      </w:r>
      <w:r>
        <w:rPr>
          <w:rFonts w:ascii="Arial" w:cs="Arial" w:eastAsia="Arial" w:hAnsi="Arial"/>
          <w:sz w:val="18"/>
          <w:szCs w:val="18"/>
          <w:color w:val="FF0000"/>
        </w:rPr>
        <w:t xml:space="preserve"> </w:t>
      </w:r>
      <w:r>
        <w:rPr>
          <w:rFonts w:ascii="Arial" w:cs="Arial" w:eastAsia="Arial" w:hAnsi="Arial"/>
          <w:sz w:val="18"/>
          <w:szCs w:val="18"/>
          <w:color w:val="000000"/>
        </w:rPr>
        <w:t>and its related Benchmark Replacement Date have occurred</w:t>
      </w:r>
      <w:r>
        <w:rPr>
          <w:rFonts w:ascii="Arial" w:cs="Arial" w:eastAsia="Arial" w:hAnsi="Arial"/>
          <w:sz w:val="18"/>
          <w:szCs w:val="18"/>
          <w:color w:val="FF0000"/>
        </w:rPr>
        <w:t xml:space="preserve"> </w:t>
      </w:r>
      <w:r>
        <w:rPr>
          <w:rFonts w:ascii="Arial" w:cs="Arial" w:eastAsia="Arial" w:hAnsi="Arial"/>
          <w:sz w:val="18"/>
          <w:szCs w:val="18"/>
          <w:color w:val="000000"/>
        </w:rPr>
        <w:t xml:space="preserve">prior to the Reference Time in respect of any setting of the then-current Benchmark, then </w:t>
      </w:r>
      <w:r>
        <w:rPr>
          <w:rFonts w:ascii="Arial" w:cs="Arial" w:eastAsia="Arial" w:hAnsi="Arial"/>
          <w:sz w:val="18"/>
          <w:szCs w:val="18"/>
          <w:color w:val="FF0000"/>
          <w:strike w:val="1"/>
        </w:rPr>
        <w:t>(x) if a Benchmark Replacement is determined in</w:t>
      </w:r>
      <w:r>
        <w:rPr>
          <w:rFonts w:ascii="Arial" w:cs="Arial" w:eastAsia="Arial" w:hAnsi="Arial"/>
          <w:sz w:val="18"/>
          <w:szCs w:val="18"/>
          <w:color w:val="000000"/>
        </w:rPr>
        <w:t xml:space="preserve"> </w:t>
      </w:r>
      <w:r>
        <w:rPr>
          <w:rFonts w:ascii="Arial" w:cs="Arial" w:eastAsia="Arial" w:hAnsi="Arial"/>
          <w:sz w:val="18"/>
          <w:szCs w:val="18"/>
          <w:color w:val="FF0000"/>
          <w:strike w:val="1"/>
        </w:rPr>
        <w:t xml:space="preserve">accordance with clause (1) or (2) of the definition of “Benchmark Replacement” with respect to U.S. Dollars for such Benchmark Replacement Date, such Benchmark Replacement will replace such Benchmark for all purposes hereunder and under any Loan Document in respect of such Benchmark setting and subsequent Benchmark settings without any amendment to, or further action (other than any Benchmark Replacement Conforming Changes made pursuant to clause (d) below) or consent of any other party to, this Agreement or any other Loan Document and (y) if a Benchmark Replacement is determined in accordance with clause (3) of the definition of “Benchmark Replacement” with respect to any Agreed Currency for such Benchmark Replacement Date, </w:t>
      </w:r>
      <w:r>
        <w:rPr>
          <w:rFonts w:ascii="Arial" w:cs="Arial" w:eastAsia="Arial" w:hAnsi="Arial"/>
          <w:sz w:val="18"/>
          <w:szCs w:val="18"/>
          <w:color w:val="000000"/>
          <w:strike w:val="1"/>
        </w:rPr>
        <w:t>such Benchmark Replacement will replace such</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(other than any Benchmark Replacement Conforming Changes made pursuant to clause (</w:t>
      </w:r>
      <w:r>
        <w:rPr>
          <w:rFonts w:ascii="Arial" w:cs="Arial" w:eastAsia="Arial" w:hAnsi="Arial"/>
          <w:sz w:val="18"/>
          <w:szCs w:val="18"/>
          <w:color w:val="FF0000"/>
          <w:strike w:val="1"/>
        </w:rPr>
        <w:t>d</w:t>
      </w:r>
      <w:r>
        <w:rPr>
          <w:rFonts w:ascii="Arial" w:cs="Arial" w:eastAsia="Arial" w:hAnsi="Arial"/>
          <w:sz w:val="18"/>
          <w:szCs w:val="18"/>
          <w:u w:val="single" w:color="auto"/>
          <w:color w:val="0000FF"/>
          <w:strike w:val="1"/>
        </w:rPr>
        <w:t>c</w:t>
      </w:r>
      <w:r>
        <w:rPr>
          <w:rFonts w:ascii="Arial" w:cs="Arial" w:eastAsia="Arial" w:hAnsi="Arial"/>
          <w:sz w:val="18"/>
          <w:szCs w:val="18"/>
          <w:color w:val="000000"/>
          <w:strike w:val="1"/>
        </w:rPr>
        <w:t>) below)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6" w:name="page127"/>
    <w:bookmarkEnd w:id="126"/>
    <w:p>
      <w:pPr>
        <w:jc w:val="both"/>
        <w:ind w:firstLine="1505"/>
        <w:spacing w:after="0" w:line="273" w:lineRule="auto"/>
        <w:tabs>
          <w:tab w:leader="none" w:pos="1782" w:val="left"/>
        </w:tabs>
        <w:numPr>
          <w:ilvl w:val="0"/>
          <w:numId w:val="88"/>
        </w:numPr>
        <w:rPr>
          <w:rFonts w:ascii="Arial" w:cs="Arial" w:eastAsia="Arial" w:hAnsi="Arial"/>
          <w:sz w:val="18"/>
          <w:szCs w:val="18"/>
          <w:color w:val="FF0000"/>
          <w:strike w:val="1"/>
        </w:rPr>
      </w:pPr>
      <w:r>
        <w:rPr>
          <w:rFonts w:ascii="Arial" w:cs="Arial" w:eastAsia="Arial" w:hAnsi="Arial"/>
          <w:sz w:val="18"/>
          <w:szCs w:val="18"/>
          <w:color w:val="FF0000"/>
          <w:strike w:val="1"/>
        </w:rPr>
        <w:t xml:space="preserve">Notwithstanding anything to the contrary herein or in any other Loan Document and subject to the proviso below in this paragraph, with respect to a Loan denominated in U.S. Dollars,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8"/>
          <w:szCs w:val="18"/>
          <w:u w:val="single" w:color="auto"/>
          <w:color w:val="FF0000"/>
          <w:strike w:val="1"/>
        </w:rPr>
        <w:t>provided that</w:t>
      </w:r>
      <w:r>
        <w:rPr>
          <w:rFonts w:ascii="Arial" w:cs="Arial" w:eastAsia="Arial" w:hAnsi="Arial"/>
          <w:sz w:val="18"/>
          <w:szCs w:val="18"/>
          <w:color w:val="FF0000"/>
          <w:strike w:val="1"/>
        </w:rPr>
        <w:t>, this clause (c) shall not be effective unless the Administrative Agent has delivered to the Lenders and the Company a Term SOFR Notice. For the avoidance of doubt, the Administrative Agent shall not be required to deliver a Term SOFR Notice after the occurrence of a Term SOFR Transition Event and may do so in its sole discretion.</w:t>
      </w:r>
    </w:p>
    <w:p>
      <w:pPr>
        <w:spacing w:after="0" w:line="168" w:lineRule="exact"/>
        <w:rPr>
          <w:sz w:val="20"/>
          <w:szCs w:val="20"/>
          <w:color w:val="auto"/>
        </w:rPr>
      </w:pPr>
    </w:p>
    <w:p>
      <w:pPr>
        <w:jc w:val="both"/>
        <w:ind w:firstLine="1505"/>
        <w:spacing w:after="0" w:line="243" w:lineRule="auto"/>
        <w:tabs>
          <w:tab w:leader="none" w:pos="2036" w:val="left"/>
        </w:tabs>
        <w:numPr>
          <w:ilvl w:val="0"/>
          <w:numId w:val="89"/>
        </w:numPr>
        <w:rPr>
          <w:rFonts w:ascii="Arial" w:cs="Arial" w:eastAsia="Arial" w:hAnsi="Arial"/>
          <w:sz w:val="20"/>
          <w:szCs w:val="20"/>
          <w:color w:val="auto"/>
        </w:rPr>
      </w:pPr>
      <w:r>
        <w:rPr>
          <w:rFonts w:ascii="Arial" w:cs="Arial" w:eastAsia="Arial" w:hAnsi="Arial"/>
          <w:sz w:val="20"/>
          <w:szCs w:val="20"/>
          <w:color w:val="FF0000"/>
          <w:strike w:val="1"/>
        </w:rPr>
        <w:t>(d)</w:t>
      </w:r>
      <w:r>
        <w:rPr>
          <w:rFonts w:ascii="Arial" w:cs="Arial" w:eastAsia="Arial" w:hAnsi="Arial"/>
          <w:sz w:val="20"/>
          <w:szCs w:val="20"/>
          <w:color w:val="FF0000"/>
        </w:rPr>
        <w:t xml:space="preserve"> </w:t>
      </w:r>
      <w:r>
        <w:rPr>
          <w:rFonts w:ascii="Arial" w:cs="Arial" w:eastAsia="Arial" w:hAnsi="Arial"/>
          <w:sz w:val="20"/>
          <w:szCs w:val="20"/>
          <w:color w:val="000000"/>
        </w:rPr>
        <w:t>In connection with the implementation of a Benchmark Replacement, the Administrative Agent will have the</w:t>
      </w:r>
      <w:r>
        <w:rPr>
          <w:rFonts w:ascii="Arial" w:cs="Arial" w:eastAsia="Arial" w:hAnsi="Arial"/>
          <w:sz w:val="20"/>
          <w:szCs w:val="20"/>
          <w:color w:val="FF0000"/>
        </w:rPr>
        <w:t xml:space="preserve"> </w:t>
      </w:r>
      <w:r>
        <w:rPr>
          <w:rFonts w:ascii="Arial" w:cs="Arial" w:eastAsia="Arial" w:hAnsi="Arial"/>
          <w:sz w:val="20"/>
          <w:szCs w:val="20"/>
          <w:color w:val="000000"/>
        </w:rPr>
        <w:t xml:space="preserve">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the Administrative Agent shall deliver a copy of any such amendment to the Company for consultation at least five (5) Business Days prior to the effectiveness thereof (or such shorter period as agreed by the Company).</w:t>
      </w:r>
    </w:p>
    <w:p>
      <w:pPr>
        <w:spacing w:after="0" w:line="195" w:lineRule="exact"/>
        <w:rPr>
          <w:rFonts w:ascii="Arial" w:cs="Arial" w:eastAsia="Arial" w:hAnsi="Arial"/>
          <w:sz w:val="20"/>
          <w:szCs w:val="20"/>
          <w:color w:val="auto"/>
        </w:rPr>
      </w:pPr>
    </w:p>
    <w:p>
      <w:pPr>
        <w:jc w:val="both"/>
        <w:ind w:firstLine="1505"/>
        <w:spacing w:after="0" w:line="272" w:lineRule="auto"/>
        <w:tabs>
          <w:tab w:leader="none" w:pos="2036" w:val="left"/>
        </w:tabs>
        <w:numPr>
          <w:ilvl w:val="0"/>
          <w:numId w:val="89"/>
        </w:numPr>
        <w:rPr>
          <w:rFonts w:ascii="Arial" w:cs="Arial" w:eastAsia="Arial" w:hAnsi="Arial"/>
          <w:sz w:val="18"/>
          <w:szCs w:val="18"/>
          <w:color w:val="auto"/>
        </w:rPr>
      </w:pPr>
      <w:r>
        <w:rPr>
          <w:rFonts w:ascii="Arial" w:cs="Arial" w:eastAsia="Arial" w:hAnsi="Arial"/>
          <w:sz w:val="18"/>
          <w:szCs w:val="18"/>
          <w:color w:val="FF0000"/>
          <w:strike w:val="1"/>
        </w:rPr>
        <w:t>(e)</w:t>
      </w:r>
      <w:r>
        <w:rPr>
          <w:rFonts w:ascii="Arial" w:cs="Arial" w:eastAsia="Arial" w:hAnsi="Arial"/>
          <w:sz w:val="18"/>
          <w:szCs w:val="18"/>
          <w:color w:val="FF0000"/>
        </w:rPr>
        <w:t xml:space="preserve"> </w:t>
      </w:r>
      <w:r>
        <w:rPr>
          <w:rFonts w:ascii="Arial" w:cs="Arial" w:eastAsia="Arial" w:hAnsi="Arial"/>
          <w:sz w:val="18"/>
          <w:szCs w:val="18"/>
          <w:color w:val="000000"/>
        </w:rPr>
        <w:t>The Administrative Agent will promptly notify the Company and the Lenders of (i) any occurrence of a</w:t>
      </w:r>
      <w:r>
        <w:rPr>
          <w:rFonts w:ascii="Arial" w:cs="Arial" w:eastAsia="Arial" w:hAnsi="Arial"/>
          <w:sz w:val="18"/>
          <w:szCs w:val="18"/>
          <w:color w:val="FF0000"/>
        </w:rPr>
        <w:t xml:space="preserve"> </w:t>
      </w:r>
      <w:r>
        <w:rPr>
          <w:rFonts w:ascii="Arial" w:cs="Arial" w:eastAsia="Arial" w:hAnsi="Arial"/>
          <w:sz w:val="18"/>
          <w:szCs w:val="18"/>
          <w:color w:val="000000"/>
        </w:rPr>
        <w:t xml:space="preserve">Benchmark Transition Event, </w:t>
      </w:r>
      <w:r>
        <w:rPr>
          <w:rFonts w:ascii="Arial" w:cs="Arial" w:eastAsia="Arial" w:hAnsi="Arial"/>
          <w:sz w:val="18"/>
          <w:szCs w:val="18"/>
          <w:color w:val="FF0000"/>
          <w:strike w:val="1"/>
        </w:rPr>
        <w:t>an Early Opt-in Election or an Other Benchmark Rate Election, as applicable,</w:t>
      </w:r>
      <w:r>
        <w:rPr>
          <w:rFonts w:ascii="Arial" w:cs="Arial" w:eastAsia="Arial" w:hAnsi="Arial"/>
          <w:sz w:val="18"/>
          <w:szCs w:val="18"/>
          <w:color w:val="000000"/>
        </w:rPr>
        <w:t xml:space="preserve"> (ii) the implementation of any Benchmark Replacement, (iii) the effectiveness of any Benchmark Replacement Conforming Changes, (iv) the removal or reinstatement of any tenor of a Benchmark pursuant to clause (</w:t>
      </w:r>
      <w:r>
        <w:rPr>
          <w:rFonts w:ascii="Arial" w:cs="Arial" w:eastAsia="Arial" w:hAnsi="Arial"/>
          <w:sz w:val="18"/>
          <w:szCs w:val="18"/>
          <w:color w:val="FF0000"/>
          <w:strike w:val="1"/>
        </w:rPr>
        <w:t>f</w:t>
      </w:r>
      <w:r>
        <w:rPr>
          <w:rFonts w:ascii="Arial" w:cs="Arial" w:eastAsia="Arial" w:hAnsi="Arial"/>
          <w:sz w:val="18"/>
          <w:szCs w:val="18"/>
          <w:u w:val="single" w:color="auto"/>
          <w:color w:val="0000FF"/>
        </w:rPr>
        <w:t>e</w:t>
      </w:r>
      <w:r>
        <w:rPr>
          <w:rFonts w:ascii="Arial" w:cs="Arial" w:eastAsia="Arial" w:hAnsi="Arial"/>
          <w:sz w:val="18"/>
          <w:szCs w:val="18"/>
          <w:color w:val="000000"/>
        </w:rPr>
        <w:t>)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70" w:lineRule="exact"/>
        <w:rPr>
          <w:rFonts w:ascii="Arial" w:cs="Arial" w:eastAsia="Arial" w:hAnsi="Arial"/>
          <w:sz w:val="18"/>
          <w:szCs w:val="18"/>
          <w:color w:val="auto"/>
        </w:rPr>
      </w:pPr>
    </w:p>
    <w:p>
      <w:pPr>
        <w:jc w:val="both"/>
        <w:ind w:firstLine="1505"/>
        <w:spacing w:after="0" w:line="271" w:lineRule="auto"/>
        <w:tabs>
          <w:tab w:leader="none" w:pos="2036" w:val="left"/>
        </w:tabs>
        <w:numPr>
          <w:ilvl w:val="0"/>
          <w:numId w:val="89"/>
        </w:numPr>
        <w:rPr>
          <w:rFonts w:ascii="Arial" w:cs="Arial" w:eastAsia="Arial" w:hAnsi="Arial"/>
          <w:sz w:val="18"/>
          <w:szCs w:val="18"/>
          <w:color w:val="auto"/>
        </w:rPr>
      </w:pPr>
      <w:r>
        <w:rPr>
          <w:rFonts w:ascii="Arial" w:cs="Arial" w:eastAsia="Arial" w:hAnsi="Arial"/>
          <w:sz w:val="18"/>
          <w:szCs w:val="18"/>
          <w:color w:val="FF0000"/>
          <w:strike w:val="1"/>
        </w:rPr>
        <w:t>(f)</w:t>
      </w:r>
      <w:r>
        <w:rPr>
          <w:rFonts w:ascii="Arial" w:cs="Arial" w:eastAsia="Arial" w:hAnsi="Arial"/>
          <w:sz w:val="18"/>
          <w:szCs w:val="18"/>
          <w:color w:val="FF0000"/>
        </w:rPr>
        <w:t xml:space="preserve"> </w:t>
      </w:r>
      <w:r>
        <w:rPr>
          <w:rFonts w:ascii="Arial" w:cs="Arial" w:eastAsia="Arial" w:hAnsi="Arial"/>
          <w:sz w:val="18"/>
          <w:szCs w:val="18"/>
          <w:color w:val="000000"/>
        </w:rPr>
        <w:t>Notwithstanding anything to the contrary herein or in any other Loan Document, at any time (including in</w:t>
      </w:r>
      <w:r>
        <w:rPr>
          <w:rFonts w:ascii="Arial" w:cs="Arial" w:eastAsia="Arial" w:hAnsi="Arial"/>
          <w:sz w:val="18"/>
          <w:szCs w:val="18"/>
          <w:color w:val="FF0000"/>
        </w:rPr>
        <w:t xml:space="preserve"> </w:t>
      </w:r>
      <w:r>
        <w:rPr>
          <w:rFonts w:ascii="Arial" w:cs="Arial" w:eastAsia="Arial" w:hAnsi="Arial"/>
          <w:sz w:val="18"/>
          <w:szCs w:val="18"/>
          <w:color w:val="000000"/>
        </w:rPr>
        <w:t xml:space="preserve">connection with the implementation of a Benchmark Replacement), (i) if the then-current Benchmark is a term rate (including </w:t>
      </w:r>
      <w:r>
        <w:rPr>
          <w:rFonts w:ascii="Arial" w:cs="Arial" w:eastAsia="Arial" w:hAnsi="Arial"/>
          <w:sz w:val="18"/>
          <w:szCs w:val="18"/>
          <w:color w:val="FF0000"/>
          <w:strike w:val="1"/>
        </w:rPr>
        <w:t>Term SOFR or</w:t>
      </w:r>
      <w:r>
        <w:rPr>
          <w:rFonts w:ascii="Arial" w:cs="Arial" w:eastAsia="Arial" w:hAnsi="Arial"/>
          <w:sz w:val="18"/>
          <w:szCs w:val="18"/>
          <w:color w:val="000000"/>
        </w:rPr>
        <w:t xml:space="preserve"> any Relevant Rate) and either (A) any tenor for such Benchmark is not displayed on a screen or other information service that publishes such rate from time to time as selected by the Administrative Agent in its reasonable discretion after consultation with the Company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69" w:lineRule="exact"/>
        <w:rPr>
          <w:rFonts w:ascii="Arial" w:cs="Arial" w:eastAsia="Arial" w:hAnsi="Arial"/>
          <w:sz w:val="18"/>
          <w:szCs w:val="18"/>
          <w:color w:val="auto"/>
        </w:rPr>
      </w:pPr>
    </w:p>
    <w:p>
      <w:pPr>
        <w:ind w:firstLine="1505"/>
        <w:spacing w:after="0" w:line="260" w:lineRule="auto"/>
        <w:tabs>
          <w:tab w:leader="none" w:pos="2036" w:val="left"/>
        </w:tabs>
        <w:numPr>
          <w:ilvl w:val="0"/>
          <w:numId w:val="89"/>
        </w:numPr>
        <w:rPr>
          <w:rFonts w:ascii="Arial" w:cs="Arial" w:eastAsia="Arial" w:hAnsi="Arial"/>
          <w:sz w:val="20"/>
          <w:szCs w:val="20"/>
          <w:color w:val="auto"/>
        </w:rPr>
      </w:pPr>
      <w:r>
        <w:rPr>
          <w:rFonts w:ascii="Arial" w:cs="Arial" w:eastAsia="Arial" w:hAnsi="Arial"/>
          <w:sz w:val="20"/>
          <w:szCs w:val="20"/>
          <w:color w:val="FF0000"/>
          <w:strike w:val="1"/>
        </w:rPr>
        <w:t>(g)</w:t>
      </w:r>
      <w:r>
        <w:rPr>
          <w:rFonts w:ascii="Arial" w:cs="Arial" w:eastAsia="Arial" w:hAnsi="Arial"/>
          <w:sz w:val="20"/>
          <w:szCs w:val="20"/>
          <w:color w:val="FF0000"/>
        </w:rPr>
        <w:t xml:space="preserve"> </w:t>
      </w:r>
      <w:r>
        <w:rPr>
          <w:rFonts w:ascii="Arial" w:cs="Arial" w:eastAsia="Arial" w:hAnsi="Arial"/>
          <w:sz w:val="20"/>
          <w:szCs w:val="20"/>
          <w:color w:val="000000"/>
        </w:rPr>
        <w:t>Upon the Company’s receipt of notice of the commencement of a Benchmark Unavailability Period, the</w:t>
      </w:r>
      <w:r>
        <w:rPr>
          <w:rFonts w:ascii="Arial" w:cs="Arial" w:eastAsia="Arial" w:hAnsi="Arial"/>
          <w:sz w:val="20"/>
          <w:szCs w:val="20"/>
          <w:color w:val="FF0000"/>
        </w:rPr>
        <w:t xml:space="preserve"> </w:t>
      </w:r>
      <w:r>
        <w:rPr>
          <w:rFonts w:ascii="Arial" w:cs="Arial" w:eastAsia="Arial" w:hAnsi="Arial"/>
          <w:sz w:val="20"/>
          <w:szCs w:val="20"/>
          <w:color w:val="FF0000"/>
          <w:strike w:val="1"/>
        </w:rPr>
        <w:t>Company</w:t>
      </w:r>
      <w:r>
        <w:rPr>
          <w:rFonts w:ascii="Arial" w:cs="Arial" w:eastAsia="Arial" w:hAnsi="Arial"/>
          <w:sz w:val="20"/>
          <w:szCs w:val="20"/>
          <w:u w:val="single" w:color="auto"/>
          <w:color w:val="0000FF"/>
        </w:rPr>
        <w:t>applicable Borrower</w:t>
      </w:r>
      <w:r>
        <w:rPr>
          <w:rFonts w:ascii="Arial" w:cs="Arial" w:eastAsia="Arial" w:hAnsi="Arial"/>
          <w:sz w:val="20"/>
          <w:szCs w:val="20"/>
          <w:color w:val="FF0000"/>
        </w:rPr>
        <w:t xml:space="preserve"> </w:t>
      </w:r>
      <w:r>
        <w:rPr>
          <w:rFonts w:ascii="Arial" w:cs="Arial" w:eastAsia="Arial" w:hAnsi="Arial"/>
          <w:sz w:val="20"/>
          <w:szCs w:val="20"/>
          <w:color w:val="000000"/>
        </w:rPr>
        <w:t>may revoke any request for a</w:t>
      </w:r>
      <w:r>
        <w:rPr>
          <w:rFonts w:ascii="Arial" w:cs="Arial" w:eastAsia="Arial" w:hAnsi="Arial"/>
          <w:sz w:val="20"/>
          <w:szCs w:val="20"/>
          <w:color w:val="FF0000"/>
        </w:rPr>
        <w:t xml:space="preserve">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7" w:name="page128"/>
    <w:bookmarkEnd w:id="127"/>
    <w:p>
      <w:pPr>
        <w:jc w:val="both"/>
        <w:spacing w:after="0" w:line="267" w:lineRule="auto"/>
        <w:rPr>
          <w:sz w:val="20"/>
          <w:szCs w:val="20"/>
          <w:color w:val="auto"/>
        </w:rPr>
      </w:pPr>
      <w:r>
        <w:rPr>
          <w:rFonts w:ascii="Arial" w:cs="Arial" w:eastAsia="Arial" w:hAnsi="Arial"/>
          <w:sz w:val="18"/>
          <w:szCs w:val="18"/>
          <w:u w:val="single" w:color="auto"/>
          <w:color w:val="0000FF"/>
        </w:rPr>
        <w:t>Benchmark</w:t>
      </w:r>
      <w:r>
        <w:rPr>
          <w:rFonts w:ascii="Arial" w:cs="Arial" w:eastAsia="Arial" w:hAnsi="Arial"/>
          <w:sz w:val="18"/>
          <w:szCs w:val="18"/>
          <w:color w:val="0000FF"/>
        </w:rPr>
        <w:t xml:space="preserve"> </w:t>
      </w:r>
      <w:r>
        <w:rPr>
          <w:rFonts w:ascii="Arial" w:cs="Arial" w:eastAsia="Arial" w:hAnsi="Arial"/>
          <w:sz w:val="18"/>
          <w:szCs w:val="18"/>
          <w:color w:val="000000"/>
        </w:rPr>
        <w:t>Borrowing or RFR Borrowing of, conversion to or continuation of</w:t>
      </w:r>
      <w:r>
        <w:rPr>
          <w:rFonts w:ascii="Arial" w:cs="Arial" w:eastAsia="Arial" w:hAnsi="Arial"/>
          <w:sz w:val="18"/>
          <w:szCs w:val="18"/>
          <w:color w:val="0000FF"/>
        </w:rPr>
        <w:t xml:space="preserve">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0000FF"/>
        </w:rPr>
        <w:t xml:space="preserve"> </w:t>
      </w:r>
      <w:r>
        <w:rPr>
          <w:rFonts w:ascii="Arial" w:cs="Arial" w:eastAsia="Arial" w:hAnsi="Arial"/>
          <w:sz w:val="18"/>
          <w:szCs w:val="18"/>
          <w:color w:val="000000"/>
        </w:rPr>
        <w:t>Loans to be made, converted</w:t>
      </w:r>
      <w:r>
        <w:rPr>
          <w:rFonts w:ascii="Arial" w:cs="Arial" w:eastAsia="Arial" w:hAnsi="Arial"/>
          <w:sz w:val="18"/>
          <w:szCs w:val="18"/>
          <w:color w:val="0000FF"/>
        </w:rPr>
        <w:t xml:space="preserve"> </w:t>
      </w:r>
      <w:r>
        <w:rPr>
          <w:rFonts w:ascii="Arial" w:cs="Arial" w:eastAsia="Arial" w:hAnsi="Arial"/>
          <w:sz w:val="18"/>
          <w:szCs w:val="18"/>
          <w:color w:val="000000"/>
        </w:rPr>
        <w:t xml:space="preserve">or continued during any Benchmark Unavailability Period and, failing that, either (x) </w:t>
      </w:r>
      <w:r>
        <w:rPr>
          <w:rFonts w:ascii="Arial" w:cs="Arial" w:eastAsia="Arial" w:hAnsi="Arial"/>
          <w:sz w:val="18"/>
          <w:szCs w:val="18"/>
          <w:color w:val="FF0000"/>
          <w:strike w:val="1"/>
        </w:rPr>
        <w:t>the Company</w:t>
      </w:r>
      <w:r>
        <w:rPr>
          <w:rFonts w:ascii="Arial" w:cs="Arial" w:eastAsia="Arial" w:hAnsi="Arial"/>
          <w:sz w:val="18"/>
          <w:szCs w:val="18"/>
          <w:u w:val="single" w:color="auto"/>
          <w:color w:val="0000FF"/>
        </w:rPr>
        <w:t>such Borrower</w:t>
      </w:r>
      <w:r>
        <w:rPr>
          <w:rFonts w:ascii="Arial" w:cs="Arial" w:eastAsia="Arial" w:hAnsi="Arial"/>
          <w:sz w:val="18"/>
          <w:szCs w:val="18"/>
          <w:color w:val="000000"/>
        </w:rPr>
        <w:t xml:space="preserve"> will be deemed to have converted any request for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000000"/>
        </w:rPr>
        <w:t xml:space="preserve"> Borrowing denominated in U.S. Dollars into a request for a Borrowing of or conversion to </w:t>
      </w:r>
      <w:r>
        <w:rPr>
          <w:rFonts w:ascii="Arial" w:cs="Arial" w:eastAsia="Arial" w:hAnsi="Arial"/>
          <w:sz w:val="18"/>
          <w:szCs w:val="18"/>
          <w:color w:val="FF0000"/>
          <w:strike w:val="1"/>
        </w:rPr>
        <w:t>ABR Loans, (y) the Company will be deemed to have converted any request for a Eurocurrency Borrowing denominated in</w:t>
      </w:r>
      <w:r>
        <w:rPr>
          <w:rFonts w:ascii="Arial" w:cs="Arial" w:eastAsia="Arial" w:hAnsi="Arial"/>
          <w:sz w:val="18"/>
          <w:szCs w:val="18"/>
          <w:color w:val="000000"/>
        </w:rPr>
        <w:t xml:space="preserve"> </w:t>
      </w:r>
      <w:r>
        <w:rPr>
          <w:rFonts w:ascii="Arial" w:cs="Arial" w:eastAsia="Arial" w:hAnsi="Arial"/>
          <w:sz w:val="18"/>
          <w:szCs w:val="18"/>
          <w:color w:val="FF0000"/>
          <w:strike w:val="1"/>
        </w:rPr>
        <w:t>Canadian Dollars into a request for a Borrowing of or conversion to Canadian Prime Rate Loans or (z) any request for a Eurocurrency Borrowing or</w:t>
      </w:r>
      <w:r>
        <w:rPr>
          <w:rFonts w:ascii="Arial" w:cs="Arial" w:eastAsia="Arial" w:hAnsi="Arial"/>
          <w:sz w:val="18"/>
          <w:szCs w:val="18"/>
          <w:u w:val="single" w:color="auto"/>
          <w:color w:val="0000FF"/>
          <w:strike w:val="1"/>
        </w:rPr>
        <w:t>(A)</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an RFR Borrowing denominated</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in U.S. Dollars so long as the Adjusted Daily Simple RFR for U.S. Dollar Borrowings is</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not the subject of a Benchmark Transition Event or (B) an ABR Borrowing if the Adjusted Daily Simple RFR for U.S. Dollar Borrowings is the subject of a Benchmark Transition Event or (y) any Term Benchmark Borrowing or RFR Borrowing denominated</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in a Foreign Currency</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(other than Canadian Dollars) shall be ineffective.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Furthermore, if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strike w:val="1"/>
        </w:rPr>
        <w:t>Term</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Benchmark</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Loan or RFR Loan in any Agreed Currency is outstanding on the date of the Company’s receipt of notice of the commencement</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of a Benchmark Unavailability Period with respect to a Relevant </w:t>
      </w:r>
      <w:r>
        <w:rPr>
          <w:rFonts w:ascii="Arial" w:cs="Arial" w:eastAsia="Arial" w:hAnsi="Arial"/>
          <w:sz w:val="18"/>
          <w:szCs w:val="18"/>
          <w:u w:val="single" w:color="auto"/>
          <w:color w:val="0000FF"/>
          <w:strike w:val="1"/>
        </w:rPr>
        <w:t>Adjusted</w:t>
      </w:r>
      <w:r>
        <w:rPr>
          <w:rFonts w:ascii="Arial" w:cs="Arial" w:eastAsia="Arial" w:hAnsi="Arial"/>
          <w:sz w:val="18"/>
          <w:szCs w:val="18"/>
          <w:color w:val="000000"/>
          <w:strike w:val="1"/>
        </w:rPr>
        <w:t xml:space="preserve"> Rate applicable to such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strike w:val="1"/>
        </w:rPr>
        <w:t>Term Benchmark</w:t>
      </w:r>
      <w:r>
        <w:rPr>
          <w:rFonts w:ascii="Arial" w:cs="Arial" w:eastAsia="Arial" w:hAnsi="Arial"/>
          <w:sz w:val="18"/>
          <w:szCs w:val="18"/>
          <w:color w:val="000000"/>
          <w:strike w:val="1"/>
        </w:rPr>
        <w:t xml:space="preserve"> Loan or RFR Loan, then until such time as a Benchmark Replacement for such Agreed Currency is implemented pursuant to this ‎Section 2.14, (</w:t>
      </w:r>
      <w:r>
        <w:rPr>
          <w:rFonts w:ascii="Arial" w:cs="Arial" w:eastAsia="Arial" w:hAnsi="Arial"/>
          <w:sz w:val="18"/>
          <w:szCs w:val="18"/>
          <w:color w:val="FF0000"/>
          <w:strike w:val="1"/>
        </w:rPr>
        <w:t>i</w:t>
      </w:r>
      <w:r>
        <w:rPr>
          <w:rFonts w:ascii="Arial" w:cs="Arial" w:eastAsia="Arial" w:hAnsi="Arial"/>
          <w:sz w:val="18"/>
          <w:szCs w:val="18"/>
          <w:u w:val="single" w:color="auto"/>
          <w:color w:val="0000FF"/>
          <w:strike w:val="1"/>
        </w:rPr>
        <w:t>A</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if</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such Eurocurrency Loan is</w:t>
      </w:r>
      <w:r>
        <w:rPr>
          <w:rFonts w:ascii="Arial" w:cs="Arial" w:eastAsia="Arial" w:hAnsi="Arial"/>
          <w:sz w:val="18"/>
          <w:szCs w:val="18"/>
          <w:u w:val="single" w:color="auto"/>
          <w:color w:val="0000FF"/>
          <w:strike w:val="1"/>
        </w:rPr>
        <w:t>for Loans</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denominated in U.S. Dollars</w:t>
      </w:r>
      <w:r>
        <w:rPr>
          <w:rFonts w:ascii="Arial" w:cs="Arial" w:eastAsia="Arial" w:hAnsi="Arial"/>
          <w:sz w:val="18"/>
          <w:szCs w:val="18"/>
          <w:color w:val="FF0000"/>
          <w:strike w:val="1"/>
        </w:rPr>
        <w:t xml:space="preserve">, then </w:t>
      </w:r>
      <w:r>
        <w:rPr>
          <w:rFonts w:ascii="Arial" w:cs="Arial" w:eastAsia="Arial" w:hAnsi="Arial"/>
          <w:sz w:val="18"/>
          <w:szCs w:val="18"/>
          <w:u w:val="single" w:color="auto"/>
          <w:color w:val="0000FF"/>
          <w:strike w:val="1"/>
        </w:rPr>
        <w:t>any Term Benchmark Loan shall</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on the last day of the Interest Period</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applicable to such </w:t>
      </w:r>
      <w:r>
        <w:rPr>
          <w:rFonts w:ascii="Arial" w:cs="Arial" w:eastAsia="Arial" w:hAnsi="Arial"/>
          <w:sz w:val="18"/>
          <w:szCs w:val="18"/>
          <w:color w:val="FF0000"/>
          <w:strike w:val="1"/>
        </w:rPr>
        <w:t>Eurocurrency Loan (or the next succeeding Business Day if such day is not a Business Day), such Eurocurrency</w:t>
      </w:r>
      <w:r>
        <w:rPr>
          <w:rFonts w:ascii="Arial" w:cs="Arial" w:eastAsia="Arial" w:hAnsi="Arial"/>
          <w:sz w:val="18"/>
          <w:szCs w:val="18"/>
          <w:u w:val="single" w:color="auto"/>
          <w:color w:val="0000FF"/>
          <w:strike w:val="1"/>
        </w:rPr>
        <w:t>Loan, be</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converted by the Administrative Agent to, and shall constitute, (x) an RFR Borrowing denominated in U.S. Dollars so long as the Adjusted Daily Simple RFR for U.S. Dollar Borrowings is not the subject of a Benchmark Transition Event or (y) an ABR Loan if the Adjusted Daily Simple RFR for U.S. Dollar Borrowings is the subject of a Benchmark Transition Event, on such day, (B) for Loans denominated in Japanese Yen, on the last day of the Interest Period applicable to such Term Benchmark Loan such Term Benchmark</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Loan shall be converted by the</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Administrative Agent to, and shall constitute, </w:t>
      </w:r>
      <w:r>
        <w:rPr>
          <w:rFonts w:ascii="Arial" w:cs="Arial" w:eastAsia="Arial" w:hAnsi="Arial"/>
          <w:sz w:val="18"/>
          <w:szCs w:val="18"/>
          <w:color w:val="FF0000"/>
          <w:strike w:val="1"/>
        </w:rPr>
        <w:t>an ABR</w:t>
      </w:r>
      <w:r>
        <w:rPr>
          <w:rFonts w:ascii="Arial" w:cs="Arial" w:eastAsia="Arial" w:hAnsi="Arial"/>
          <w:sz w:val="18"/>
          <w:szCs w:val="18"/>
          <w:u w:val="single" w:color="auto"/>
          <w:color w:val="0000FF"/>
          <w:strike w:val="1"/>
        </w:rPr>
        <w:t>a</w:t>
      </w:r>
      <w:r>
        <w:rPr>
          <w:rFonts w:ascii="Arial" w:cs="Arial" w:eastAsia="Arial" w:hAnsi="Arial"/>
          <w:sz w:val="18"/>
          <w:szCs w:val="18"/>
          <w:color w:val="000000"/>
          <w:strike w:val="1"/>
        </w:rPr>
        <w:t xml:space="preserve"> Loan </w:t>
      </w:r>
      <w:r>
        <w:rPr>
          <w:rFonts w:ascii="Arial" w:cs="Arial" w:eastAsia="Arial" w:hAnsi="Arial"/>
          <w:sz w:val="18"/>
          <w:szCs w:val="18"/>
          <w:color w:val="FF0000"/>
          <w:strike w:val="1"/>
        </w:rPr>
        <w:t>denominated in U.S. Dollars on such day, (ii) if such Eurocurrency Loan is</w:t>
      </w:r>
      <w:r>
        <w:rPr>
          <w:rFonts w:ascii="Arial" w:cs="Arial" w:eastAsia="Arial" w:hAnsi="Arial"/>
          <w:sz w:val="18"/>
          <w:szCs w:val="18"/>
          <w:u w:val="single" w:color="auto"/>
          <w:color w:val="0000FF"/>
          <w:strike w:val="1"/>
        </w:rPr>
        <w:t>that</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bears interest at the Japanese Prime Rate plus the Applicable Rate, (C) for Loans</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denominated in Canadian Dollars,</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then</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on the last day of the</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Interest Period applicable to such </w:t>
      </w:r>
      <w:r>
        <w:rPr>
          <w:rFonts w:ascii="Arial" w:cs="Arial" w:eastAsia="Arial" w:hAnsi="Arial"/>
          <w:sz w:val="18"/>
          <w:szCs w:val="18"/>
          <w:color w:val="FF0000"/>
          <w:strike w:val="1"/>
        </w:rPr>
        <w:t>Eurocurrency Loan (or the next succeeding Business Day if such day is not a Business Day), such</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strike w:val="1"/>
        </w:rPr>
        <w:t>Term Benchmark Loan such Term Benchmark</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Loan shall be converted by the Administrative Agent to, and shall constitute,</w:t>
      </w:r>
      <w:r>
        <w:rPr>
          <w:rFonts w:ascii="Arial" w:cs="Arial" w:eastAsia="Arial" w:hAnsi="Arial"/>
          <w:sz w:val="18"/>
          <w:szCs w:val="18"/>
          <w:color w:val="FF0000"/>
          <w:strike w:val="1"/>
        </w:rPr>
        <w:t xml:space="preserve"> an</w:t>
      </w:r>
      <w:r>
        <w:rPr>
          <w:rFonts w:ascii="Arial" w:cs="Arial" w:eastAsia="Arial" w:hAnsi="Arial"/>
          <w:sz w:val="18"/>
          <w:szCs w:val="18"/>
          <w:u w:val="single" w:color="auto"/>
          <w:color w:val="0000FF"/>
          <w:strike w:val="1"/>
        </w:rPr>
        <w:t>a</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Loan that bears interest at the</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Canadian Prime Rate</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Loan</w:t>
      </w:r>
      <w:r>
        <w:rPr>
          <w:rFonts w:ascii="Arial" w:cs="Arial" w:eastAsia="Arial" w:hAnsi="Arial"/>
          <w:sz w:val="18"/>
          <w:szCs w:val="18"/>
          <w:u w:val="single" w:color="auto"/>
          <w:color w:val="0000FF"/>
          <w:strike w:val="1"/>
        </w:rPr>
        <w:t>plus the Applicable Rate and (D) for Loans</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denominated in</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Canadian Dollars on</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such day, (iii) if such Eurocurrency Loan is denominated in any Agreed</w:t>
      </w:r>
      <w:r>
        <w:rPr>
          <w:rFonts w:ascii="Arial" w:cs="Arial" w:eastAsia="Arial" w:hAnsi="Arial"/>
          <w:sz w:val="18"/>
          <w:szCs w:val="18"/>
          <w:u w:val="single" w:color="auto"/>
          <w:color w:val="0000FF"/>
          <w:strike w:val="1"/>
        </w:rPr>
        <w:t>a Foreign</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Currency other than</w:t>
      </w:r>
      <w:r>
        <w:rPr>
          <w:rFonts w:ascii="Arial" w:cs="Arial" w:eastAsia="Arial" w:hAnsi="Arial"/>
          <w:sz w:val="18"/>
          <w:szCs w:val="18"/>
          <w:color w:val="FF0000"/>
          <w:strike w:val="1"/>
        </w:rPr>
        <w:t xml:space="preserve"> U.S. Dollars</w:t>
      </w:r>
      <w:r>
        <w:rPr>
          <w:rFonts w:ascii="Arial" w:cs="Arial" w:eastAsia="Arial" w:hAnsi="Arial"/>
          <w:sz w:val="18"/>
          <w:szCs w:val="18"/>
          <w:u w:val="single" w:color="auto"/>
          <w:color w:val="0000FF"/>
          <w:strike w:val="1"/>
        </w:rPr>
        <w:t>Japanese Yen</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or Canadian</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Dollars, </w:t>
      </w:r>
      <w:r>
        <w:rPr>
          <w:rFonts w:ascii="Arial" w:cs="Arial" w:eastAsia="Arial" w:hAnsi="Arial"/>
          <w:sz w:val="18"/>
          <w:szCs w:val="18"/>
          <w:color w:val="FF0000"/>
          <w:strike w:val="1"/>
        </w:rPr>
        <w:t>then such Eurocurrency</w:t>
      </w:r>
      <w:r>
        <w:rPr>
          <w:rFonts w:ascii="Arial" w:cs="Arial" w:eastAsia="Arial" w:hAnsi="Arial"/>
          <w:sz w:val="18"/>
          <w:szCs w:val="18"/>
          <w:u w:val="single" w:color="auto"/>
          <w:color w:val="0000FF"/>
          <w:strike w:val="1"/>
        </w:rPr>
        <w:t>(1) any Term Benchmark</w:t>
      </w:r>
      <w:r>
        <w:rPr>
          <w:rFonts w:ascii="Arial" w:cs="Arial" w:eastAsia="Arial" w:hAnsi="Arial"/>
          <w:sz w:val="18"/>
          <w:szCs w:val="18"/>
          <w:color w:val="000000"/>
          <w:strike w:val="1"/>
        </w:rPr>
        <w:t xml:space="preserve"> Loan shall, on the last day of the Interest Period applicable to such </w:t>
      </w:r>
      <w:r>
        <w:rPr>
          <w:rFonts w:ascii="Arial" w:cs="Arial" w:eastAsia="Arial" w:hAnsi="Arial"/>
          <w:sz w:val="18"/>
          <w:szCs w:val="18"/>
          <w:color w:val="FF0000"/>
          <w:strike w:val="1"/>
        </w:rPr>
        <w:t>Eurocurrency</w:t>
      </w:r>
      <w:r>
        <w:rPr>
          <w:rFonts w:ascii="Arial" w:cs="Arial" w:eastAsia="Arial" w:hAnsi="Arial"/>
          <w:sz w:val="18"/>
          <w:szCs w:val="18"/>
          <w:color w:val="000000"/>
          <w:strike w:val="1"/>
        </w:rPr>
        <w:t xml:space="preserve"> Loan </w:t>
      </w:r>
      <w:r>
        <w:rPr>
          <w:rFonts w:ascii="Arial" w:cs="Arial" w:eastAsia="Arial" w:hAnsi="Arial"/>
          <w:sz w:val="18"/>
          <w:szCs w:val="18"/>
          <w:color w:val="FF0000"/>
          <w:strike w:val="1"/>
        </w:rPr>
        <w:t>(or the next succeeding Business Day if such day is not a Business Day)</w:t>
      </w:r>
      <w:r>
        <w:rPr>
          <w:rFonts w:ascii="Arial" w:cs="Arial" w:eastAsia="Arial" w:hAnsi="Arial"/>
          <w:sz w:val="18"/>
          <w:szCs w:val="18"/>
          <w:color w:val="000000"/>
          <w:strike w:val="1"/>
        </w:rPr>
        <w:t xml:space="preserve"> bear interest at the Central Bank Rate for the applicable </w:t>
      </w:r>
      <w:r>
        <w:rPr>
          <w:rFonts w:ascii="Arial" w:cs="Arial" w:eastAsia="Arial" w:hAnsi="Arial"/>
          <w:sz w:val="18"/>
          <w:szCs w:val="18"/>
          <w:color w:val="FF0000"/>
          <w:strike w:val="1"/>
        </w:rPr>
        <w:t xml:space="preserve">Agreed </w:t>
      </w:r>
      <w:r>
        <w:rPr>
          <w:rFonts w:ascii="Arial" w:cs="Arial" w:eastAsia="Arial" w:hAnsi="Arial"/>
          <w:sz w:val="18"/>
          <w:szCs w:val="18"/>
          <w:u w:val="single" w:color="auto"/>
          <w:color w:val="0000FF"/>
          <w:strike w:val="1"/>
        </w:rPr>
        <w:t>Foreign</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Currency</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00"/>
          <w:strike w:val="1"/>
        </w:rPr>
        <w:t>plus</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the Applicable Rate;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that, if the Administrative Agent determines, in consultation with the Company,</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(which determination shall be conclusive and binding absent manifest error)</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that the Central Bank Rate for the applicable</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Agreed</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Currency</w:t>
      </w:r>
      <w:r>
        <w:rPr>
          <w:rFonts w:ascii="Arial" w:cs="Arial" w:eastAsia="Arial" w:hAnsi="Arial"/>
          <w:sz w:val="18"/>
          <w:szCs w:val="18"/>
          <w:u w:val="single" w:color="auto"/>
          <w:color w:val="0000FF"/>
          <w:strike w:val="1"/>
        </w:rPr>
        <w:t>Foreign Currency (or in the case of (I) Japanese Yen, the Japanese Prime Rate or (II) Canadian Dollars, the Canadian Prime Rate)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cannot be determined, any outstanding affected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strike w:val="1"/>
        </w:rPr>
        <w:t>Term Benchmark</w:t>
      </w:r>
      <w:r>
        <w:rPr>
          <w:rFonts w:ascii="Arial" w:cs="Arial" w:eastAsia="Arial" w:hAnsi="Arial"/>
          <w:sz w:val="18"/>
          <w:szCs w:val="18"/>
          <w:color w:val="000000"/>
          <w:strike w:val="1"/>
        </w:rPr>
        <w:t xml:space="preserve"> Loans denominated in any </w:t>
      </w:r>
      <w:r>
        <w:rPr>
          <w:rFonts w:ascii="Arial" w:cs="Arial" w:eastAsia="Arial" w:hAnsi="Arial"/>
          <w:sz w:val="18"/>
          <w:szCs w:val="18"/>
          <w:color w:val="FF0000"/>
          <w:strike w:val="1"/>
        </w:rPr>
        <w:t>Agreed</w:t>
      </w:r>
      <w:r>
        <w:rPr>
          <w:rFonts w:ascii="Arial" w:cs="Arial" w:eastAsia="Arial" w:hAnsi="Arial"/>
          <w:sz w:val="18"/>
          <w:szCs w:val="18"/>
          <w:u w:val="single" w:color="auto"/>
          <w:color w:val="0000FF"/>
          <w:strike w:val="1"/>
        </w:rPr>
        <w:t>Foreign</w:t>
      </w:r>
      <w:r>
        <w:rPr>
          <w:rFonts w:ascii="Arial" w:cs="Arial" w:eastAsia="Arial" w:hAnsi="Arial"/>
          <w:sz w:val="18"/>
          <w:szCs w:val="18"/>
          <w:color w:val="000000"/>
          <w:strike w:val="1"/>
        </w:rPr>
        <w:t xml:space="preserve"> Currency </w:t>
      </w:r>
      <w:r>
        <w:rPr>
          <w:rFonts w:ascii="Arial" w:cs="Arial" w:eastAsia="Arial" w:hAnsi="Arial"/>
          <w:sz w:val="18"/>
          <w:szCs w:val="18"/>
          <w:color w:val="FF0000"/>
          <w:strike w:val="1"/>
        </w:rPr>
        <w:t>other</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 xml:space="preserve">than U.S. Dollars or Canadian Dollars </w:t>
      </w:r>
      <w:r>
        <w:rPr>
          <w:rFonts w:ascii="Arial" w:cs="Arial" w:eastAsia="Arial" w:hAnsi="Arial"/>
          <w:sz w:val="18"/>
          <w:szCs w:val="18"/>
          <w:color w:val="000000"/>
          <w:strike w:val="1"/>
        </w:rPr>
        <w:t>shall, at the Company’s election prior to such day: (A) be prepaid by the applicable Borrower on such</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day or (B) solely for the purpose of calculating the interest rate applicable to such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strike w:val="1"/>
        </w:rPr>
        <w:t>Term Benchmark</w:t>
      </w:r>
      <w:r>
        <w:rPr>
          <w:rFonts w:ascii="Arial" w:cs="Arial" w:eastAsia="Arial" w:hAnsi="Arial"/>
          <w:sz w:val="18"/>
          <w:szCs w:val="18"/>
          <w:color w:val="000000"/>
          <w:strike w:val="1"/>
        </w:rPr>
        <w:t xml:space="preserve"> Loan, such </w:t>
      </w:r>
      <w:r>
        <w:rPr>
          <w:rFonts w:ascii="Arial" w:cs="Arial" w:eastAsia="Arial" w:hAnsi="Arial"/>
          <w:sz w:val="18"/>
          <w:szCs w:val="18"/>
          <w:color w:val="FF0000"/>
          <w:strike w:val="1"/>
        </w:rPr>
        <w:t xml:space="preserve">Eurocurrency </w:t>
      </w:r>
      <w:r>
        <w:rPr>
          <w:rFonts w:ascii="Arial" w:cs="Arial" w:eastAsia="Arial" w:hAnsi="Arial"/>
          <w:sz w:val="18"/>
          <w:szCs w:val="18"/>
          <w:u w:val="single" w:color="auto"/>
          <w:color w:val="0000FF"/>
          <w:strike w:val="1"/>
        </w:rPr>
        <w:t>Term Benchmark</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Loan denominated in any</w:t>
      </w:r>
      <w:r>
        <w:rPr>
          <w:rFonts w:ascii="Arial" w:cs="Arial" w:eastAsia="Arial" w:hAnsi="Arial"/>
          <w:sz w:val="18"/>
          <w:szCs w:val="18"/>
          <w:color w:val="FF0000"/>
          <w:strike w:val="1"/>
        </w:rPr>
        <w:t xml:space="preserve"> Agreed</w:t>
      </w:r>
      <w:r>
        <w:rPr>
          <w:rFonts w:ascii="Arial" w:cs="Arial" w:eastAsia="Arial" w:hAnsi="Arial"/>
          <w:sz w:val="18"/>
          <w:szCs w:val="18"/>
          <w:u w:val="single" w:color="auto"/>
          <w:color w:val="0000FF"/>
          <w:strike w:val="1"/>
        </w:rPr>
        <w:t>Foreign</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Currency</w:t>
      </w:r>
      <w:r>
        <w:rPr>
          <w:rFonts w:ascii="Arial" w:cs="Arial" w:eastAsia="Arial" w:hAnsi="Arial"/>
          <w:sz w:val="18"/>
          <w:szCs w:val="18"/>
          <w:color w:val="FF0000"/>
          <w:strike w:val="1"/>
        </w:rPr>
        <w:t xml:space="preserve"> other than U.S. Dollars or Canadian Dollars </w:t>
      </w:r>
      <w:r>
        <w:rPr>
          <w:rFonts w:ascii="Arial" w:cs="Arial" w:eastAsia="Arial" w:hAnsi="Arial"/>
          <w:sz w:val="18"/>
          <w:szCs w:val="18"/>
          <w:color w:val="000000"/>
          <w:strike w:val="1"/>
        </w:rPr>
        <w:t>shall be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deemed to be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strike w:val="1"/>
        </w:rPr>
        <w:t>Term Benchmark</w:t>
      </w:r>
      <w:r>
        <w:rPr>
          <w:rFonts w:ascii="Arial" w:cs="Arial" w:eastAsia="Arial" w:hAnsi="Arial"/>
          <w:sz w:val="18"/>
          <w:szCs w:val="18"/>
          <w:color w:val="000000"/>
          <w:strike w:val="1"/>
        </w:rPr>
        <w:t xml:space="preserve"> Loan denominated in U.S. Dollars and shall accrue interest at the same interest rate applicable to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strike w:val="1"/>
        </w:rPr>
        <w:t>Term Benchmark</w:t>
      </w:r>
      <w:r>
        <w:rPr>
          <w:rFonts w:ascii="Arial" w:cs="Arial" w:eastAsia="Arial" w:hAnsi="Arial"/>
          <w:sz w:val="18"/>
          <w:szCs w:val="18"/>
          <w:color w:val="000000"/>
          <w:strike w:val="1"/>
        </w:rPr>
        <w:t xml:space="preserve"> Loans denominated in U.S. Dollars at such time </w:t>
      </w:r>
      <w:r>
        <w:rPr>
          <w:rFonts w:ascii="Arial" w:cs="Arial" w:eastAsia="Arial" w:hAnsi="Arial"/>
          <w:sz w:val="18"/>
          <w:szCs w:val="18"/>
          <w:color w:val="FF0000"/>
          <w:strike w:val="1"/>
        </w:rPr>
        <w:t>or</w:t>
      </w:r>
      <w:r>
        <w:rPr>
          <w:rFonts w:ascii="Arial" w:cs="Arial" w:eastAsia="Arial" w:hAnsi="Arial"/>
          <w:sz w:val="18"/>
          <w:szCs w:val="18"/>
          <w:u w:val="single" w:color="auto"/>
          <w:color w:val="0000FF"/>
          <w:strike w:val="1"/>
        </w:rPr>
        <w:t>and</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iv</w:t>
      </w:r>
      <w:r>
        <w:rPr>
          <w:rFonts w:ascii="Arial" w:cs="Arial" w:eastAsia="Arial" w:hAnsi="Arial"/>
          <w:sz w:val="18"/>
          <w:szCs w:val="18"/>
          <w:u w:val="single" w:color="auto"/>
          <w:color w:val="0000FF"/>
          <w:strike w:val="1"/>
        </w:rPr>
        <w:t>2</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if such RFR Loan is denominated in any</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Agreed Currency other than U.S. Dollars, then such</w:t>
      </w:r>
      <w:r>
        <w:rPr>
          <w:rFonts w:ascii="Arial" w:cs="Arial" w:eastAsia="Arial" w:hAnsi="Arial"/>
          <w:sz w:val="18"/>
          <w:szCs w:val="18"/>
          <w:u w:val="single" w:color="auto"/>
          <w:color w:val="0000FF"/>
          <w:strike w:val="1"/>
        </w:rPr>
        <w:t>any</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RFR Loan shall bear interest at the Central Bank Rate for the applicable</w:t>
      </w:r>
      <w:r>
        <w:rPr>
          <w:rFonts w:ascii="Arial" w:cs="Arial" w:eastAsia="Arial" w:hAnsi="Arial"/>
          <w:sz w:val="18"/>
          <w:szCs w:val="18"/>
          <w:color w:val="FF0000"/>
          <w:strike w:val="1"/>
        </w:rPr>
        <w:t xml:space="preserve"> Agreed</w:t>
      </w:r>
      <w:r>
        <w:rPr>
          <w:rFonts w:ascii="Arial" w:cs="Arial" w:eastAsia="Arial" w:hAnsi="Arial"/>
          <w:sz w:val="18"/>
          <w:szCs w:val="18"/>
          <w:u w:val="single" w:color="auto"/>
          <w:color w:val="0000FF"/>
          <w:strike w:val="1"/>
        </w:rPr>
        <w:t>Foreign</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Currency</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00"/>
          <w:strike w:val="1"/>
        </w:rPr>
        <w:t>plus</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the Applicable Rate;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8" w:name="page129"/>
    <w:bookmarkEnd w:id="128"/>
    <w:p>
      <w:pPr>
        <w:jc w:val="both"/>
        <w:spacing w:after="0" w:line="244"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Administrative Agent determines, in consultation with the Company, </w:t>
      </w:r>
      <w:r>
        <w:rPr>
          <w:rFonts w:ascii="Arial" w:cs="Arial" w:eastAsia="Arial" w:hAnsi="Arial"/>
          <w:sz w:val="20"/>
          <w:szCs w:val="20"/>
          <w:u w:val="single" w:color="auto"/>
          <w:color w:val="0000FF"/>
        </w:rPr>
        <w:t>(which determination shall be conclusive and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binding absent manifest error)</w:t>
      </w:r>
      <w:r>
        <w:rPr>
          <w:rFonts w:ascii="Arial" w:cs="Arial" w:eastAsia="Arial" w:hAnsi="Arial"/>
          <w:sz w:val="20"/>
          <w:szCs w:val="20"/>
          <w:color w:val="0000FF"/>
        </w:rPr>
        <w:t xml:space="preserve"> </w:t>
      </w:r>
      <w:r>
        <w:rPr>
          <w:rFonts w:ascii="Arial" w:cs="Arial" w:eastAsia="Arial" w:hAnsi="Arial"/>
          <w:sz w:val="20"/>
          <w:szCs w:val="20"/>
          <w:color w:val="000000"/>
        </w:rPr>
        <w:t>that the Central Bank Rate for the applicable</w:t>
      </w:r>
      <w:r>
        <w:rPr>
          <w:rFonts w:ascii="Arial" w:cs="Arial" w:eastAsia="Arial" w:hAnsi="Arial"/>
          <w:sz w:val="20"/>
          <w:szCs w:val="20"/>
          <w:color w:val="0000FF"/>
        </w:rPr>
        <w:t xml:space="preserve"> </w:t>
      </w:r>
      <w:r>
        <w:rPr>
          <w:rFonts w:ascii="Arial" w:cs="Arial" w:eastAsia="Arial" w:hAnsi="Arial"/>
          <w:sz w:val="20"/>
          <w:szCs w:val="20"/>
          <w:color w:val="FF0000"/>
          <w:strike w:val="1"/>
        </w:rPr>
        <w:t>Agreed</w:t>
      </w:r>
      <w:r>
        <w:rPr>
          <w:rFonts w:ascii="Arial" w:cs="Arial" w:eastAsia="Arial" w:hAnsi="Arial"/>
          <w:sz w:val="20"/>
          <w:szCs w:val="20"/>
          <w:u w:val="single" w:color="auto"/>
          <w:color w:val="0000FF"/>
        </w:rPr>
        <w:t>Foreign</w:t>
      </w:r>
      <w:r>
        <w:rPr>
          <w:rFonts w:ascii="Arial" w:cs="Arial" w:eastAsia="Arial" w:hAnsi="Arial"/>
          <w:sz w:val="20"/>
          <w:szCs w:val="20"/>
          <w:color w:val="0000FF"/>
        </w:rPr>
        <w:t xml:space="preserve"> </w:t>
      </w:r>
      <w:r>
        <w:rPr>
          <w:rFonts w:ascii="Arial" w:cs="Arial" w:eastAsia="Arial" w:hAnsi="Arial"/>
          <w:sz w:val="20"/>
          <w:szCs w:val="20"/>
          <w:color w:val="000000"/>
        </w:rPr>
        <w:t>Currency cannot be determined, any outstanding</w:t>
      </w:r>
      <w:r>
        <w:rPr>
          <w:rFonts w:ascii="Arial" w:cs="Arial" w:eastAsia="Arial" w:hAnsi="Arial"/>
          <w:sz w:val="20"/>
          <w:szCs w:val="20"/>
          <w:color w:val="0000FF"/>
        </w:rPr>
        <w:t xml:space="preserve"> </w:t>
      </w:r>
      <w:r>
        <w:rPr>
          <w:rFonts w:ascii="Arial" w:cs="Arial" w:eastAsia="Arial" w:hAnsi="Arial"/>
          <w:sz w:val="20"/>
          <w:szCs w:val="20"/>
          <w:color w:val="000000"/>
        </w:rPr>
        <w:t xml:space="preserve">affected RFR Loans denominated in any </w:t>
      </w:r>
      <w:r>
        <w:rPr>
          <w:rFonts w:ascii="Arial" w:cs="Arial" w:eastAsia="Arial" w:hAnsi="Arial"/>
          <w:sz w:val="20"/>
          <w:szCs w:val="20"/>
          <w:color w:val="FF0000"/>
          <w:strike w:val="1"/>
        </w:rPr>
        <w:t>Agreed</w:t>
      </w:r>
      <w:r>
        <w:rPr>
          <w:rFonts w:ascii="Arial" w:cs="Arial" w:eastAsia="Arial" w:hAnsi="Arial"/>
          <w:sz w:val="20"/>
          <w:szCs w:val="20"/>
          <w:u w:val="single" w:color="auto"/>
          <w:color w:val="0000FF"/>
        </w:rPr>
        <w:t>Foreign</w:t>
      </w:r>
      <w:r>
        <w:rPr>
          <w:rFonts w:ascii="Arial" w:cs="Arial" w:eastAsia="Arial" w:hAnsi="Arial"/>
          <w:sz w:val="20"/>
          <w:szCs w:val="20"/>
          <w:color w:val="000000"/>
        </w:rPr>
        <w:t xml:space="preserve"> Currency, at the Company’s election, shall either (A) be converted into ABR Loans denominated in U.S. Dollars (in an amount equal to the Dollar Amount of such Foreign Currency) immediately or (B) be prepaid in full immediately.</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2.15Increased Costs</w:t>
      </w:r>
      <w:r>
        <w:rPr>
          <w:rFonts w:ascii="Arial" w:cs="Arial" w:eastAsia="Arial" w:hAnsi="Arial"/>
          <w:sz w:val="20"/>
          <w:szCs w:val="20"/>
          <w:color w:val="auto"/>
        </w:rPr>
        <w:t>.</w:t>
      </w:r>
    </w:p>
    <w:p>
      <w:pPr>
        <w:spacing w:after="0" w:line="216" w:lineRule="exact"/>
        <w:rPr>
          <w:sz w:val="20"/>
          <w:szCs w:val="20"/>
          <w:color w:val="auto"/>
        </w:rPr>
      </w:pPr>
    </w:p>
    <w:p>
      <w:pPr>
        <w:ind w:left="2040" w:hanging="535"/>
        <w:spacing w:after="0"/>
        <w:tabs>
          <w:tab w:leader="none" w:pos="2040" w:val="left"/>
        </w:tabs>
        <w:numPr>
          <w:ilvl w:val="0"/>
          <w:numId w:val="90"/>
        </w:numPr>
        <w:rPr>
          <w:rFonts w:ascii="Arial" w:cs="Arial" w:eastAsia="Arial" w:hAnsi="Arial"/>
          <w:sz w:val="20"/>
          <w:szCs w:val="20"/>
          <w:color w:val="auto"/>
        </w:rPr>
      </w:pPr>
      <w:r>
        <w:rPr>
          <w:rFonts w:ascii="Arial" w:cs="Arial" w:eastAsia="Arial" w:hAnsi="Arial"/>
          <w:sz w:val="20"/>
          <w:szCs w:val="20"/>
          <w:color w:val="auto"/>
        </w:rPr>
        <w:t>If any Change in Law shall:</w:t>
      </w:r>
    </w:p>
    <w:p>
      <w:pPr>
        <w:spacing w:after="0" w:line="216" w:lineRule="exact"/>
        <w:rPr>
          <w:sz w:val="20"/>
          <w:szCs w:val="20"/>
          <w:color w:val="auto"/>
        </w:rPr>
      </w:pPr>
    </w:p>
    <w:p>
      <w:pPr>
        <w:jc w:val="both"/>
        <w:ind w:left="2260" w:hanging="755"/>
        <w:spacing w:after="0" w:line="246" w:lineRule="auto"/>
        <w:tabs>
          <w:tab w:leader="none" w:pos="22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applicable Relevant Adjusted Rate) or the Issuing Bank;</w:t>
      </w:r>
    </w:p>
    <w:p>
      <w:pPr>
        <w:spacing w:after="0" w:line="191" w:lineRule="exact"/>
        <w:rPr>
          <w:rFonts w:ascii="Arial" w:cs="Arial" w:eastAsia="Arial" w:hAnsi="Arial"/>
          <w:sz w:val="20"/>
          <w:szCs w:val="20"/>
          <w:color w:val="auto"/>
        </w:rPr>
      </w:pPr>
    </w:p>
    <w:p>
      <w:pPr>
        <w:jc w:val="both"/>
        <w:ind w:left="2260" w:hanging="755"/>
        <w:spacing w:after="0" w:line="250" w:lineRule="auto"/>
        <w:tabs>
          <w:tab w:leader="none" w:pos="22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impose on any Lender or the Issuing Bank or any applicable interbank market any other condition, cost or expense (other than Taxes) affecting any Loan Document or Loans made by such Lender or any Letter of Credit or participation therein; or</w:t>
      </w:r>
    </w:p>
    <w:p>
      <w:pPr>
        <w:spacing w:after="0" w:line="185" w:lineRule="exact"/>
        <w:rPr>
          <w:rFonts w:ascii="Arial" w:cs="Arial" w:eastAsia="Arial" w:hAnsi="Arial"/>
          <w:sz w:val="20"/>
          <w:szCs w:val="20"/>
          <w:color w:val="auto"/>
        </w:rPr>
      </w:pPr>
    </w:p>
    <w:p>
      <w:pPr>
        <w:jc w:val="both"/>
        <w:ind w:left="2260" w:hanging="755"/>
        <w:spacing w:after="0" w:line="260" w:lineRule="auto"/>
        <w:tabs>
          <w:tab w:leader="none" w:pos="22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subject any Recipient to any Taxes (other than Indemnified Taxes or Excluded Taxes;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Other Connection Taxes imposed specifically with respect to banks, financial institutions, or financial transactions by any national or international taxing authority shall not be treated as Excluded Taxes for purposes of this </w:t>
      </w:r>
      <w:r>
        <w:rPr>
          <w:rFonts w:ascii="Arial" w:cs="Arial" w:eastAsia="Arial" w:hAnsi="Arial"/>
          <w:sz w:val="19"/>
          <w:szCs w:val="19"/>
          <w:u w:val="single" w:color="auto"/>
          <w:color w:val="auto"/>
        </w:rPr>
        <w:t>Section 2.15(a)(iii)</w:t>
      </w:r>
      <w:r>
        <w:rPr>
          <w:rFonts w:ascii="Arial" w:cs="Arial" w:eastAsia="Arial" w:hAnsi="Arial"/>
          <w:sz w:val="19"/>
          <w:szCs w:val="19"/>
          <w:color w:val="auto"/>
        </w:rPr>
        <w:t>) on its loans, loan principal, letters of credit, commitments, or other obligations, or its deposits, reserves, other liabilities or capital attributable thereto;</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continuing, converting or maintaining any Loan or of maintaining its obligation to make any such Loan (including pursuant to any conversion of any Borrowing denominated in an Agreed Currency to a Borrowing denominated in any other Agreed Currency) or to increase the cost to such Lender, the Issuing Bank or such other Recipient of participating in, issuing or maintaining any Letter of Credit (including pursuant to any conversion of any Borrowing denominated in an Agreed Currency to a Borrowing denominated in any other Agreed Currency) or to reduce the amount of any sum received or receivable by such Lender, the Issuing Bank or such other Recipient hereunder, whether of principal, interest or otherwise (including pursuant to any conversion of any Borrowing denominated in an Agreed Currency to a Borrowing denominated in any other Agreed Currency), then the Company will pay (or cause the applicable Designated Borrower to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74" w:lineRule="exact"/>
        <w:rPr>
          <w:sz w:val="20"/>
          <w:szCs w:val="20"/>
          <w:color w:val="auto"/>
        </w:rPr>
      </w:pPr>
    </w:p>
    <w:p>
      <w:pPr>
        <w:jc w:val="both"/>
        <w:ind w:firstLine="1505"/>
        <w:spacing w:after="0" w:line="243" w:lineRule="auto"/>
        <w:tabs>
          <w:tab w:leader="none" w:pos="2036" w:val="left"/>
        </w:tabs>
        <w:numPr>
          <w:ilvl w:val="0"/>
          <w:numId w:val="92"/>
        </w:numPr>
        <w:rPr>
          <w:rFonts w:ascii="Arial" w:cs="Arial" w:eastAsia="Arial" w:hAnsi="Arial"/>
          <w:sz w:val="20"/>
          <w:szCs w:val="20"/>
          <w:color w:val="auto"/>
        </w:rPr>
      </w:pPr>
      <w:r>
        <w:rPr>
          <w:rFonts w:ascii="Arial" w:cs="Arial" w:eastAsia="Arial" w:hAnsi="Arial"/>
          <w:sz w:val="20"/>
          <w:szCs w:val="20"/>
          <w:color w:val="auto"/>
        </w:rPr>
        <w:t>If any Lender or the Issuing Bank reasonably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any Loan Document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9" w:name="page130"/>
    <w:bookmarkEnd w:id="129"/>
    <w:p>
      <w:pPr>
        <w:jc w:val="both"/>
        <w:spacing w:after="0" w:line="250" w:lineRule="auto"/>
        <w:rPr>
          <w:sz w:val="20"/>
          <w:szCs w:val="20"/>
          <w:color w:val="auto"/>
        </w:rPr>
      </w:pPr>
      <w:r>
        <w:rPr>
          <w:rFonts w:ascii="Arial" w:cs="Arial" w:eastAsia="Arial" w:hAnsi="Arial"/>
          <w:sz w:val="20"/>
          <w:szCs w:val="20"/>
          <w:color w:val="auto"/>
        </w:rPr>
        <w:t>and liquidity), then from time to time the Company will pay (or cause the applicable Designated Borrower to pay) to such Lender or the Issuing Bank, as the case may be, such additional amount or amounts as will compensate such Lender or the Issuing Bank or such Lender’s or the Issuing Bank’s holding company for any such reduction suffered.</w:t>
      </w:r>
    </w:p>
    <w:p>
      <w:pPr>
        <w:spacing w:after="0" w:line="186" w:lineRule="exact"/>
        <w:rPr>
          <w:sz w:val="20"/>
          <w:szCs w:val="20"/>
          <w:color w:val="auto"/>
        </w:rPr>
      </w:pPr>
    </w:p>
    <w:p>
      <w:pPr>
        <w:jc w:val="both"/>
        <w:ind w:firstLine="1505"/>
        <w:spacing w:after="0" w:line="244" w:lineRule="auto"/>
        <w:tabs>
          <w:tab w:leader="none" w:pos="2036" w:val="left"/>
        </w:tabs>
        <w:numPr>
          <w:ilvl w:val="0"/>
          <w:numId w:val="93"/>
        </w:numPr>
        <w:rPr>
          <w:rFonts w:ascii="Arial" w:cs="Arial" w:eastAsia="Arial" w:hAnsi="Arial"/>
          <w:sz w:val="20"/>
          <w:szCs w:val="20"/>
          <w:color w:val="auto"/>
        </w:rPr>
      </w:pPr>
      <w:r>
        <w:rPr>
          <w:rFonts w:ascii="Arial" w:cs="Arial" w:eastAsia="Arial" w:hAnsi="Arial"/>
          <w:sz w:val="20"/>
          <w:szCs w:val="20"/>
          <w:color w:val="auto"/>
        </w:rPr>
        <w:t xml:space="preserve">A certificate of a Lender or the Issuing Bank setting forth the amount or amounts necessary to compensate such Lender or the Issuing Bank or its holding company, as the case may be, as specified in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shall be delivered to the Company and shall be conclusive absent manifest error. The Company shall pay (or cause the applicable Designated Borrower to pay) such Lender or the Issuing Bank, as the case may be, the amount shown as due on any such certificate within ten (10) days after receipt thereof.</w:t>
      </w:r>
    </w:p>
    <w:p>
      <w:pPr>
        <w:spacing w:after="0" w:line="194" w:lineRule="exact"/>
        <w:rPr>
          <w:rFonts w:ascii="Arial" w:cs="Arial" w:eastAsia="Arial" w:hAnsi="Arial"/>
          <w:sz w:val="20"/>
          <w:szCs w:val="20"/>
          <w:color w:val="auto"/>
        </w:rPr>
      </w:pPr>
    </w:p>
    <w:p>
      <w:pPr>
        <w:jc w:val="both"/>
        <w:ind w:firstLine="1505"/>
        <w:spacing w:after="0" w:line="274" w:lineRule="auto"/>
        <w:tabs>
          <w:tab w:leader="none" w:pos="2036"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Borrower shall be required to compensate a Lender or the Issuing Bank pursuant to this Section for any increased costs or reductions incurred more than two hundred seventy (270) days prior to the date that such Lender or the Issuing Bank, as the case may be, notifies the Company of the Change in Law giving rise to such increased costs or reductions and of such Lender’s or the Issuing Bank’s intention to claim compensation therefor;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Change in Law giving rise to such increased costs or reductions is retroactive, then the two hundred seventy (270) day period referred to above shall be extended to include the period of retroactive effect thereof.</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2.16Break Funding Payments</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68" w:lineRule="auto"/>
        <w:tabs>
          <w:tab w:leader="none" w:pos="2036"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With respect to Loans that are </w:t>
      </w:r>
      <w:r>
        <w:rPr>
          <w:rFonts w:ascii="Arial" w:cs="Arial" w:eastAsia="Arial" w:hAnsi="Arial"/>
          <w:sz w:val="18"/>
          <w:szCs w:val="18"/>
          <w:color w:val="FF0000"/>
          <w:strike w:val="1"/>
        </w:rPr>
        <w:t>not RFR</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Loans, in the event of (i) the payment of any principal of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Loan, other than on the last day of an Interest Period applicable thereto (including as a result of an Event of Default or as a result of any prepayment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(ii) the conversion of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Loan other than on the last day of the Interest Period applicable thereto, (iii) the failure to borrow, convert, continue or prepay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Benchmark</w:t>
      </w:r>
      <w:r>
        <w:rPr>
          <w:rFonts w:ascii="Arial" w:cs="Arial" w:eastAsia="Arial" w:hAnsi="Arial"/>
          <w:sz w:val="18"/>
          <w:szCs w:val="18"/>
          <w:color w:val="0000FF"/>
        </w:rPr>
        <w:t xml:space="preserve"> </w:t>
      </w:r>
      <w:r>
        <w:rPr>
          <w:rFonts w:ascii="Arial" w:cs="Arial" w:eastAsia="Arial" w:hAnsi="Arial"/>
          <w:sz w:val="18"/>
          <w:szCs w:val="18"/>
          <w:color w:val="000000"/>
        </w:rPr>
        <w:t>Loan on the date specified in any notice delivered pursuant hereto (regardless of whether such notice may be revoked under</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2.11(b)</w:t>
      </w:r>
      <w:r>
        <w:rPr>
          <w:rFonts w:ascii="Arial" w:cs="Arial" w:eastAsia="Arial" w:hAnsi="Arial"/>
          <w:sz w:val="18"/>
          <w:szCs w:val="18"/>
          <w:color w:val="000000"/>
        </w:rPr>
        <w:t xml:space="preserve"> and is revoked in accordance therewith), (iv) the assignment of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000000"/>
        </w:rPr>
        <w:t xml:space="preserve"> Loan other than on the last day of the Interest Period applicable thereto as a result of a request by the Company pursuant to </w:t>
      </w:r>
      <w:r>
        <w:rPr>
          <w:rFonts w:ascii="Arial" w:cs="Arial" w:eastAsia="Arial" w:hAnsi="Arial"/>
          <w:sz w:val="18"/>
          <w:szCs w:val="18"/>
          <w:u w:val="single" w:color="auto"/>
          <w:color w:val="000000"/>
        </w:rPr>
        <w:t>Section 2.19</w:t>
      </w:r>
      <w:r>
        <w:rPr>
          <w:rFonts w:ascii="Arial" w:cs="Arial" w:eastAsia="Arial" w:hAnsi="Arial"/>
          <w:sz w:val="18"/>
          <w:szCs w:val="18"/>
          <w:color w:val="000000"/>
        </w:rPr>
        <w:t xml:space="preserve"> or </w:t>
      </w:r>
      <w:r>
        <w:rPr>
          <w:rFonts w:ascii="Arial" w:cs="Arial" w:eastAsia="Arial" w:hAnsi="Arial"/>
          <w:sz w:val="18"/>
          <w:szCs w:val="18"/>
          <w:u w:val="single" w:color="auto"/>
          <w:color w:val="000000"/>
        </w:rPr>
        <w:t>Section 10.02(d)</w:t>
      </w:r>
      <w:r>
        <w:rPr>
          <w:rFonts w:ascii="Arial" w:cs="Arial" w:eastAsia="Arial" w:hAnsi="Arial"/>
          <w:sz w:val="18"/>
          <w:szCs w:val="18"/>
          <w:color w:val="000000"/>
        </w:rPr>
        <w:t xml:space="preserve"> or (v) the failure by the applicable Borrower to make any payment of any Loan or drawing under any Letter of Credit (or interest due thereof) denominated in a Foreign Currency on its scheduled due date or any payment thereof in a different currency, then, in any such event, the Company shall compensate (or cause the applicable Designated Borrower to compensate) each Lender for the loss, cost and expense attributable to such event. Such loss, cost or expense to any Lender shall be deemed to include an amount determined by such Lender to be the excess, if any, of (i) the amount of interest which would have accrued on the principal amount of such Loan had such event not occurred, at the applicable Relevant Adjusted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applicable offshore market for such Agreed Currency, whether or not such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FF0000"/>
        </w:rPr>
        <w:t xml:space="preserve"> </w:t>
      </w:r>
      <w:r>
        <w:rPr>
          <w:rFonts w:ascii="Arial" w:cs="Arial" w:eastAsia="Arial" w:hAnsi="Arial"/>
          <w:sz w:val="18"/>
          <w:szCs w:val="18"/>
          <w:color w:val="000000"/>
        </w:rPr>
        <w:t>Loan was in fact so funded. A certificate of any Lender setting forth any amount or amounts that such Lender</w:t>
      </w:r>
      <w:r>
        <w:rPr>
          <w:rFonts w:ascii="Arial" w:cs="Arial" w:eastAsia="Arial" w:hAnsi="Arial"/>
          <w:sz w:val="18"/>
          <w:szCs w:val="18"/>
          <w:color w:val="FF0000"/>
        </w:rPr>
        <w:t xml:space="preserve"> </w:t>
      </w:r>
      <w:r>
        <w:rPr>
          <w:rFonts w:ascii="Arial" w:cs="Arial" w:eastAsia="Arial" w:hAnsi="Arial"/>
          <w:sz w:val="18"/>
          <w:szCs w:val="18"/>
          <w:color w:val="000000"/>
        </w:rPr>
        <w:t>is entitled to receive pursuant to this Section shall be delivered to the Company and shall be conclusive absent manifest error. The Company shall pay (or cause the applicable Designated Borrower to pay) such Lender the amount shown as due on any such certificate within ten (10) days after receipt thereof.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0" w:name="page131"/>
    <w:bookmarkEnd w:id="130"/>
    <w:p>
      <w:pPr>
        <w:jc w:val="both"/>
        <w:ind w:firstLine="1505"/>
        <w:spacing w:after="0" w:line="271" w:lineRule="auto"/>
        <w:tabs>
          <w:tab w:leader="none" w:pos="2036"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With respect to RFR Loans, in the event of (i) the payment of any principal of any RFR Loan other than on the Interest Payment Date applicable thereto (including as a result of an Event of Default or as a result of any prepayment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(ii) the failure to borrow, convert, continue or prepay any RFR Loan on the date specified in any notice delivered pursuant hereto (regardless of whether such notice may be revoked under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and is revoked in accordance therewith), (iii) the assignment of any RFR Loan other than on the Interest Payment Date applicable thereto as a result of a request by the Company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10.02(d)</w:t>
      </w:r>
      <w:r>
        <w:rPr>
          <w:rFonts w:ascii="Arial" w:cs="Arial" w:eastAsia="Arial" w:hAnsi="Arial"/>
          <w:sz w:val="18"/>
          <w:szCs w:val="18"/>
          <w:color w:val="auto"/>
        </w:rPr>
        <w:t xml:space="preserve"> or (iv) the failure by the applicable Borrower to make any payment of any Loan or drawing under any Letter of Credit (or interest due thereof)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Company and shall be conclusive absent manifest error. The Company shall pay (or cause the applicable Designated Borrower to pay) such Lender the amount shown as due on any such certificate within ten (10) days after receipt thereof.</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2.17Taxes</w:t>
      </w:r>
      <w:r>
        <w:rPr>
          <w:rFonts w:ascii="Arial" w:cs="Arial" w:eastAsia="Arial" w:hAnsi="Arial"/>
          <w:sz w:val="20"/>
          <w:szCs w:val="20"/>
          <w:color w:val="auto"/>
        </w:rPr>
        <w:t>.</w:t>
      </w:r>
    </w:p>
    <w:p>
      <w:pPr>
        <w:spacing w:after="0" w:line="216" w:lineRule="exact"/>
        <w:rPr>
          <w:sz w:val="20"/>
          <w:szCs w:val="20"/>
          <w:color w:val="auto"/>
        </w:rPr>
      </w:pPr>
    </w:p>
    <w:p>
      <w:pPr>
        <w:jc w:val="both"/>
        <w:ind w:left="100" w:firstLine="1495"/>
        <w:spacing w:after="0" w:line="256" w:lineRule="auto"/>
        <w:tabs>
          <w:tab w:leader="none" w:pos="2047" w:val="left"/>
        </w:tabs>
        <w:numPr>
          <w:ilvl w:val="2"/>
          <w:numId w:val="96"/>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xml:space="preserve">. Any and all payments by or on account of any obligation of Company or any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Company or the applicable Borrower shall be increased as necessary so that after such deduction or withholding has been made (including such deductions and withholdings applicable to additional sums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the applicable Recipient receives an amount equal to the sum it would have received had no such deduction or withholding been made.</w:t>
      </w:r>
    </w:p>
    <w:p>
      <w:pPr>
        <w:spacing w:after="0" w:line="184" w:lineRule="exact"/>
        <w:rPr>
          <w:rFonts w:ascii="Arial" w:cs="Arial" w:eastAsia="Arial" w:hAnsi="Arial"/>
          <w:sz w:val="19"/>
          <w:szCs w:val="19"/>
          <w:color w:val="auto"/>
        </w:rPr>
      </w:pPr>
    </w:p>
    <w:p>
      <w:pPr>
        <w:ind w:firstLine="1505"/>
        <w:spacing w:after="0" w:line="316" w:lineRule="auto"/>
        <w:tabs>
          <w:tab w:leader="none" w:pos="2036"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Borrowers</w:t>
      </w:r>
      <w:r>
        <w:rPr>
          <w:rFonts w:ascii="Arial" w:cs="Arial" w:eastAsia="Arial" w:hAnsi="Arial"/>
          <w:sz w:val="18"/>
          <w:szCs w:val="18"/>
          <w:color w:val="auto"/>
        </w:rPr>
        <w:t>. The Company and the Borrowers shall timely pay to the relevant Governmental Authority in accordance with applicable law, or at the option of the Administrative Agent timely reimburse it for, Other Taxes.</w:t>
      </w:r>
    </w:p>
    <w:p>
      <w:pPr>
        <w:spacing w:after="0" w:line="129" w:lineRule="exact"/>
        <w:rPr>
          <w:rFonts w:ascii="Arial" w:cs="Arial" w:eastAsia="Arial" w:hAnsi="Arial"/>
          <w:sz w:val="18"/>
          <w:szCs w:val="18"/>
          <w:color w:val="auto"/>
        </w:rPr>
      </w:pPr>
    </w:p>
    <w:p>
      <w:pPr>
        <w:jc w:val="both"/>
        <w:ind w:firstLine="1505"/>
        <w:spacing w:after="0" w:line="246" w:lineRule="auto"/>
        <w:tabs>
          <w:tab w:leader="none" w:pos="2036" w:val="left"/>
        </w:tabs>
        <w:numPr>
          <w:ilvl w:val="1"/>
          <w:numId w:val="97"/>
        </w:numPr>
        <w:rPr>
          <w:rFonts w:ascii="Arial" w:cs="Arial" w:eastAsia="Arial" w:hAnsi="Arial"/>
          <w:sz w:val="20"/>
          <w:szCs w:val="20"/>
          <w:color w:val="auto"/>
        </w:rPr>
      </w:pPr>
      <w:r>
        <w:rPr>
          <w:rFonts w:ascii="Arial" w:cs="Arial" w:eastAsia="Arial" w:hAnsi="Arial"/>
          <w:sz w:val="20"/>
          <w:szCs w:val="20"/>
          <w:u w:val="single" w:color="auto"/>
          <w:color w:val="auto"/>
        </w:rPr>
        <w:t>Evidence of Payment</w:t>
      </w:r>
      <w:r>
        <w:rPr>
          <w:rFonts w:ascii="Arial" w:cs="Arial" w:eastAsia="Arial" w:hAnsi="Arial"/>
          <w:sz w:val="20"/>
          <w:szCs w:val="20"/>
          <w:color w:val="auto"/>
        </w:rPr>
        <w:t xml:space="preserve">. As soon as practicable after any payment of Taxes by the Company or any Borrower to a Governmental Authority pursuant to this </w:t>
      </w:r>
      <w:r>
        <w:rPr>
          <w:rFonts w:ascii="Arial" w:cs="Arial" w:eastAsia="Arial" w:hAnsi="Arial"/>
          <w:sz w:val="20"/>
          <w:szCs w:val="20"/>
          <w:u w:val="single" w:color="auto"/>
          <w:color w:val="auto"/>
        </w:rPr>
        <w:t>Section 2.17</w:t>
      </w:r>
      <w:r>
        <w:rPr>
          <w:rFonts w:ascii="Arial" w:cs="Arial" w:eastAsia="Arial" w:hAnsi="Arial"/>
          <w:sz w:val="20"/>
          <w:szCs w:val="20"/>
          <w:color w:val="auto"/>
        </w:rPr>
        <w:t>, such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1" w:lineRule="exact"/>
        <w:rPr>
          <w:rFonts w:ascii="Arial" w:cs="Arial" w:eastAsia="Arial" w:hAnsi="Arial"/>
          <w:sz w:val="20"/>
          <w:szCs w:val="20"/>
          <w:color w:val="auto"/>
        </w:rPr>
      </w:pPr>
    </w:p>
    <w:p>
      <w:pPr>
        <w:ind w:left="2040" w:hanging="535"/>
        <w:spacing w:after="0"/>
        <w:tabs>
          <w:tab w:leader="none" w:pos="204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Borrowers</w:t>
      </w:r>
      <w:r>
        <w:rPr>
          <w:rFonts w:ascii="Arial" w:cs="Arial" w:eastAsia="Arial" w:hAnsi="Arial"/>
          <w:sz w:val="18"/>
          <w:szCs w:val="18"/>
          <w:color w:val="auto"/>
        </w:rPr>
        <w:t>.  The Company and the Borrowers shall indemnify each Recipient, within ten</w:t>
      </w:r>
    </w:p>
    <w:p>
      <w:pPr>
        <w:spacing w:after="0" w:line="38" w:lineRule="exact"/>
        <w:rPr>
          <w:rFonts w:ascii="Arial" w:cs="Arial" w:eastAsia="Arial" w:hAnsi="Arial"/>
          <w:sz w:val="18"/>
          <w:szCs w:val="18"/>
          <w:color w:val="auto"/>
        </w:rPr>
      </w:pPr>
    </w:p>
    <w:p>
      <w:pPr>
        <w:jc w:val="both"/>
        <w:ind w:firstLine="8"/>
        <w:spacing w:after="0" w:line="255" w:lineRule="auto"/>
        <w:tabs>
          <w:tab w:leader="none" w:pos="410" w:val="left"/>
        </w:tabs>
        <w:numPr>
          <w:ilvl w:val="0"/>
          <w:numId w:val="98"/>
        </w:numPr>
        <w:rPr>
          <w:rFonts w:ascii="Arial" w:cs="Arial" w:eastAsia="Arial" w:hAnsi="Arial"/>
          <w:sz w:val="19"/>
          <w:szCs w:val="19"/>
          <w:color w:val="auto"/>
        </w:rPr>
      </w:pPr>
      <w:r>
        <w:rPr>
          <w:rFonts w:ascii="Arial" w:cs="Arial" w:eastAsia="Arial" w:hAnsi="Arial"/>
          <w:sz w:val="19"/>
          <w:szCs w:val="19"/>
          <w:color w:val="auto"/>
        </w:rPr>
        <w:t>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(with a copy to the Administrative Agent), or by the Administrative Agent on its own behalf or on behalf of a Lender, shall be conclusive absent manifest error.</w:t>
      </w:r>
    </w:p>
    <w:p>
      <w:pPr>
        <w:spacing w:after="0" w:line="184" w:lineRule="exact"/>
        <w:rPr>
          <w:rFonts w:ascii="Arial" w:cs="Arial" w:eastAsia="Arial" w:hAnsi="Arial"/>
          <w:sz w:val="19"/>
          <w:szCs w:val="19"/>
          <w:color w:val="auto"/>
        </w:rPr>
      </w:pPr>
    </w:p>
    <w:p>
      <w:pPr>
        <w:ind w:firstLine="1505"/>
        <w:spacing w:after="0" w:line="260" w:lineRule="auto"/>
        <w:tabs>
          <w:tab w:leader="none" w:pos="2036" w:val="left"/>
        </w:tabs>
        <w:numPr>
          <w:ilvl w:val="1"/>
          <w:numId w:val="98"/>
        </w:numPr>
        <w:rPr>
          <w:rFonts w:ascii="Arial" w:cs="Arial" w:eastAsia="Arial" w:hAnsi="Arial"/>
          <w:sz w:val="20"/>
          <w:szCs w:val="20"/>
          <w:color w:val="auto"/>
        </w:rPr>
      </w:pPr>
      <w:r>
        <w:rPr>
          <w:rFonts w:ascii="Arial" w:cs="Arial" w:eastAsia="Arial" w:hAnsi="Arial"/>
          <w:sz w:val="20"/>
          <w:szCs w:val="20"/>
          <w:u w:val="single" w:color="auto"/>
          <w:color w:val="auto"/>
        </w:rPr>
        <w:t>Indemnification by the Lenders</w:t>
      </w:r>
      <w:r>
        <w:rPr>
          <w:rFonts w:ascii="Arial" w:cs="Arial" w:eastAsia="Arial" w:hAnsi="Arial"/>
          <w:sz w:val="20"/>
          <w:szCs w:val="20"/>
          <w:color w:val="auto"/>
        </w:rPr>
        <w:t>. Each Lender shall severally indemnify the Administrative Agent, within ten (10) days after demand therefor, for (i) any Indemnified Taxes attributable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1" w:name="page132"/>
    <w:bookmarkEnd w:id="131"/>
    <w:p>
      <w:pPr>
        <w:jc w:val="both"/>
        <w:spacing w:after="0" w:line="272" w:lineRule="auto"/>
        <w:rPr>
          <w:sz w:val="20"/>
          <w:szCs w:val="20"/>
          <w:color w:val="auto"/>
        </w:rPr>
      </w:pPr>
      <w:r>
        <w:rPr>
          <w:rFonts w:ascii="Arial" w:cs="Arial" w:eastAsia="Arial" w:hAnsi="Arial"/>
          <w:sz w:val="18"/>
          <w:szCs w:val="18"/>
          <w:color w:val="auto"/>
        </w:rPr>
        <w:t xml:space="preserve">to such Lender (but only to the extent that any Borrower has not already indemnified the Administrative Agent for such Indemnified Taxes and without limiting the obligation of the Borrowers to do so), (ii) any Taxes attributable to such Lender’s failure to comply with the provisions of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8"/>
          <w:szCs w:val="18"/>
          <w:u w:val="single" w:color="auto"/>
          <w:color w:val="auto"/>
        </w:rPr>
        <w:t>paragraph (e)</w:t>
      </w:r>
      <w:r>
        <w:rPr>
          <w:rFonts w:ascii="Arial" w:cs="Arial" w:eastAsia="Arial" w:hAnsi="Arial"/>
          <w:sz w:val="18"/>
          <w:szCs w:val="18"/>
          <w:color w:val="auto"/>
        </w:rPr>
        <w:t>.</w:t>
      </w:r>
    </w:p>
    <w:p>
      <w:pPr>
        <w:spacing w:after="0" w:line="170" w:lineRule="exact"/>
        <w:rPr>
          <w:sz w:val="20"/>
          <w:szCs w:val="20"/>
          <w:color w:val="auto"/>
        </w:rPr>
      </w:pPr>
    </w:p>
    <w:p>
      <w:pPr>
        <w:ind w:left="2040" w:hanging="535"/>
        <w:spacing w:after="0"/>
        <w:tabs>
          <w:tab w:leader="none" w:pos="2040"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216" w:lineRule="exact"/>
        <w:rPr>
          <w:sz w:val="20"/>
          <w:szCs w:val="20"/>
          <w:color w:val="auto"/>
        </w:rPr>
      </w:pPr>
    </w:p>
    <w:p>
      <w:pPr>
        <w:jc w:val="both"/>
        <w:ind w:left="2260" w:hanging="755"/>
        <w:spacing w:after="0" w:line="254" w:lineRule="auto"/>
        <w:tabs>
          <w:tab w:leader="none" w:pos="226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any applicable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2.17(f)(ii)(A)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(ii)(D)</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(it being understood that providing information required under current law shall not be considered prejudicial to the position of a Recipient).</w:t>
      </w:r>
    </w:p>
    <w:p>
      <w:pPr>
        <w:spacing w:after="0" w:line="190" w:lineRule="exact"/>
        <w:rPr>
          <w:rFonts w:ascii="Arial" w:cs="Arial" w:eastAsia="Arial" w:hAnsi="Arial"/>
          <w:sz w:val="19"/>
          <w:szCs w:val="19"/>
          <w:color w:val="auto"/>
        </w:rPr>
      </w:pPr>
    </w:p>
    <w:p>
      <w:pPr>
        <w:ind w:left="2260" w:hanging="755"/>
        <w:spacing w:after="0"/>
        <w:tabs>
          <w:tab w:leader="none" w:pos="226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any Borrower is a U.S. Person,</w:t>
      </w:r>
    </w:p>
    <w:p>
      <w:pPr>
        <w:spacing w:after="0" w:line="215" w:lineRule="exact"/>
        <w:rPr>
          <w:rFonts w:ascii="Arial" w:cs="Arial" w:eastAsia="Arial" w:hAnsi="Arial"/>
          <w:sz w:val="20"/>
          <w:szCs w:val="20"/>
          <w:color w:val="auto"/>
        </w:rPr>
      </w:pPr>
    </w:p>
    <w:p>
      <w:pPr>
        <w:jc w:val="both"/>
        <w:ind w:left="1500" w:firstLine="1503"/>
        <w:spacing w:after="0" w:line="246" w:lineRule="auto"/>
        <w:tabs>
          <w:tab w:leader="none" w:pos="3567" w:val="left"/>
        </w:tabs>
        <w:numPr>
          <w:ilvl w:val="1"/>
          <w:numId w:val="100"/>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191" w:lineRule="exact"/>
        <w:rPr>
          <w:rFonts w:ascii="Arial" w:cs="Arial" w:eastAsia="Arial" w:hAnsi="Arial"/>
          <w:sz w:val="20"/>
          <w:szCs w:val="20"/>
          <w:color w:val="auto"/>
        </w:rPr>
      </w:pPr>
    </w:p>
    <w:p>
      <w:pPr>
        <w:jc w:val="both"/>
        <w:ind w:left="1500" w:firstLine="1503"/>
        <w:spacing w:after="0" w:line="263" w:lineRule="auto"/>
        <w:tabs>
          <w:tab w:leader="none" w:pos="3567" w:val="left"/>
        </w:tabs>
        <w:numPr>
          <w:ilvl w:val="1"/>
          <w:numId w:val="100"/>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2" w:name="page133"/>
    <w:bookmarkEnd w:id="132"/>
    <w:p>
      <w:pPr>
        <w:jc w:val="both"/>
        <w:ind w:left="3380" w:hanging="748"/>
        <w:spacing w:after="0" w:line="273" w:lineRule="auto"/>
        <w:tabs>
          <w:tab w:leader="none" w:pos="33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copies of IRS Form W-8BEN or Form W-8BEN-E establishing an exemption from, or reduction of, U.S. federal withholding Tax pursuant to the “interest” article of such tax treaty and (y) with respect to any other applicable payments under any Loan Document, IRS Form W-8BEN or Form W-8BEN-E establishing an exemption from, or reduction of, U.S. federal withholding Tax pursuant to the “business profits” or “other income” article of such tax treaty;</w:t>
      </w:r>
    </w:p>
    <w:p>
      <w:pPr>
        <w:spacing w:after="0" w:line="168" w:lineRule="exact"/>
        <w:rPr>
          <w:rFonts w:ascii="Arial" w:cs="Arial" w:eastAsia="Arial" w:hAnsi="Arial"/>
          <w:sz w:val="18"/>
          <w:szCs w:val="18"/>
          <w:color w:val="auto"/>
        </w:rPr>
      </w:pPr>
    </w:p>
    <w:p>
      <w:pPr>
        <w:ind w:left="3380" w:hanging="748"/>
        <w:spacing w:after="0" w:line="287" w:lineRule="auto"/>
        <w:tabs>
          <w:tab w:leader="none" w:pos="338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in the case of a Foreign Lender claiming that its extension of credit will generate U.S. effectively connected income, executed copies of IRS Form W-8ECI;</w:t>
      </w:r>
    </w:p>
    <w:p>
      <w:pPr>
        <w:spacing w:after="0" w:line="152" w:lineRule="exact"/>
        <w:rPr>
          <w:rFonts w:ascii="Arial" w:cs="Arial" w:eastAsia="Arial" w:hAnsi="Arial"/>
          <w:sz w:val="19"/>
          <w:szCs w:val="19"/>
          <w:color w:val="auto"/>
        </w:rPr>
      </w:pPr>
    </w:p>
    <w:p>
      <w:pPr>
        <w:jc w:val="both"/>
        <w:ind w:left="3380" w:hanging="748"/>
        <w:spacing w:after="0" w:line="274" w:lineRule="auto"/>
        <w:tabs>
          <w:tab w:leader="none" w:pos="33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to the effect that such Foreign Lender is not a “bank” within the meaning of Section 881(c)(3)(A) of the Code, a “10 percent shareholder” of such Borrower within the meaning of Section 871(h)(3)(B) of the Code, or a “controlled foreign corporation” described in Section 881(c)(3)(C) of the Code (a “</w:t>
      </w:r>
      <w:r>
        <w:rPr>
          <w:rFonts w:ascii="Arial" w:cs="Arial" w:eastAsia="Arial" w:hAnsi="Arial"/>
          <w:sz w:val="18"/>
          <w:szCs w:val="18"/>
          <w:b w:val="1"/>
          <w:bCs w:val="1"/>
          <w:i w:val="1"/>
          <w:iCs w:val="1"/>
          <w:color w:val="auto"/>
        </w:rPr>
        <w:t>U.S. Tax</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Compliance Certificate</w:t>
      </w:r>
      <w:r>
        <w:rPr>
          <w:rFonts w:ascii="Arial" w:cs="Arial" w:eastAsia="Arial" w:hAnsi="Arial"/>
          <w:sz w:val="18"/>
          <w:szCs w:val="18"/>
          <w:color w:val="auto"/>
        </w:rPr>
        <w:t>”) and (y) executed copies of IRS Form W-8BEN; or</w:t>
      </w:r>
    </w:p>
    <w:p>
      <w:pPr>
        <w:spacing w:after="0" w:line="168" w:lineRule="exact"/>
        <w:rPr>
          <w:rFonts w:ascii="Arial" w:cs="Arial" w:eastAsia="Arial" w:hAnsi="Arial"/>
          <w:sz w:val="18"/>
          <w:szCs w:val="18"/>
          <w:color w:val="auto"/>
        </w:rPr>
      </w:pPr>
    </w:p>
    <w:p>
      <w:pPr>
        <w:jc w:val="both"/>
        <w:ind w:left="3380" w:hanging="748"/>
        <w:spacing w:after="0" w:line="256" w:lineRule="auto"/>
        <w:tabs>
          <w:tab w:leader="none" w:pos="338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executed copies of IRS Form W-8IMY, accompanied by IRS Form W-8ECI, IRS Form W-8BEN or Form W-8BEN-E, a U.S. Tax Compliance Certificate substantially in the form of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B-2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B-3</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 B-4</w:t>
      </w:r>
      <w:r>
        <w:rPr>
          <w:rFonts w:ascii="Arial" w:cs="Arial" w:eastAsia="Arial" w:hAnsi="Arial"/>
          <w:sz w:val="19"/>
          <w:szCs w:val="19"/>
          <w:color w:val="auto"/>
        </w:rPr>
        <w:t xml:space="preserve"> on behalf of each such direct and indirect partner;</w:t>
      </w:r>
    </w:p>
    <w:p>
      <w:pPr>
        <w:spacing w:after="0" w:line="184" w:lineRule="exact"/>
        <w:rPr>
          <w:rFonts w:ascii="Arial" w:cs="Arial" w:eastAsia="Arial" w:hAnsi="Arial"/>
          <w:sz w:val="19"/>
          <w:szCs w:val="19"/>
          <w:color w:val="auto"/>
        </w:rPr>
      </w:pPr>
    </w:p>
    <w:p>
      <w:pPr>
        <w:jc w:val="both"/>
        <w:ind w:left="380" w:firstLine="1503"/>
        <w:spacing w:after="0" w:line="243" w:lineRule="auto"/>
        <w:tabs>
          <w:tab w:leader="none" w:pos="2447"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w:t>
      </w:r>
    </w:p>
    <w:p>
      <w:pPr>
        <w:spacing w:after="0" w:line="196"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133" w:name="page134"/>
    <w:bookmarkEnd w:id="133"/>
    <w:p>
      <w:pPr>
        <w:ind w:left="1500"/>
        <w:spacing w:after="0" w:line="260" w:lineRule="auto"/>
        <w:rPr>
          <w:sz w:val="20"/>
          <w:szCs w:val="20"/>
          <w:color w:val="auto"/>
        </w:rPr>
      </w:pPr>
      <w:r>
        <w:rPr>
          <w:rFonts w:ascii="Arial" w:cs="Arial" w:eastAsia="Arial" w:hAnsi="Arial"/>
          <w:sz w:val="20"/>
          <w:szCs w:val="20"/>
          <w:color w:val="auto"/>
        </w:rPr>
        <w:t>documentation as may be prescribed by applicable law to permit the Company or the Administrative Agent to determine the withholding or deduction required to be made; and</w:t>
      </w:r>
    </w:p>
    <w:p>
      <w:pPr>
        <w:spacing w:after="0" w:line="177" w:lineRule="exact"/>
        <w:rPr>
          <w:sz w:val="20"/>
          <w:szCs w:val="20"/>
          <w:color w:val="auto"/>
        </w:rPr>
      </w:pPr>
    </w:p>
    <w:p>
      <w:pPr>
        <w:jc w:val="both"/>
        <w:ind w:left="1500" w:firstLine="1503"/>
        <w:spacing w:after="0" w:line="268" w:lineRule="auto"/>
        <w:tabs>
          <w:tab w:leader="none" w:pos="356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Arial" w:cs="Arial" w:eastAsia="Arial" w:hAnsi="Arial"/>
          <w:sz w:val="18"/>
          <w:szCs w:val="18"/>
          <w:u w:val="single" w:color="auto"/>
          <w:color w:val="auto"/>
        </w:rPr>
        <w:t>clause</w:t>
      </w:r>
    </w:p>
    <w:p>
      <w:pPr>
        <w:spacing w:after="0" w:line="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20"/>
          <w:szCs w:val="20"/>
          <w:u w:val="single" w:color="auto"/>
          <w:color w:val="auto"/>
        </w:rPr>
        <w:t>(D)</w:t>
      </w:r>
      <w:r>
        <w:rPr>
          <w:rFonts w:ascii="Arial" w:cs="Arial" w:eastAsia="Arial" w:hAnsi="Arial"/>
          <w:sz w:val="20"/>
          <w:szCs w:val="20"/>
          <w:color w:val="auto"/>
        </w:rPr>
        <w:t>, “FATCA” shall include any amendments made to FATCA after the date of this Agreement.</w:t>
      </w:r>
    </w:p>
    <w:p>
      <w:pPr>
        <w:spacing w:after="0" w:line="200"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30" w:lineRule="exact"/>
        <w:rPr>
          <w:sz w:val="20"/>
          <w:szCs w:val="20"/>
          <w:color w:val="auto"/>
        </w:rPr>
      </w:pPr>
    </w:p>
    <w:p>
      <w:pPr>
        <w:ind w:left="2040" w:hanging="535"/>
        <w:spacing w:after="0"/>
        <w:tabs>
          <w:tab w:leader="none" w:pos="2040"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Additional United Kingdom Withholding Tax Matters</w:t>
      </w:r>
      <w:r>
        <w:rPr>
          <w:rFonts w:ascii="Arial" w:cs="Arial" w:eastAsia="Arial" w:hAnsi="Arial"/>
          <w:sz w:val="20"/>
          <w:szCs w:val="20"/>
          <w:color w:val="auto"/>
        </w:rPr>
        <w:t>.</w:t>
      </w:r>
    </w:p>
    <w:p>
      <w:pPr>
        <w:spacing w:after="0" w:line="216" w:lineRule="exact"/>
        <w:rPr>
          <w:sz w:val="20"/>
          <w:szCs w:val="20"/>
          <w:color w:val="auto"/>
        </w:rPr>
      </w:pPr>
    </w:p>
    <w:p>
      <w:pPr>
        <w:jc w:val="both"/>
        <w:ind w:left="2260" w:hanging="755"/>
        <w:spacing w:after="0" w:line="291" w:lineRule="auto"/>
        <w:tabs>
          <w:tab w:leader="none" w:pos="2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each Lender and each UK Borrower which makes a payment to such Lender shall cooperate in completing any procedural formalities necessary for such UK Borrower to obtain authorization to make such payment without withholding or deduction for Taxes imposed under the laws of the United Kingdom.</w:t>
      </w:r>
    </w:p>
    <w:p>
      <w:pPr>
        <w:spacing w:after="0" w:line="15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(ii)</w:t>
      </w:r>
    </w:p>
    <w:p>
      <w:pPr>
        <w:spacing w:after="0" w:line="216" w:lineRule="exact"/>
        <w:rPr>
          <w:sz w:val="20"/>
          <w:szCs w:val="20"/>
          <w:color w:val="auto"/>
        </w:rPr>
      </w:pPr>
    </w:p>
    <w:p>
      <w:pPr>
        <w:jc w:val="both"/>
        <w:ind w:left="1500" w:firstLine="1503"/>
        <w:spacing w:after="0" w:line="250" w:lineRule="auto"/>
        <w:tabs>
          <w:tab w:leader="none" w:pos="3567" w:val="left"/>
        </w:tabs>
        <w:numPr>
          <w:ilvl w:val="1"/>
          <w:numId w:val="106"/>
        </w:numPr>
        <w:rPr>
          <w:rFonts w:ascii="Arial" w:cs="Arial" w:eastAsia="Arial" w:hAnsi="Arial"/>
          <w:sz w:val="20"/>
          <w:szCs w:val="20"/>
          <w:color w:val="auto"/>
        </w:rPr>
      </w:pPr>
      <w:r>
        <w:rPr>
          <w:rFonts w:ascii="Arial" w:cs="Arial" w:eastAsia="Arial" w:hAnsi="Arial"/>
          <w:sz w:val="20"/>
          <w:szCs w:val="20"/>
          <w:color w:val="auto"/>
        </w:rPr>
        <w:t>A Lender which at any time (x) holds a passport under the HMRC DT Treaty Passport scheme and (y) wishes such scheme to apply to this Agreement, shall provide its scheme reference number and its jurisdiction of tax residence to each UK Borrower and the Administrative Agent.</w:t>
      </w:r>
    </w:p>
    <w:p>
      <w:pPr>
        <w:spacing w:after="0" w:line="185" w:lineRule="exact"/>
        <w:rPr>
          <w:rFonts w:ascii="Arial" w:cs="Arial" w:eastAsia="Arial" w:hAnsi="Arial"/>
          <w:sz w:val="20"/>
          <w:szCs w:val="20"/>
          <w:color w:val="auto"/>
        </w:rPr>
      </w:pPr>
    </w:p>
    <w:p>
      <w:pPr>
        <w:ind w:left="3580" w:hanging="577"/>
        <w:spacing w:after="0"/>
        <w:tabs>
          <w:tab w:leader="none" w:pos="35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Upon satisfying either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such Lender shall have satisfied its obligation under</w:t>
      </w:r>
    </w:p>
    <w:p>
      <w:pPr>
        <w:spacing w:after="0" w:line="38"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20"/>
          <w:szCs w:val="20"/>
          <w:u w:val="single" w:color="auto"/>
          <w:color w:val="auto"/>
        </w:rPr>
        <w:t>paragraph (g)(i)</w:t>
      </w:r>
      <w:r>
        <w:rPr>
          <w:rFonts w:ascii="Arial" w:cs="Arial" w:eastAsia="Arial" w:hAnsi="Arial"/>
          <w:sz w:val="20"/>
          <w:szCs w:val="20"/>
          <w:color w:val="auto"/>
        </w:rPr>
        <w:t xml:space="preserve"> above.</w:t>
      </w:r>
    </w:p>
    <w:p>
      <w:pPr>
        <w:spacing w:after="0" w:line="199" w:lineRule="exact"/>
        <w:rPr>
          <w:rFonts w:ascii="Arial" w:cs="Arial" w:eastAsia="Arial" w:hAnsi="Arial"/>
          <w:sz w:val="18"/>
          <w:szCs w:val="18"/>
          <w:color w:val="auto"/>
        </w:rPr>
      </w:pPr>
    </w:p>
    <w:p>
      <w:pPr>
        <w:jc w:val="both"/>
        <w:ind w:left="2260" w:hanging="755"/>
        <w:spacing w:after="0" w:line="269" w:lineRule="auto"/>
        <w:tabs>
          <w:tab w:leader="none" w:pos="226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If a Lender has confirmed its scheme reference number and its jurisdiction of tax residence in accordance with </w:t>
      </w:r>
      <w:r>
        <w:rPr>
          <w:rFonts w:ascii="Arial" w:cs="Arial" w:eastAsia="Arial" w:hAnsi="Arial"/>
          <w:sz w:val="19"/>
          <w:szCs w:val="19"/>
          <w:u w:val="single" w:color="auto"/>
          <w:color w:val="auto"/>
        </w:rPr>
        <w:t>paragraph (g)(ii)</w:t>
      </w:r>
      <w:r>
        <w:rPr>
          <w:rFonts w:ascii="Arial" w:cs="Arial" w:eastAsia="Arial" w:hAnsi="Arial"/>
          <w:sz w:val="19"/>
          <w:szCs w:val="19"/>
          <w:color w:val="auto"/>
        </w:rPr>
        <w:t xml:space="preserve"> above, the UK Borrower(s) shall make a Borrower DTTP Filing with respect to such Lender, and shall promptly provide such Lender with a copy of such filing;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w:t>
      </w:r>
    </w:p>
    <w:p>
      <w:pPr>
        <w:spacing w:after="0" w:line="169" w:lineRule="exact"/>
        <w:rPr>
          <w:rFonts w:ascii="Arial" w:cs="Arial" w:eastAsia="Arial" w:hAnsi="Arial"/>
          <w:sz w:val="19"/>
          <w:szCs w:val="19"/>
          <w:color w:val="auto"/>
        </w:rPr>
      </w:pPr>
    </w:p>
    <w:p>
      <w:pPr>
        <w:ind w:left="3580" w:hanging="577"/>
        <w:spacing w:after="0"/>
        <w:tabs>
          <w:tab w:leader="none" w:pos="35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each UK Borrower making a payment to such Lender has not made a Borrower DTTP Filing in</w:t>
      </w:r>
    </w:p>
    <w:p>
      <w:pPr>
        <w:spacing w:after="0" w:line="38"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20"/>
          <w:szCs w:val="20"/>
          <w:color w:val="auto"/>
        </w:rPr>
        <w:t>respect of such Lender; or</w:t>
      </w:r>
    </w:p>
    <w:p>
      <w:pPr>
        <w:spacing w:after="0" w:line="199" w:lineRule="exact"/>
        <w:rPr>
          <w:rFonts w:ascii="Arial" w:cs="Arial" w:eastAsia="Arial" w:hAnsi="Arial"/>
          <w:sz w:val="18"/>
          <w:szCs w:val="18"/>
          <w:color w:val="auto"/>
        </w:rPr>
      </w:pPr>
    </w:p>
    <w:p>
      <w:pPr>
        <w:ind w:left="1500" w:firstLine="1503"/>
        <w:spacing w:after="0" w:line="260" w:lineRule="auto"/>
        <w:tabs>
          <w:tab w:leader="none" w:pos="3567" w:val="left"/>
        </w:tabs>
        <w:numPr>
          <w:ilvl w:val="1"/>
          <w:numId w:val="107"/>
        </w:numPr>
        <w:rPr>
          <w:rFonts w:ascii="Arial" w:cs="Arial" w:eastAsia="Arial" w:hAnsi="Arial"/>
          <w:sz w:val="20"/>
          <w:szCs w:val="20"/>
          <w:color w:val="auto"/>
        </w:rPr>
      </w:pPr>
      <w:r>
        <w:rPr>
          <w:rFonts w:ascii="Arial" w:cs="Arial" w:eastAsia="Arial" w:hAnsi="Arial"/>
          <w:sz w:val="20"/>
          <w:szCs w:val="20"/>
          <w:color w:val="auto"/>
        </w:rPr>
        <w:t>each UK Borrower making a payment to such Lender has made a Borrower DTTP Filing in respect of such Lender but: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4" w:name="page135"/>
    <w:bookmarkEnd w:id="134"/>
    <w:p>
      <w:pPr>
        <w:ind w:left="4500" w:hanging="748"/>
        <w:spacing w:after="0"/>
        <w:tabs>
          <w:tab w:leader="none" w:pos="45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such Borrower DTTP Filing has been rejected by HM Revenue &amp; Customs; or</w:t>
      </w:r>
    </w:p>
    <w:p>
      <w:pPr>
        <w:spacing w:after="0" w:line="227" w:lineRule="exact"/>
        <w:rPr>
          <w:rFonts w:ascii="Arial" w:cs="Arial" w:eastAsia="Arial" w:hAnsi="Arial"/>
          <w:sz w:val="19"/>
          <w:szCs w:val="19"/>
          <w:color w:val="auto"/>
        </w:rPr>
      </w:pPr>
    </w:p>
    <w:p>
      <w:pPr>
        <w:jc w:val="both"/>
        <w:ind w:left="4500" w:hanging="748"/>
        <w:spacing w:after="0" w:line="250" w:lineRule="auto"/>
        <w:tabs>
          <w:tab w:leader="none" w:pos="450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HM Revenue &amp; Customs has not given such UK Borrower authority to make payments to such Lender without a deduction for tax within sixty (60) days of the date of such Borrower DTTP Filing;</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and in each case, such UK Borrower has notified that Lender in writing of either </w:t>
      </w:r>
      <w:r>
        <w:rPr>
          <w:rFonts w:ascii="Arial" w:cs="Arial" w:eastAsia="Arial" w:hAnsi="Arial"/>
          <w:sz w:val="20"/>
          <w:szCs w:val="20"/>
          <w:u w:val="single" w:color="auto"/>
          <w:color w:val="auto"/>
        </w:rPr>
        <w:t>(1)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w:t>
      </w:r>
      <w:r>
        <w:rPr>
          <w:rFonts w:ascii="Arial" w:cs="Arial" w:eastAsia="Arial" w:hAnsi="Arial"/>
          <w:sz w:val="20"/>
          <w:szCs w:val="20"/>
          <w:color w:val="auto"/>
        </w:rPr>
        <w:t xml:space="preserve"> above, then such Lender and such UK Borrower shall co-operate in completing any additional procedural formalities necessary for such UK Borrower to obtain authorization to make that payment without withholding or deduction for Taxes imposed under the laws of the United Kingdom.</w:t>
      </w:r>
    </w:p>
    <w:p>
      <w:pPr>
        <w:spacing w:after="0" w:line="186" w:lineRule="exact"/>
        <w:rPr>
          <w:sz w:val="20"/>
          <w:szCs w:val="20"/>
          <w:color w:val="auto"/>
        </w:rPr>
      </w:pPr>
    </w:p>
    <w:p>
      <w:pPr>
        <w:jc w:val="both"/>
        <w:ind w:left="2260" w:hanging="755"/>
        <w:spacing w:after="0" w:line="246" w:lineRule="auto"/>
        <w:tabs>
          <w:tab w:leader="none" w:pos="22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If a Lender has not confirmed its scheme reference number and jurisdiction of tax residence in accordance with </w:t>
      </w:r>
      <w:r>
        <w:rPr>
          <w:rFonts w:ascii="Arial" w:cs="Arial" w:eastAsia="Arial" w:hAnsi="Arial"/>
          <w:sz w:val="20"/>
          <w:szCs w:val="20"/>
          <w:u w:val="single" w:color="auto"/>
          <w:color w:val="auto"/>
        </w:rPr>
        <w:t>paragraph (g)(ii)</w:t>
      </w:r>
      <w:r>
        <w:rPr>
          <w:rFonts w:ascii="Arial" w:cs="Arial" w:eastAsia="Arial" w:hAnsi="Arial"/>
          <w:sz w:val="20"/>
          <w:szCs w:val="20"/>
          <w:color w:val="auto"/>
        </w:rPr>
        <w:t xml:space="preserve"> above, no UK Borrower shall make a Borrower DTTP Filing or file any other form relating to the HMRC DT Treaty Passport scheme in respect of that Lender’s Commitment or its participation in any Loan unless the Lender otherwise agrees.</w:t>
      </w:r>
    </w:p>
    <w:p>
      <w:pPr>
        <w:spacing w:after="0" w:line="191" w:lineRule="exact"/>
        <w:rPr>
          <w:rFonts w:ascii="Arial" w:cs="Arial" w:eastAsia="Arial" w:hAnsi="Arial"/>
          <w:sz w:val="20"/>
          <w:szCs w:val="20"/>
          <w:color w:val="auto"/>
        </w:rPr>
      </w:pPr>
    </w:p>
    <w:p>
      <w:pPr>
        <w:ind w:left="2260" w:hanging="755"/>
        <w:spacing w:after="0" w:line="260" w:lineRule="auto"/>
        <w:tabs>
          <w:tab w:leader="none" w:pos="22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Each UK Borrower shall, promptly on making a Borrower DTTP Filing, deliver a copy of such Borrower DTTP Filing to the Administrative Agent for delivery to the relevant Lender.</w:t>
      </w:r>
    </w:p>
    <w:p>
      <w:pPr>
        <w:spacing w:after="0" w:line="176" w:lineRule="exact"/>
        <w:rPr>
          <w:rFonts w:ascii="Arial" w:cs="Arial" w:eastAsia="Arial" w:hAnsi="Arial"/>
          <w:sz w:val="20"/>
          <w:szCs w:val="20"/>
          <w:color w:val="auto"/>
        </w:rPr>
      </w:pPr>
    </w:p>
    <w:p>
      <w:pPr>
        <w:jc w:val="both"/>
        <w:ind w:left="2260" w:hanging="755"/>
        <w:spacing w:after="0" w:line="250" w:lineRule="auto"/>
        <w:tabs>
          <w:tab w:leader="none" w:pos="22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Each Lender shall notify the Company and Administrative Agent if it determines in its sole discretion that it is ceases to be entitled to claim the benefits of an income tax treaty to which the United Kingdom is a party with respect to payments made by any U.K. Borrower hereunder.</w:t>
      </w:r>
    </w:p>
    <w:p>
      <w:pPr>
        <w:spacing w:after="0" w:line="185" w:lineRule="exact"/>
        <w:rPr>
          <w:rFonts w:ascii="Arial" w:cs="Arial" w:eastAsia="Arial" w:hAnsi="Arial"/>
          <w:sz w:val="20"/>
          <w:szCs w:val="20"/>
          <w:color w:val="auto"/>
        </w:rPr>
      </w:pPr>
    </w:p>
    <w:p>
      <w:pPr>
        <w:jc w:val="both"/>
        <w:ind w:left="2260" w:hanging="755"/>
        <w:spacing w:after="0" w:line="276" w:lineRule="auto"/>
        <w:tabs>
          <w:tab w:leader="none" w:pos="2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If a Lender assigns or transfers any of its rights or obligations under the Loan Documents or changes its lending office, and as a result of circumstances existing at the date the assignment, transfer or change occurs, a U.K. Borrower would be obligated to make a payment to the new Lender or Lender acting through its new lending office under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then a new Lender or Lender acting through its new lending office is only entitled to receive payment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to the same extent as the assigning Lender or Lender acting through its previous lending office would have been if the assignment, transfer or change had not occurred.</w:t>
      </w:r>
    </w:p>
    <w:p>
      <w:pPr>
        <w:spacing w:after="0" w:line="165" w:lineRule="exact"/>
        <w:rPr>
          <w:sz w:val="20"/>
          <w:szCs w:val="20"/>
          <w:color w:val="auto"/>
        </w:rPr>
      </w:pPr>
    </w:p>
    <w:p>
      <w:pPr>
        <w:jc w:val="both"/>
        <w:ind w:firstLine="1505"/>
        <w:spacing w:after="0" w:line="241" w:lineRule="auto"/>
        <w:tabs>
          <w:tab w:leader="none" w:pos="2036"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Treatment of Certain Refunds</w:t>
      </w:r>
      <w:r>
        <w:rPr>
          <w:rFonts w:ascii="Arial" w:cs="Arial" w:eastAsia="Arial" w:hAnsi="Arial"/>
          <w:sz w:val="20"/>
          <w:szCs w:val="20"/>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(including by the payment of additional amounts pursuant to this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it shall pay to the indemnifying party an amount equal to such refund (but only to the extent of indemnity payments made under this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20"/>
          <w:szCs w:val="20"/>
          <w:u w:val="single" w:color="auto"/>
          <w:color w:val="auto"/>
        </w:rPr>
        <w:t>paragraph (h)</w:t>
      </w:r>
      <w:r>
        <w:rPr>
          <w:rFonts w:ascii="Arial" w:cs="Arial" w:eastAsia="Arial" w:hAnsi="Arial"/>
          <w:sz w:val="20"/>
          <w:szCs w:val="20"/>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20"/>
          <w:szCs w:val="20"/>
          <w:u w:val="single" w:color="auto"/>
          <w:color w:val="auto"/>
        </w:rPr>
        <w:t>paragraph (h)</w:t>
      </w:r>
      <w:r>
        <w:rPr>
          <w:rFonts w:ascii="Arial" w:cs="Arial" w:eastAsia="Arial" w:hAnsi="Arial"/>
          <w:sz w:val="20"/>
          <w:szCs w:val="20"/>
          <w:color w:val="auto"/>
        </w:rPr>
        <w:t xml:space="preserve">, in no event will the indemnified party be required to pay any amount to an indemnifying party pursuant to this </w:t>
      </w:r>
      <w:r>
        <w:rPr>
          <w:rFonts w:ascii="Arial" w:cs="Arial" w:eastAsia="Arial" w:hAnsi="Arial"/>
          <w:sz w:val="20"/>
          <w:szCs w:val="20"/>
          <w:u w:val="single" w:color="auto"/>
          <w:color w:val="auto"/>
        </w:rPr>
        <w:t>paragraph (h)</w:t>
      </w:r>
      <w:r>
        <w:rPr>
          <w:rFonts w:ascii="Arial" w:cs="Arial" w:eastAsia="Arial" w:hAnsi="Arial"/>
          <w:sz w:val="20"/>
          <w:szCs w:val="20"/>
          <w:color w:val="auto"/>
        </w:rPr>
        <w:t xml:space="preserve"> the payment of which would place the indemnified party in a less favorable net after-Tax position than the indemnified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5" w:name="page136"/>
    <w:bookmarkEnd w:id="135"/>
    <w:p>
      <w:pPr>
        <w:jc w:val="both"/>
        <w:spacing w:after="0" w:line="246" w:lineRule="auto"/>
        <w:rPr>
          <w:sz w:val="20"/>
          <w:szCs w:val="20"/>
          <w:color w:val="auto"/>
        </w:rPr>
      </w:pPr>
      <w:r>
        <w:rPr>
          <w:rFonts w:ascii="Arial" w:cs="Arial" w:eastAsia="Arial" w:hAnsi="Arial"/>
          <w:sz w:val="20"/>
          <w:szCs w:val="20"/>
          <w:color w:val="auto"/>
        </w:rPr>
        <w:t>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1" w:lineRule="exact"/>
        <w:rPr>
          <w:sz w:val="20"/>
          <w:szCs w:val="20"/>
          <w:color w:val="auto"/>
        </w:rPr>
      </w:pPr>
    </w:p>
    <w:p>
      <w:pPr>
        <w:jc w:val="both"/>
        <w:ind w:firstLine="1505"/>
        <w:spacing w:after="0" w:line="250" w:lineRule="auto"/>
        <w:tabs>
          <w:tab w:leader="none" w:pos="2036"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5" w:lineRule="exact"/>
        <w:rPr>
          <w:rFonts w:ascii="Arial" w:cs="Arial" w:eastAsia="Arial" w:hAnsi="Arial"/>
          <w:sz w:val="20"/>
          <w:szCs w:val="20"/>
          <w:color w:val="auto"/>
        </w:rPr>
      </w:pPr>
    </w:p>
    <w:p>
      <w:pPr>
        <w:jc w:val="both"/>
        <w:ind w:firstLine="1505"/>
        <w:spacing w:after="0" w:line="274" w:lineRule="auto"/>
        <w:tabs>
          <w:tab w:leader="none" w:pos="203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Borrower shall be required to compensate a Lender or the Issuing Bank pursuant to this Section for any Indemnified Taxes or Other Taxes paid or payable by a Recipient pursuant to </w:t>
      </w:r>
      <w:r>
        <w:rPr>
          <w:rFonts w:ascii="Arial" w:cs="Arial" w:eastAsia="Arial" w:hAnsi="Arial"/>
          <w:sz w:val="18"/>
          <w:szCs w:val="18"/>
          <w:u w:val="single" w:color="auto"/>
          <w:color w:val="auto"/>
        </w:rPr>
        <w:t>Section 2.17(d)</w:t>
      </w:r>
      <w:r>
        <w:rPr>
          <w:rFonts w:ascii="Arial" w:cs="Arial" w:eastAsia="Arial" w:hAnsi="Arial"/>
          <w:sz w:val="18"/>
          <w:szCs w:val="18"/>
          <w:color w:val="auto"/>
        </w:rPr>
        <w:t xml:space="preserve"> incurred more than two hundred seventy (270) days prior to the date that such Lender or the Issuing Bank, as the case may be, notifies the Company of such Lender’s or the Issuing Bank’s intention to claim compensation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the Change in Law giving rise to such increased costs or reductions is retroactive, then the two hundred seventy (270) day period referred to above shall be extended to include the period of retroactive effect thereof.</w:t>
      </w:r>
    </w:p>
    <w:p>
      <w:pPr>
        <w:spacing w:after="0" w:line="168" w:lineRule="exact"/>
        <w:rPr>
          <w:rFonts w:ascii="Arial" w:cs="Arial" w:eastAsia="Arial" w:hAnsi="Arial"/>
          <w:sz w:val="18"/>
          <w:szCs w:val="18"/>
          <w:color w:val="auto"/>
        </w:rPr>
      </w:pPr>
    </w:p>
    <w:p>
      <w:pPr>
        <w:ind w:firstLine="1505"/>
        <w:spacing w:after="0" w:line="260" w:lineRule="auto"/>
        <w:tabs>
          <w:tab w:leader="none" w:pos="2036"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2.17</w:t>
      </w:r>
      <w:r>
        <w:rPr>
          <w:rFonts w:ascii="Arial" w:cs="Arial" w:eastAsia="Arial" w:hAnsi="Arial"/>
          <w:sz w:val="20"/>
          <w:szCs w:val="20"/>
          <w:color w:val="auto"/>
        </w:rPr>
        <w:t>, the term “Lender” includes any Issuing Bank and the term “applicable law” includes FATCA.</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2.18Payments Generally; Pro Rata Treatment; Sharing of Set-offs</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68" w:lineRule="auto"/>
        <w:tabs>
          <w:tab w:leader="none" w:pos="203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Each Borrower shall make each payment required to be made by it hereunder (whether of principal, interest, fees or reimbursement of LC Disbursements, or of amounts payable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or otherwise) prior to 12:00 noon, Local Time, on the date when due, in immediately available funds, without set 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(x) in the case of payments denominated in U.S. Dollars, its offices at 383 Madison Avenue, New York, New York, and (y) in the case of payments denominated in a Foreign Currency, its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Foreign Currency</w:t>
      </w:r>
      <w:r>
        <w:rPr>
          <w:rFonts w:ascii="Arial" w:cs="Arial" w:eastAsia="Arial" w:hAnsi="Arial"/>
          <w:sz w:val="18"/>
          <w:szCs w:val="18"/>
          <w:color w:val="FF0000"/>
        </w:rPr>
        <w:t xml:space="preserve"> </w:t>
      </w:r>
      <w:r>
        <w:rPr>
          <w:rFonts w:ascii="Arial" w:cs="Arial" w:eastAsia="Arial" w:hAnsi="Arial"/>
          <w:sz w:val="18"/>
          <w:szCs w:val="18"/>
          <w:color w:val="000000"/>
        </w:rPr>
        <w:t>Payment Office for such Foreign Currency, in each case except payments to be made directly to the Issuing</w:t>
      </w:r>
      <w:r>
        <w:rPr>
          <w:rFonts w:ascii="Arial" w:cs="Arial" w:eastAsia="Arial" w:hAnsi="Arial"/>
          <w:sz w:val="18"/>
          <w:szCs w:val="18"/>
          <w:color w:val="FF0000"/>
        </w:rPr>
        <w:t xml:space="preserve"> </w:t>
      </w:r>
      <w:r>
        <w:rPr>
          <w:rFonts w:ascii="Arial" w:cs="Arial" w:eastAsia="Arial" w:hAnsi="Arial"/>
          <w:sz w:val="18"/>
          <w:szCs w:val="18"/>
          <w:color w:val="000000"/>
        </w:rPr>
        <w:t xml:space="preserve">Bank or Swingline Lenders as expressly provided herein and except that payments pursuant to </w:t>
      </w:r>
      <w:r>
        <w:rPr>
          <w:rFonts w:ascii="Arial" w:cs="Arial" w:eastAsia="Arial" w:hAnsi="Arial"/>
          <w:sz w:val="18"/>
          <w:szCs w:val="18"/>
          <w:u w:val="single" w:color="auto"/>
          <w:color w:val="000000"/>
        </w:rPr>
        <w:t>Sections 2.15</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2.16</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2.17</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9.03</w:t>
      </w:r>
      <w:r>
        <w:rPr>
          <w:rFonts w:ascii="Arial" w:cs="Arial" w:eastAsia="Arial" w:hAnsi="Arial"/>
          <w:sz w:val="18"/>
          <w:szCs w:val="18"/>
          <w:color w:val="000000"/>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or LC Disbursement shall, except as otherwise expressly provided herein, be made in the currency of such Loan or LC Disbursement, and all other payments hereunder and under each other Loan Document shall be made in U.S. Dollars. Notwithstanding the foregoing provisions of this Section, if, after the making of any Borrowing or LC Disbursement in any Foreign Currency, currency control or exchange regulations are imposed in the country which issues such Foreign Currency with the result that such Foreign Currency no longer exists or the applicable Borrower is not able to make payment to the Administrative Agent for the account of the Lenders in such Foreign Currency, then all payments to be made by such Borrower hereunder in such Foreign Currency shall instead be made when due in U.S. Dollars in an amount equal to the Dollar Amount (as of the date of repayment) of such payment due, it being the intention of the parties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color w:val="auto"/>
        </w:rPr>
        <w:t>hereto that such Borrower takes all risks of the imposition of any such currency control or exchange regulations.</w:t>
      </w:r>
    </w:p>
    <w:p>
      <w:pPr>
        <w:spacing w:after="0" w:line="216" w:lineRule="exact"/>
        <w:rPr>
          <w:sz w:val="20"/>
          <w:szCs w:val="20"/>
          <w:color w:val="auto"/>
        </w:rPr>
      </w:pPr>
    </w:p>
    <w:p>
      <w:pPr>
        <w:jc w:val="both"/>
        <w:ind w:firstLine="1505"/>
        <w:spacing w:after="0" w:line="278" w:lineRule="auto"/>
        <w:tabs>
          <w:tab w:leader="none" w:pos="203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64" w:lineRule="exact"/>
        <w:rPr>
          <w:rFonts w:ascii="Arial" w:cs="Arial" w:eastAsia="Arial" w:hAnsi="Arial"/>
          <w:sz w:val="18"/>
          <w:szCs w:val="18"/>
          <w:color w:val="auto"/>
        </w:rPr>
      </w:pPr>
    </w:p>
    <w:p>
      <w:pPr>
        <w:jc w:val="both"/>
        <w:ind w:firstLine="1505"/>
        <w:spacing w:after="0" w:line="269" w:lineRule="auto"/>
        <w:tabs>
          <w:tab w:leader="none" w:pos="203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If any Lender shall, by exercising any right of set 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any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6" w:lineRule="exact"/>
        <w:rPr>
          <w:rFonts w:ascii="Arial" w:cs="Arial" w:eastAsia="Arial" w:hAnsi="Arial"/>
          <w:sz w:val="18"/>
          <w:szCs w:val="18"/>
          <w:color w:val="auto"/>
        </w:rPr>
      </w:pPr>
    </w:p>
    <w:p>
      <w:pPr>
        <w:jc w:val="both"/>
        <w:ind w:firstLine="1505"/>
        <w:spacing w:after="0" w:line="242" w:lineRule="auto"/>
        <w:tabs>
          <w:tab w:leader="none" w:pos="2036" w:val="left"/>
        </w:tabs>
        <w:numPr>
          <w:ilvl w:val="0"/>
          <w:numId w:val="113"/>
        </w:numPr>
        <w:rPr>
          <w:rFonts w:ascii="Arial" w:cs="Arial" w:eastAsia="Arial" w:hAnsi="Arial"/>
          <w:sz w:val="20"/>
          <w:szCs w:val="20"/>
          <w:color w:val="auto"/>
        </w:rPr>
      </w:pPr>
      <w:r>
        <w:rPr>
          <w:rFonts w:ascii="Arial" w:cs="Arial" w:eastAsia="Arial" w:hAnsi="Arial"/>
          <w:sz w:val="20"/>
          <w:szCs w:val="20"/>
          <w:color w:val="auto"/>
        </w:rPr>
        <w:t>Unless the Administrative Agent shall have received notice from any Borrower prior to the date on which any payment is due to the Administrative Agent for the account of the Lenders or the Issuing Bank hereunder that such Borrower will not make such payment, the Administrative Agent may assume that such Borrower has made such payment on such date in accordance herewith and may, in reliance upon such assumption, distribute to the Lenders or the Issuing Bank, as the case may be, the amount due. In such event, if such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applicable Overnight Rate.</w:t>
      </w:r>
    </w:p>
    <w:p>
      <w:pPr>
        <w:spacing w:after="0" w:line="196" w:lineRule="exact"/>
        <w:rPr>
          <w:rFonts w:ascii="Arial" w:cs="Arial" w:eastAsia="Arial" w:hAnsi="Arial"/>
          <w:sz w:val="20"/>
          <w:szCs w:val="20"/>
          <w:color w:val="auto"/>
        </w:rPr>
      </w:pPr>
    </w:p>
    <w:p>
      <w:pPr>
        <w:jc w:val="both"/>
        <w:ind w:firstLine="1505"/>
        <w:spacing w:after="0" w:line="244" w:lineRule="auto"/>
        <w:tabs>
          <w:tab w:leader="none" w:pos="2036" w:val="left"/>
        </w:tabs>
        <w:numPr>
          <w:ilvl w:val="0"/>
          <w:numId w:val="113"/>
        </w:numPr>
        <w:rPr>
          <w:rFonts w:ascii="Arial" w:cs="Arial" w:eastAsia="Arial" w:hAnsi="Arial"/>
          <w:sz w:val="20"/>
          <w:szCs w:val="20"/>
          <w:color w:val="auto"/>
        </w:rPr>
      </w:pPr>
      <w:r>
        <w:rPr>
          <w:rFonts w:ascii="Arial" w:cs="Arial" w:eastAsia="Arial" w:hAnsi="Arial"/>
          <w:sz w:val="20"/>
          <w:szCs w:val="20"/>
          <w:color w:val="auto"/>
        </w:rPr>
        <w:t xml:space="preserve">If any Lender shall fail to make any payment required to be made by it pursuant to </w:t>
      </w:r>
      <w:r>
        <w:rPr>
          <w:rFonts w:ascii="Arial" w:cs="Arial" w:eastAsia="Arial" w:hAnsi="Arial"/>
          <w:sz w:val="20"/>
          <w:szCs w:val="20"/>
          <w:u w:val="single" w:color="auto"/>
          <w:color w:val="auto"/>
        </w:rPr>
        <w:t>Section 2.05(d)</w:t>
      </w:r>
      <w:r>
        <w:rPr>
          <w:rFonts w:ascii="Arial" w:cs="Arial" w:eastAsia="Arial" w:hAnsi="Arial"/>
          <w:sz w:val="20"/>
          <w:szCs w:val="20"/>
          <w:color w:val="auto"/>
        </w:rPr>
        <w:t xml:space="preserve">, </w:t>
      </w:r>
      <w:r>
        <w:rPr>
          <w:rFonts w:ascii="Arial" w:cs="Arial" w:eastAsia="Arial" w:hAnsi="Arial"/>
          <w:sz w:val="20"/>
          <w:szCs w:val="20"/>
          <w:u w:val="single" w:color="auto"/>
          <w:color w:val="auto"/>
        </w:rPr>
        <w:t>2.06(d)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w:t>
      </w:r>
      <w:r>
        <w:rPr>
          <w:rFonts w:ascii="Arial" w:cs="Arial" w:eastAsia="Arial" w:hAnsi="Arial"/>
          <w:sz w:val="20"/>
          <w:szCs w:val="20"/>
          <w:color w:val="auto"/>
        </w:rPr>
        <w:t xml:space="preserve">, </w:t>
      </w:r>
      <w:r>
        <w:rPr>
          <w:rFonts w:ascii="Arial" w:cs="Arial" w:eastAsia="Arial" w:hAnsi="Arial"/>
          <w:sz w:val="20"/>
          <w:szCs w:val="20"/>
          <w:u w:val="single" w:color="auto"/>
          <w:color w:val="auto"/>
        </w:rPr>
        <w:t>2.07(b)</w:t>
      </w:r>
      <w:r>
        <w:rPr>
          <w:rFonts w:ascii="Arial" w:cs="Arial" w:eastAsia="Arial" w:hAnsi="Arial"/>
          <w:sz w:val="20"/>
          <w:szCs w:val="20"/>
          <w:color w:val="auto"/>
        </w:rPr>
        <w:t xml:space="preserve">, </w:t>
      </w:r>
      <w:r>
        <w:rPr>
          <w:rFonts w:ascii="Arial" w:cs="Arial" w:eastAsia="Arial" w:hAnsi="Arial"/>
          <w:sz w:val="20"/>
          <w:szCs w:val="20"/>
          <w:u w:val="single" w:color="auto"/>
          <w:color w:val="auto"/>
        </w:rPr>
        <w:t>2.18(d)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9.03(c)</w:t>
      </w:r>
      <w:r>
        <w:rPr>
          <w:rFonts w:ascii="Arial" w:cs="Arial" w:eastAsia="Arial" w:hAnsi="Arial"/>
          <w:sz w:val="20"/>
          <w:szCs w:val="20"/>
          <w:color w:val="auto"/>
        </w:rPr>
        <w:t>, then the Administrative Agent may, in its discretion and notwithstanding any contrary provision hereof, apply any amounts thereafter received by the Administrative Agent for the account of such Lender to satisfy such Lender’s obligations under such Sections until all such unsatisfied obligations are fully paid, and/or (ii) hold such amounts in a segregated account over which the Administrative Agent shall have exclusive control as cash collateral for,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7" w:name="page138"/>
    <w:bookmarkEnd w:id="137"/>
    <w:p>
      <w:pPr>
        <w:spacing w:after="0" w:line="260" w:lineRule="auto"/>
        <w:rPr>
          <w:sz w:val="20"/>
          <w:szCs w:val="20"/>
          <w:color w:val="auto"/>
        </w:rPr>
      </w:pPr>
      <w:r>
        <w:rPr>
          <w:rFonts w:ascii="Arial" w:cs="Arial" w:eastAsia="Arial" w:hAnsi="Arial"/>
          <w:sz w:val="20"/>
          <w:szCs w:val="20"/>
          <w:color w:val="auto"/>
        </w:rPr>
        <w:t xml:space="preserve">application to, any future funding obligations of such Lender under any such Section, in the case of each of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above, in any order as determined by the Administrative Agent in its discretion.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2.19Mitigation Obligations; Replacement of Lenders</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70" w:lineRule="auto"/>
        <w:tabs>
          <w:tab w:leader="none" w:pos="203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If any Lender requests compensation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if any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w:t>
      </w:r>
    </w:p>
    <w:p>
      <w:pPr>
        <w:spacing w:after="0" w:line="2" w:lineRule="exact"/>
        <w:rPr>
          <w:rFonts w:ascii="Arial" w:cs="Arial" w:eastAsia="Arial" w:hAnsi="Arial"/>
          <w:sz w:val="18"/>
          <w:szCs w:val="18"/>
          <w:color w:val="auto"/>
        </w:rPr>
      </w:pPr>
    </w:p>
    <w:p>
      <w:pPr>
        <w:jc w:val="both"/>
        <w:ind w:firstLine="8"/>
        <w:spacing w:after="0" w:line="241" w:lineRule="auto"/>
        <w:tabs>
          <w:tab w:leader="none" w:pos="24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 xml:space="preserve">would eliminate or reduce amounts payable pursuant to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2.17</w:t>
      </w:r>
      <w:r>
        <w:rPr>
          <w:rFonts w:ascii="Arial" w:cs="Arial" w:eastAsia="Arial" w:hAnsi="Arial"/>
          <w:sz w:val="20"/>
          <w:szCs w:val="20"/>
          <w:color w:val="auto"/>
        </w:rPr>
        <w:t>, as the case may be, in the future and (ii) would not subject such Lender to any unreimbursed cost or expense and would not otherwise be disadvantageous to such Lender. The Company hereby agrees to pay (or cause the applicable Designated Borrower to pay) all reasonable costs and expenses incurred by any Lender in connection with any such designation or assignment.</w:t>
      </w:r>
    </w:p>
    <w:p>
      <w:pPr>
        <w:spacing w:after="0" w:line="194" w:lineRule="exact"/>
        <w:rPr>
          <w:rFonts w:ascii="Arial" w:cs="Arial" w:eastAsia="Arial" w:hAnsi="Arial"/>
          <w:sz w:val="20"/>
          <w:szCs w:val="20"/>
          <w:color w:val="auto"/>
        </w:rPr>
      </w:pPr>
    </w:p>
    <w:p>
      <w:pPr>
        <w:jc w:val="both"/>
        <w:ind w:firstLine="1505"/>
        <w:spacing w:after="0" w:line="268" w:lineRule="auto"/>
        <w:tabs>
          <w:tab w:leader="none" w:pos="203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If (i) any Lender requests compensation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(ii) any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(iii) any Lender becomes a Defaulting Lender, or (iv) any Lender becomes a Non-Extending Lender, then the Company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all its interests, rights (other than its existing rights to payments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and obligations under the Loan Documents to an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Company shall have received the prior written consent of the Administrative Agent (and if a Commitment is being assigned, the Issuing Bank and Swingline Lenders), which consent shall not unreasonably be withheld, (y)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(z) in the case of any such assignment resulting from a claim for compensation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(i) an assignment required pursuant to this clause (d) may be effected pursuant to an Assignment and Assumption executed by the Company, the Administrative Agent and the assignee (or, to the extent applicable, an agreement incorporating an Assignment and Assumption by reference pursuant to a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documents shall be without recourse to or warranty by the parties thereto.</w:t>
      </w:r>
    </w:p>
    <w:p>
      <w:pPr>
        <w:spacing w:after="0" w:line="180" w:lineRule="exact"/>
        <w:rPr>
          <w:sz w:val="20"/>
          <w:szCs w:val="20"/>
          <w:color w:val="auto"/>
        </w:rPr>
      </w:pPr>
    </w:p>
    <w:p>
      <w:pPr>
        <w:ind w:left="760"/>
        <w:spacing w:after="0"/>
        <w:tabs>
          <w:tab w:leader="none" w:pos="3720" w:val="left"/>
        </w:tabs>
        <w:rPr>
          <w:sz w:val="20"/>
          <w:szCs w:val="20"/>
          <w:color w:val="auto"/>
        </w:rPr>
      </w:pPr>
      <w:r>
        <w:rPr>
          <w:rFonts w:ascii="Arial" w:cs="Arial" w:eastAsia="Arial" w:hAnsi="Arial"/>
          <w:sz w:val="20"/>
          <w:szCs w:val="20"/>
          <w:u w:val="single" w:color="auto"/>
          <w:color w:val="auto"/>
        </w:rPr>
        <w:t>SECTION 2.20Defaulting Lenders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Notwithstanding any provision of this Agreement to the contrary, if any Lender becomes 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Defaulting Lender, then the following provisions shall apply for so long as such Lender is a Defaulting Lender: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8" w:name="page139"/>
    <w:bookmarkEnd w:id="138"/>
    <w:p>
      <w:pPr>
        <w:ind w:left="2040" w:hanging="535"/>
        <w:spacing w:after="0"/>
        <w:tabs>
          <w:tab w:leader="none" w:pos="204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 xml:space="preserve">fees shall cease to accrue on the Commitment of such Defaulting Lender pursuant to </w:t>
      </w:r>
      <w:r>
        <w:rPr>
          <w:rFonts w:ascii="Arial" w:cs="Arial" w:eastAsia="Arial" w:hAnsi="Arial"/>
          <w:sz w:val="20"/>
          <w:szCs w:val="20"/>
          <w:u w:val="single" w:color="auto"/>
          <w:color w:val="auto"/>
        </w:rPr>
        <w:t>Section 2.12(a)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505"/>
        <w:spacing w:after="0" w:line="278" w:lineRule="auto"/>
        <w:tabs>
          <w:tab w:leader="none" w:pos="203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Commitment and Revolving Credit Exposure of such Defaulting Lender shall not be included in determining whether all Lenders or the Required Lenders have taken or may take any action hereunder (including any consent to any amendment, waiver or other modification pursuant to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waiver, amendment or other modification requiring the consent of all Lenders or each affected Lender which affects such Defaulting Lender disproportionately when compared to the other affected Lenders, or increases or extends the Commitment of such Defaulting Lender, shall require the consent of such Defaulting Lender;</w:t>
      </w:r>
    </w:p>
    <w:p>
      <w:pPr>
        <w:spacing w:after="0" w:line="164" w:lineRule="exact"/>
        <w:rPr>
          <w:rFonts w:ascii="Arial" w:cs="Arial" w:eastAsia="Arial" w:hAnsi="Arial"/>
          <w:sz w:val="18"/>
          <w:szCs w:val="18"/>
          <w:color w:val="auto"/>
        </w:rPr>
      </w:pPr>
    </w:p>
    <w:p>
      <w:pPr>
        <w:ind w:left="2040" w:hanging="535"/>
        <w:spacing w:after="0"/>
        <w:tabs>
          <w:tab w:leader="none" w:pos="20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if any Swingline Exposure or LC Exposure exists at the time such Lender becomes a Defaulting Lender then:</w:t>
      </w:r>
    </w:p>
    <w:p>
      <w:pPr>
        <w:spacing w:after="0" w:line="227" w:lineRule="exact"/>
        <w:rPr>
          <w:sz w:val="20"/>
          <w:szCs w:val="20"/>
          <w:color w:val="auto"/>
        </w:rPr>
      </w:pPr>
    </w:p>
    <w:p>
      <w:pPr>
        <w:jc w:val="both"/>
        <w:ind w:left="2260" w:hanging="755"/>
        <w:spacing w:after="0" w:line="269" w:lineRule="auto"/>
        <w:tabs>
          <w:tab w:leader="none" w:pos="2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all or any part of the Swingline Exposure and LC Exposure of such Defaulting Lender (other than the portion of such Swingline Exposure referred to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such term) shall be reallocated among the non-Defaulting Lenders in accordance with their respective Applicable Percentages but only (A) to the extent that the sum of all non-Defaulting Lenders’ Revolving Credit Exposures plus such Defaulting Lender’s Swingline Exposure and LC Exposure does not exceed the total of all non-Defaulting Lenders’ Commitments,</w:t>
      </w:r>
    </w:p>
    <w:p>
      <w:pPr>
        <w:spacing w:after="0" w:line="3" w:lineRule="exact"/>
        <w:rPr>
          <w:rFonts w:ascii="Arial" w:cs="Arial" w:eastAsia="Arial" w:hAnsi="Arial"/>
          <w:sz w:val="18"/>
          <w:szCs w:val="18"/>
          <w:color w:val="auto"/>
        </w:rPr>
      </w:pPr>
    </w:p>
    <w:p>
      <w:pPr>
        <w:jc w:val="both"/>
        <w:ind w:left="2260" w:hanging="6"/>
        <w:spacing w:after="0" w:line="241" w:lineRule="auto"/>
        <w:tabs>
          <w:tab w:leader="none" w:pos="2601" w:val="left"/>
        </w:tabs>
        <w:numPr>
          <w:ilvl w:val="1"/>
          <w:numId w:val="117"/>
        </w:numPr>
        <w:rPr>
          <w:rFonts w:ascii="Arial" w:cs="Arial" w:eastAsia="Arial" w:hAnsi="Arial"/>
          <w:sz w:val="20"/>
          <w:szCs w:val="20"/>
          <w:color w:val="auto"/>
        </w:rPr>
      </w:pPr>
      <w:r>
        <w:rPr>
          <w:rFonts w:ascii="Arial" w:cs="Arial" w:eastAsia="Arial" w:hAnsi="Arial"/>
          <w:sz w:val="20"/>
          <w:szCs w:val="20"/>
          <w:color w:val="auto"/>
        </w:rPr>
        <w:t xml:space="preserve">to the extent that such reallocation does not cause the Revolving Credit Exposure of any non-Defaulting Lender to exceed such non-Defaulting Lender’s Commitment, and (C) if the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are satisfied at such time;</w:t>
      </w:r>
    </w:p>
    <w:p>
      <w:pPr>
        <w:spacing w:after="0" w:line="195" w:lineRule="exact"/>
        <w:rPr>
          <w:rFonts w:ascii="Arial" w:cs="Arial" w:eastAsia="Arial" w:hAnsi="Arial"/>
          <w:sz w:val="20"/>
          <w:szCs w:val="20"/>
          <w:color w:val="auto"/>
        </w:rPr>
      </w:pPr>
    </w:p>
    <w:p>
      <w:pPr>
        <w:jc w:val="both"/>
        <w:ind w:left="2260" w:hanging="755"/>
        <w:spacing w:after="0" w:line="243" w:lineRule="auto"/>
        <w:tabs>
          <w:tab w:leader="none" w:pos="226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if the reallocation described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cannot, or can only partially, be effected, the Company shall within one (1) Business Day following notice by the Administrative Agent (A) first, prepay such Swingline Exposure and (B) second, cash collateralize for the benefit of the Issuing Bank only the Company’s obligations corresponding to such Defaulting Lender’s LC Exposure (after giving effect to any partial reallocation pursuant to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in accordance with the procedures set forth in </w:t>
      </w:r>
      <w:r>
        <w:rPr>
          <w:rFonts w:ascii="Arial" w:cs="Arial" w:eastAsia="Arial" w:hAnsi="Arial"/>
          <w:sz w:val="20"/>
          <w:szCs w:val="20"/>
          <w:u w:val="single" w:color="auto"/>
          <w:color w:val="auto"/>
        </w:rPr>
        <w:t>Section 2.06(j)</w:t>
      </w:r>
      <w:r>
        <w:rPr>
          <w:rFonts w:ascii="Arial" w:cs="Arial" w:eastAsia="Arial" w:hAnsi="Arial"/>
          <w:sz w:val="20"/>
          <w:szCs w:val="20"/>
          <w:color w:val="auto"/>
        </w:rPr>
        <w:t xml:space="preserve"> for so long as such LC Exposure is outstanding;</w:t>
      </w:r>
    </w:p>
    <w:p>
      <w:pPr>
        <w:spacing w:after="0" w:line="195" w:lineRule="exact"/>
        <w:rPr>
          <w:rFonts w:ascii="Arial" w:cs="Arial" w:eastAsia="Arial" w:hAnsi="Arial"/>
          <w:sz w:val="20"/>
          <w:szCs w:val="20"/>
          <w:color w:val="auto"/>
        </w:rPr>
      </w:pPr>
    </w:p>
    <w:p>
      <w:pPr>
        <w:jc w:val="both"/>
        <w:ind w:left="2260" w:hanging="755"/>
        <w:spacing w:after="0" w:line="246" w:lineRule="auto"/>
        <w:tabs>
          <w:tab w:leader="none" w:pos="226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if the Company cash collateralizes any portion of such Defaulting Lender’s LC Exposure pursuant to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above, the Company shall not be required to pay any fees to such Defaulting Lender pursuant to </w:t>
      </w:r>
      <w:r>
        <w:rPr>
          <w:rFonts w:ascii="Arial" w:cs="Arial" w:eastAsia="Arial" w:hAnsi="Arial"/>
          <w:sz w:val="20"/>
          <w:szCs w:val="20"/>
          <w:u w:val="single" w:color="auto"/>
          <w:color w:val="auto"/>
        </w:rPr>
        <w:t>Section 2.12(b)</w:t>
      </w:r>
      <w:r>
        <w:rPr>
          <w:rFonts w:ascii="Arial" w:cs="Arial" w:eastAsia="Arial" w:hAnsi="Arial"/>
          <w:sz w:val="20"/>
          <w:szCs w:val="20"/>
          <w:color w:val="auto"/>
        </w:rPr>
        <w:t xml:space="preserve"> with respect to such Defaulting Lender’s LC Exposure during the period such Defaulting Lender’s LC Exposure is cash collateralized;</w:t>
      </w:r>
    </w:p>
    <w:p>
      <w:pPr>
        <w:spacing w:after="0" w:line="191" w:lineRule="exact"/>
        <w:rPr>
          <w:rFonts w:ascii="Arial" w:cs="Arial" w:eastAsia="Arial" w:hAnsi="Arial"/>
          <w:sz w:val="20"/>
          <w:szCs w:val="20"/>
          <w:color w:val="auto"/>
        </w:rPr>
      </w:pPr>
    </w:p>
    <w:p>
      <w:pPr>
        <w:jc w:val="both"/>
        <w:ind w:left="2260" w:hanging="755"/>
        <w:spacing w:after="0" w:line="250" w:lineRule="auto"/>
        <w:tabs>
          <w:tab w:leader="none" w:pos="226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if the LC Exposure of the non-Defaulting Lenders is reallocated pursuant to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then the fees payable to the Lenders pursuant to </w:t>
      </w:r>
      <w:r>
        <w:rPr>
          <w:rFonts w:ascii="Arial" w:cs="Arial" w:eastAsia="Arial" w:hAnsi="Arial"/>
          <w:sz w:val="20"/>
          <w:szCs w:val="20"/>
          <w:u w:val="single" w:color="auto"/>
          <w:color w:val="auto"/>
        </w:rPr>
        <w:t>Section 2.12(b)</w:t>
      </w:r>
      <w:r>
        <w:rPr>
          <w:rFonts w:ascii="Arial" w:cs="Arial" w:eastAsia="Arial" w:hAnsi="Arial"/>
          <w:sz w:val="20"/>
          <w:szCs w:val="20"/>
          <w:color w:val="auto"/>
        </w:rPr>
        <w:t xml:space="preserve"> shall be adjusted in accordance with such non-Defaulting Lenders’ Applicable Percentages; and</w:t>
      </w:r>
    </w:p>
    <w:p>
      <w:pPr>
        <w:spacing w:after="0" w:line="185" w:lineRule="exact"/>
        <w:rPr>
          <w:rFonts w:ascii="Arial" w:cs="Arial" w:eastAsia="Arial" w:hAnsi="Arial"/>
          <w:sz w:val="20"/>
          <w:szCs w:val="20"/>
          <w:color w:val="auto"/>
        </w:rPr>
      </w:pPr>
    </w:p>
    <w:p>
      <w:pPr>
        <w:jc w:val="both"/>
        <w:ind w:left="2260" w:hanging="755"/>
        <w:spacing w:after="0" w:line="244" w:lineRule="auto"/>
        <w:tabs>
          <w:tab w:leader="none" w:pos="226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if all or any portion of such Defaulting Lender’s LC Exposure is neither reallocated nor cash collateralized pursuant to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above, then, without prejudice to any rights or remedies of the Issuing Bank or any other Lender hereunder, all facility fees that otherwise would have been payable under </w:t>
      </w:r>
      <w:r>
        <w:rPr>
          <w:rFonts w:ascii="Arial" w:cs="Arial" w:eastAsia="Arial" w:hAnsi="Arial"/>
          <w:sz w:val="20"/>
          <w:szCs w:val="20"/>
          <w:u w:val="single" w:color="auto"/>
          <w:color w:val="auto"/>
        </w:rPr>
        <w:t>Section 2.12(a)</w:t>
      </w:r>
      <w:r>
        <w:rPr>
          <w:rFonts w:ascii="Arial" w:cs="Arial" w:eastAsia="Arial" w:hAnsi="Arial"/>
          <w:sz w:val="20"/>
          <w:szCs w:val="20"/>
          <w:color w:val="auto"/>
        </w:rPr>
        <w:t xml:space="preserve"> to such Defaulting Lender (solely with respect to the portion of such Defaulting Lender’s Commitment that was utilized by such LC Exposure) and letter of credit fees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9" w:name="page140"/>
    <w:bookmarkEnd w:id="139"/>
    <w:p>
      <w:pPr>
        <w:ind w:left="2260"/>
        <w:spacing w:after="0" w:line="316" w:lineRule="auto"/>
        <w:rPr>
          <w:sz w:val="20"/>
          <w:szCs w:val="20"/>
          <w:color w:val="auto"/>
        </w:rPr>
      </w:pPr>
      <w:r>
        <w:rPr>
          <w:rFonts w:ascii="Arial" w:cs="Arial" w:eastAsia="Arial" w:hAnsi="Arial"/>
          <w:sz w:val="18"/>
          <w:szCs w:val="18"/>
          <w:color w:val="auto"/>
        </w:rPr>
        <w:t xml:space="preserve">payable under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with respect to such Defaulting Lender’s LC Exposure shall be payable to the Issuing Bank until and to the extent that such LC Exposure is reallocated and/or cash collateralized; and</w:t>
      </w:r>
    </w:p>
    <w:p>
      <w:pPr>
        <w:spacing w:after="0" w:line="130" w:lineRule="exact"/>
        <w:rPr>
          <w:sz w:val="20"/>
          <w:szCs w:val="20"/>
          <w:color w:val="auto"/>
        </w:rPr>
      </w:pPr>
    </w:p>
    <w:p>
      <w:pPr>
        <w:jc w:val="both"/>
        <w:ind w:firstLine="1505"/>
        <w:spacing w:after="0" w:line="243" w:lineRule="auto"/>
        <w:tabs>
          <w:tab w:leader="none" w:pos="2036"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so long as such Lender is a Defaulting Lender, (i) no Swingline Lender shall be required to fund any Swingline Loan and the Issuing Bank shall not be required to issue, amend, renew or extend any Letter of Credit, unless it is satisfied that the related exposure and the Defaulting Lender’s then outstanding LC Exposure will be one hundred percent (100%) covered by the Commitments of the non-Defaulting Lenders and/or cash collateral will be provided by the Company in accordance with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above, and (ii) Swingline Exposure related to any newly made Swingline Loan or LC Exposure related to any newly issued, amended, renewed or extended Letter of Credit shall be allocated among non-Defaulting Lenders in a manner consistent with </w:t>
      </w:r>
      <w:r>
        <w:rPr>
          <w:rFonts w:ascii="Arial" w:cs="Arial" w:eastAsia="Arial" w:hAnsi="Arial"/>
          <w:sz w:val="20"/>
          <w:szCs w:val="20"/>
          <w:u w:val="single" w:color="auto"/>
          <w:color w:val="auto"/>
        </w:rPr>
        <w:t>clause (c)(i)</w:t>
      </w:r>
      <w:r>
        <w:rPr>
          <w:rFonts w:ascii="Arial" w:cs="Arial" w:eastAsia="Arial" w:hAnsi="Arial"/>
          <w:sz w:val="20"/>
          <w:szCs w:val="20"/>
          <w:color w:val="auto"/>
        </w:rPr>
        <w:t xml:space="preserve"> above (and such Defaulting Lender shall not participate therein).</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the event that the Administrative Agent, the Company, each Swingline Lender and the Issuing Bank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2.21Expansion Option</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69" w:lineRule="auto"/>
        <w:tabs>
          <w:tab w:leader="none" w:pos="203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Company may from time to time, but not more than five (5) times during the term of this Agreement, elect to increase the aggregate Commitments and/or enter into one or more tranches of term loans (each, an “</w:t>
      </w:r>
      <w:r>
        <w:rPr>
          <w:rFonts w:ascii="Arial" w:cs="Arial" w:eastAsia="Arial" w:hAnsi="Arial"/>
          <w:sz w:val="18"/>
          <w:szCs w:val="18"/>
          <w:b w:val="1"/>
          <w:bCs w:val="1"/>
          <w:i w:val="1"/>
          <w:iCs w:val="1"/>
          <w:color w:val="auto"/>
        </w:rPr>
        <w:t>Incremental Term Loan</w:t>
      </w:r>
      <w:r>
        <w:rPr>
          <w:rFonts w:ascii="Arial" w:cs="Arial" w:eastAsia="Arial" w:hAnsi="Arial"/>
          <w:sz w:val="18"/>
          <w:szCs w:val="18"/>
          <w:color w:val="auto"/>
        </w:rPr>
        <w:t>”), in each case in a minimum amount of $10,000,000 and an integral multiple of $5,000,000 in excess thereof so long as, after giving effect thereto, the aggregate amount of such Commitment increases and all such Incremental Term Loans does not exceed $500,000,000. The Company may arrange for any such Commitment increase or Incremental Term Loan to be provided by one or more Lenders (each Lender so agreeing to an increase in its Commitment, or to participate in such Incremental Term Loans, an “</w:t>
      </w:r>
      <w:r>
        <w:rPr>
          <w:rFonts w:ascii="Arial" w:cs="Arial" w:eastAsia="Arial" w:hAnsi="Arial"/>
          <w:sz w:val="18"/>
          <w:szCs w:val="18"/>
          <w:b w:val="1"/>
          <w:bCs w:val="1"/>
          <w:i w:val="1"/>
          <w:iCs w:val="1"/>
          <w:color w:val="auto"/>
        </w:rPr>
        <w:t>Increasing Lender</w:t>
      </w:r>
      <w:r>
        <w:rPr>
          <w:rFonts w:ascii="Arial" w:cs="Arial" w:eastAsia="Arial" w:hAnsi="Arial"/>
          <w:sz w:val="18"/>
          <w:szCs w:val="18"/>
          <w:color w:val="auto"/>
        </w:rPr>
        <w:t>”), or by one or more new banks, financial institutions or other entities (each such new bank, financial institution or other entity, an “</w:t>
      </w:r>
      <w:r>
        <w:rPr>
          <w:rFonts w:ascii="Arial" w:cs="Arial" w:eastAsia="Arial" w:hAnsi="Arial"/>
          <w:sz w:val="18"/>
          <w:szCs w:val="18"/>
          <w:b w:val="1"/>
          <w:bCs w:val="1"/>
          <w:i w:val="1"/>
          <w:iCs w:val="1"/>
          <w:color w:val="auto"/>
        </w:rPr>
        <w:t>Augmenting Lender</w:t>
      </w:r>
      <w:r>
        <w:rPr>
          <w:rFonts w:ascii="Arial" w:cs="Arial" w:eastAsia="Arial" w:hAnsi="Arial"/>
          <w:sz w:val="18"/>
          <w:szCs w:val="18"/>
          <w:color w:val="auto"/>
        </w:rPr>
        <w:t xml:space="preserve">”), to increase their existing Commitments, or to participate in such Incremental Term Loans, or extend Commitments,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Augmenting Lender shall be subject to the approval of the Company and the Administrative Agent and, except in the case of an Incremental Term Loan, the Swingline Lenders and the Issuing Banks, which approvals shall not be unreasonably withheld and (ii) (A) in the case of an Increasing Lender, the Company and such Increasing Lender execute an agreement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and (B) in the case of an Augmenting Lender, the Company and such Augmenting Lender execute an agreement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No consent of any Lender (other than the Lenders participating in such Commitment increase or Incremental Term Loan) shall be required for any such increase or Incremental Term Loan pursuant to this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505"/>
        <w:spacing w:after="0" w:line="303" w:lineRule="auto"/>
        <w:tabs>
          <w:tab w:leader="none" w:pos="2036"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Commitment increases, new Commitments and Incremental Term Loans created pursuant to this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shall become effective on the date agreed by the Company, the Administrative Agent and the relevant Increasing Lenders and/or Augmenting Lenders, and the Administrative Agent shall notify each Lender thereof. Notwithstanding the foregoing, no increase in the aggregate Commitments (or in the Commitment of any Lender) or Incremental Term Loan shall become effective under this paragraph unless (i) on the proposed date of the effectiveness of such Commitment increase or Incremental Term Loan, (A) the conditions set forth in </w:t>
      </w:r>
      <w:r>
        <w:rPr>
          <w:rFonts w:ascii="Arial" w:cs="Arial" w:eastAsia="Arial" w:hAnsi="Arial"/>
          <w:sz w:val="16"/>
          <w:szCs w:val="16"/>
          <w:u w:val="single" w:color="auto"/>
          <w:color w:val="auto"/>
        </w:rPr>
        <w:t>paragraphs (a)</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firstLine="8"/>
        <w:spacing w:after="0" w:line="244" w:lineRule="auto"/>
        <w:tabs>
          <w:tab w:leader="none" w:pos="283" w:val="left"/>
        </w:tabs>
        <w:numPr>
          <w:ilvl w:val="0"/>
          <w:numId w:val="120"/>
        </w:numPr>
        <w:rPr>
          <w:rFonts w:ascii="Arial" w:cs="Arial" w:eastAsia="Arial" w:hAnsi="Arial"/>
          <w:sz w:val="20"/>
          <w:szCs w:val="20"/>
          <w:u w:val="single" w:color="auto"/>
          <w:color w:val="auto"/>
        </w:rPr>
      </w:pPr>
      <w:r>
        <w:rPr>
          <w:rFonts w:ascii="Arial" w:cs="Arial" w:eastAsia="Arial" w:hAnsi="Arial"/>
          <w:sz w:val="20"/>
          <w:szCs w:val="20"/>
          <w:color w:val="auto"/>
        </w:rPr>
        <w:t xml:space="preserve">of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shall be satisfied both before and immediately after giving effect to such Commitment increase or Incremental Term Loan or waived by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0" w:name="page141"/>
    <w:bookmarkEnd w:id="140"/>
    <w:p>
      <w:pPr>
        <w:jc w:val="both"/>
        <w:spacing w:after="0" w:line="257" w:lineRule="auto"/>
        <w:rPr>
          <w:sz w:val="20"/>
          <w:szCs w:val="20"/>
          <w:color w:val="auto"/>
        </w:rPr>
      </w:pPr>
      <w:r>
        <w:rPr>
          <w:rFonts w:ascii="Arial" w:cs="Arial" w:eastAsia="Arial" w:hAnsi="Arial"/>
          <w:sz w:val="19"/>
          <w:szCs w:val="19"/>
          <w:color w:val="auto"/>
        </w:rPr>
        <w:t xml:space="preserve">the Required Lenders, and the Administrative Agent shall have received a certificate to that effect dated such date and executed by a Financial Officer of the Company and (B) the Company shall be in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compliance with the Consolidated Net Leverage Ratio covenant set forth in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with Consolidated Total Debt measured as of the date of and immediately after giving effect to any funding in connection with such Commitment increase or Incremental Term Loan (and the application of proceeds thereof to the repayment of any other Indebtedness) and Consolidated EBITDA measured for the Reference Period then most recently ended for which the Company has delivered financial statements pursuant to </w:t>
      </w:r>
      <w:r>
        <w:rPr>
          <w:rFonts w:ascii="Arial" w:cs="Arial" w:eastAsia="Arial" w:hAnsi="Arial"/>
          <w:sz w:val="19"/>
          <w:szCs w:val="19"/>
          <w:u w:val="single" w:color="auto"/>
          <w:color w:val="auto"/>
        </w:rPr>
        <w:t>Sections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and (ii) the Administrative Agent shall have received documents consistent with those delivered on the Effective Date as to the corporate power and authority of the Borrowers to borrow hereunder immediately after giving effect to such Commitment increase or Incremental Term Loan.</w:t>
      </w:r>
    </w:p>
    <w:p>
      <w:pPr>
        <w:spacing w:after="0" w:line="180" w:lineRule="exact"/>
        <w:rPr>
          <w:sz w:val="20"/>
          <w:szCs w:val="20"/>
          <w:color w:val="auto"/>
        </w:rPr>
      </w:pPr>
    </w:p>
    <w:p>
      <w:pPr>
        <w:jc w:val="both"/>
        <w:ind w:firstLine="1505"/>
        <w:spacing w:after="0" w:line="270" w:lineRule="auto"/>
        <w:tabs>
          <w:tab w:leader="none" w:pos="20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On the effective date of any increase in the aggregate Commitments or any Incremental Term Loan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Commitment increase and the use of such amounts to make payments to such other Lenders, each Lender’s portion of the outstanding Revolving Loans of all the Lenders to equal its Applicable Percentage of such outstanding Revolving Loans, and (ii) the Borrowers shall be deemed to have repaid and reborrowed all outstanding Revolving Loans as of the date of any increase in the Commitments (with such reborrowing to consist of the Types of Revolving Loans, with related Interest Periods if applicable, specified in a notice delivered by the Company, in accordance with the requirements of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The deemed payments made pursuant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immediately preceding sentence shall be accompanied by payment of all accrued interest on the amount prepaid and, in respect of each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Benchmark</w:t>
      </w:r>
      <w:r>
        <w:rPr>
          <w:rFonts w:ascii="Arial" w:cs="Arial" w:eastAsia="Arial" w:hAnsi="Arial"/>
          <w:sz w:val="18"/>
          <w:szCs w:val="18"/>
          <w:color w:val="FF0000"/>
        </w:rPr>
        <w:t xml:space="preserve"> </w:t>
      </w:r>
      <w:r>
        <w:rPr>
          <w:rFonts w:ascii="Arial" w:cs="Arial" w:eastAsia="Arial" w:hAnsi="Arial"/>
          <w:sz w:val="18"/>
          <w:szCs w:val="18"/>
          <w:color w:val="000000"/>
        </w:rPr>
        <w:t>Loan, Canadian Prime Rate Loan and RFR Loan, shall be subject to indemnification by the Borrowers</w:t>
      </w:r>
      <w:r>
        <w:rPr>
          <w:rFonts w:ascii="Arial" w:cs="Arial" w:eastAsia="Arial" w:hAnsi="Arial"/>
          <w:sz w:val="18"/>
          <w:szCs w:val="18"/>
          <w:color w:val="FF0000"/>
        </w:rPr>
        <w:t xml:space="preserve"> </w:t>
      </w:r>
      <w:r>
        <w:rPr>
          <w:rFonts w:ascii="Arial" w:cs="Arial" w:eastAsia="Arial" w:hAnsi="Arial"/>
          <w:sz w:val="18"/>
          <w:szCs w:val="18"/>
          <w:color w:val="000000"/>
        </w:rPr>
        <w:t xml:space="preserve">pursuant to the provisions of </w:t>
      </w:r>
      <w:r>
        <w:rPr>
          <w:rFonts w:ascii="Arial" w:cs="Arial" w:eastAsia="Arial" w:hAnsi="Arial"/>
          <w:sz w:val="18"/>
          <w:szCs w:val="18"/>
          <w:u w:val="single" w:color="auto"/>
          <w:color w:val="000000"/>
        </w:rPr>
        <w:t>Section 2.16</w:t>
      </w:r>
      <w:r>
        <w:rPr>
          <w:rFonts w:ascii="Arial" w:cs="Arial" w:eastAsia="Arial" w:hAnsi="Arial"/>
          <w:sz w:val="18"/>
          <w:szCs w:val="18"/>
          <w:color w:val="000000"/>
        </w:rPr>
        <w:t xml:space="preserve"> if the deemed payment occurs other than on the last day of the related Interest Periods (or, in the case of an RFR Loan other than on the Interest Payment Date applicable thereto).</w:t>
      </w:r>
    </w:p>
    <w:p>
      <w:pPr>
        <w:spacing w:after="0" w:line="175" w:lineRule="exact"/>
        <w:rPr>
          <w:rFonts w:ascii="Arial" w:cs="Arial" w:eastAsia="Arial" w:hAnsi="Arial"/>
          <w:sz w:val="18"/>
          <w:szCs w:val="18"/>
          <w:color w:val="auto"/>
        </w:rPr>
      </w:pPr>
    </w:p>
    <w:p>
      <w:pPr>
        <w:jc w:val="both"/>
        <w:ind w:firstLine="1505"/>
        <w:spacing w:after="0" w:line="243" w:lineRule="auto"/>
        <w:tabs>
          <w:tab w:leader="none" w:pos="2036"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The Incremental Term Loans (i) shall rank pari passu in right of payment with the Revolving Loans, (ii) shall not mature earlier than the Maturity Date (but may have amortization prior to such date) and (iii) shall be treated substantially the same as (and in any event no more favorably than) the Revolving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the terms and conditions applicable to any Incremental Term Loan maturing after the Maturity Date may provide for material additional or different financial or other covenants or prepayment requirements applicable only during periods after the Maturity Date and (y) the Incremental Term Loans may be priced differently than the Revolving Loans.</w:t>
      </w:r>
    </w:p>
    <w:p>
      <w:pPr>
        <w:spacing w:after="0" w:line="195" w:lineRule="exact"/>
        <w:rPr>
          <w:rFonts w:ascii="Arial" w:cs="Arial" w:eastAsia="Arial" w:hAnsi="Arial"/>
          <w:sz w:val="20"/>
          <w:szCs w:val="20"/>
          <w:color w:val="auto"/>
        </w:rPr>
      </w:pPr>
    </w:p>
    <w:p>
      <w:pPr>
        <w:jc w:val="both"/>
        <w:ind w:firstLine="1505"/>
        <w:spacing w:after="0" w:line="274" w:lineRule="auto"/>
        <w:tabs>
          <w:tab w:leader="none" w:pos="20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Incremental Term Loans may be made hereunder pursuant to an amendment or restatement (an “</w:t>
      </w:r>
      <w:r>
        <w:rPr>
          <w:rFonts w:ascii="Arial" w:cs="Arial" w:eastAsia="Arial" w:hAnsi="Arial"/>
          <w:sz w:val="18"/>
          <w:szCs w:val="18"/>
          <w:b w:val="1"/>
          <w:bCs w:val="1"/>
          <w:i w:val="1"/>
          <w:iCs w:val="1"/>
          <w:color w:val="auto"/>
        </w:rPr>
        <w:t>Incremental Term</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Loan Amendment</w:t>
      </w:r>
      <w:r>
        <w:rPr>
          <w:rFonts w:ascii="Arial" w:cs="Arial" w:eastAsia="Arial" w:hAnsi="Arial"/>
          <w:sz w:val="18"/>
          <w:szCs w:val="18"/>
          <w:color w:val="auto"/>
        </w:rPr>
        <w:t>”) of this Agreement and, as appropriate, the other Loan Documents, executed by the Company, each Increasing Lender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participating in such Incremental Term Loan, each Augmenting Lender participating in such Incremental Term Loan, if any, and the Administrative Agent. Each Incremental Term Loan Amendment may, without the consent of any other Lenders, effect such amendments to this Agreement and the other Loan Documents as may be necessary or appropriate, in the reasonable opinion of the Administrative Agent, to effect the provisions of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Nothing contained in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shall constitute, or otherwise be deemed to be, a commitment on the part of any Lender to increase its Commitment hereunder, or provide Incremental Term Loans, at any time.</w:t>
      </w:r>
    </w:p>
    <w:p>
      <w:pPr>
        <w:spacing w:after="0" w:line="16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u w:val="single" w:color="auto"/>
          <w:color w:val="auto"/>
        </w:rPr>
        <w:t>SECTION 2.22Judgment Currency</w:t>
      </w:r>
      <w:r>
        <w:rPr>
          <w:rFonts w:ascii="Arial" w:cs="Arial" w:eastAsia="Arial" w:hAnsi="Arial"/>
          <w:sz w:val="20"/>
          <w:szCs w:val="20"/>
          <w:color w:val="auto"/>
        </w:rPr>
        <w:t>. If, for the purposes of obtaining judgment in any court, it is necessary to convert a sum due from any Borrower hereunder in the currency expressed to be payable herein (the “</w:t>
      </w:r>
      <w:r>
        <w:rPr>
          <w:rFonts w:ascii="Arial" w:cs="Arial" w:eastAsia="Arial" w:hAnsi="Arial"/>
          <w:sz w:val="20"/>
          <w:szCs w:val="20"/>
          <w:b w:val="1"/>
          <w:bCs w:val="1"/>
          <w:i w:val="1"/>
          <w:iCs w:val="1"/>
          <w:color w:val="auto"/>
        </w:rPr>
        <w:t>specified currency</w:t>
      </w:r>
      <w:r>
        <w:rPr>
          <w:rFonts w:ascii="Arial" w:cs="Arial" w:eastAsia="Arial" w:hAnsi="Arial"/>
          <w:sz w:val="20"/>
          <w:szCs w:val="20"/>
          <w:color w:val="auto"/>
        </w:rPr>
        <w:t>”) into another currency, the parties hereto agree, to the fullest extent that they may effectively do so, that the rate of exchange used shall be that at which in accordance with normal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1" w:name="page142"/>
    <w:bookmarkEnd w:id="141"/>
    <w:p>
      <w:pPr>
        <w:jc w:val="both"/>
        <w:spacing w:after="0" w:line="255" w:lineRule="auto"/>
        <w:rPr>
          <w:sz w:val="20"/>
          <w:szCs w:val="20"/>
          <w:color w:val="auto"/>
        </w:rPr>
      </w:pPr>
      <w:r>
        <w:rPr>
          <w:rFonts w:ascii="Arial" w:cs="Arial" w:eastAsia="Arial" w:hAnsi="Arial"/>
          <w:sz w:val="19"/>
          <w:szCs w:val="19"/>
          <w:color w:val="auto"/>
        </w:rPr>
        <w:t xml:space="preserve">banking procedures the Administrative Agent could purchase the specified currency with such other currency at the Administrative Agent’s main New York City office on the Business Day preceding that on which final, non-appealable judgment is given. The obligations of any Borrower in respect of any sum due to any Credit Party hereunder shall, notwithstanding any judgment in a currency other than the specified currency, be discharged only to the extent that on the Business Day following receipt by such Credit Party of any sum adjudged to be so due in such other currency such Credit Party may in accordance with normal, reasonable banking procedures purchase the specified currency with such other currency. If the amount of the specified currency so purchased is less than the sum originally due to such Credit Party in the specified currency, the applicable Borrower agrees, to the fullest extent that it may effectively do so, as a separate obligation and notwithstanding any such judgment, to indemnify such Credit Party against such loss, and if the amount of the specified currency so purchased exceeds (a) the sum originally due to any Credit Party in the specified currency and (b) any amounts shared with other Lenders as a result of allocations of such excess as a disproportionate payment to such Lender under </w:t>
      </w:r>
      <w:r>
        <w:rPr>
          <w:rFonts w:ascii="Arial" w:cs="Arial" w:eastAsia="Arial" w:hAnsi="Arial"/>
          <w:sz w:val="19"/>
          <w:szCs w:val="19"/>
          <w:u w:val="single" w:color="auto"/>
          <w:color w:val="auto"/>
        </w:rPr>
        <w:t>Section 2.18</w:t>
      </w:r>
      <w:r>
        <w:rPr>
          <w:rFonts w:ascii="Arial" w:cs="Arial" w:eastAsia="Arial" w:hAnsi="Arial"/>
          <w:sz w:val="19"/>
          <w:szCs w:val="19"/>
          <w:color w:val="auto"/>
        </w:rPr>
        <w:t>, such Credit Party agrees to remit such excess to such Borrower.</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2.23Designated Borrowers</w:t>
      </w:r>
      <w:r>
        <w:rPr>
          <w:rFonts w:ascii="Arial" w:cs="Arial" w:eastAsia="Arial" w:hAnsi="Arial"/>
          <w:sz w:val="20"/>
          <w:szCs w:val="20"/>
          <w:color w:val="auto"/>
        </w:rPr>
        <w:t>.</w:t>
      </w:r>
    </w:p>
    <w:p>
      <w:pPr>
        <w:spacing w:after="0" w:line="216" w:lineRule="exact"/>
        <w:rPr>
          <w:sz w:val="20"/>
          <w:szCs w:val="20"/>
          <w:color w:val="auto"/>
        </w:rPr>
      </w:pPr>
    </w:p>
    <w:p>
      <w:pPr>
        <w:ind w:firstLine="1505"/>
        <w:spacing w:after="0" w:line="260" w:lineRule="auto"/>
        <w:tabs>
          <w:tab w:leader="none" w:pos="2036" w:val="left"/>
        </w:tabs>
        <w:numPr>
          <w:ilvl w:val="1"/>
          <w:numId w:val="122"/>
        </w:numPr>
        <w:rPr>
          <w:rFonts w:ascii="Arial" w:cs="Arial" w:eastAsia="Arial" w:hAnsi="Arial"/>
          <w:sz w:val="20"/>
          <w:szCs w:val="20"/>
          <w:color w:val="auto"/>
        </w:rPr>
      </w:pPr>
      <w:r>
        <w:rPr>
          <w:rFonts w:ascii="Arial" w:cs="Arial" w:eastAsia="Arial" w:hAnsi="Arial"/>
          <w:sz w:val="20"/>
          <w:szCs w:val="20"/>
          <w:color w:val="auto"/>
        </w:rPr>
        <w:t xml:space="preserve">Effective as of the date hereof, each Subsidiary identified on </w:t>
      </w:r>
      <w:r>
        <w:rPr>
          <w:rFonts w:ascii="Arial" w:cs="Arial" w:eastAsia="Arial" w:hAnsi="Arial"/>
          <w:sz w:val="20"/>
          <w:szCs w:val="20"/>
          <w:u w:val="single" w:color="auto"/>
          <w:color w:val="auto"/>
        </w:rPr>
        <w:t>Schedule 2.23</w:t>
      </w:r>
      <w:r>
        <w:rPr>
          <w:rFonts w:ascii="Arial" w:cs="Arial" w:eastAsia="Arial" w:hAnsi="Arial"/>
          <w:sz w:val="20"/>
          <w:szCs w:val="20"/>
          <w:color w:val="auto"/>
        </w:rPr>
        <w:t xml:space="preserve"> shall be a Designated Borrower hereunder and may receive Revolving Loans for its account on the terms and conditions set forth in this Agreement.</w:t>
      </w:r>
    </w:p>
    <w:p>
      <w:pPr>
        <w:spacing w:after="0" w:line="176" w:lineRule="exact"/>
        <w:rPr>
          <w:rFonts w:ascii="Arial" w:cs="Arial" w:eastAsia="Arial" w:hAnsi="Arial"/>
          <w:sz w:val="20"/>
          <w:szCs w:val="20"/>
          <w:color w:val="auto"/>
        </w:rPr>
      </w:pPr>
    </w:p>
    <w:p>
      <w:pPr>
        <w:jc w:val="both"/>
        <w:ind w:firstLine="1505"/>
        <w:spacing w:after="0" w:line="267" w:lineRule="auto"/>
        <w:tabs>
          <w:tab w:leader="none" w:pos="203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Company may at any time, upon not less than fifteen (15) Business Days’ notice from the Company to the Administrative Agent (or such shorter period as may be agreed by the Administrative Agent in its sole discretion), designate any additional wholly owned Subsidiary of the Company (an “</w:t>
      </w:r>
      <w:r>
        <w:rPr>
          <w:rFonts w:ascii="Arial" w:cs="Arial" w:eastAsia="Arial" w:hAnsi="Arial"/>
          <w:sz w:val="18"/>
          <w:szCs w:val="18"/>
          <w:b w:val="1"/>
          <w:bCs w:val="1"/>
          <w:i w:val="1"/>
          <w:iCs w:val="1"/>
          <w:color w:val="auto"/>
        </w:rPr>
        <w:t>Applicant Borrower</w:t>
      </w:r>
      <w:r>
        <w:rPr>
          <w:rFonts w:ascii="Arial" w:cs="Arial" w:eastAsia="Arial" w:hAnsi="Arial"/>
          <w:sz w:val="18"/>
          <w:szCs w:val="18"/>
          <w:color w:val="auto"/>
        </w:rPr>
        <w:t xml:space="preserve">”) as a Designated Borrower to receive Revolving Loans hereunder by delivering to the Administrative Agent (which shall promptly deliver counterparts thereof to each Lender) a duly executed notice and agreement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 “</w:t>
      </w:r>
      <w:r>
        <w:rPr>
          <w:rFonts w:ascii="Arial" w:cs="Arial" w:eastAsia="Arial" w:hAnsi="Arial"/>
          <w:sz w:val="18"/>
          <w:szCs w:val="18"/>
          <w:b w:val="1"/>
          <w:bCs w:val="1"/>
          <w:i w:val="1"/>
          <w:iCs w:val="1"/>
          <w:color w:val="auto"/>
        </w:rPr>
        <w:t>Designated Borrower Request and Assumption Agreement</w:t>
      </w:r>
      <w:r>
        <w:rPr>
          <w:rFonts w:ascii="Arial" w:cs="Arial" w:eastAsia="Arial" w:hAnsi="Arial"/>
          <w:sz w:val="18"/>
          <w:szCs w:val="18"/>
          <w:color w:val="auto"/>
        </w:rPr>
        <w:t>”). The parties hereto acknowledge and agree that prior to any Applicant Borrower becoming entitled to utilize the credit facilities provided for herein the Administrative Agent and the Lenders shall have (i) received such supporting resolutions, incumbency certificates, opinions of counsel and other documents or information, in form, content and scope reasonably satisfactory to the Administrative Agent, as may be required by the Administrative Agent or the Required Lenders in their reasonable discretion, and (ii) received promissory notes signed by such new Borrowers to the extent any Lenders so require. Furthermore, no Subsidiary of the Company shall become a Designated Borrower if (i) any Lender is not licensed to make Loans to such Subsidiary in the jurisdiction of its organization or (ii) it is otherwise unlawful for such Subsidiary to become a Designated Borrower or for any Lender to make Loans to such Subsidiary as provided herein. No Lender shall be obligated to make Loans to any Applicant Borrower or Designated Borrower if making such Loans by such Lender would (i) be unlawful, or</w:t>
      </w:r>
    </w:p>
    <w:p>
      <w:pPr>
        <w:spacing w:after="0" w:line="5" w:lineRule="exact"/>
        <w:rPr>
          <w:rFonts w:ascii="Arial" w:cs="Arial" w:eastAsia="Arial" w:hAnsi="Arial"/>
          <w:sz w:val="18"/>
          <w:szCs w:val="18"/>
          <w:color w:val="auto"/>
        </w:rPr>
      </w:pPr>
    </w:p>
    <w:p>
      <w:pPr>
        <w:jc w:val="both"/>
        <w:ind w:firstLine="8"/>
        <w:spacing w:after="0" w:line="270" w:lineRule="auto"/>
        <w:tabs>
          <w:tab w:leader="none" w:pos="3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cause additional costs (including Taxes) to be incurred by such Lender that would not otherwise be reimbursable under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the other provisions of this Agreement. If the foregoing conditions have been satisfied, then promptly following receipt of all such requested resolutions, incumbency certificates, opinions of counsel and other documents or information, the Administrative Agent shall send a notice in substantially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 “</w:t>
      </w:r>
      <w:r>
        <w:rPr>
          <w:rFonts w:ascii="Arial" w:cs="Arial" w:eastAsia="Arial" w:hAnsi="Arial"/>
          <w:sz w:val="18"/>
          <w:szCs w:val="18"/>
          <w:b w:val="1"/>
          <w:bCs w:val="1"/>
          <w:i w:val="1"/>
          <w:iCs w:val="1"/>
          <w:color w:val="auto"/>
        </w:rPr>
        <w:t>Designated Borrower Notice</w:t>
      </w:r>
      <w:r>
        <w:rPr>
          <w:rFonts w:ascii="Arial" w:cs="Arial" w:eastAsia="Arial" w:hAnsi="Arial"/>
          <w:sz w:val="18"/>
          <w:szCs w:val="18"/>
          <w:color w:val="auto"/>
        </w:rPr>
        <w:t xml:space="preserve">”) to the Company and the Lenders specifying the effective date upon which the Applicant Borrower shall constitute a Designated Borrower for purposes hereof, whereupon each of the Lenders agrees to permit such Designated Borrower to receive Revolving Loans hereunder, on the terms and conditions set forth herein, and each of the parties agrees that such Designated Borrower otherwise shall be a Borrower for all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Borrowing Request may be submitted on behalf of such Designated Borrower until the date that is five (5) Business Days after such effective date.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2" w:name="page143"/>
    <w:bookmarkEnd w:id="142"/>
    <w:p>
      <w:pPr>
        <w:jc w:val="both"/>
        <w:ind w:firstLine="1505"/>
        <w:spacing w:after="0" w:line="273" w:lineRule="auto"/>
        <w:tabs>
          <w:tab w:leader="none" w:pos="20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Obligations of the Company and each Designated Borrower that is a Domestic Subsidiary shall be joint and several in nature regardless of which Borrower actually borrows Revolving Loans hereunder or the amount of such Revolving Loans borrowed or the manner in which the Administrative Agent or any Lender accounts for such Revolving Loans on its books and records. The Obligations of all Foreign Obligors shall be several in nature, and notwithstanding any provision of this Agreement or in any other Loan Document, express or implied, in no event shall any Foreign Obligor be obligated to make any payments in respect of an Obligation of the Company or a Designated Borrower that is a Domestic Subsidiary. All provisions in this Agreement and each other Loan Document shall be interpreted and applied consistently with this </w:t>
      </w:r>
      <w:r>
        <w:rPr>
          <w:rFonts w:ascii="Arial" w:cs="Arial" w:eastAsia="Arial" w:hAnsi="Arial"/>
          <w:sz w:val="18"/>
          <w:szCs w:val="18"/>
          <w:u w:val="single" w:color="auto"/>
          <w:color w:val="auto"/>
        </w:rPr>
        <w:t>Section 2.23(c)</w:t>
      </w:r>
      <w:r>
        <w:rPr>
          <w:rFonts w:ascii="Arial" w:cs="Arial" w:eastAsia="Arial" w:hAnsi="Arial"/>
          <w:sz w:val="18"/>
          <w:szCs w:val="18"/>
          <w:color w:val="auto"/>
        </w:rPr>
        <w:t xml:space="preserve">, and if and where other provisions of this Agreement or any other Loan Document conflict with the provisions of this </w:t>
      </w:r>
      <w:r>
        <w:rPr>
          <w:rFonts w:ascii="Arial" w:cs="Arial" w:eastAsia="Arial" w:hAnsi="Arial"/>
          <w:sz w:val="18"/>
          <w:szCs w:val="18"/>
          <w:u w:val="single" w:color="auto"/>
          <w:color w:val="auto"/>
        </w:rPr>
        <w:t>Section 2.23(c)</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2.23(c)</w:t>
      </w:r>
      <w:r>
        <w:rPr>
          <w:rFonts w:ascii="Arial" w:cs="Arial" w:eastAsia="Arial" w:hAnsi="Arial"/>
          <w:sz w:val="18"/>
          <w:szCs w:val="18"/>
          <w:color w:val="auto"/>
        </w:rPr>
        <w:t xml:space="preserve"> shall apply.</w:t>
      </w:r>
    </w:p>
    <w:p>
      <w:pPr>
        <w:spacing w:after="0" w:line="168" w:lineRule="exact"/>
        <w:rPr>
          <w:rFonts w:ascii="Arial" w:cs="Arial" w:eastAsia="Arial" w:hAnsi="Arial"/>
          <w:sz w:val="18"/>
          <w:szCs w:val="18"/>
          <w:color w:val="auto"/>
        </w:rPr>
      </w:pPr>
    </w:p>
    <w:p>
      <w:pPr>
        <w:jc w:val="both"/>
        <w:ind w:firstLine="1505"/>
        <w:spacing w:after="0" w:line="273" w:lineRule="auto"/>
        <w:tabs>
          <w:tab w:leader="none" w:pos="20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Each Subsidiary that is or becomes a Designated Borrower pursuant to this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hereby irrevocably appoints the Company as its agent for all purposes relevant to the Loan Documents, including (i) the giving and receipt of notices, (ii) the execution and delivery of all documents, instruments and certificates contemplated herein and all modifications hereto, and (iii) the receipt of the proceeds of any Revolving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168" w:lineRule="exact"/>
        <w:rPr>
          <w:rFonts w:ascii="Arial" w:cs="Arial" w:eastAsia="Arial" w:hAnsi="Arial"/>
          <w:sz w:val="18"/>
          <w:szCs w:val="18"/>
          <w:color w:val="auto"/>
        </w:rPr>
      </w:pPr>
    </w:p>
    <w:p>
      <w:pPr>
        <w:jc w:val="both"/>
        <w:ind w:firstLine="1505"/>
        <w:spacing w:after="0" w:line="278" w:lineRule="auto"/>
        <w:tabs>
          <w:tab w:leader="none" w:pos="20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may from time to time, upon not less than fifteen (15) Business Days’ notice from the Company to the Administrative Agent (or such shorter period as may be agreed by the Administrative Agent in its sole discretion), terminate a Designated Borrower’s status as such, provided that there are no outstanding Revolving Loans payable by such Designated Borrower, or other amounts payable by such Designated Borrower on account of any Revolving Loans made to it, as of the effective date of such termination. The Administrative Agent will promptly notify the Lenders of any such termination of a Designated Borrower’s status.</w:t>
      </w:r>
    </w:p>
    <w:p>
      <w:pPr>
        <w:spacing w:after="0" w:line="164" w:lineRule="exact"/>
        <w:rPr>
          <w:rFonts w:ascii="Arial" w:cs="Arial" w:eastAsia="Arial" w:hAnsi="Arial"/>
          <w:sz w:val="18"/>
          <w:szCs w:val="18"/>
          <w:color w:val="auto"/>
        </w:rPr>
      </w:pPr>
    </w:p>
    <w:p>
      <w:pPr>
        <w:jc w:val="both"/>
        <w:ind w:firstLine="1505"/>
        <w:spacing w:after="0" w:line="243" w:lineRule="auto"/>
        <w:tabs>
          <w:tab w:leader="none" w:pos="2036" w:val="left"/>
        </w:tabs>
        <w:numPr>
          <w:ilvl w:val="0"/>
          <w:numId w:val="124"/>
        </w:numPr>
        <w:rPr>
          <w:rFonts w:ascii="Arial" w:cs="Arial" w:eastAsia="Arial" w:hAnsi="Arial"/>
          <w:sz w:val="20"/>
          <w:szCs w:val="20"/>
          <w:color w:val="auto"/>
        </w:rPr>
      </w:pPr>
      <w:r>
        <w:rPr>
          <w:rFonts w:ascii="Arial" w:cs="Arial" w:eastAsia="Arial" w:hAnsi="Arial"/>
          <w:sz w:val="20"/>
          <w:szCs w:val="20"/>
          <w:color w:val="auto"/>
        </w:rPr>
        <w:t xml:space="preserve">If the selection of a particular Designated Borrower results (or is reasonably anticipated to result) in amounts becoming payable under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the Company may make a written request to the Administrative Agent for an amendment to this Agreement that would create a separate tranche of Lenders to provide credit to such Designated Borrower in a manner that would eliminate or minimize amounts payable under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The Administrative Agent and the Lenders agree to consider such amendment request in good faith. The Company hereby agrees to pay (or to cause the applicable Designated Borrower to pay) all reasonable costs and expenses incurred by the Administrative Agent or any Lender in connection with any such amendment, subject to compliance by the Lenders with the applicable provisions of </w:t>
      </w:r>
      <w:r>
        <w:rPr>
          <w:rFonts w:ascii="Arial" w:cs="Arial" w:eastAsia="Arial" w:hAnsi="Arial"/>
          <w:sz w:val="20"/>
          <w:szCs w:val="20"/>
          <w:u w:val="single" w:color="auto"/>
          <w:color w:val="auto"/>
        </w:rPr>
        <w:t>Section 2.17(f)</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jc w:val="both"/>
        <w:ind w:firstLine="1505"/>
        <w:spacing w:after="0" w:line="274" w:lineRule="auto"/>
        <w:tabs>
          <w:tab w:leader="none" w:pos="203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Illegality</w:t>
      </w:r>
      <w:r>
        <w:rPr>
          <w:rFonts w:ascii="Arial" w:cs="Arial" w:eastAsia="Arial" w:hAnsi="Arial"/>
          <w:sz w:val="18"/>
          <w:szCs w:val="18"/>
          <w:color w:val="auto"/>
        </w:rPr>
        <w:t>. If, in any applicable jurisdiction, the Administrative Agent, any Issuing Bank or any Lender determines that any law has made it unlawful, or that any Governmental Authority has asserted that it is unlawful, for the Administrative Agent, any Issuing Bank or any Lender to (i) perform any of its obligations hereunder or under any other Loan Document, (ii) to fund or maintain its participation in any Loan or (iii) issue, make, maintain, fund or charge interest with respect to any Loan, in each of the foregoing cases to any Designated Borrower who is organized under the laws of a jurisdiction other than the United States, a state thereof or the District of Columbia, such Person shall promptly notify the Administrative Agent, then, upon the Administrative Agent notifying the Company, and until such notice by such Person is revoked, any obligation of such Person to issue, make, maintain, fund or charge interest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3" w:name="page144"/>
    <w:bookmarkEnd w:id="143"/>
    <w:p>
      <w:pPr>
        <w:jc w:val="both"/>
        <w:spacing w:after="0" w:line="278" w:lineRule="auto"/>
        <w:rPr>
          <w:sz w:val="20"/>
          <w:szCs w:val="20"/>
          <w:color w:val="auto"/>
        </w:rPr>
      </w:pPr>
      <w:r>
        <w:rPr>
          <w:rFonts w:ascii="Arial" w:cs="Arial" w:eastAsia="Arial" w:hAnsi="Arial"/>
          <w:sz w:val="18"/>
          <w:szCs w:val="18"/>
          <w:color w:val="auto"/>
        </w:rPr>
        <w:t>with respect to any such Loan shall be suspended, and to the extent required by applicable law, cancelled. Upon receipt of such notice, the Borrowers shall (A)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2.24Extension Options</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70" w:lineRule="auto"/>
        <w:tabs>
          <w:tab w:leader="none" w:pos="2036"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Extension Requests</w:t>
      </w:r>
      <w:r>
        <w:rPr>
          <w:rFonts w:ascii="Arial" w:cs="Arial" w:eastAsia="Arial" w:hAnsi="Arial"/>
          <w:sz w:val="18"/>
          <w:szCs w:val="18"/>
          <w:color w:val="auto"/>
        </w:rPr>
        <w:t>. The Company may, by written notice to the Administrative Agent (which shall promptly deliver a copy thereof to each Lender) given not less than thirty (30) days and not more than ninety (90) days prior to each of the first and second anniversaries of the Effective Date, request a one-year extension of the Maturity Date then in effect (the Maturity Date then in effect being called the “</w:t>
      </w:r>
      <w:r>
        <w:rPr>
          <w:rFonts w:ascii="Arial" w:cs="Arial" w:eastAsia="Arial" w:hAnsi="Arial"/>
          <w:sz w:val="18"/>
          <w:szCs w:val="18"/>
          <w:b w:val="1"/>
          <w:bCs w:val="1"/>
          <w:i w:val="1"/>
          <w:iCs w:val="1"/>
          <w:color w:val="auto"/>
        </w:rPr>
        <w:t>Existing Termination Date</w:t>
      </w:r>
      <w:r>
        <w:rPr>
          <w:rFonts w:ascii="Arial" w:cs="Arial" w:eastAsia="Arial" w:hAnsi="Arial"/>
          <w:sz w:val="18"/>
          <w:szCs w:val="18"/>
          <w:color w:val="auto"/>
        </w:rPr>
        <w:t>”). Each Lender shall, by written notice to the Company and the Administrative Agent given not later than the twentieth (20th) day after the Administrative Agent’s receipt of the applicable extension request, advise the Company and the Administrative Agent whether it agrees to such extension (each Lender agreeing to the applicable requested extension being called an “</w:t>
      </w:r>
      <w:r>
        <w:rPr>
          <w:rFonts w:ascii="Arial" w:cs="Arial" w:eastAsia="Arial" w:hAnsi="Arial"/>
          <w:sz w:val="18"/>
          <w:szCs w:val="18"/>
          <w:b w:val="1"/>
          <w:bCs w:val="1"/>
          <w:i w:val="1"/>
          <w:iCs w:val="1"/>
          <w:color w:val="auto"/>
        </w:rPr>
        <w:t>Extending Lender</w:t>
      </w:r>
      <w:r>
        <w:rPr>
          <w:rFonts w:ascii="Arial" w:cs="Arial" w:eastAsia="Arial" w:hAnsi="Arial"/>
          <w:sz w:val="18"/>
          <w:szCs w:val="18"/>
          <w:color w:val="auto"/>
        </w:rPr>
        <w:t>”, and each Lender declining to agree to the applicable requested extension being called a “</w:t>
      </w:r>
      <w:r>
        <w:rPr>
          <w:rFonts w:ascii="Arial" w:cs="Arial" w:eastAsia="Arial" w:hAnsi="Arial"/>
          <w:sz w:val="18"/>
          <w:szCs w:val="18"/>
          <w:b w:val="1"/>
          <w:bCs w:val="1"/>
          <w:i w:val="1"/>
          <w:iCs w:val="1"/>
          <w:color w:val="auto"/>
        </w:rPr>
        <w:t>Non-Extending Lender</w:t>
      </w:r>
      <w:r>
        <w:rPr>
          <w:rFonts w:ascii="Arial" w:cs="Arial" w:eastAsia="Arial" w:hAnsi="Arial"/>
          <w:sz w:val="18"/>
          <w:szCs w:val="18"/>
          <w:color w:val="auto"/>
        </w:rPr>
        <w:t xml:space="preserve">”). Any Lender that has not so advised the Company and the Administrative Agent by such day shall be deemed to have declined to agree to such extension and shall be a Non-Extending Lender. If Required Lenders (including, for purposes of this calculation, each Lender that agrees to replace a Non-Extending Lender in accordance with </w:t>
      </w:r>
      <w:r>
        <w:rPr>
          <w:rFonts w:ascii="Arial" w:cs="Arial" w:eastAsia="Arial" w:hAnsi="Arial"/>
          <w:sz w:val="18"/>
          <w:szCs w:val="18"/>
          <w:u w:val="single" w:color="auto"/>
          <w:color w:val="auto"/>
        </w:rPr>
        <w:t>Section 2.24(b)</w:t>
      </w:r>
      <w:r>
        <w:rPr>
          <w:rFonts w:ascii="Arial" w:cs="Arial" w:eastAsia="Arial" w:hAnsi="Arial"/>
          <w:sz w:val="18"/>
          <w:szCs w:val="18"/>
          <w:color w:val="auto"/>
        </w:rPr>
        <w:t>) agree to the applicable extension request, then the Maturity Date shall, as to the Extending Lenders, be extended to the first anniversary of the Existing Termination Date. The decision of any Lender to agree or withhold agreement to either such extension request shall be at the sole discretion of such Lender.</w:t>
      </w:r>
    </w:p>
    <w:p>
      <w:pPr>
        <w:spacing w:after="0" w:line="175" w:lineRule="exact"/>
        <w:rPr>
          <w:rFonts w:ascii="Arial" w:cs="Arial" w:eastAsia="Arial" w:hAnsi="Arial"/>
          <w:sz w:val="18"/>
          <w:szCs w:val="18"/>
          <w:color w:val="auto"/>
        </w:rPr>
      </w:pPr>
    </w:p>
    <w:p>
      <w:pPr>
        <w:jc w:val="both"/>
        <w:ind w:firstLine="1505"/>
        <w:spacing w:after="0" w:line="271" w:lineRule="auto"/>
        <w:tabs>
          <w:tab w:leader="none" w:pos="2036"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Commitment Terminations</w:t>
      </w:r>
      <w:r>
        <w:rPr>
          <w:rFonts w:ascii="Arial" w:cs="Arial" w:eastAsia="Arial" w:hAnsi="Arial"/>
          <w:sz w:val="18"/>
          <w:szCs w:val="18"/>
          <w:color w:val="auto"/>
        </w:rPr>
        <w:t xml:space="preserve">. The Commitments of the Non-Extending Lenders shall terminate on the Existing Termination Date. The principal amount of outstanding Loans made by Non-Extending Lenders, together with accrued interest thereon and accrued fees and other amounts payable to or for the accounts of Non-Extending Lenders hereunder, shall be due and payable on the Existing Termination Date. On the Existing Termination Date the Borrowers shall also make such other prepayments of the Loans and, to the extent no Loans remain outstanding, cash collateralize, in a manner approved in writing by the Administrative Agent and the Issuing Bank, LC Exposure in an aggregate principal amount sufficient to cause the Dollar Amount of the Total Revolving Credit Exposures (calculated, with respect to Revolving Loans and LC Exposure denominated in Foreign Currencies, as of the most recent Computation Date with respect to each such Revolving Loans and LC Exposure) to be less than or equal to the total Commitments. The Company shall have the right, pursuant to and in accordance with </w:t>
      </w:r>
      <w:r>
        <w:rPr>
          <w:rFonts w:ascii="Arial" w:cs="Arial" w:eastAsia="Arial" w:hAnsi="Arial"/>
          <w:sz w:val="18"/>
          <w:szCs w:val="18"/>
          <w:u w:val="single" w:color="auto"/>
          <w:color w:val="auto"/>
        </w:rPr>
        <w:t>Section 2.19(b)</w:t>
      </w:r>
      <w:r>
        <w:rPr>
          <w:rFonts w:ascii="Arial" w:cs="Arial" w:eastAsia="Arial" w:hAnsi="Arial"/>
          <w:sz w:val="18"/>
          <w:szCs w:val="18"/>
          <w:color w:val="auto"/>
        </w:rPr>
        <w:t>, to replace a Non-Extending Lender with a Lender or other financial institution that will agree to the applicable extension request, and any such replacement Lender shall for all purposes constitute an Extending Lender.</w:t>
      </w:r>
    </w:p>
    <w:p>
      <w:pPr>
        <w:spacing w:after="0" w:line="173" w:lineRule="exact"/>
        <w:rPr>
          <w:rFonts w:ascii="Arial" w:cs="Arial" w:eastAsia="Arial" w:hAnsi="Arial"/>
          <w:sz w:val="18"/>
          <w:szCs w:val="18"/>
          <w:color w:val="auto"/>
        </w:rPr>
      </w:pPr>
    </w:p>
    <w:p>
      <w:pPr>
        <w:jc w:val="both"/>
        <w:ind w:firstLine="1505"/>
        <w:spacing w:after="0" w:line="274" w:lineRule="auto"/>
        <w:tabs>
          <w:tab w:leader="none" w:pos="2036"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Rights of the Swingline Lenders and Issuing Bank</w:t>
      </w:r>
      <w:r>
        <w:rPr>
          <w:rFonts w:ascii="Arial" w:cs="Arial" w:eastAsia="Arial" w:hAnsi="Arial"/>
          <w:sz w:val="18"/>
          <w:szCs w:val="18"/>
          <w:color w:val="auto"/>
        </w:rPr>
        <w:t xml:space="preserve">. The Availability Period and the Maturity Date (without taking into consideration any extension pursuant to this </w:t>
      </w:r>
      <w:r>
        <w:rPr>
          <w:rFonts w:ascii="Arial" w:cs="Arial" w:eastAsia="Arial" w:hAnsi="Arial"/>
          <w:sz w:val="18"/>
          <w:szCs w:val="18"/>
          <w:u w:val="single" w:color="auto"/>
          <w:color w:val="auto"/>
        </w:rPr>
        <w:t>Section 2.24</w:t>
      </w:r>
      <w:r>
        <w:rPr>
          <w:rFonts w:ascii="Arial" w:cs="Arial" w:eastAsia="Arial" w:hAnsi="Arial"/>
          <w:sz w:val="18"/>
          <w:szCs w:val="18"/>
          <w:color w:val="auto"/>
        </w:rPr>
        <w:t>), as such terms are used in reference to any Swingline Lender (or any Swingline Loans made by such Swingline Lender) or the Issuing Bank (or any Letters of Credit issued by the Issuing Bank), may not be extended without the prior written consent of such Swingline Lenders or each Issuing Bank, as the case may be, it being understood and agreed that, if such Swingline Lender or each Issuing Bank, as the case may be, does not consent to the applicable extension, (i) such Swingline Lender or such Issuing Bank, as the case may be, shall continue to have all the rights and obligations of a Swingline Lender or an Issuing Bank, as the case may be, hereunder through the Existing Termination Date (or the Availability Period determined on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4" w:name="page145"/>
    <w:bookmarkEnd w:id="144"/>
    <w:p>
      <w:pPr>
        <w:jc w:val="both"/>
        <w:spacing w:after="0" w:line="257" w:lineRule="auto"/>
        <w:rPr>
          <w:sz w:val="20"/>
          <w:szCs w:val="20"/>
          <w:color w:val="auto"/>
        </w:rPr>
      </w:pPr>
      <w:r>
        <w:rPr>
          <w:rFonts w:ascii="Arial" w:cs="Arial" w:eastAsia="Arial" w:hAnsi="Arial"/>
          <w:sz w:val="19"/>
          <w:szCs w:val="19"/>
          <w:color w:val="auto"/>
        </w:rPr>
        <w:t xml:space="preserve">basis thereof, as applicable), and thereafter shall have no obligation to make any Swingline Loans or to issue, amend, extend or renew any Letters of Credit (but shall, in each case, continue to be entitled to the benefits of </w:t>
      </w:r>
      <w:r>
        <w:rPr>
          <w:rFonts w:ascii="Arial" w:cs="Arial" w:eastAsia="Arial" w:hAnsi="Arial"/>
          <w:sz w:val="19"/>
          <w:szCs w:val="19"/>
          <w:u w:val="single" w:color="auto"/>
          <w:color w:val="auto"/>
        </w:rPr>
        <w:t>Sections 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10.03</w:t>
      </w:r>
      <w:r>
        <w:rPr>
          <w:rFonts w:ascii="Arial" w:cs="Arial" w:eastAsia="Arial" w:hAnsi="Arial"/>
          <w:sz w:val="19"/>
          <w:szCs w:val="19"/>
          <w:color w:val="auto"/>
        </w:rPr>
        <w:t xml:space="preserve"> , as applicable, as to Swingline Loans or Letters of Credit made or issued prior to such time), (ii) the principal amount of any outstanding Swingline Loans made by such Swingline Lender, together with any accrued interest thereon, shall, to the extent outstanding or accrued but unpaid on the Existing Termination Date, be due and payable on the Existing Termination Date, and (iii) the Borrowers shall cause the LC Exposure to be cash collateralized in a manner approved in writing by the Administrative Agent and the Issuing Bank no later than the date that is five Business Days prior to the Existing Termination Date.</w:t>
      </w:r>
    </w:p>
    <w:p>
      <w:pPr>
        <w:spacing w:after="0" w:line="185" w:lineRule="exact"/>
        <w:rPr>
          <w:sz w:val="20"/>
          <w:szCs w:val="20"/>
          <w:color w:val="auto"/>
        </w:rPr>
      </w:pPr>
    </w:p>
    <w:p>
      <w:pPr>
        <w:jc w:val="both"/>
        <w:ind w:firstLine="1505"/>
        <w:spacing w:after="0" w:line="256" w:lineRule="auto"/>
        <w:tabs>
          <w:tab w:leader="none" w:pos="2036"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Conditions Precedent to Extensions</w:t>
      </w:r>
      <w:r>
        <w:rPr>
          <w:rFonts w:ascii="Arial" w:cs="Arial" w:eastAsia="Arial" w:hAnsi="Arial"/>
          <w:sz w:val="19"/>
          <w:szCs w:val="19"/>
          <w:color w:val="auto"/>
        </w:rPr>
        <w:t xml:space="preserve">. No extension of the Maturity Date pursuant to this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shall become effective unless (i) to the extent requested by the Administrative Agent, the Administrative Agent shall have received documents consistent with those delivered on the Effective Date as to the corporate power and authority of the Borrowers to effect such extension and (ii) the Administrative Agent shall have received a certificate executed by a Financial Officer of the Company, dated as of the effective date of such extension, stating that (A) as of such date, no Default has occurred and is continuing or would result from such extension of the Maturity Date and (B) the representations and warranties of the Borrowers set forth in the Loan Documents are true in all material respects (or in all respects if the applicable representation or warranty is already qualified by concepts of materiality) on and as of such date (except to the extent any such representations or warranties are limited to an earlier date, in which case such representations and warranties shall be true in all material respects as of such earlier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Representations and Warranties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Except as otherwise provided in </w:t>
      </w:r>
      <w:r>
        <w:rPr>
          <w:rFonts w:ascii="Arial" w:cs="Arial" w:eastAsia="Arial" w:hAnsi="Arial"/>
          <w:sz w:val="20"/>
          <w:szCs w:val="20"/>
          <w:u w:val="single" w:color="auto"/>
          <w:color w:val="auto"/>
        </w:rPr>
        <w:t>Section 3.12</w:t>
      </w:r>
      <w:r>
        <w:rPr>
          <w:rFonts w:ascii="Arial" w:cs="Arial" w:eastAsia="Arial" w:hAnsi="Arial"/>
          <w:sz w:val="20"/>
          <w:szCs w:val="20"/>
          <w:color w:val="auto"/>
        </w:rPr>
        <w:t>, each Borrower represents and warrants to the Lenders that:</w:t>
      </w:r>
    </w:p>
    <w:p>
      <w:pPr>
        <w:spacing w:after="0" w:line="21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u w:val="single" w:color="auto"/>
          <w:color w:val="auto"/>
        </w:rPr>
        <w:t>SECTION 3.01Organization; Powers</w:t>
      </w:r>
      <w:r>
        <w:rPr>
          <w:rFonts w:ascii="Arial" w:cs="Arial" w:eastAsia="Arial" w:hAnsi="Arial"/>
          <w:sz w:val="20"/>
          <w:szCs w:val="20"/>
          <w:color w:val="auto"/>
        </w:rPr>
        <w:t xml:space="preserve">. Each Borrower (a) is duly organized, validly existing and in good standing under the laws of the jurisdiction of its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qualified to do business in, and is licensed and in good standing under the laws of, every jurisdiction where such qualification is required; except in each case referred to in </w:t>
      </w:r>
      <w:r>
        <w:rPr>
          <w:rFonts w:ascii="Arial" w:cs="Arial" w:eastAsia="Arial" w:hAnsi="Arial"/>
          <w:sz w:val="20"/>
          <w:szCs w:val="20"/>
          <w:u w:val="single" w:color="auto"/>
          <w:color w:val="auto"/>
        </w:rPr>
        <w:t>clause (b)(i)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to the extent that failure to do so could not reasonably be expected to have a Material Adverse Effect.</w:t>
      </w:r>
    </w:p>
    <w:p>
      <w:pPr>
        <w:spacing w:after="0" w:line="196"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u w:val="single" w:color="auto"/>
          <w:color w:val="auto"/>
        </w:rPr>
        <w:t>SECTION 3.02Authorization; Enforceability</w:t>
      </w:r>
      <w:r>
        <w:rPr>
          <w:rFonts w:ascii="Arial" w:cs="Arial" w:eastAsia="Arial" w:hAnsi="Arial"/>
          <w:sz w:val="18"/>
          <w:szCs w:val="18"/>
          <w:color w:val="auto"/>
        </w:rPr>
        <w:t>. The Transactions are within each Borrower’s corporate powers and have been duly authorized by all necessary corporate and, if required, stockholder action. Each Loan Document has been duly executed and delivered by each Borrower that is a party thereto and constitutes a legal, valid and binding obligation of each such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u w:val="single" w:color="auto"/>
          <w:color w:val="auto"/>
        </w:rPr>
        <w:t>SECTION 3.03Governmental Approvals; No Conflicts</w:t>
      </w:r>
      <w:r>
        <w:rPr>
          <w:rFonts w:ascii="Arial" w:cs="Arial" w:eastAsia="Arial" w:hAnsi="Arial"/>
          <w:sz w:val="19"/>
          <w:szCs w:val="19"/>
          <w:color w:val="auto"/>
        </w:rPr>
        <w:t>. The Transactions do not and will not (a) require any consent or approval of, registration or filing with, or any other action by, any Governmental Authority or any other Person, (b) violate any applicable law, rule or regulation of any Governmental Authority or any Organization Document of any Borrower, and (c) conflict with or result in any material breach or contravention of, or the creation of any material Lien under, or require any material payment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5" w:name="page146"/>
    <w:bookmarkEnd w:id="145"/>
    <w:p>
      <w:pPr>
        <w:jc w:val="both"/>
        <w:spacing w:after="0" w:line="250" w:lineRule="auto"/>
        <w:rPr>
          <w:sz w:val="20"/>
          <w:szCs w:val="20"/>
          <w:color w:val="auto"/>
        </w:rPr>
      </w:pPr>
      <w:r>
        <w:rPr>
          <w:rFonts w:ascii="Arial" w:cs="Arial" w:eastAsia="Arial" w:hAnsi="Arial"/>
          <w:sz w:val="20"/>
          <w:szCs w:val="20"/>
          <w:color w:val="auto"/>
        </w:rPr>
        <w:t>be made under (i) any material Contractual Obligation to which any Borrower is a party or affecting any Borrower or the properties of any Borrower or any of its Subsidiaries or (ii) any order, injunction, writ or decree of any Governmental Authority or any arbitral award to which any Borrower or the properties of any Borrower or any of its Subsidiaries is subject.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3.04Financial Condition; No Material Adverse Change</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76" w:lineRule="auto"/>
        <w:tabs>
          <w:tab w:leader="none" w:pos="203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The Company has heretofore furnished to the Lenders its consolidated balance sheet and statements of income or operations, shareholders’ equity and cash flows (i) as of and for the fiscal year ended September 30, 2020, reported on by Deloitte and Touche LLP, independent public accountants, and (ii) as of and for the fiscal quarter and the portion of the fiscal year ended March 31, 2021, certified by its Financial Officer. Such financial statements present fairly, in all material respects, the financial position and results of operations and cash flows of the Company and its consolidated Subsidiaries as of such dates and for such periods in accordance with GAAP, subject to year-end audit adjustments and the absence of footnotes in the case of the statements referred to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w:t>
      </w:r>
    </w:p>
    <w:p>
      <w:pPr>
        <w:spacing w:after="0" w:line="164" w:lineRule="exact"/>
        <w:rPr>
          <w:rFonts w:ascii="Arial" w:cs="Arial" w:eastAsia="Arial" w:hAnsi="Arial"/>
          <w:sz w:val="18"/>
          <w:szCs w:val="18"/>
          <w:color w:val="auto"/>
        </w:rPr>
      </w:pPr>
    </w:p>
    <w:p>
      <w:pPr>
        <w:ind w:firstLine="1505"/>
        <w:spacing w:after="0" w:line="260" w:lineRule="auto"/>
        <w:tabs>
          <w:tab w:leader="none" w:pos="2036" w:val="left"/>
        </w:tabs>
        <w:numPr>
          <w:ilvl w:val="0"/>
          <w:numId w:val="127"/>
        </w:numPr>
        <w:rPr>
          <w:rFonts w:ascii="Arial" w:cs="Arial" w:eastAsia="Arial" w:hAnsi="Arial"/>
          <w:sz w:val="20"/>
          <w:szCs w:val="20"/>
          <w:color w:val="auto"/>
        </w:rPr>
      </w:pPr>
      <w:r>
        <w:rPr>
          <w:rFonts w:ascii="Arial" w:cs="Arial" w:eastAsia="Arial" w:hAnsi="Arial"/>
          <w:sz w:val="20"/>
          <w:szCs w:val="20"/>
          <w:color w:val="auto"/>
        </w:rPr>
        <w:t>Since September 30, 2020, there has been no development, event or circumstance, either individually or in the aggregate, that has had or could reasonably be expected to have a Material Adverse Effect.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3.05Litigation and Environmental Matters</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43" w:lineRule="auto"/>
        <w:tabs>
          <w:tab w:leader="none" w:pos="203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There are no actions, suits, proceedings, claims or disputes pending or, to the knowledge of the Borrowers after due and diligent investigation, threatened or contemplated, at law, in equity, in arbitration or before any Governmental Authority, by or against the Company or any Subsidiary or against any of their properties or revenues that (i) except as described in the Company’s 2020 Form 10-K or any subsequent Form 10-Q or Form 8-K filing prior to the Effective Date (the “</w:t>
      </w:r>
      <w:r>
        <w:rPr>
          <w:rFonts w:ascii="Arial" w:cs="Arial" w:eastAsia="Arial" w:hAnsi="Arial"/>
          <w:sz w:val="20"/>
          <w:szCs w:val="20"/>
          <w:b w:val="1"/>
          <w:bCs w:val="1"/>
          <w:i w:val="1"/>
          <w:iCs w:val="1"/>
          <w:color w:val="auto"/>
        </w:rPr>
        <w:t>Disclosed Litigation</w:t>
      </w:r>
      <w:r>
        <w:rPr>
          <w:rFonts w:ascii="Arial" w:cs="Arial" w:eastAsia="Arial" w:hAnsi="Arial"/>
          <w:sz w:val="20"/>
          <w:szCs w:val="20"/>
          <w:color w:val="auto"/>
        </w:rPr>
        <w:t>”), could, either individually or in the aggregate, reasonably be expected to have a Material Adverse Effect, or (ii) purport to affect or pertain to any Loan Document or the Transactions.</w:t>
      </w:r>
    </w:p>
    <w:p>
      <w:pPr>
        <w:spacing w:after="0" w:line="195" w:lineRule="exact"/>
        <w:rPr>
          <w:rFonts w:ascii="Arial" w:cs="Arial" w:eastAsia="Arial" w:hAnsi="Arial"/>
          <w:sz w:val="20"/>
          <w:szCs w:val="20"/>
          <w:color w:val="auto"/>
        </w:rPr>
      </w:pPr>
    </w:p>
    <w:p>
      <w:pPr>
        <w:jc w:val="both"/>
        <w:ind w:firstLine="1505"/>
        <w:spacing w:after="0" w:line="244" w:lineRule="auto"/>
        <w:tabs>
          <w:tab w:leader="none" w:pos="203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Company and its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Borrowers have reasonably concluded that, except for the Disclosed Litigation, violation of such Environmental Laws and claims could not, individually or in the aggregate, reasonably be expected to have a Material Adverse Effect.</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3.06Compliance with Laws and Agreements; No Default</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76" w:lineRule="auto"/>
        <w:tabs>
          <w:tab w:leader="none" w:pos="203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of the Borrowers and Significant Subsidiaries is in compliance with the requirements of all laws, rules and regulations and orders, writs and decrees of any Governmental Authority applicable to it or its properties, except to the extent that (i) failure to comply therewith could not, individually or in the aggregate, reasonably be expected to result in a Material Adverse Effect and (ii) such requirement is being contested in good faith by appropriate proceedings diligently conducted. Each Borrower is in compliance with all material Contractual Obligations to which such Borrower is a party or affecting such Borrower or the properties of such Borrower or any of its Subsidiaries, except to the extent that failure to comply therewith could not reasonably be expected to result in a Material Adverse Effect.</w:t>
      </w:r>
    </w:p>
    <w:p>
      <w:pPr>
        <w:spacing w:after="0" w:line="164" w:lineRule="exact"/>
        <w:rPr>
          <w:rFonts w:ascii="Arial" w:cs="Arial" w:eastAsia="Arial" w:hAnsi="Arial"/>
          <w:sz w:val="18"/>
          <w:szCs w:val="18"/>
          <w:color w:val="auto"/>
        </w:rPr>
      </w:pPr>
    </w:p>
    <w:p>
      <w:pPr>
        <w:ind w:left="2040" w:hanging="535"/>
        <w:spacing w:after="0"/>
        <w:tabs>
          <w:tab w:leader="none" w:pos="204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No Default has occurred and is continuing or would result from the consummation of the Transactions.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6" w:name="page147"/>
    <w:bookmarkEnd w:id="146"/>
    <w:p>
      <w:pPr>
        <w:ind w:left="760"/>
        <w:spacing w:after="0"/>
        <w:rPr>
          <w:sz w:val="20"/>
          <w:szCs w:val="20"/>
          <w:color w:val="auto"/>
        </w:rPr>
      </w:pPr>
      <w:r>
        <w:rPr>
          <w:rFonts w:ascii="Arial" w:cs="Arial" w:eastAsia="Arial" w:hAnsi="Arial"/>
          <w:sz w:val="20"/>
          <w:szCs w:val="20"/>
          <w:u w:val="single" w:color="auto"/>
          <w:color w:val="auto"/>
        </w:rPr>
        <w:t>SECTION 3.07Investment Company Status; Margin Regulations</w:t>
      </w:r>
      <w:r>
        <w:rPr>
          <w:rFonts w:ascii="Arial" w:cs="Arial" w:eastAsia="Arial" w:hAnsi="Arial"/>
          <w:sz w:val="20"/>
          <w:szCs w:val="20"/>
          <w:color w:val="auto"/>
        </w:rPr>
        <w:t>.</w:t>
      </w:r>
    </w:p>
    <w:p>
      <w:pPr>
        <w:spacing w:after="0" w:line="216" w:lineRule="exact"/>
        <w:rPr>
          <w:sz w:val="20"/>
          <w:szCs w:val="20"/>
          <w:color w:val="auto"/>
        </w:rPr>
      </w:pPr>
    </w:p>
    <w:p>
      <w:pPr>
        <w:ind w:firstLine="1505"/>
        <w:spacing w:after="0" w:line="260" w:lineRule="auto"/>
        <w:tabs>
          <w:tab w:leader="none" w:pos="2036" w:val="left"/>
        </w:tabs>
        <w:numPr>
          <w:ilvl w:val="0"/>
          <w:numId w:val="130"/>
        </w:numPr>
        <w:rPr>
          <w:rFonts w:ascii="Arial" w:cs="Arial" w:eastAsia="Arial" w:hAnsi="Arial"/>
          <w:sz w:val="20"/>
          <w:szCs w:val="20"/>
          <w:color w:val="auto"/>
        </w:rPr>
      </w:pPr>
      <w:r>
        <w:rPr>
          <w:rFonts w:ascii="Arial" w:cs="Arial" w:eastAsia="Arial" w:hAnsi="Arial"/>
          <w:sz w:val="20"/>
          <w:szCs w:val="20"/>
          <w:color w:val="auto"/>
        </w:rPr>
        <w:t>Neither the Company, nor any Person Controlling the Company nor any Subsidiary is or is required to be registered as an “investment company” under the Investment Company Act of 1940.</w:t>
      </w:r>
    </w:p>
    <w:p>
      <w:pPr>
        <w:spacing w:after="0" w:line="176" w:lineRule="exact"/>
        <w:rPr>
          <w:rFonts w:ascii="Arial" w:cs="Arial" w:eastAsia="Arial" w:hAnsi="Arial"/>
          <w:sz w:val="20"/>
          <w:szCs w:val="20"/>
          <w:color w:val="auto"/>
        </w:rPr>
      </w:pPr>
    </w:p>
    <w:p>
      <w:pPr>
        <w:jc w:val="both"/>
        <w:ind w:firstLine="1505"/>
        <w:spacing w:after="0" w:line="250" w:lineRule="auto"/>
        <w:tabs>
          <w:tab w:leader="none" w:pos="2036" w:val="left"/>
        </w:tabs>
        <w:numPr>
          <w:ilvl w:val="0"/>
          <w:numId w:val="130"/>
        </w:numPr>
        <w:rPr>
          <w:rFonts w:ascii="Arial" w:cs="Arial" w:eastAsia="Arial" w:hAnsi="Arial"/>
          <w:sz w:val="20"/>
          <w:szCs w:val="20"/>
          <w:color w:val="auto"/>
        </w:rPr>
      </w:pPr>
      <w:r>
        <w:rPr>
          <w:rFonts w:ascii="Arial" w:cs="Arial" w:eastAsia="Arial" w:hAnsi="Arial"/>
          <w:sz w:val="20"/>
          <w:szCs w:val="20"/>
          <w:color w:val="auto"/>
        </w:rPr>
        <w:t>No Borrower is engaged or will engage, principally or as one of its important activities, in the business of purchasing or carrying margin stock (within the meaning of Regulation U of the Board), or extending credit for the purpose of purchasing or carrying margin stock.</w:t>
      </w:r>
    </w:p>
    <w:p>
      <w:pPr>
        <w:spacing w:after="0" w:line="186"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u w:val="single" w:color="auto"/>
          <w:color w:val="auto"/>
        </w:rPr>
        <w:t>SECTION 3.08Taxes</w:t>
      </w:r>
      <w:r>
        <w:rPr>
          <w:rFonts w:ascii="Arial" w:cs="Arial" w:eastAsia="Arial" w:hAnsi="Arial"/>
          <w:sz w:val="18"/>
          <w:szCs w:val="18"/>
          <w:color w:val="auto"/>
        </w:rPr>
        <w:t>. Each of the Borrowers and Significant Subsidiaries has timely filed or caused to be filed all federal, state and other material Tax returns and reports required to have been filed and have paid or caused to be paid all federal, state and other material Taxes required to have been paid by it, except Taxes that are being contested in good faith by appropriate proceedings diligently conducted and for which such Borrower or such Significant Subsidiary, as applicable, has set aside on its books adequate reserves. There is no proposed Tax assessment against any Borrower or any Subsidiary that would, if made, have a Material Adverse Effect.</w:t>
      </w:r>
    </w:p>
    <w:p>
      <w:pPr>
        <w:spacing w:after="0" w:line="165"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u w:val="single" w:color="auto"/>
          <w:color w:val="auto"/>
        </w:rPr>
        <w:t>SECTION 3.09ERISA</w:t>
      </w:r>
      <w:r>
        <w:rPr>
          <w:rFonts w:ascii="Arial" w:cs="Arial" w:eastAsia="Arial" w:hAnsi="Arial"/>
          <w:sz w:val="20"/>
          <w:szCs w:val="20"/>
          <w:color w:val="auto"/>
        </w:rPr>
        <w:t>. No ERISA Event has occurred or is reasonably expected to occur that, when taken together with all other such ERISA Events for which liability is reasonably expected to occur, could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the fair market value of the assets of such Plan by an amount that could reasonably be expected to result in a Material Adverse Effect, and the present value of all accumulated benefit obligations of all underfunded Plans (based on the assumptions used for purposes of Statement of Financial Accounting Standards No. 87) did not, as of the date of the most recent financial statements reflecting such amounts, exceed the fair market value of the assets of all such underfunded Plans by an amount that could reasonably be expected to result in a Material Adverse Effect.</w:t>
      </w:r>
    </w:p>
    <w:p>
      <w:pPr>
        <w:spacing w:after="0" w:line="19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u w:val="single" w:color="auto"/>
          <w:color w:val="auto"/>
        </w:rPr>
        <w:t>SECTION 3.10Disclosure</w:t>
      </w:r>
      <w:r>
        <w:rPr>
          <w:rFonts w:ascii="Arial" w:cs="Arial" w:eastAsia="Arial" w:hAnsi="Arial"/>
          <w:sz w:val="20"/>
          <w:szCs w:val="20"/>
          <w:color w:val="auto"/>
        </w:rPr>
        <w:t>. All information heretofore furnished by the Borrowers to the Administrative Agent or any Lender for purposes of or in connection with the Loan Documents or the Transactions is, and all such information hereafter furnished by the Borrowers to the Administrative Agent or any Lender will be, true and accurate in all material respects on the date as of which such information is stated or certified. The Borrowers have disclosed to the Lenders in writing any and all facts known to the Borrowers’ management which could reasonably be expected to result in a Material Adverse Effect. As of the Effective Date, to the best knowledge of the Company, the information included in any Beneficial Ownership Certification provided on or prior to the Effective Date to any Lender in connection with this Agreement is true and correct in all respects.</w:t>
      </w:r>
    </w:p>
    <w:p>
      <w:pPr>
        <w:spacing w:after="0" w:line="19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u w:val="single" w:color="auto"/>
          <w:color w:val="auto"/>
        </w:rPr>
        <w:t>SECTION 3.11Subsidiaries</w:t>
      </w:r>
      <w:r>
        <w:rPr>
          <w:rFonts w:ascii="Arial" w:cs="Arial" w:eastAsia="Arial" w:hAnsi="Arial"/>
          <w:sz w:val="19"/>
          <w:szCs w:val="19"/>
          <w:color w:val="auto"/>
        </w:rPr>
        <w:t xml:space="preserve">. Each Significant Subsidiary (a) is duly organized, validly existing and in good standing under the laws of the jurisdiction of its organization, and (b) has all requisite power and authority and all requisite governmental licenses, authorizations, consents and approvals to own or lease its assets and carry on its business, except in each case referred to in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to the extent that failure to do so could not reasonably be expected to have a Material Adverse Effect.</w:t>
      </w:r>
    </w:p>
    <w:p>
      <w:pPr>
        <w:spacing w:after="0" w:line="17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u w:val="single" w:color="auto"/>
          <w:color w:val="auto"/>
        </w:rPr>
        <w:t>SECTION 3.12Representations as to Foreign Obligors</w:t>
      </w:r>
      <w:r>
        <w:rPr>
          <w:rFonts w:ascii="Arial" w:cs="Arial" w:eastAsia="Arial" w:hAnsi="Arial"/>
          <w:sz w:val="20"/>
          <w:szCs w:val="20"/>
          <w:color w:val="auto"/>
        </w:rPr>
        <w:t>. Each of the Company and each Foreign Obligor represents and warrants to the Lenders that:</w:t>
      </w:r>
    </w:p>
    <w:p>
      <w:pPr>
        <w:spacing w:after="0" w:line="177" w:lineRule="exact"/>
        <w:rPr>
          <w:sz w:val="20"/>
          <w:szCs w:val="20"/>
          <w:color w:val="auto"/>
        </w:rPr>
      </w:pPr>
    </w:p>
    <w:p>
      <w:pPr>
        <w:jc w:val="both"/>
        <w:ind w:firstLine="1505"/>
        <w:spacing w:after="0" w:line="250" w:lineRule="auto"/>
        <w:tabs>
          <w:tab w:leader="none" w:pos="2036" w:val="left"/>
        </w:tabs>
        <w:numPr>
          <w:ilvl w:val="0"/>
          <w:numId w:val="131"/>
        </w:numPr>
        <w:rPr>
          <w:rFonts w:ascii="Arial" w:cs="Arial" w:eastAsia="Arial" w:hAnsi="Arial"/>
          <w:sz w:val="20"/>
          <w:szCs w:val="20"/>
          <w:color w:val="auto"/>
        </w:rPr>
      </w:pPr>
      <w:r>
        <w:rPr>
          <w:rFonts w:ascii="Arial" w:cs="Arial" w:eastAsia="Arial" w:hAnsi="Arial"/>
          <w:sz w:val="20"/>
          <w:szCs w:val="20"/>
          <w:color w:val="auto"/>
        </w:rPr>
        <w:t>Such Foreign Obligor is subject to civil and commercial laws, rules and regulations with respect to its obligations under the Loan Documents to which it is a party (collectively, the “</w:t>
      </w:r>
      <w:r>
        <w:rPr>
          <w:rFonts w:ascii="Arial" w:cs="Arial" w:eastAsia="Arial" w:hAnsi="Arial"/>
          <w:sz w:val="20"/>
          <w:szCs w:val="20"/>
          <w:b w:val="1"/>
          <w:bCs w:val="1"/>
          <w:i w:val="1"/>
          <w:iCs w:val="1"/>
          <w:color w:val="auto"/>
        </w:rPr>
        <w:t>Applicable Foreign Obligor Documents</w:t>
      </w:r>
      <w:r>
        <w:rPr>
          <w:rFonts w:ascii="Arial" w:cs="Arial" w:eastAsia="Arial" w:hAnsi="Arial"/>
          <w:sz w:val="20"/>
          <w:szCs w:val="20"/>
          <w:color w:val="auto"/>
        </w:rPr>
        <w:t>”), and the execution, delivery and performance by such Foreign Obligor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7" w:name="page148"/>
    <w:bookmarkEnd w:id="147"/>
    <w:p>
      <w:pPr>
        <w:jc w:val="both"/>
        <w:spacing w:after="0" w:line="244" w:lineRule="auto"/>
        <w:rPr>
          <w:sz w:val="20"/>
          <w:szCs w:val="20"/>
          <w:color w:val="auto"/>
        </w:rPr>
      </w:pPr>
      <w:r>
        <w:rPr>
          <w:rFonts w:ascii="Arial" w:cs="Arial" w:eastAsia="Arial" w:hAnsi="Arial"/>
          <w:sz w:val="20"/>
          <w:szCs w:val="20"/>
          <w:color w:val="auto"/>
        </w:rPr>
        <w:t>the Applicable Foreign Obligor Documents constitute and will constitute private and commercial acts and not public or governmental acts. Neither any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94" w:lineRule="exact"/>
        <w:rPr>
          <w:sz w:val="20"/>
          <w:szCs w:val="20"/>
          <w:color w:val="auto"/>
        </w:rPr>
      </w:pPr>
    </w:p>
    <w:p>
      <w:pPr>
        <w:jc w:val="both"/>
        <w:ind w:firstLine="1505"/>
        <w:spacing w:after="0" w:line="272" w:lineRule="auto"/>
        <w:tabs>
          <w:tab w:leader="none" w:pos="203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Applicable Foreign Obligor Documents are in proper legal form under the laws, rules and regulations of the jurisdiction in which such Foreign Obligor is organized and existing for the enforcement thereof against such Foreign Obligor under the laws, rules and regulations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any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70" w:lineRule="exact"/>
        <w:rPr>
          <w:rFonts w:ascii="Arial" w:cs="Arial" w:eastAsia="Arial" w:hAnsi="Arial"/>
          <w:sz w:val="18"/>
          <w:szCs w:val="18"/>
          <w:color w:val="auto"/>
        </w:rPr>
      </w:pPr>
    </w:p>
    <w:p>
      <w:pPr>
        <w:jc w:val="both"/>
        <w:ind w:firstLine="1505"/>
        <w:spacing w:after="0" w:line="246" w:lineRule="auto"/>
        <w:tabs>
          <w:tab w:leader="none" w:pos="203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There is no Tax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191" w:lineRule="exact"/>
        <w:rPr>
          <w:rFonts w:ascii="Arial" w:cs="Arial" w:eastAsia="Arial" w:hAnsi="Arial"/>
          <w:sz w:val="20"/>
          <w:szCs w:val="20"/>
          <w:color w:val="auto"/>
        </w:rPr>
      </w:pPr>
    </w:p>
    <w:p>
      <w:pPr>
        <w:jc w:val="both"/>
        <w:ind w:firstLine="1505"/>
        <w:spacing w:after="0" w:line="244" w:lineRule="auto"/>
        <w:tabs>
          <w:tab w:leader="none" w:pos="203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(provided that any notification or authorization described in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shall be made or obtained as soon as is reasonably practicable).</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9"/>
          <w:szCs w:val="19"/>
          <w:u w:val="single" w:color="auto"/>
          <w:color w:val="auto"/>
        </w:rPr>
        <w:t>SECTION 3.13Use of Proceeds</w:t>
      </w:r>
      <w:r>
        <w:rPr>
          <w:rFonts w:ascii="Arial" w:cs="Arial" w:eastAsia="Arial" w:hAnsi="Arial"/>
          <w:sz w:val="19"/>
          <w:szCs w:val="19"/>
          <w:color w:val="auto"/>
        </w:rPr>
        <w:t xml:space="preserve">. The proceeds of the Loans will be used only for the purposes specified in </w:t>
      </w:r>
      <w:r>
        <w:rPr>
          <w:rFonts w:ascii="Arial" w:cs="Arial" w:eastAsia="Arial" w:hAnsi="Arial"/>
          <w:sz w:val="19"/>
          <w:szCs w:val="19"/>
          <w:u w:val="single" w:color="auto"/>
          <w:color w:val="auto"/>
        </w:rPr>
        <w:t>Section 5.08</w:t>
      </w:r>
      <w:r>
        <w:rPr>
          <w:rFonts w:ascii="Arial" w:cs="Arial" w:eastAsia="Arial" w:hAnsi="Arial"/>
          <w:sz w:val="19"/>
          <w:szCs w:val="19"/>
          <w:color w:val="auto"/>
        </w:rPr>
        <w:t>.</w:t>
      </w:r>
    </w:p>
    <w:p>
      <w:pPr>
        <w:spacing w:after="0" w:line="22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u w:val="single" w:color="auto"/>
          <w:color w:val="auto"/>
        </w:rPr>
        <w:t>SECTION 3.14Anti-Corruption Laws and Sanctions</w:t>
      </w:r>
      <w:r>
        <w:rPr>
          <w:rFonts w:ascii="Arial" w:cs="Arial" w:eastAsia="Arial" w:hAnsi="Arial"/>
          <w:sz w:val="19"/>
          <w:szCs w:val="19"/>
          <w:color w:val="auto"/>
        </w:rPr>
        <w:t>. The Company has implemented and maintains in effect policies and procedures designed to ensure compliance by the Company, its Subsidiaries and their respective directors, officers, employees and agents with Anti-Corruption Laws and applicable Sanctions. The Company, its Subsidiaries and, to the knowledge of the Borrowers, their respective employees, officers, directors and agents, are in compliance with Anti-Corruption Laws and applicable Sanctions in all material respects (except to the extent that (i) such noncompliance does not involve any executive officer or similar member of senior management of the Company or such Subsidiary and does not represent a systemic failure of compliance controls, (ii) the Company or such Subsidiary is diligently taking steps to cure such noncompliance and (iii) such noncompliance would not reasonably be expected to materially and adversely affect the Company or such Subsidiary or result in a violation of Anti-Corruption Laws or applicable Sanctions by the Administrative Agent, any Lender or their Affiliates) and are not knowingly engaged in any activity that would reasonably be expected to result in any Borrower being designated as a Sanctioned Person. None of (a) the Company, any of its Subsidiaries, any of their respective officers or employees or, to the knowledge of the Borrowers, any of their respective directors, or (b) to the knowledge of the Borrowers, any agent of the Company or any of its Subsidiaries that will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8" w:name="page149"/>
    <w:bookmarkEnd w:id="148"/>
    <w:p>
      <w:pPr>
        <w:jc w:val="both"/>
        <w:spacing w:after="0" w:line="287" w:lineRule="auto"/>
        <w:rPr>
          <w:sz w:val="20"/>
          <w:szCs w:val="20"/>
          <w:color w:val="auto"/>
        </w:rPr>
      </w:pPr>
      <w:r>
        <w:rPr>
          <w:rFonts w:ascii="Arial" w:cs="Arial" w:eastAsia="Arial" w:hAnsi="Arial"/>
          <w:sz w:val="19"/>
          <w:szCs w:val="19"/>
          <w:color w:val="auto"/>
        </w:rPr>
        <w:t>in any capacity in connection with or benefit from the credit facility established hereby, is a Sanctioned Person so as to result in a violation of Anti-Corruption Law or Sanctions. The Transactions will not violate any Anti-Corruption Law or applicable Sanctions.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3.15Affected Financial Institutions</w:t>
      </w:r>
      <w:r>
        <w:rPr>
          <w:rFonts w:ascii="Arial" w:cs="Arial" w:eastAsia="Arial" w:hAnsi="Arial"/>
          <w:sz w:val="20"/>
          <w:szCs w:val="20"/>
          <w:color w:val="auto"/>
        </w:rPr>
        <w:t>. No Borrower is an Affected Financial Institution.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Conditions</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u w:val="single" w:color="auto"/>
          <w:color w:val="auto"/>
        </w:rPr>
        <w:t>SECTION 4.01Effective Date</w:t>
      </w:r>
      <w:r>
        <w:rPr>
          <w:rFonts w:ascii="Arial" w:cs="Arial" w:eastAsia="Arial" w:hAnsi="Arial"/>
          <w:sz w:val="20"/>
          <w:szCs w:val="20"/>
          <w:color w:val="auto"/>
        </w:rPr>
        <w:t xml:space="preserve">. The obligations of the Lenders to make Loans and of the Issuing Banks to issue Letters of Credit hereunder shall not become effective until the date on which each of the following conditions is satisfied (or waived in accordance with </w:t>
      </w:r>
      <w:r>
        <w:rPr>
          <w:rFonts w:ascii="Arial" w:cs="Arial" w:eastAsia="Arial" w:hAnsi="Arial"/>
          <w:sz w:val="20"/>
          <w:szCs w:val="20"/>
          <w:u w:val="single" w:color="auto"/>
          <w:color w:val="auto"/>
        </w:rPr>
        <w:t>Section 10.02</w:t>
      </w:r>
      <w:r>
        <w:rPr>
          <w:rFonts w:ascii="Arial" w:cs="Arial" w:eastAsia="Arial" w:hAnsi="Arial"/>
          <w:sz w:val="20"/>
          <w:szCs w:val="20"/>
          <w:color w:val="auto"/>
        </w:rPr>
        <w:t>):</w:t>
      </w:r>
    </w:p>
    <w:p>
      <w:pPr>
        <w:spacing w:after="0" w:line="186" w:lineRule="exact"/>
        <w:rPr>
          <w:sz w:val="20"/>
          <w:szCs w:val="20"/>
          <w:color w:val="auto"/>
        </w:rPr>
      </w:pPr>
    </w:p>
    <w:p>
      <w:pPr>
        <w:jc w:val="both"/>
        <w:ind w:firstLine="1505"/>
        <w:spacing w:after="0" w:line="246" w:lineRule="auto"/>
        <w:tabs>
          <w:tab w:leader="none" w:pos="2036"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from each party to the Loan Documents either (i) a counterpart of each Loan Document to which such Person is a party, signed on behalf of such Person or (ii) written evidence satisfactory to the Administrative Agent (which may include telecopy transmission of a signed signature page of each Loan Document to which such Person is a party) that such Person has signed a counterpart of each such Loan Document.</w:t>
      </w:r>
    </w:p>
    <w:p>
      <w:pPr>
        <w:spacing w:after="0" w:line="191" w:lineRule="exact"/>
        <w:rPr>
          <w:rFonts w:ascii="Arial" w:cs="Arial" w:eastAsia="Arial" w:hAnsi="Arial"/>
          <w:sz w:val="20"/>
          <w:szCs w:val="20"/>
          <w:color w:val="auto"/>
        </w:rPr>
      </w:pPr>
    </w:p>
    <w:p>
      <w:pPr>
        <w:jc w:val="both"/>
        <w:ind w:firstLine="1505"/>
        <w:spacing w:after="0" w:line="246" w:lineRule="auto"/>
        <w:tabs>
          <w:tab w:leader="none" w:pos="2036"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 Administrative Agent shall have received a favorable written opinion (addressed to the Administrative Agent and the Lenders and dated the Effective Date) of counsel for the Borrowers covering such matters relating to the Borrowers, the Loan Documents and the Transactions as the Required Lenders shall reasonably request and otherwise in form and substance reasonably satisfactory to the Administrative Agent.</w:t>
      </w:r>
    </w:p>
    <w:p>
      <w:pPr>
        <w:spacing w:after="0" w:line="191" w:lineRule="exact"/>
        <w:rPr>
          <w:rFonts w:ascii="Arial" w:cs="Arial" w:eastAsia="Arial" w:hAnsi="Arial"/>
          <w:sz w:val="20"/>
          <w:szCs w:val="20"/>
          <w:color w:val="auto"/>
        </w:rPr>
      </w:pPr>
    </w:p>
    <w:p>
      <w:pPr>
        <w:jc w:val="both"/>
        <w:ind w:firstLine="1505"/>
        <w:spacing w:after="0" w:line="246" w:lineRule="auto"/>
        <w:tabs>
          <w:tab w:leader="none" w:pos="2036"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 Administrative Agent shall have received such documents and certificates as the Administrative Agent or its counsel may reasonably request relating to the organization, existence and good standing of each Borrower, the authorization of the Transactions and any other legal matters relating to the Borrowers, the Loan Documents and the Transactions, all in form and substance satisfactory to the Administrative Agent and its counsel.</w:t>
      </w:r>
    </w:p>
    <w:p>
      <w:pPr>
        <w:spacing w:after="0" w:line="191" w:lineRule="exact"/>
        <w:rPr>
          <w:rFonts w:ascii="Arial" w:cs="Arial" w:eastAsia="Arial" w:hAnsi="Arial"/>
          <w:sz w:val="20"/>
          <w:szCs w:val="20"/>
          <w:color w:val="auto"/>
        </w:rPr>
      </w:pPr>
    </w:p>
    <w:p>
      <w:pPr>
        <w:jc w:val="both"/>
        <w:ind w:firstLine="1505"/>
        <w:spacing w:after="0" w:line="250" w:lineRule="auto"/>
        <w:tabs>
          <w:tab w:leader="none" w:pos="2036"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certificate, dated the Effective Date and signed by the President, a Vice President or a Financial Officer of the Company, confirming compliance with the conditions set forth in </w:t>
      </w:r>
      <w:r>
        <w:rPr>
          <w:rFonts w:ascii="Arial" w:cs="Arial" w:eastAsia="Arial" w:hAnsi="Arial"/>
          <w:sz w:val="20"/>
          <w:szCs w:val="20"/>
          <w:u w:val="single" w:color="auto"/>
          <w:color w:val="auto"/>
        </w:rPr>
        <w:t>paragraphs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4.02</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firstLine="1505"/>
        <w:spacing w:after="0" w:line="250" w:lineRule="auto"/>
        <w:tabs>
          <w:tab w:leader="none" w:pos="2036"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 Administrative Agent and the Lenders shall have received all fees and other amounts due and payable pursuant to this Agreement on or prior to the Effective Date, including, to the extent invoiced, reimbursement or payment of all out-of-pocket expenses required to be reimbursed or paid by the Borrowers hereunder.</w:t>
      </w:r>
    </w:p>
    <w:p>
      <w:pPr>
        <w:spacing w:after="0" w:line="185" w:lineRule="exact"/>
        <w:rPr>
          <w:rFonts w:ascii="Arial" w:cs="Arial" w:eastAsia="Arial" w:hAnsi="Arial"/>
          <w:sz w:val="20"/>
          <w:szCs w:val="20"/>
          <w:color w:val="auto"/>
        </w:rPr>
      </w:pPr>
    </w:p>
    <w:p>
      <w:pPr>
        <w:jc w:val="both"/>
        <w:ind w:firstLine="1505"/>
        <w:spacing w:after="0" w:line="274" w:lineRule="auto"/>
        <w:tabs>
          <w:tab w:leader="none" w:pos="203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The Administrative Agent shall have received, at least three (3) Business Days prior to the Effective Date, all documentation and other information regarding the Borrowers reasonably requested in connection with applicable “know your customer” and anti-money laundering rules and regulations, including the Act, to the extent requested in writing of the Company at least ten (10) Business Days prior to the Effective Date and (ii) to the extent any Borrower qualifies as a “legal entity customer” under the Beneficial Ownership Regulation, at least three (3) Business Days prior to the Effective Date, any Lender that has requested, in a written notice to the Company at least ten (10) Business Days prior to the Effective Date, a Beneficial Ownership Certification in relation to such Borrower shall have received such Beneficial Ownership Certification (provided that, upon the execution and delivery by such Lender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9" w:name="page150"/>
    <w:bookmarkEnd w:id="149"/>
    <w:p>
      <w:pPr>
        <w:spacing w:after="0"/>
        <w:rPr>
          <w:sz w:val="20"/>
          <w:szCs w:val="20"/>
          <w:color w:val="auto"/>
        </w:rPr>
      </w:pPr>
      <w:r>
        <w:rPr>
          <w:rFonts w:ascii="Arial" w:cs="Arial" w:eastAsia="Arial" w:hAnsi="Arial"/>
          <w:sz w:val="20"/>
          <w:szCs w:val="20"/>
          <w:color w:val="auto"/>
        </w:rPr>
        <w:t>its signature page to this Agreement, the conditions set forth in this clause (f) shall be deemed to be satisfied).</w:t>
      </w:r>
    </w:p>
    <w:p>
      <w:pPr>
        <w:spacing w:after="0" w:line="216" w:lineRule="exact"/>
        <w:rPr>
          <w:sz w:val="20"/>
          <w:szCs w:val="20"/>
          <w:color w:val="auto"/>
        </w:rPr>
      </w:pPr>
    </w:p>
    <w:p>
      <w:pPr>
        <w:jc w:val="both"/>
        <w:ind w:firstLine="1505"/>
        <w:spacing w:after="0" w:line="244" w:lineRule="auto"/>
        <w:tabs>
          <w:tab w:leader="none" w:pos="2036" w:val="left"/>
        </w:tabs>
        <w:numPr>
          <w:ilvl w:val="0"/>
          <w:numId w:val="134"/>
        </w:numPr>
        <w:rPr>
          <w:rFonts w:ascii="Arial" w:cs="Arial" w:eastAsia="Arial" w:hAnsi="Arial"/>
          <w:sz w:val="20"/>
          <w:szCs w:val="20"/>
          <w:color w:val="auto"/>
        </w:rPr>
      </w:pPr>
      <w:r>
        <w:rPr>
          <w:rFonts w:ascii="Arial" w:cs="Arial" w:eastAsia="Arial" w:hAnsi="Arial"/>
          <w:sz w:val="20"/>
          <w:szCs w:val="20"/>
          <w:color w:val="auto"/>
        </w:rPr>
        <w:t>The Administrative Agent shall have received evidence satisfactory to it that, substantially simultaneously with the funding of Loans on the Effective Date, the Borrowers shall have repaid the principal of all outstanding loans under the Existing Credit Agreement and paid all accrued interest, fees and other amounts owing thereunder. The Borrowers hereby acknowledge and agree that the “Commitments” of the “Lenders” under (and as such terms are defined in) the Existing Credit Agreement, shall automatically terminate upon the Effective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shall notify the Company and the Lenders of the Effective Date, and such notice shall be conclusive and binding.</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4.02Each Credit Event</w:t>
      </w:r>
      <w:r>
        <w:rPr>
          <w:rFonts w:ascii="Arial" w:cs="Arial" w:eastAsia="Arial" w:hAnsi="Arial"/>
          <w:sz w:val="18"/>
          <w:szCs w:val="18"/>
          <w:color w:val="auto"/>
        </w:rPr>
        <w:t>.  The obligation of each Lender to make a Loan on the occasion of any Borrowing, and of any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Issuing Bank to issue, amend, renew or extend any Letter of Credit, is subject to the satisfaction of the following conditions:</w:t>
      </w:r>
    </w:p>
    <w:p>
      <w:pPr>
        <w:spacing w:after="0" w:line="200" w:lineRule="exact"/>
        <w:rPr>
          <w:sz w:val="20"/>
          <w:szCs w:val="20"/>
          <w:color w:val="auto"/>
        </w:rPr>
      </w:pPr>
    </w:p>
    <w:p>
      <w:pPr>
        <w:jc w:val="both"/>
        <w:ind w:firstLine="1505"/>
        <w:spacing w:after="0" w:line="244" w:lineRule="auto"/>
        <w:tabs>
          <w:tab w:leader="none" w:pos="2036" w:val="left"/>
        </w:tabs>
        <w:numPr>
          <w:ilvl w:val="0"/>
          <w:numId w:val="135"/>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the Borrowers set forth in the Loan Documents (other than the representations and warranties set forth in </w:t>
      </w:r>
      <w:r>
        <w:rPr>
          <w:rFonts w:ascii="Arial" w:cs="Arial" w:eastAsia="Arial" w:hAnsi="Arial"/>
          <w:sz w:val="20"/>
          <w:szCs w:val="20"/>
          <w:u w:val="single" w:color="auto"/>
          <w:color w:val="auto"/>
        </w:rPr>
        <w:t>Sections 3.04(b)</w:t>
      </w:r>
      <w:r>
        <w:rPr>
          <w:rFonts w:ascii="Arial" w:cs="Arial" w:eastAsia="Arial" w:hAnsi="Arial"/>
          <w:sz w:val="20"/>
          <w:szCs w:val="20"/>
          <w:color w:val="auto"/>
        </w:rPr>
        <w:t xml:space="preserve">, </w:t>
      </w:r>
      <w:r>
        <w:rPr>
          <w:rFonts w:ascii="Arial" w:cs="Arial" w:eastAsia="Arial" w:hAnsi="Arial"/>
          <w:sz w:val="20"/>
          <w:szCs w:val="20"/>
          <w:u w:val="single" w:color="auto"/>
          <w:color w:val="auto"/>
        </w:rPr>
        <w:t>3.05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3.09</w:t>
      </w:r>
      <w:r>
        <w:rPr>
          <w:rFonts w:ascii="Arial" w:cs="Arial" w:eastAsia="Arial" w:hAnsi="Arial"/>
          <w:sz w:val="20"/>
          <w:szCs w:val="20"/>
          <w:color w:val="auto"/>
        </w:rPr>
        <w:t xml:space="preserve"> with respect to any Borrowing or issuance, amendment, renewal or extension of any Letter of Credit after the Effective Date) shall be true and correct in all material respects (or in all respects if the applicable representation or warranty is already qualified by concepts of materiality) on and as of the date of such Borrowing or the date of issuance, amendment, renewal or extension of such Letter of Credit, as applicable.</w:t>
      </w:r>
    </w:p>
    <w:p>
      <w:pPr>
        <w:spacing w:after="0" w:line="194" w:lineRule="exact"/>
        <w:rPr>
          <w:rFonts w:ascii="Arial" w:cs="Arial" w:eastAsia="Arial" w:hAnsi="Arial"/>
          <w:sz w:val="20"/>
          <w:szCs w:val="20"/>
          <w:color w:val="auto"/>
        </w:rPr>
      </w:pPr>
    </w:p>
    <w:p>
      <w:pPr>
        <w:ind w:firstLine="1505"/>
        <w:spacing w:after="0" w:line="260" w:lineRule="auto"/>
        <w:tabs>
          <w:tab w:leader="none" w:pos="2036"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At the time of and immediately after giving effect to such Borrowing or the issuance, amendment, renewal or extension of such Letter of Credit, as applicable, no Default shall have occurred and be continuing.</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 xml:space="preserve">Each Borrowing and each issuance, amendment, renewal or extension of a Letter of Credit shall be deemed to constitute a representation and warranty by the Borrowers on the date thereof as to the matters specified in </w:t>
      </w:r>
      <w:r>
        <w:rPr>
          <w:rFonts w:ascii="Arial" w:cs="Arial" w:eastAsia="Arial" w:hAnsi="Arial"/>
          <w:sz w:val="19"/>
          <w:szCs w:val="19"/>
          <w:u w:val="single" w:color="auto"/>
          <w:color w:val="auto"/>
        </w:rPr>
        <w:t>paragraphs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w:t>
      </w:r>
    </w:p>
    <w:p>
      <w:pPr>
        <w:spacing w:after="0" w:line="152" w:lineRule="exact"/>
        <w:rPr>
          <w:sz w:val="20"/>
          <w:szCs w:val="20"/>
          <w:color w:val="auto"/>
        </w:rPr>
      </w:pPr>
    </w:p>
    <w:p>
      <w:pPr>
        <w:ind w:firstLine="749"/>
        <w:spacing w:after="0" w:line="316" w:lineRule="auto"/>
        <w:rPr>
          <w:sz w:val="20"/>
          <w:szCs w:val="20"/>
          <w:color w:val="auto"/>
        </w:rPr>
      </w:pPr>
      <w:r>
        <w:rPr>
          <w:rFonts w:ascii="Arial" w:cs="Arial" w:eastAsia="Arial" w:hAnsi="Arial"/>
          <w:sz w:val="18"/>
          <w:szCs w:val="18"/>
          <w:u w:val="single" w:color="auto"/>
          <w:color w:val="auto"/>
        </w:rPr>
        <w:t>SECTION 4.03Initial Credit Event for each Additional Borrower</w:t>
      </w:r>
      <w:r>
        <w:rPr>
          <w:rFonts w:ascii="Arial" w:cs="Arial" w:eastAsia="Arial" w:hAnsi="Arial"/>
          <w:sz w:val="18"/>
          <w:szCs w:val="18"/>
          <w:color w:val="auto"/>
        </w:rPr>
        <w:t>. The obligation of each Lender to make Loans to any Designated Borrower that becomes a Designated Borrower after the Effective Date is subject to the satisfaction of the following conditions:</w:t>
      </w:r>
    </w:p>
    <w:p>
      <w:pPr>
        <w:spacing w:after="0" w:line="130" w:lineRule="exact"/>
        <w:rPr>
          <w:sz w:val="20"/>
          <w:szCs w:val="20"/>
          <w:color w:val="auto"/>
        </w:rPr>
      </w:pPr>
    </w:p>
    <w:p>
      <w:pPr>
        <w:ind w:firstLine="1505"/>
        <w:spacing w:after="0" w:line="260" w:lineRule="auto"/>
        <w:tabs>
          <w:tab w:leader="none" w:pos="2036"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such Designated Borrower’s Designated Borrower Request and Assumption Agreement duly executed by all parties thereto.</w:t>
      </w:r>
    </w:p>
    <w:p>
      <w:pPr>
        <w:spacing w:after="0" w:line="176" w:lineRule="exact"/>
        <w:rPr>
          <w:rFonts w:ascii="Arial" w:cs="Arial" w:eastAsia="Arial" w:hAnsi="Arial"/>
          <w:sz w:val="20"/>
          <w:szCs w:val="20"/>
          <w:color w:val="auto"/>
        </w:rPr>
      </w:pPr>
    </w:p>
    <w:p>
      <w:pPr>
        <w:jc w:val="both"/>
        <w:ind w:firstLine="1505"/>
        <w:spacing w:after="0" w:line="276" w:lineRule="auto"/>
        <w:tabs>
          <w:tab w:leader="none" w:pos="20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documents (including such legal opinions) as the Administrative Agent or its counsel may reasonably request relating to the formation, existence and good standing of such Designated Borrower, the authorization of the Transactions insofar as they relate to such Designated Borrower and any other legal matters relating to such Designated Borrower, its Designated Borrower Request and Assumption Agreement or such Transactions, including, with respect to any Designated Borrower organized under the laws of any jurisdiction outside of the United States of America, a legal opinion from such Designated Borrower’s counsel in such jurisdiction, all in form and substance satisfactory to the Administrative Agent and its counsel.</w:t>
      </w:r>
    </w:p>
    <w:p>
      <w:pPr>
        <w:spacing w:after="0" w:line="164" w:lineRule="exact"/>
        <w:rPr>
          <w:rFonts w:ascii="Arial" w:cs="Arial" w:eastAsia="Arial" w:hAnsi="Arial"/>
          <w:sz w:val="18"/>
          <w:szCs w:val="18"/>
          <w:color w:val="auto"/>
        </w:rPr>
      </w:pPr>
    </w:p>
    <w:p>
      <w:pPr>
        <w:jc w:val="both"/>
        <w:ind w:firstLine="1505"/>
        <w:spacing w:after="0" w:line="250" w:lineRule="auto"/>
        <w:tabs>
          <w:tab w:leader="none" w:pos="2036"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Administrative Agent and the Lenders shall have received all documentation and other information reasonably requested by the Lenders or the Administrative Agent under applicable “know your customer” and anti-money laundering rules and regulations, including the Act.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20"/>
          <w:szCs w:val="20"/>
          <w:u w:val="single" w:color="auto"/>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Affirmative Covenants</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 xml:space="preserve">Until the Commitments have expired or been terminated and the principal of and interest on each Loan and all fees payable hereunder shall have been paid in full and all Letters of Credit shall have expired or terminated or been cash collateralized or otherwise secured on terms and conditions reasonably satisfactory to the Issuing Bank, in each case, without any pending draw, and all LC Disbursements shall have been reimbursed, the Company (with respect to the covenants set forth in </w:t>
      </w:r>
      <w:r>
        <w:rPr>
          <w:rFonts w:ascii="Arial" w:cs="Arial" w:eastAsia="Arial" w:hAnsi="Arial"/>
          <w:sz w:val="19"/>
          <w:szCs w:val="19"/>
          <w:u w:val="single" w:color="auto"/>
          <w:color w:val="auto"/>
        </w:rPr>
        <w:t>Sections 5.01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5.02</w:t>
      </w:r>
      <w:r>
        <w:rPr>
          <w:rFonts w:ascii="Arial" w:cs="Arial" w:eastAsia="Arial" w:hAnsi="Arial"/>
          <w:sz w:val="19"/>
          <w:szCs w:val="19"/>
          <w:color w:val="auto"/>
        </w:rPr>
        <w:t xml:space="preserve">) and each Borrower (with respect to all other covenants set forth in this </w:t>
      </w:r>
      <w:r>
        <w:rPr>
          <w:rFonts w:ascii="Arial" w:cs="Arial" w:eastAsia="Arial" w:hAnsi="Arial"/>
          <w:sz w:val="19"/>
          <w:szCs w:val="19"/>
          <w:u w:val="single" w:color="auto"/>
          <w:color w:val="auto"/>
        </w:rPr>
        <w:t>Article V</w:t>
      </w:r>
      <w:r>
        <w:rPr>
          <w:rFonts w:ascii="Arial" w:cs="Arial" w:eastAsia="Arial" w:hAnsi="Arial"/>
          <w:sz w:val="19"/>
          <w:szCs w:val="19"/>
          <w:color w:val="auto"/>
        </w:rPr>
        <w:t>) covenants and agrees with the Lenders that:</w:t>
      </w:r>
    </w:p>
    <w:p>
      <w:pPr>
        <w:spacing w:after="0" w:line="180" w:lineRule="exact"/>
        <w:rPr>
          <w:sz w:val="20"/>
          <w:szCs w:val="20"/>
          <w:color w:val="auto"/>
        </w:rPr>
      </w:pPr>
    </w:p>
    <w:p>
      <w:pPr>
        <w:ind w:left="760"/>
        <w:spacing w:after="0"/>
        <w:tabs>
          <w:tab w:leader="none" w:pos="5820" w:val="left"/>
        </w:tabs>
        <w:rPr>
          <w:sz w:val="20"/>
          <w:szCs w:val="20"/>
          <w:color w:val="auto"/>
        </w:rPr>
      </w:pPr>
      <w:r>
        <w:rPr>
          <w:rFonts w:ascii="Arial" w:cs="Arial" w:eastAsia="Arial" w:hAnsi="Arial"/>
          <w:sz w:val="20"/>
          <w:szCs w:val="20"/>
          <w:u w:val="single" w:color="auto"/>
          <w:color w:val="auto"/>
        </w:rPr>
        <w:t>SECTION 5.01Financial Statements and Other Information</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The Company will furnish to the Administrative Agent and each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jc w:val="both"/>
        <w:ind w:firstLine="1505"/>
        <w:spacing w:after="0" w:line="274" w:lineRule="auto"/>
        <w:tabs>
          <w:tab w:leader="none" w:pos="203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within seven (7) Business Days following the date such information is filed with the SEC, and in any event not later than ninety-seven (97) days after the end of each fiscal year of the Company, its audited consolidated balance sheet and related statements of income or operations, shareholders’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or exception or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w:t>
      </w:r>
    </w:p>
    <w:p>
      <w:pPr>
        <w:spacing w:after="0" w:line="168" w:lineRule="exact"/>
        <w:rPr>
          <w:rFonts w:ascii="Arial" w:cs="Arial" w:eastAsia="Arial" w:hAnsi="Arial"/>
          <w:sz w:val="18"/>
          <w:szCs w:val="18"/>
          <w:color w:val="auto"/>
        </w:rPr>
      </w:pPr>
    </w:p>
    <w:p>
      <w:pPr>
        <w:jc w:val="both"/>
        <w:ind w:firstLine="1505"/>
        <w:spacing w:after="0" w:line="274" w:lineRule="auto"/>
        <w:tabs>
          <w:tab w:leader="none" w:pos="203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within seven (7) Business Days following the date such information is filed with the SEC, and in any event not later than fifty-two (52) days after the end of each of the first three (3) fiscal quarters of each fiscal year of the Company, its consolidated balance sheet and related statements of income or operations, shareholders’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basis in accordance with GAAP, subject to normal year-end audit adjustments and the absence of footnotes;</w:t>
      </w:r>
    </w:p>
    <w:p>
      <w:pPr>
        <w:spacing w:after="0" w:line="168" w:lineRule="exact"/>
        <w:rPr>
          <w:rFonts w:ascii="Arial" w:cs="Arial" w:eastAsia="Arial" w:hAnsi="Arial"/>
          <w:sz w:val="18"/>
          <w:szCs w:val="18"/>
          <w:color w:val="auto"/>
        </w:rPr>
      </w:pPr>
    </w:p>
    <w:p>
      <w:pPr>
        <w:ind w:firstLine="1505"/>
        <w:spacing w:after="0" w:line="260" w:lineRule="auto"/>
        <w:tabs>
          <w:tab w:leader="none" w:pos="2036" w:val="left"/>
        </w:tabs>
        <w:numPr>
          <w:ilvl w:val="0"/>
          <w:numId w:val="137"/>
        </w:numPr>
        <w:rPr>
          <w:rFonts w:ascii="Arial" w:cs="Arial" w:eastAsia="Arial" w:hAnsi="Arial"/>
          <w:sz w:val="20"/>
          <w:szCs w:val="20"/>
          <w:color w:val="auto"/>
        </w:rPr>
      </w:pPr>
      <w:r>
        <w:rPr>
          <w:rFonts w:ascii="Arial" w:cs="Arial" w:eastAsia="Arial" w:hAnsi="Arial"/>
          <w:sz w:val="20"/>
          <w:szCs w:val="20"/>
          <w:color w:val="auto"/>
        </w:rPr>
        <w:t xml:space="preserve">concurrently with any delivery of financial statements under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a duly completed Compliance Certificate signed by a Financial Officer of the Company;</w:t>
      </w:r>
    </w:p>
    <w:p>
      <w:pPr>
        <w:spacing w:after="0" w:line="176" w:lineRule="exact"/>
        <w:rPr>
          <w:rFonts w:ascii="Arial" w:cs="Arial" w:eastAsia="Arial" w:hAnsi="Arial"/>
          <w:sz w:val="20"/>
          <w:szCs w:val="20"/>
          <w:color w:val="auto"/>
        </w:rPr>
      </w:pPr>
    </w:p>
    <w:p>
      <w:pPr>
        <w:jc w:val="both"/>
        <w:ind w:firstLine="1505"/>
        <w:spacing w:after="0" w:line="250" w:lineRule="auto"/>
        <w:tabs>
          <w:tab w:leader="none" w:pos="2036" w:val="left"/>
        </w:tabs>
        <w:numPr>
          <w:ilvl w:val="0"/>
          <w:numId w:val="137"/>
        </w:numPr>
        <w:rPr>
          <w:rFonts w:ascii="Arial" w:cs="Arial" w:eastAsia="Arial" w:hAnsi="Arial"/>
          <w:sz w:val="20"/>
          <w:szCs w:val="20"/>
          <w:color w:val="auto"/>
        </w:rPr>
      </w:pPr>
      <w:r>
        <w:rPr>
          <w:rFonts w:ascii="Arial" w:cs="Arial" w:eastAsia="Arial" w:hAnsi="Arial"/>
          <w:sz w:val="20"/>
          <w:szCs w:val="20"/>
          <w:color w:val="auto"/>
        </w:rPr>
        <w:t>promptly after the same become available, copies of all periodic and other reports, proxy statements and other materials filed by the Company or any Subsidiary with the SEC or with any national securities exchange, or distributed by the Company to its shareholders generally, as the case may be;</w:t>
      </w:r>
    </w:p>
    <w:p>
      <w:pPr>
        <w:spacing w:after="0" w:line="185" w:lineRule="exact"/>
        <w:rPr>
          <w:rFonts w:ascii="Arial" w:cs="Arial" w:eastAsia="Arial" w:hAnsi="Arial"/>
          <w:sz w:val="20"/>
          <w:szCs w:val="20"/>
          <w:color w:val="auto"/>
        </w:rPr>
      </w:pPr>
    </w:p>
    <w:p>
      <w:pPr>
        <w:jc w:val="both"/>
        <w:ind w:firstLine="1505"/>
        <w:spacing w:after="0" w:line="246" w:lineRule="auto"/>
        <w:tabs>
          <w:tab w:leader="none" w:pos="2036" w:val="left"/>
        </w:tabs>
        <w:numPr>
          <w:ilvl w:val="0"/>
          <w:numId w:val="137"/>
        </w:numPr>
        <w:rPr>
          <w:rFonts w:ascii="Arial" w:cs="Arial" w:eastAsia="Arial" w:hAnsi="Arial"/>
          <w:sz w:val="20"/>
          <w:szCs w:val="20"/>
          <w:color w:val="auto"/>
        </w:rPr>
      </w:pPr>
      <w:r>
        <w:rPr>
          <w:rFonts w:ascii="Arial" w:cs="Arial" w:eastAsia="Arial" w:hAnsi="Arial"/>
          <w:sz w:val="20"/>
          <w:szCs w:val="20"/>
          <w:color w:val="auto"/>
        </w:rPr>
        <w:t>promptly, and in any event within seven (7) Business Days after receipt thereof by the Company or any Subsidiary, copies of each notice or other correspondence received from the SEC (or comparable agency in any applicable foreign jurisdiction) concerning any investigation or possible investigation or other inquiry by such agency regarding financial or other operational results of the Company or any Subsidiary;</w:t>
      </w:r>
    </w:p>
    <w:p>
      <w:pPr>
        <w:spacing w:after="0" w:line="191" w:lineRule="exact"/>
        <w:rPr>
          <w:rFonts w:ascii="Arial" w:cs="Arial" w:eastAsia="Arial" w:hAnsi="Arial"/>
          <w:sz w:val="20"/>
          <w:szCs w:val="20"/>
          <w:color w:val="auto"/>
        </w:rPr>
      </w:pPr>
    </w:p>
    <w:p>
      <w:pPr>
        <w:ind w:firstLine="1505"/>
        <w:spacing w:after="0" w:line="260" w:lineRule="auto"/>
        <w:tabs>
          <w:tab w:leader="none" w:pos="2036" w:val="left"/>
        </w:tabs>
        <w:numPr>
          <w:ilvl w:val="0"/>
          <w:numId w:val="137"/>
        </w:numPr>
        <w:rPr>
          <w:rFonts w:ascii="Arial" w:cs="Arial" w:eastAsia="Arial" w:hAnsi="Arial"/>
          <w:sz w:val="20"/>
          <w:szCs w:val="20"/>
          <w:color w:val="auto"/>
        </w:rPr>
      </w:pPr>
      <w:r>
        <w:rPr>
          <w:rFonts w:ascii="Arial" w:cs="Arial" w:eastAsia="Arial" w:hAnsi="Arial"/>
          <w:sz w:val="20"/>
          <w:szCs w:val="20"/>
          <w:color w:val="auto"/>
        </w:rPr>
        <w:t>with respect to each calendar year (commencing with the calendar year ending December 31, 2021), as soon as available and in any event by the date that is 215 days following the end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1" w:name="page152"/>
    <w:bookmarkEnd w:id="151"/>
    <w:p>
      <w:pPr>
        <w:jc w:val="both"/>
        <w:spacing w:after="0" w:line="278" w:lineRule="auto"/>
        <w:rPr>
          <w:sz w:val="20"/>
          <w:szCs w:val="20"/>
          <w:color w:val="auto"/>
        </w:rPr>
      </w:pPr>
      <w:r>
        <w:rPr>
          <w:rFonts w:ascii="Arial" w:cs="Arial" w:eastAsia="Arial" w:hAnsi="Arial"/>
          <w:sz w:val="18"/>
          <w:szCs w:val="18"/>
          <w:color w:val="auto"/>
        </w:rPr>
        <w:t xml:space="preserve">of such calendar year, a Pricing Certificate (as defined in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for such calendar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any calendar year, the Company may elect not to deliver a Pricing Certificate, and such election shall not constitute a Default or Event of Default (but such failure to so deliver a Pricing Certificate by the end of such 215-day period following such calendar year shall result in the Sustainability Fee Adjustment (as defined in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and the Sustainability Margin Adjustment (as defined in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being applied as set forth in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in respect of situations where the Pricing Certificate is not so delivered by the end of such period);</w:t>
      </w:r>
    </w:p>
    <w:p>
      <w:pPr>
        <w:spacing w:after="0" w:line="165" w:lineRule="exact"/>
        <w:rPr>
          <w:sz w:val="20"/>
          <w:szCs w:val="20"/>
          <w:color w:val="auto"/>
        </w:rPr>
      </w:pPr>
    </w:p>
    <w:p>
      <w:pPr>
        <w:jc w:val="both"/>
        <w:ind w:firstLine="1505"/>
        <w:spacing w:after="0" w:line="243" w:lineRule="auto"/>
        <w:tabs>
          <w:tab w:leader="none" w:pos="2036" w:val="left"/>
        </w:tabs>
        <w:numPr>
          <w:ilvl w:val="0"/>
          <w:numId w:val="138"/>
        </w:numPr>
        <w:rPr>
          <w:rFonts w:ascii="Arial" w:cs="Arial" w:eastAsia="Arial" w:hAnsi="Arial"/>
          <w:sz w:val="20"/>
          <w:szCs w:val="20"/>
          <w:color w:val="auto"/>
        </w:rPr>
      </w:pPr>
      <w:r>
        <w:rPr>
          <w:rFonts w:ascii="Arial" w:cs="Arial" w:eastAsia="Arial" w:hAnsi="Arial"/>
          <w:sz w:val="20"/>
          <w:szCs w:val="20"/>
          <w:color w:val="auto"/>
        </w:rPr>
        <w:t>promptly following any request therefor, (i) such other information regarding the operations, business affairs and financial condition of the Company or any Subsidiary, or compliance with the terms of the Loan Documents, as the Administrative Agent or any Lender may reasonably request and (ii) such other information regarding sustainability matters and practices of the Company or any Subsidiary (including with respect to corporate governance, environmental, social and employee matters, respect for human rights, anti-corruption and anti-bribery) as the Administrative Agent or any Lender may reasonably request for purposes of compliance with any legal or regulatory requirement applicable to it; and</w:t>
      </w:r>
    </w:p>
    <w:p>
      <w:pPr>
        <w:spacing w:after="0" w:line="195" w:lineRule="exact"/>
        <w:rPr>
          <w:rFonts w:ascii="Arial" w:cs="Arial" w:eastAsia="Arial" w:hAnsi="Arial"/>
          <w:sz w:val="20"/>
          <w:szCs w:val="20"/>
          <w:color w:val="auto"/>
        </w:rPr>
      </w:pPr>
    </w:p>
    <w:p>
      <w:pPr>
        <w:jc w:val="both"/>
        <w:ind w:firstLine="1505"/>
        <w:spacing w:after="0" w:line="250" w:lineRule="auto"/>
        <w:tabs>
          <w:tab w:leader="none" w:pos="2036" w:val="left"/>
        </w:tabs>
        <w:numPr>
          <w:ilvl w:val="0"/>
          <w:numId w:val="138"/>
        </w:numPr>
        <w:rPr>
          <w:rFonts w:ascii="Arial" w:cs="Arial" w:eastAsia="Arial" w:hAnsi="Arial"/>
          <w:sz w:val="20"/>
          <w:szCs w:val="20"/>
          <w:color w:val="auto"/>
        </w:rPr>
      </w:pPr>
      <w:r>
        <w:rPr>
          <w:rFonts w:ascii="Arial" w:cs="Arial" w:eastAsia="Arial" w:hAnsi="Arial"/>
          <w:sz w:val="20"/>
          <w:szCs w:val="20"/>
          <w:color w:val="auto"/>
        </w:rPr>
        <w:t>promptly following any request therefor, information and documentation reasonably requested by the Administrative Agent or any Lender required for purposes of compliance with applicable “know your customer” and anti-money laundering rules and regulations, including the Patriot Act and the Beneficial Ownership Regulation.</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Section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Company shall deliver paper copies of such documents to the Administrative Agent or any Lender that requests the Company to deliver such paper copies until a written request to cease delivering paper copies is given by the Administrative Agent or such Lender and (y) the Company shall notify the Administrative Agent and each Lender (by telecopier or electronic mail) of the posting of any such documents and provide to the Administrative Agent by electronic mail electronic versions (</w:t>
      </w:r>
      <w:r>
        <w:rPr>
          <w:rFonts w:ascii="Arial" w:cs="Arial" w:eastAsia="Arial" w:hAnsi="Arial"/>
          <w:sz w:val="19"/>
          <w:szCs w:val="19"/>
          <w:u w:val="single" w:color="auto"/>
          <w:color w:val="auto"/>
        </w:rPr>
        <w:t>i.e.</w:t>
      </w:r>
      <w:r>
        <w:rPr>
          <w:rFonts w:ascii="Arial" w:cs="Arial" w:eastAsia="Arial" w:hAnsi="Arial"/>
          <w:sz w:val="19"/>
          <w:szCs w:val="19"/>
          <w:color w:val="auto"/>
        </w:rPr>
        <w:t>, soft copies) of such documents.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8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u w:val="single" w:color="auto"/>
          <w:color w:val="auto"/>
        </w:rPr>
        <w:t>SECTION 5.02Notices of Material Events</w:t>
      </w:r>
      <w:r>
        <w:rPr>
          <w:rFonts w:ascii="Arial" w:cs="Arial" w:eastAsia="Arial" w:hAnsi="Arial"/>
          <w:sz w:val="20"/>
          <w:szCs w:val="20"/>
          <w:color w:val="auto"/>
        </w:rPr>
        <w:t>. The Company will furnish to the Administrative Agent and each Lender prompt written notice of the following:</w:t>
      </w:r>
    </w:p>
    <w:p>
      <w:pPr>
        <w:spacing w:after="0" w:line="177" w:lineRule="exact"/>
        <w:rPr>
          <w:sz w:val="20"/>
          <w:szCs w:val="20"/>
          <w:color w:val="auto"/>
        </w:rPr>
      </w:pPr>
    </w:p>
    <w:p>
      <w:pPr>
        <w:ind w:left="2040" w:hanging="535"/>
        <w:spacing w:after="0"/>
        <w:tabs>
          <w:tab w:leader="none" w:pos="204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occurrence of any Default;</w:t>
      </w:r>
    </w:p>
    <w:p>
      <w:pPr>
        <w:spacing w:after="0" w:line="215" w:lineRule="exact"/>
        <w:rPr>
          <w:rFonts w:ascii="Arial" w:cs="Arial" w:eastAsia="Arial" w:hAnsi="Arial"/>
          <w:sz w:val="20"/>
          <w:szCs w:val="20"/>
          <w:color w:val="auto"/>
        </w:rPr>
      </w:pPr>
    </w:p>
    <w:p>
      <w:pPr>
        <w:ind w:firstLine="1505"/>
        <w:spacing w:after="0" w:line="287" w:lineRule="auto"/>
        <w:tabs>
          <w:tab w:leader="none" w:pos="203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the occurrence of any ERISA Event (other than an ERISA Event under any of </w:t>
      </w:r>
      <w:r>
        <w:rPr>
          <w:rFonts w:ascii="Arial" w:cs="Arial" w:eastAsia="Arial" w:hAnsi="Arial"/>
          <w:sz w:val="19"/>
          <w:szCs w:val="19"/>
          <w:u w:val="single" w:color="auto"/>
          <w:color w:val="auto"/>
        </w:rPr>
        <w:t>clauses (j)</w:t>
      </w:r>
      <w:r>
        <w:rPr>
          <w:rFonts w:ascii="Arial" w:cs="Arial" w:eastAsia="Arial" w:hAnsi="Arial"/>
          <w:sz w:val="19"/>
          <w:szCs w:val="19"/>
          <w:color w:val="auto"/>
        </w:rPr>
        <w:t xml:space="preserve">, </w:t>
      </w:r>
      <w:r>
        <w:rPr>
          <w:rFonts w:ascii="Arial" w:cs="Arial" w:eastAsia="Arial" w:hAnsi="Arial"/>
          <w:sz w:val="19"/>
          <w:szCs w:val="19"/>
          <w:u w:val="single" w:color="auto"/>
          <w:color w:val="auto"/>
        </w:rPr>
        <w:t>(l)</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(m)</w:t>
      </w:r>
      <w:r>
        <w:rPr>
          <w:rFonts w:ascii="Arial" w:cs="Arial" w:eastAsia="Arial" w:hAnsi="Arial"/>
          <w:sz w:val="19"/>
          <w:szCs w:val="19"/>
          <w:color w:val="auto"/>
        </w:rPr>
        <w:t xml:space="preserve"> of the definition thereof that could not, individually or in the aggregate, reasonably be expected to result in a Material Adverse Effect);</w:t>
      </w:r>
    </w:p>
    <w:p>
      <w:pPr>
        <w:spacing w:after="0" w:line="152" w:lineRule="exact"/>
        <w:rPr>
          <w:rFonts w:ascii="Arial" w:cs="Arial" w:eastAsia="Arial" w:hAnsi="Arial"/>
          <w:sz w:val="19"/>
          <w:szCs w:val="19"/>
          <w:color w:val="auto"/>
        </w:rPr>
      </w:pPr>
    </w:p>
    <w:p>
      <w:pPr>
        <w:ind w:firstLine="1505"/>
        <w:spacing w:after="0" w:line="260" w:lineRule="auto"/>
        <w:tabs>
          <w:tab w:leader="none" w:pos="2036"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any material change in accounting policies or financial reporting practices by the Company or any Subsidiary not otherwise reported in the Company’s SEC filings;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2" w:name="page153"/>
    <w:bookmarkEnd w:id="152"/>
    <w:p>
      <w:pPr>
        <w:ind w:firstLine="1505"/>
        <w:spacing w:after="0" w:line="260" w:lineRule="auto"/>
        <w:tabs>
          <w:tab w:leader="none" w:pos="2036" w:val="left"/>
        </w:tabs>
        <w:numPr>
          <w:ilvl w:val="1"/>
          <w:numId w:val="140"/>
        </w:numPr>
        <w:rPr>
          <w:rFonts w:ascii="Arial" w:cs="Arial" w:eastAsia="Arial" w:hAnsi="Arial"/>
          <w:sz w:val="20"/>
          <w:szCs w:val="20"/>
          <w:color w:val="auto"/>
        </w:rPr>
      </w:pPr>
      <w:r>
        <w:rPr>
          <w:rFonts w:ascii="Arial" w:cs="Arial" w:eastAsia="Arial" w:hAnsi="Arial"/>
          <w:sz w:val="20"/>
          <w:szCs w:val="20"/>
          <w:color w:val="auto"/>
        </w:rPr>
        <w:t>any published announcement by Moody’s or S&amp;P of any change or possible change in the rating established or deemed to have been established for the Index Debt; and</w:t>
      </w:r>
    </w:p>
    <w:p>
      <w:pPr>
        <w:spacing w:after="0" w:line="176" w:lineRule="exact"/>
        <w:rPr>
          <w:rFonts w:ascii="Arial" w:cs="Arial" w:eastAsia="Arial" w:hAnsi="Arial"/>
          <w:sz w:val="20"/>
          <w:szCs w:val="20"/>
          <w:color w:val="auto"/>
        </w:rPr>
      </w:pPr>
    </w:p>
    <w:p>
      <w:pPr>
        <w:jc w:val="both"/>
        <w:ind w:firstLine="1505"/>
        <w:spacing w:after="0" w:line="272" w:lineRule="auto"/>
        <w:tabs>
          <w:tab w:leader="none" w:pos="2036"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 including (i) breach or non-performance of, or any default under, a Contractual Obligation of the Company or any Subsidiary; (ii) any dispute, litigation, investigation, proceeding or suspension between the Company or any Subsidiary and any Governmental Authority; and</w:t>
      </w:r>
    </w:p>
    <w:p>
      <w:pPr>
        <w:ind w:firstLine="8"/>
        <w:spacing w:after="0" w:line="244" w:lineRule="auto"/>
        <w:tabs>
          <w:tab w:leader="none" w:pos="353"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commencement of, or any material development in, any litigation or proceeding affecting the Company or any Subsidiary, including pursuant to any applicable Environmental Laws.</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18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u w:val="single" w:color="auto"/>
          <w:color w:val="auto"/>
        </w:rPr>
        <w:t>SECTION 5.03Existence; Conduct of Business</w:t>
      </w:r>
      <w:r>
        <w:rPr>
          <w:rFonts w:ascii="Arial" w:cs="Arial" w:eastAsia="Arial" w:hAnsi="Arial"/>
          <w:sz w:val="18"/>
          <w:szCs w:val="18"/>
          <w:color w:val="auto"/>
        </w:rPr>
        <w:t xml:space="preserve">. It will, and will cause each of its Subsidiaries to, (a) preserve, renew and keep in full force and effect its legal existence, (b) preserve, renew and keep in full force and effect its good standing under the laws of the jurisdiction of its organization except as permitted under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(c) take all reasonable action to maintain all rights, licenses, permits, privileges and franchises necessary or desirable in the normal conduct of its business, except to the extent that failure to do so could not reasonably be expected to have a Material Adverse Effect; and (d) preserve and renew all of its registered patents, trademarks, trade names and service marks, the non-preservation of which could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sale, liquidation or dissolution permitted under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6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u w:val="single" w:color="auto"/>
          <w:color w:val="auto"/>
        </w:rPr>
        <w:t>SECTION 5.04Payment of Obligations</w:t>
      </w:r>
      <w:r>
        <w:rPr>
          <w:rFonts w:ascii="Arial" w:cs="Arial" w:eastAsia="Arial" w:hAnsi="Arial"/>
          <w:sz w:val="20"/>
          <w:szCs w:val="20"/>
          <w:color w:val="auto"/>
        </w:rPr>
        <w:t xml:space="preserve">. It will, and will cause each of its Subsidiaries to, pay its material obligations and liabilities, including (a) all Tax liabilities, except where (i) the validity or amount thereof is being contested in good faith by appropriate proceedings diligently conducted and (ii) the Company or such Subsidiary has set aside on its books adequate reserves with respect thereto in accordance with GAAP, (b) all lawful material claims which, if unpaid, would by law become a Lien upon its property (other than Liens permitted by </w:t>
      </w:r>
      <w:r>
        <w:rPr>
          <w:rFonts w:ascii="Arial" w:cs="Arial" w:eastAsia="Arial" w:hAnsi="Arial"/>
          <w:sz w:val="20"/>
          <w:szCs w:val="20"/>
          <w:u w:val="single" w:color="auto"/>
          <w:color w:val="auto"/>
        </w:rPr>
        <w:t>Section 6.01</w:t>
      </w:r>
      <w:r>
        <w:rPr>
          <w:rFonts w:ascii="Arial" w:cs="Arial" w:eastAsia="Arial" w:hAnsi="Arial"/>
          <w:sz w:val="20"/>
          <w:szCs w:val="20"/>
          <w:color w:val="auto"/>
        </w:rPr>
        <w:t>), and (c) all Indebtedness, as and when due and payable, but subject to any subordination provisions contained in any instrument or agreement evidencing such Indebtedness.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5.05Maintenance of Properties; Insurance</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57" w:lineRule="auto"/>
        <w:tabs>
          <w:tab w:leader="none" w:pos="203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It will, and will cause each of its Subsidiaries to, (i) keep and maintain all property material to the conduct of its business in good working order and condition, ordinary wear and tear excepted, and (ii) make all necessary repairs thereto and renewals and replacements thereof except where the failure to do so could not reasonably be expected to have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w:t>
      </w:r>
      <w:r>
        <w:rPr>
          <w:rFonts w:ascii="Arial" w:cs="Arial" w:eastAsia="Arial" w:hAnsi="Arial"/>
          <w:sz w:val="19"/>
          <w:szCs w:val="19"/>
          <w:u w:val="single" w:color="auto"/>
          <w:color w:val="auto"/>
        </w:rPr>
        <w:t>Section 5.05(a)</w:t>
      </w:r>
      <w:r>
        <w:rPr>
          <w:rFonts w:ascii="Arial" w:cs="Arial" w:eastAsia="Arial" w:hAnsi="Arial"/>
          <w:sz w:val="19"/>
          <w:szCs w:val="19"/>
          <w:color w:val="auto"/>
        </w:rPr>
        <w:t xml:space="preserve"> shall prevent the Company or any Subsidiary from discontinuing the operations and maintenance of any of its properties or those of its Subsidiaries if such discontinuance is, in the judgment of the Company or such Subsidiary, desirable in the conduct of its or their business and which do not in the aggregate cause a Material Adverse Effect. Except as provided above, the Borrowers shall maintain direct ownership of the majority of the tangible and intangible assets employed in connection with the Borrowers’ United States domestic carbon black business.</w:t>
      </w:r>
    </w:p>
    <w:p>
      <w:pPr>
        <w:spacing w:after="0" w:line="180" w:lineRule="exact"/>
        <w:rPr>
          <w:rFonts w:ascii="Arial" w:cs="Arial" w:eastAsia="Arial" w:hAnsi="Arial"/>
          <w:sz w:val="19"/>
          <w:szCs w:val="19"/>
          <w:color w:val="auto"/>
        </w:rPr>
      </w:pPr>
    </w:p>
    <w:p>
      <w:pPr>
        <w:jc w:val="both"/>
        <w:ind w:firstLine="1505"/>
        <w:spacing w:after="0" w:line="250" w:lineRule="auto"/>
        <w:tabs>
          <w:tab w:leader="none" w:pos="2036" w:val="left"/>
        </w:tabs>
        <w:numPr>
          <w:ilvl w:val="0"/>
          <w:numId w:val="142"/>
        </w:numPr>
        <w:rPr>
          <w:rFonts w:ascii="Arial" w:cs="Arial" w:eastAsia="Arial" w:hAnsi="Arial"/>
          <w:sz w:val="20"/>
          <w:szCs w:val="20"/>
          <w:color w:val="auto"/>
        </w:rPr>
      </w:pPr>
      <w:r>
        <w:rPr>
          <w:rFonts w:ascii="Arial" w:cs="Arial" w:eastAsia="Arial" w:hAnsi="Arial"/>
          <w:sz w:val="20"/>
          <w:szCs w:val="20"/>
          <w:color w:val="auto"/>
        </w:rPr>
        <w:t>It will, and will cause each of its Significant Subsidiaries to, maintain, with financially sound and reputable insurance companies that are not Affiliates of the Company, insurance in such amounts and against such risks as are customarily maintained by companies engaged in the same or similar businesses.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3" w:name="page154"/>
    <w:bookmarkEnd w:id="153"/>
    <w:p>
      <w:pPr>
        <w:ind w:left="760"/>
        <w:spacing w:after="0"/>
        <w:rPr>
          <w:sz w:val="20"/>
          <w:szCs w:val="20"/>
          <w:color w:val="auto"/>
        </w:rPr>
      </w:pPr>
      <w:r>
        <w:rPr>
          <w:rFonts w:ascii="Arial" w:cs="Arial" w:eastAsia="Arial" w:hAnsi="Arial"/>
          <w:sz w:val="20"/>
          <w:szCs w:val="20"/>
          <w:u w:val="single" w:color="auto"/>
          <w:color w:val="auto"/>
        </w:rPr>
        <w:t>SECTION 5.06Books and Records; Inspection Rights</w:t>
      </w:r>
      <w:r>
        <w:rPr>
          <w:rFonts w:ascii="Arial" w:cs="Arial" w:eastAsia="Arial" w:hAnsi="Arial"/>
          <w:sz w:val="20"/>
          <w:szCs w:val="20"/>
          <w:color w:val="auto"/>
        </w:rPr>
        <w:t>.</w:t>
      </w:r>
    </w:p>
    <w:p>
      <w:pPr>
        <w:spacing w:after="0" w:line="216" w:lineRule="exact"/>
        <w:rPr>
          <w:sz w:val="20"/>
          <w:szCs w:val="20"/>
          <w:color w:val="auto"/>
        </w:rPr>
      </w:pPr>
    </w:p>
    <w:p>
      <w:pPr>
        <w:ind w:firstLine="1505"/>
        <w:spacing w:after="0" w:line="316" w:lineRule="auto"/>
        <w:tabs>
          <w:tab w:leader="none" w:pos="203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 will, and will cause each of its Subsidiaries to, keep proper books of record and account in which full, true and correct entries in conformity with GAAP are made of all financial dealings and transactions in relation to its business and activities.</w:t>
      </w:r>
    </w:p>
    <w:p>
      <w:pPr>
        <w:spacing w:after="0" w:line="129" w:lineRule="exact"/>
        <w:rPr>
          <w:rFonts w:ascii="Arial" w:cs="Arial" w:eastAsia="Arial" w:hAnsi="Arial"/>
          <w:sz w:val="18"/>
          <w:szCs w:val="18"/>
          <w:color w:val="auto"/>
        </w:rPr>
      </w:pPr>
    </w:p>
    <w:p>
      <w:pPr>
        <w:jc w:val="both"/>
        <w:ind w:firstLine="1505"/>
        <w:spacing w:after="0" w:line="276" w:lineRule="auto"/>
        <w:tabs>
          <w:tab w:leader="none" w:pos="203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It will, and will cause each of its Subsidiaries to, permit any representatives and independent contractors designated by the Administrative Agent or any Lender, upon reasonable prior notice, to visit and inspect its properties, to examine and make extracts from its books and records, and to discuss its affairs, finances and accounts with its directors, officers and independent accountants, all at the expense of the Company and at such reasonable times during normal business hours and not more than once each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 Event of Default has occurred and is continuing, such representatives and independent contractors may do any of the foregoing at the expense of the Company at any time during normal business hours and without prior notice.</w:t>
      </w:r>
    </w:p>
    <w:p>
      <w:pPr>
        <w:spacing w:after="0" w:line="16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u w:val="single" w:color="auto"/>
          <w:color w:val="auto"/>
        </w:rPr>
        <w:t>SECTION 5.07Compliance with Laws</w:t>
      </w:r>
      <w:r>
        <w:rPr>
          <w:rFonts w:ascii="Arial" w:cs="Arial" w:eastAsia="Arial" w:hAnsi="Arial"/>
          <w:sz w:val="20"/>
          <w:szCs w:val="20"/>
          <w:color w:val="auto"/>
        </w:rPr>
        <w:t>. It will, and will cause each of its Subsidiaries to, comply with all laws, rules and regulations and orders, injunctions, writs and decrees of any Governmental Authority applicable to it or its property, except where (a) the failure to do so could not reasonably be expected to result in a Material Adverse Effect and (b) the requirement to do so is being contested in good faith by appropriate proceedings diligently conducted. The Company will maintain in effect and enforce policies and procedures designed to ensure compliance by the Company, its Subsidiaries and their respective directors, officers, employees and agents with Anti-Corruption Laws and applicable Sanctions.</w:t>
      </w:r>
    </w:p>
    <w:p>
      <w:pPr>
        <w:spacing w:after="0" w:line="19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u w:val="single" w:color="auto"/>
          <w:color w:val="auto"/>
        </w:rPr>
        <w:t>SECTION 5.08Use of Proceeds</w:t>
      </w:r>
      <w:r>
        <w:rPr>
          <w:rFonts w:ascii="Arial" w:cs="Arial" w:eastAsia="Arial" w:hAnsi="Arial"/>
          <w:sz w:val="19"/>
          <w:szCs w:val="19"/>
          <w:color w:val="auto"/>
        </w:rPr>
        <w:t>. The proceeds of the Loans will be used only for general corporate purposes of the Company and its Subsidiaries in the ordinary course of business, including Permitted Acquisitions, and to refinance indebtedness and any other amounts outstanding under the Existing Credit Agreement on the Effective Date. No Borrower will request any Borrowing or Letter of Credit, and no Borrower shall use the proceeds of any Borrowing or Letter of Credit, and each Borrower shall ensure that its Subsidiaries and its or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in the United States or in a European Union member state, or (c) in any other manner that would result in the violation of any Sanctions applicable to any party hereto.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Negative Covenants</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Until the Commitments have expired or terminated and the principal of and interest on each Loan and all fees payable hereunder have been paid in full and all Letters of Credit have expired or terminated or been cash collateralized or otherwise secured on terms and conditions reasonably satisfactory to the Issuing Banks, in each case, without any pending draw, and all LC Disbursements shall have been reimbursed, each Borrower covenants and agrees with the Lenders that:</w:t>
      </w:r>
    </w:p>
    <w:p>
      <w:pPr>
        <w:spacing w:after="0" w:line="19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u w:val="single" w:color="auto"/>
          <w:color w:val="auto"/>
        </w:rPr>
        <w:t>SECTION 6.01Liens</w:t>
      </w:r>
      <w:r>
        <w:rPr>
          <w:rFonts w:ascii="Arial" w:cs="Arial" w:eastAsia="Arial" w:hAnsi="Arial"/>
          <w:sz w:val="20"/>
          <w:szCs w:val="20"/>
          <w:color w:val="auto"/>
        </w:rPr>
        <w:t>. It will not, and will not permit any of its Subsidiaries to, create, incur, assume or permit to exist any Lien on any property, asset or revenue now owned or hereafter acquired by it, except: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4" w:name="page155"/>
    <w:bookmarkEnd w:id="154"/>
    <w:p>
      <w:pPr>
        <w:ind w:left="2040" w:hanging="535"/>
        <w:spacing w:after="0"/>
        <w:tabs>
          <w:tab w:leader="none" w:pos="204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Permitted Encumbrances;</w:t>
      </w:r>
    </w:p>
    <w:p>
      <w:pPr>
        <w:spacing w:after="0" w:line="215" w:lineRule="exact"/>
        <w:rPr>
          <w:rFonts w:ascii="Arial" w:cs="Arial" w:eastAsia="Arial" w:hAnsi="Arial"/>
          <w:sz w:val="20"/>
          <w:szCs w:val="20"/>
          <w:color w:val="auto"/>
        </w:rPr>
      </w:pPr>
    </w:p>
    <w:p>
      <w:pPr>
        <w:jc w:val="both"/>
        <w:ind w:firstLine="1505"/>
        <w:spacing w:after="0" w:line="246" w:lineRule="auto"/>
        <w:tabs>
          <w:tab w:leader="none" w:pos="2036"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Liens on any property or asset of the Company or any Subsidiary existing on the date hereof and set forth in </w:t>
      </w:r>
      <w:r>
        <w:rPr>
          <w:rFonts w:ascii="Arial" w:cs="Arial" w:eastAsia="Arial" w:hAnsi="Arial"/>
          <w:sz w:val="20"/>
          <w:szCs w:val="20"/>
          <w:u w:val="single" w:color="auto"/>
          <w:color w:val="auto"/>
        </w:rPr>
        <w:t>Schedule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 shall not apply to any other property or asset of the Company or any Subsidiary and (ii) such Lien shall secure only those obligations which it secures on the date hereof and extensions, renewals and replacements thereof that do not increase the outstanding principal amount thereof;</w:t>
      </w:r>
    </w:p>
    <w:p>
      <w:pPr>
        <w:spacing w:after="0" w:line="191" w:lineRule="exact"/>
        <w:rPr>
          <w:rFonts w:ascii="Arial" w:cs="Arial" w:eastAsia="Arial" w:hAnsi="Arial"/>
          <w:sz w:val="20"/>
          <w:szCs w:val="20"/>
          <w:color w:val="auto"/>
        </w:rPr>
      </w:pPr>
    </w:p>
    <w:p>
      <w:pPr>
        <w:jc w:val="both"/>
        <w:ind w:firstLine="1505"/>
        <w:spacing w:after="0" w:line="243" w:lineRule="auto"/>
        <w:tabs>
          <w:tab w:leader="none" w:pos="2036"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any Lien existing on any property or asset of a Person prior to the acquisition thereof by the Company or any Subsidiary or prior to merger or consolidation of such Person into the Company or any Subsidiary, or existing on any property or asset of any Person that becomes a Subsidiary after the date hereof prior to the time such Person becomes a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case, (i) such Lien is not created in contemplation of or in connection with such acquisition, merger or consolidation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w:t>
      </w:r>
    </w:p>
    <w:p>
      <w:pPr>
        <w:spacing w:after="0" w:line="192" w:lineRule="exact"/>
        <w:rPr>
          <w:rFonts w:ascii="Arial" w:cs="Arial" w:eastAsia="Arial" w:hAnsi="Arial"/>
          <w:sz w:val="20"/>
          <w:szCs w:val="20"/>
          <w:color w:val="auto"/>
        </w:rPr>
      </w:pPr>
    </w:p>
    <w:p>
      <w:pPr>
        <w:jc w:val="both"/>
        <w:ind w:firstLine="1505"/>
        <w:spacing w:after="0" w:line="250" w:lineRule="auto"/>
        <w:tabs>
          <w:tab w:leader="none" w:pos="2036"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Liens securing purchase money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185" w:lineRule="exact"/>
        <w:rPr>
          <w:rFonts w:ascii="Arial" w:cs="Arial" w:eastAsia="Arial" w:hAnsi="Arial"/>
          <w:sz w:val="20"/>
          <w:szCs w:val="20"/>
          <w:color w:val="auto"/>
        </w:rPr>
      </w:pPr>
    </w:p>
    <w:p>
      <w:pPr>
        <w:ind w:firstLine="1505"/>
        <w:spacing w:after="0" w:line="260" w:lineRule="auto"/>
        <w:tabs>
          <w:tab w:leader="none" w:pos="2036"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any interest of title of a lessor under, and Liens arising from UCC financing statements (or equivalent filings, registrations or agreements in foreign jurisdictions) relating to, leases permitted by this Agreement;</w:t>
      </w:r>
    </w:p>
    <w:p>
      <w:pPr>
        <w:spacing w:after="0" w:line="176" w:lineRule="exact"/>
        <w:rPr>
          <w:rFonts w:ascii="Arial" w:cs="Arial" w:eastAsia="Arial" w:hAnsi="Arial"/>
          <w:sz w:val="20"/>
          <w:szCs w:val="20"/>
          <w:color w:val="auto"/>
        </w:rPr>
      </w:pPr>
    </w:p>
    <w:p>
      <w:pPr>
        <w:ind w:left="2040" w:hanging="535"/>
        <w:spacing w:after="0"/>
        <w:tabs>
          <w:tab w:leader="none" w:pos="20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leases or subleases granted to others not interfering in any material respect with the business of the Company or any</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Subsidiary;</w:t>
      </w:r>
    </w:p>
    <w:p>
      <w:pPr>
        <w:spacing w:after="0" w:line="199" w:lineRule="exact"/>
        <w:rPr>
          <w:rFonts w:ascii="Arial" w:cs="Arial" w:eastAsia="Arial" w:hAnsi="Arial"/>
          <w:sz w:val="16"/>
          <w:szCs w:val="16"/>
          <w:color w:val="auto"/>
        </w:rPr>
      </w:pPr>
    </w:p>
    <w:p>
      <w:pPr>
        <w:jc w:val="both"/>
        <w:ind w:firstLine="1505"/>
        <w:spacing w:after="0" w:line="263" w:lineRule="auto"/>
        <w:tabs>
          <w:tab w:leader="none" w:pos="203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Liens created or deemed to exist in connection with a Securitization Transaction (including any related filings of any UCC financing statements (or equivalent filings, registrations or agreements in foreign jurisdictions)) securing Indebtedness in an aggregate amount not to exceed $200,000,000 during the term of this Agreement, but only to the extent that any such Lien relates to the applicable property actually sold, contributed, financed or otherwise conveyed or pledged pursuant to such transaction;</w:t>
      </w:r>
    </w:p>
    <w:p>
      <w:pPr>
        <w:spacing w:after="0" w:line="176" w:lineRule="exact"/>
        <w:rPr>
          <w:rFonts w:ascii="Arial" w:cs="Arial" w:eastAsia="Arial" w:hAnsi="Arial"/>
          <w:sz w:val="19"/>
          <w:szCs w:val="19"/>
          <w:color w:val="auto"/>
        </w:rPr>
      </w:pPr>
    </w:p>
    <w:p>
      <w:pPr>
        <w:ind w:left="2040" w:hanging="535"/>
        <w:spacing w:after="0"/>
        <w:tabs>
          <w:tab w:leader="none" w:pos="204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normal and customary rights of setoff upon deposits of cash in favor of banks or other depository institutions;</w:t>
      </w:r>
    </w:p>
    <w:p>
      <w:pPr>
        <w:spacing w:after="0" w:line="227" w:lineRule="exact"/>
        <w:rPr>
          <w:rFonts w:ascii="Arial" w:cs="Arial" w:eastAsia="Arial" w:hAnsi="Arial"/>
          <w:sz w:val="19"/>
          <w:szCs w:val="19"/>
          <w:color w:val="auto"/>
        </w:rPr>
      </w:pPr>
    </w:p>
    <w:p>
      <w:pPr>
        <w:ind w:left="2040" w:hanging="535"/>
        <w:spacing w:after="0"/>
        <w:tabs>
          <w:tab w:leader="none" w:pos="204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Liens on commodities subject to any arrangement permitted under </w:t>
      </w:r>
      <w:r>
        <w:rPr>
          <w:rFonts w:ascii="Arial" w:cs="Arial" w:eastAsia="Arial" w:hAnsi="Arial"/>
          <w:sz w:val="20"/>
          <w:szCs w:val="20"/>
          <w:u w:val="single" w:color="auto"/>
          <w:color w:val="auto"/>
        </w:rPr>
        <w:t>Section 6.03</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505"/>
        <w:spacing w:after="0" w:line="260" w:lineRule="auto"/>
        <w:tabs>
          <w:tab w:leader="none" w:pos="2036" w:val="left"/>
        </w:tabs>
        <w:numPr>
          <w:ilvl w:val="0"/>
          <w:numId w:val="144"/>
        </w:numPr>
        <w:rPr>
          <w:rFonts w:ascii="Arial" w:cs="Arial" w:eastAsia="Arial" w:hAnsi="Arial"/>
          <w:sz w:val="20"/>
          <w:szCs w:val="20"/>
          <w:color w:val="auto"/>
        </w:rPr>
      </w:pPr>
      <w:r>
        <w:rPr>
          <w:rFonts w:ascii="Arial" w:cs="Arial" w:eastAsia="Arial" w:hAnsi="Arial"/>
          <w:sz w:val="20"/>
          <w:szCs w:val="20"/>
          <w:color w:val="auto"/>
        </w:rPr>
        <w:t>Liens securing Indebtedness (for working capital purposes) of any Foreign Subsidiary, but only to the extent that any such Lien relates to the property or assets of such Foreign Subsidiary;</w:t>
      </w:r>
    </w:p>
    <w:p>
      <w:pPr>
        <w:spacing w:after="0" w:line="176" w:lineRule="exact"/>
        <w:rPr>
          <w:rFonts w:ascii="Arial" w:cs="Arial" w:eastAsia="Arial" w:hAnsi="Arial"/>
          <w:sz w:val="20"/>
          <w:szCs w:val="20"/>
          <w:color w:val="auto"/>
        </w:rPr>
      </w:pPr>
    </w:p>
    <w:p>
      <w:pPr>
        <w:ind w:left="2040" w:hanging="535"/>
        <w:spacing w:after="0"/>
        <w:tabs>
          <w:tab w:leader="none" w:pos="204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Liens arising pursuant to any Swap Agreement;</w:t>
      </w:r>
    </w:p>
    <w:p>
      <w:pPr>
        <w:spacing w:after="0" w:line="215" w:lineRule="exact"/>
        <w:rPr>
          <w:rFonts w:ascii="Arial" w:cs="Arial" w:eastAsia="Arial" w:hAnsi="Arial"/>
          <w:sz w:val="20"/>
          <w:szCs w:val="20"/>
          <w:color w:val="auto"/>
        </w:rPr>
      </w:pPr>
    </w:p>
    <w:p>
      <w:pPr>
        <w:jc w:val="both"/>
        <w:ind w:firstLine="1505"/>
        <w:spacing w:after="0" w:line="250" w:lineRule="auto"/>
        <w:tabs>
          <w:tab w:leader="none" w:pos="2036"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any Lien arising out of the refinancing, extension, renewal or refunding of any Indebtedness secured by any Lien permitted by any of the foregoing clauses of this Section,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Indebtedness is not increased and is not secured by any additional assets;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5" w:name="page156"/>
    <w:bookmarkEnd w:id="155"/>
    <w:p>
      <w:pPr>
        <w:jc w:val="both"/>
        <w:ind w:firstLine="1505"/>
        <w:spacing w:after="0" w:line="250" w:lineRule="auto"/>
        <w:tabs>
          <w:tab w:leader="none" w:pos="2036" w:val="left"/>
        </w:tabs>
        <w:numPr>
          <w:ilvl w:val="0"/>
          <w:numId w:val="145"/>
        </w:numPr>
        <w:rPr>
          <w:rFonts w:ascii="Arial" w:cs="Arial" w:eastAsia="Arial" w:hAnsi="Arial"/>
          <w:sz w:val="20"/>
          <w:szCs w:val="20"/>
          <w:color w:val="auto"/>
        </w:rPr>
      </w:pPr>
      <w:r>
        <w:rPr>
          <w:rFonts w:ascii="Arial" w:cs="Arial" w:eastAsia="Arial" w:hAnsi="Arial"/>
          <w:sz w:val="20"/>
          <w:szCs w:val="20"/>
          <w:color w:val="auto"/>
        </w:rPr>
        <w:t>Liens arising in the ordinary course of business that (i) do not secure Indebtedness, (ii) do not secure any single obligation exceeding $50,000,000 and (iii) do not in the aggregate materially detract from the value of the assets of the Company or any Subsidiary or materially impair the use thereof in the operation of its business;</w:t>
      </w:r>
    </w:p>
    <w:p>
      <w:pPr>
        <w:spacing w:after="0" w:line="185" w:lineRule="exact"/>
        <w:rPr>
          <w:rFonts w:ascii="Arial" w:cs="Arial" w:eastAsia="Arial" w:hAnsi="Arial"/>
          <w:sz w:val="20"/>
          <w:szCs w:val="20"/>
          <w:color w:val="auto"/>
        </w:rPr>
      </w:pPr>
    </w:p>
    <w:p>
      <w:pPr>
        <w:ind w:left="2040" w:hanging="535"/>
        <w:spacing w:after="0"/>
        <w:tabs>
          <w:tab w:leader="none" w:pos="204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Liens on cash collateral created hereunder in favor of any Credit Party; and</w:t>
      </w:r>
    </w:p>
    <w:p>
      <w:pPr>
        <w:spacing w:after="0" w:line="215" w:lineRule="exact"/>
        <w:rPr>
          <w:rFonts w:ascii="Arial" w:cs="Arial" w:eastAsia="Arial" w:hAnsi="Arial"/>
          <w:sz w:val="20"/>
          <w:szCs w:val="20"/>
          <w:color w:val="auto"/>
        </w:rPr>
      </w:pPr>
    </w:p>
    <w:p>
      <w:pPr>
        <w:ind w:firstLine="1505"/>
        <w:spacing w:after="0" w:line="287" w:lineRule="auto"/>
        <w:tabs>
          <w:tab w:leader="none" w:pos="203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Liens not otherwise permitted by the foregoing clauses of this Section securing Indebtedness in an aggregate principal amount at any time outstanding not to exceed ten percent (10%) of Consolidated Tangible Net Worth at any time.</w:t>
      </w:r>
    </w:p>
    <w:p>
      <w:pPr>
        <w:spacing w:after="0" w:line="15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u w:val="single" w:color="auto"/>
          <w:color w:val="auto"/>
        </w:rPr>
        <w:t>SECTION 6.02Fundamental Changes</w:t>
      </w:r>
      <w:r>
        <w:rPr>
          <w:rFonts w:ascii="Arial" w:cs="Arial" w:eastAsia="Arial" w:hAnsi="Arial"/>
          <w:sz w:val="19"/>
          <w:szCs w:val="19"/>
          <w:color w:val="auto"/>
        </w:rPr>
        <w:t>. It will not, and will not permit any of its Subsidiaries to, merge into or consolidate with any other Person, or permit any other Person to merge into or consolidate with it, or sell, transfer, lease or otherwise dispose of (in one transaction or in a series of transactions) all or substantially all of its assets, or all or substantially all of the Equity Interests of any Subsidiary (in each case, whether now owned or hereafter acquired), or divide, liquidate or dissolve, except that, if at the time thereof and immediately after giving effect thereto no Default shall have occurred and be continuing:</w:t>
      </w:r>
    </w:p>
    <w:p>
      <w:pPr>
        <w:spacing w:after="0" w:line="180" w:lineRule="exact"/>
        <w:rPr>
          <w:sz w:val="20"/>
          <w:szCs w:val="20"/>
          <w:color w:val="auto"/>
        </w:rPr>
      </w:pPr>
    </w:p>
    <w:p>
      <w:pPr>
        <w:jc w:val="both"/>
        <w:ind w:firstLine="1505"/>
        <w:spacing w:after="0" w:line="250" w:lineRule="auto"/>
        <w:tabs>
          <w:tab w:leader="none" w:pos="2036"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any Subsidiary (i) may merge with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shall be the continuing or surviving Person, (ii) may merge with any Designated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Designated Borrower shall be the continuing or surviving Person, or (iii) that is not a Borrower may merge with or into any other Subsidiary that is not a Borrower;</w:t>
      </w:r>
    </w:p>
    <w:p>
      <w:pPr>
        <w:spacing w:after="0" w:line="185" w:lineRule="exact"/>
        <w:rPr>
          <w:rFonts w:ascii="Arial" w:cs="Arial" w:eastAsia="Arial" w:hAnsi="Arial"/>
          <w:sz w:val="20"/>
          <w:szCs w:val="20"/>
          <w:color w:val="auto"/>
        </w:rPr>
      </w:pPr>
    </w:p>
    <w:p>
      <w:pPr>
        <w:jc w:val="both"/>
        <w:ind w:firstLine="1505"/>
        <w:spacing w:after="0" w:line="250" w:lineRule="auto"/>
        <w:tabs>
          <w:tab w:leader="none" w:pos="2036"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any Subsidiary may sell, transfer, lease or otherwise dispose of all or substantially all of its assets (upon voluntary liquidation or otherwise) to the Company or to another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transferor in such a transaction is a Borrower, then the transferee must be a Borrower; and</w:t>
      </w:r>
    </w:p>
    <w:p>
      <w:pPr>
        <w:spacing w:after="0" w:line="185" w:lineRule="exact"/>
        <w:rPr>
          <w:rFonts w:ascii="Arial" w:cs="Arial" w:eastAsia="Arial" w:hAnsi="Arial"/>
          <w:sz w:val="20"/>
          <w:szCs w:val="20"/>
          <w:color w:val="auto"/>
        </w:rPr>
      </w:pPr>
    </w:p>
    <w:p>
      <w:pPr>
        <w:jc w:val="both"/>
        <w:ind w:firstLine="1505"/>
        <w:spacing w:after="0" w:line="259" w:lineRule="auto"/>
        <w:tabs>
          <w:tab w:leader="none" w:pos="2036"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Company may sell, transfer, lease or otherwise dispose of its assets, or any Subsidiary may sell, transfer, lease or otherwise dispose of all or substantially all of its assets, so long as the aggregate net book value of all such assets sold, transferred, leased or otherwise disposed of by the Company and its Subsidiaries in all transactions occurring from and after the date of this Agreement shall not exceed an amount equal to twenty-five percent (25%) of Consolidated Total Tangible Assets, measured as the sum of the percentages for each such transaction, in each case based upon the Consolidated Total Tangible Assets as of the end of the most recently completed fiscal year prior to the applicable sale, transfer, lease or other disposition.</w:t>
      </w:r>
    </w:p>
    <w:p>
      <w:pPr>
        <w:spacing w:after="0" w:line="1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u w:val="single" w:color="auto"/>
          <w:color w:val="auto"/>
        </w:rPr>
        <w:t>SECTION 6.03Investments, Loans, Advances, Guarantees and Acquisitions</w:t>
      </w:r>
      <w:r>
        <w:rPr>
          <w:rFonts w:ascii="Arial" w:cs="Arial" w:eastAsia="Arial" w:hAnsi="Arial"/>
          <w:sz w:val="20"/>
          <w:szCs w:val="20"/>
          <w:color w:val="auto"/>
        </w:rPr>
        <w:t>. It will not, and will not permit any of its Subsidiaries to, make any Investment where the aggregate consideration for such Investment exceeds $200,000,000, other than Permitted Investments and Permitted Acquisitions.</w:t>
      </w:r>
    </w:p>
    <w:p>
      <w:pPr>
        <w:spacing w:after="0" w:line="18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u w:val="single" w:color="auto"/>
          <w:color w:val="auto"/>
        </w:rPr>
        <w:t>SECTION 6.04Transactions with Affiliates</w:t>
      </w:r>
      <w:r>
        <w:rPr>
          <w:rFonts w:ascii="Arial" w:cs="Arial" w:eastAsia="Arial" w:hAnsi="Arial"/>
          <w:sz w:val="20"/>
          <w:szCs w:val="20"/>
          <w:color w:val="auto"/>
        </w:rPr>
        <w:t>. It will not, and will not permit any of its Subsidiaries to, enter into any transaction of any kind with any Affiliate of the Company, whether or not in the ordinary course of business, other than (a) reasonable and customary fees paid to members of the board of directors of the Company and its Subsidiaries, (b) transactions otherwise expressly permitted hereunder between the Company or any Subsidiary and any such Affiliate or (c) on fair and reasonable terms substantially as favorable to the Company or such Subsidiary as would be obtainable by the Company or such Subsidiary at the time in a comparable arm’s length transaction with a Person other than an Affiliate.</w:t>
      </w:r>
    </w:p>
    <w:p>
      <w:pPr>
        <w:spacing w:after="0" w:line="19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u w:val="single" w:color="auto"/>
          <w:color w:val="auto"/>
        </w:rPr>
        <w:t>SECTION 6.05Financial Covenant</w:t>
      </w:r>
      <w:r>
        <w:rPr>
          <w:rFonts w:ascii="Arial" w:cs="Arial" w:eastAsia="Arial" w:hAnsi="Arial"/>
          <w:sz w:val="20"/>
          <w:szCs w:val="20"/>
          <w:color w:val="auto"/>
        </w:rPr>
        <w:t xml:space="preserve">. It will not permit the Consolidated Net Leverage Ratio as of the last day of any Reference Period to be greater than 3.50:1.00;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at the election of the Company (prior written notice of which shall be given to the Administrative Agent), following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6" w:name="page157"/>
    <w:bookmarkEnd w:id="156"/>
    <w:p>
      <w:pPr>
        <w:jc w:val="both"/>
        <w:spacing w:after="0" w:line="250" w:lineRule="auto"/>
        <w:rPr>
          <w:sz w:val="20"/>
          <w:szCs w:val="20"/>
          <w:color w:val="auto"/>
        </w:rPr>
      </w:pPr>
      <w:r>
        <w:rPr>
          <w:rFonts w:ascii="Arial" w:cs="Arial" w:eastAsia="Arial" w:hAnsi="Arial"/>
          <w:sz w:val="20"/>
          <w:szCs w:val="20"/>
          <w:color w:val="auto"/>
        </w:rPr>
        <w:t>consummation of any Material Acquisition, the Consolidated Net Leverage Ratio (x) as at the end of the fiscal quarter in which such Material Acquisition occurs and the three fiscal quarters immediately thereafter, shall not be greater than 4.00:1.00 and (y) as at the end of any fiscal quarter thereafter, shall not be greater than 3.50:1.00.</w:t>
      </w:r>
    </w:p>
    <w:p>
      <w:pPr>
        <w:spacing w:after="0" w:line="186"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u w:val="single" w:color="auto"/>
          <w:color w:val="auto"/>
        </w:rPr>
        <w:t>SECTION 6.06Organization Documents</w:t>
      </w:r>
      <w:r>
        <w:rPr>
          <w:rFonts w:ascii="Arial" w:cs="Arial" w:eastAsia="Arial" w:hAnsi="Arial"/>
          <w:sz w:val="18"/>
          <w:szCs w:val="18"/>
          <w:color w:val="auto"/>
        </w:rPr>
        <w:t>. It will not, and will not permit any of its Subsidiaries to, amend, modify or change its Organization Documents in any manner which could materially adversely affect the rights of the Credit Parties under the Loan Documents.</w:t>
      </w:r>
    </w:p>
    <w:p>
      <w:pPr>
        <w:spacing w:after="0" w:line="13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u w:val="single" w:color="auto"/>
          <w:color w:val="auto"/>
        </w:rPr>
        <w:t>SECTION 6.07Use of Proceeds</w:t>
      </w:r>
      <w:r>
        <w:rPr>
          <w:rFonts w:ascii="Arial" w:cs="Arial" w:eastAsia="Arial" w:hAnsi="Arial"/>
          <w:sz w:val="20"/>
          <w:szCs w:val="20"/>
          <w:color w:val="auto"/>
        </w:rPr>
        <w:t>. It will not, and will not permit any of its Subsidiaries to, use any part of the proceeds of any Loan to be used, whether directly or indirectly, and whether immediately, incidentally or ultimately, for any purpose that entails a violation of any of the Regulations of the Board (including Regulations T, U and X), including to purchase or carry margin stock (within the meaning of Regulation U) other than stock of the Company or to extend credit to others for the purpose of purchasing or carrying margin stock or to refund indebtedness originally incurred for such purpose.</w:t>
      </w:r>
    </w:p>
    <w:p>
      <w:pPr>
        <w:spacing w:after="0" w:line="19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u w:val="single" w:color="auto"/>
          <w:color w:val="auto"/>
        </w:rPr>
        <w:t>SECTION 6.08Subsidiary Indebtedness</w:t>
      </w:r>
      <w:r>
        <w:rPr>
          <w:rFonts w:ascii="Arial" w:cs="Arial" w:eastAsia="Arial" w:hAnsi="Arial"/>
          <w:sz w:val="20"/>
          <w:szCs w:val="20"/>
          <w:color w:val="auto"/>
        </w:rPr>
        <w:t>. It will not permit, at any time, the aggregate Indebtedness of all Subsidiaries (excluding Indebtedness of a Subsidiary owing to a Borrower or to another Subsidiary) to exceed 30% of Total Capitalization.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VII</w:t>
      </w:r>
    </w:p>
    <w:p>
      <w:pPr>
        <w:spacing w:after="0" w:line="229" w:lineRule="exact"/>
        <w:rPr>
          <w:sz w:val="20"/>
          <w:szCs w:val="20"/>
          <w:color w:val="auto"/>
        </w:rPr>
      </w:pPr>
    </w:p>
    <w:p>
      <w:pPr>
        <w:ind w:left="4920"/>
        <w:spacing w:after="0"/>
        <w:rPr>
          <w:sz w:val="20"/>
          <w:szCs w:val="20"/>
          <w:color w:val="auto"/>
        </w:rPr>
      </w:pPr>
      <w:r>
        <w:rPr>
          <w:rFonts w:ascii="Arial" w:cs="Arial" w:eastAsia="Arial" w:hAnsi="Arial"/>
          <w:sz w:val="20"/>
          <w:szCs w:val="20"/>
          <w:u w:val="single" w:color="auto"/>
          <w:color w:val="auto"/>
        </w:rPr>
        <w:t>Events of Default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If any of the following events (“</w:t>
      </w:r>
      <w:r>
        <w:rPr>
          <w:rFonts w:ascii="Arial" w:cs="Arial" w:eastAsia="Arial" w:hAnsi="Arial"/>
          <w:sz w:val="20"/>
          <w:szCs w:val="20"/>
          <w:b w:val="1"/>
          <w:bCs w:val="1"/>
          <w:i w:val="1"/>
          <w:iCs w:val="1"/>
          <w:color w:val="auto"/>
        </w:rPr>
        <w:t>Events of Default</w:t>
      </w:r>
      <w:r>
        <w:rPr>
          <w:rFonts w:ascii="Arial" w:cs="Arial" w:eastAsia="Arial" w:hAnsi="Arial"/>
          <w:sz w:val="20"/>
          <w:szCs w:val="20"/>
          <w:color w:val="auto"/>
        </w:rPr>
        <w:t>”) shall occur:</w:t>
      </w:r>
    </w:p>
    <w:p>
      <w:pPr>
        <w:spacing w:after="0" w:line="216" w:lineRule="exact"/>
        <w:rPr>
          <w:sz w:val="20"/>
          <w:szCs w:val="20"/>
          <w:color w:val="auto"/>
        </w:rPr>
      </w:pPr>
    </w:p>
    <w:p>
      <w:pPr>
        <w:ind w:firstLine="1505"/>
        <w:spacing w:after="0" w:line="260" w:lineRule="auto"/>
        <w:tabs>
          <w:tab w:leader="none" w:pos="2036" w:val="left"/>
        </w:tabs>
        <w:numPr>
          <w:ilvl w:val="0"/>
          <w:numId w:val="147"/>
        </w:numPr>
        <w:rPr>
          <w:rFonts w:ascii="Arial" w:cs="Arial" w:eastAsia="Arial" w:hAnsi="Arial"/>
          <w:sz w:val="20"/>
          <w:szCs w:val="20"/>
          <w:color w:val="auto"/>
        </w:rPr>
      </w:pPr>
      <w:r>
        <w:rPr>
          <w:rFonts w:ascii="Arial" w:cs="Arial" w:eastAsia="Arial" w:hAnsi="Arial"/>
          <w:sz w:val="20"/>
          <w:szCs w:val="20"/>
          <w:color w:val="auto"/>
        </w:rPr>
        <w:t>any Borrower shall fail to pay any principal of any Loan or any reimbursement obligation in respect of any LC Disbursement when and as the same shall become due and payable, whether at the due date thereof or otherwise;</w:t>
      </w:r>
    </w:p>
    <w:p>
      <w:pPr>
        <w:spacing w:after="0" w:line="176" w:lineRule="exact"/>
        <w:rPr>
          <w:rFonts w:ascii="Arial" w:cs="Arial" w:eastAsia="Arial" w:hAnsi="Arial"/>
          <w:sz w:val="20"/>
          <w:szCs w:val="20"/>
          <w:color w:val="auto"/>
        </w:rPr>
      </w:pPr>
    </w:p>
    <w:p>
      <w:pPr>
        <w:jc w:val="both"/>
        <w:ind w:firstLine="1505"/>
        <w:spacing w:after="0" w:line="250" w:lineRule="auto"/>
        <w:tabs>
          <w:tab w:leader="none" w:pos="2036"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any Borrower shall fail to pay any interest on any Loan or any fee or any other amount (other than an amount referred to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this Article) payable under this Agreement or any other Loan Document, when and as the same shall become due and payable, and such failure shall continue unremedied for a period of five (5) days;</w:t>
      </w:r>
    </w:p>
    <w:p>
      <w:pPr>
        <w:spacing w:after="0" w:line="185" w:lineRule="exact"/>
        <w:rPr>
          <w:rFonts w:ascii="Arial" w:cs="Arial" w:eastAsia="Arial" w:hAnsi="Arial"/>
          <w:sz w:val="20"/>
          <w:szCs w:val="20"/>
          <w:color w:val="auto"/>
        </w:rPr>
      </w:pPr>
    </w:p>
    <w:p>
      <w:pPr>
        <w:jc w:val="both"/>
        <w:ind w:firstLine="1505"/>
        <w:spacing w:after="0" w:line="243" w:lineRule="auto"/>
        <w:tabs>
          <w:tab w:leader="none" w:pos="2036" w:val="left"/>
        </w:tabs>
        <w:numPr>
          <w:ilvl w:val="0"/>
          <w:numId w:val="147"/>
        </w:numPr>
        <w:rPr>
          <w:rFonts w:ascii="Arial" w:cs="Arial" w:eastAsia="Arial" w:hAnsi="Arial"/>
          <w:sz w:val="20"/>
          <w:szCs w:val="20"/>
          <w:color w:val="auto"/>
        </w:rPr>
      </w:pPr>
      <w:r>
        <w:rPr>
          <w:rFonts w:ascii="Arial" w:cs="Arial" w:eastAsia="Arial" w:hAnsi="Arial"/>
          <w:sz w:val="20"/>
          <w:szCs w:val="20"/>
          <w:color w:val="auto"/>
        </w:rPr>
        <w:t>any representation or warranty made or deemed made by or on behalf of the Company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incorrect in any material respect (or in any respect if such representation or warranty is already qualified by concepts of materiality) when made or deemed made;</w:t>
      </w:r>
    </w:p>
    <w:p>
      <w:pPr>
        <w:spacing w:after="0" w:line="195" w:lineRule="exact"/>
        <w:rPr>
          <w:rFonts w:ascii="Arial" w:cs="Arial" w:eastAsia="Arial" w:hAnsi="Arial"/>
          <w:sz w:val="20"/>
          <w:szCs w:val="20"/>
          <w:color w:val="auto"/>
        </w:rPr>
      </w:pPr>
    </w:p>
    <w:p>
      <w:pPr>
        <w:jc w:val="both"/>
        <w:ind w:firstLine="1505"/>
        <w:spacing w:after="0" w:line="244" w:lineRule="auto"/>
        <w:tabs>
          <w:tab w:leader="none" w:pos="2036"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(i) any Borrower shall fail to observe or perform any covenant, condition or agreement contained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5.06(b)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5.08</w:t>
      </w:r>
      <w:r>
        <w:rPr>
          <w:rFonts w:ascii="Arial" w:cs="Arial" w:eastAsia="Arial" w:hAnsi="Arial"/>
          <w:sz w:val="20"/>
          <w:szCs w:val="20"/>
          <w:color w:val="auto"/>
        </w:rPr>
        <w:t xml:space="preserve"> or in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or (ii) the Company shall fail to observe or perform any covenant, condition or agreement contained in </w:t>
      </w:r>
      <w:r>
        <w:rPr>
          <w:rFonts w:ascii="Arial" w:cs="Arial" w:eastAsia="Arial" w:hAnsi="Arial"/>
          <w:sz w:val="20"/>
          <w:szCs w:val="20"/>
          <w:u w:val="single" w:color="auto"/>
          <w:color w:val="auto"/>
        </w:rPr>
        <w:t>Section 5.01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5.02</w:t>
      </w:r>
      <w:r>
        <w:rPr>
          <w:rFonts w:ascii="Arial" w:cs="Arial" w:eastAsia="Arial" w:hAnsi="Arial"/>
          <w:sz w:val="20"/>
          <w:szCs w:val="20"/>
          <w:color w:val="auto"/>
        </w:rPr>
        <w:t xml:space="preserve"> and such failure shall continue unremedied for a period of five (5) Business Days after the earlier of any of the chief executive officer, president or any Financial Officer of the Company becoming aware of such failure or notice thereof by the Administrative Agent;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7" w:name="page158"/>
    <w:bookmarkEnd w:id="157"/>
    <w:p>
      <w:pPr>
        <w:jc w:val="both"/>
        <w:ind w:firstLine="1505"/>
        <w:spacing w:after="0" w:line="275" w:lineRule="auto"/>
        <w:tabs>
          <w:tab w:leader="none" w:pos="203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any Borrower shall fail to observe or perform any covenant, condition or agreement contained in any Loan Document (other than those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Article), and such failure shall continue unremedied for a period of thirty</w:t>
      </w:r>
    </w:p>
    <w:p>
      <w:pPr>
        <w:ind w:left="380" w:hanging="372"/>
        <w:spacing w:after="0"/>
        <w:tabs>
          <w:tab w:leader="none" w:pos="38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days after written notice from the Administrative Agent;</w:t>
      </w:r>
    </w:p>
    <w:p>
      <w:pPr>
        <w:spacing w:after="0" w:line="199" w:lineRule="exact"/>
        <w:rPr>
          <w:rFonts w:ascii="Arial" w:cs="Arial" w:eastAsia="Arial" w:hAnsi="Arial"/>
          <w:sz w:val="20"/>
          <w:szCs w:val="20"/>
          <w:color w:val="auto"/>
        </w:rPr>
      </w:pPr>
    </w:p>
    <w:p>
      <w:pPr>
        <w:jc w:val="both"/>
        <w:ind w:firstLine="1505"/>
        <w:spacing w:after="0" w:line="255" w:lineRule="auto"/>
        <w:tabs>
          <w:tab w:leader="none" w:pos="2036" w:val="left"/>
        </w:tabs>
        <w:numPr>
          <w:ilvl w:val="1"/>
          <w:numId w:val="149"/>
        </w:numPr>
        <w:rPr>
          <w:rFonts w:ascii="Arial" w:cs="Arial" w:eastAsia="Arial" w:hAnsi="Arial"/>
          <w:sz w:val="19"/>
          <w:szCs w:val="19"/>
          <w:color w:val="auto"/>
        </w:rPr>
      </w:pPr>
      <w:r>
        <w:rPr>
          <w:rFonts w:ascii="Arial" w:cs="Arial" w:eastAsia="Arial" w:hAnsi="Arial"/>
          <w:sz w:val="19"/>
          <w:szCs w:val="19"/>
          <w:color w:val="auto"/>
        </w:rPr>
        <w:t>the Company or any Significant Subsidiary (i) shall fail to make any payment when due (whether by scheduled maturity, required prepayment, acceleration, demand or otherwise) in respect of any Indebtedness or Guarantee having an aggregate principal amount (including undrawn committed or available amounts and including amounts owing to all creditors under any combined or syndicated credit arrangement) of more than $50,000,000, or (ii) shall fail to observe or perform any other agreement or condition relating to any such Indebtedness or Guarantee having an aggregate principal amount (including undrawn committed or available amounts and including amounts owing to all creditors under any combined or syndicated credit arrangement) of more than $50,000,000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w:t>
      </w:r>
    </w:p>
    <w:p>
      <w:pPr>
        <w:spacing w:after="0" w:line="184" w:lineRule="exact"/>
        <w:rPr>
          <w:rFonts w:ascii="Arial" w:cs="Arial" w:eastAsia="Arial" w:hAnsi="Arial"/>
          <w:sz w:val="19"/>
          <w:szCs w:val="19"/>
          <w:color w:val="auto"/>
        </w:rPr>
      </w:pPr>
    </w:p>
    <w:p>
      <w:pPr>
        <w:jc w:val="both"/>
        <w:ind w:firstLine="1505"/>
        <w:spacing w:after="0" w:line="259" w:lineRule="auto"/>
        <w:tabs>
          <w:tab w:leader="none" w:pos="2036" w:val="left"/>
        </w:tabs>
        <w:numPr>
          <w:ilvl w:val="1"/>
          <w:numId w:val="149"/>
        </w:numPr>
        <w:rPr>
          <w:rFonts w:ascii="Arial" w:cs="Arial" w:eastAsia="Arial" w:hAnsi="Arial"/>
          <w:sz w:val="19"/>
          <w:szCs w:val="19"/>
          <w:color w:val="auto"/>
        </w:rPr>
      </w:pPr>
      <w:r>
        <w:rPr>
          <w:rFonts w:ascii="Arial" w:cs="Arial" w:eastAsia="Arial" w:hAnsi="Arial"/>
          <w:sz w:val="19"/>
          <w:szCs w:val="19"/>
          <w:color w:val="auto"/>
        </w:rPr>
        <w:t>an involuntary proceeding shall be commenced or an involuntary petition shall be filed seeking (i) liquidation, reorganization or other relief in respect of any Borrower or any Significant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Borrower or any Significant Subsidiary or for a substantial part of its assets, and, in any such case, such proceeding or petition shall continue undismissed or unstayed for sixty (60) days or an order or decree approving or ordering any of the foregoing shall be entered;</w:t>
      </w:r>
    </w:p>
    <w:p>
      <w:pPr>
        <w:spacing w:after="0" w:line="178" w:lineRule="exact"/>
        <w:rPr>
          <w:rFonts w:ascii="Arial" w:cs="Arial" w:eastAsia="Arial" w:hAnsi="Arial"/>
          <w:sz w:val="19"/>
          <w:szCs w:val="19"/>
          <w:color w:val="auto"/>
        </w:rPr>
      </w:pPr>
    </w:p>
    <w:p>
      <w:pPr>
        <w:jc w:val="both"/>
        <w:ind w:firstLine="1505"/>
        <w:spacing w:after="0" w:line="257" w:lineRule="auto"/>
        <w:tabs>
          <w:tab w:leader="none" w:pos="2036" w:val="left"/>
        </w:tabs>
        <w:numPr>
          <w:ilvl w:val="1"/>
          <w:numId w:val="149"/>
        </w:numPr>
        <w:rPr>
          <w:rFonts w:ascii="Arial" w:cs="Arial" w:eastAsia="Arial" w:hAnsi="Arial"/>
          <w:sz w:val="19"/>
          <w:szCs w:val="19"/>
          <w:color w:val="auto"/>
        </w:rPr>
      </w:pPr>
      <w:r>
        <w:rPr>
          <w:rFonts w:ascii="Arial" w:cs="Arial" w:eastAsia="Arial" w:hAnsi="Arial"/>
          <w:sz w:val="19"/>
          <w:szCs w:val="19"/>
          <w:color w:val="auto"/>
        </w:rPr>
        <w:t xml:space="preserve">any Borrower or any Significant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9"/>
          <w:szCs w:val="19"/>
          <w:u w:val="single" w:color="auto"/>
          <w:color w:val="auto"/>
        </w:rPr>
        <w:t>clause (g)</w:t>
      </w:r>
      <w:r>
        <w:rPr>
          <w:rFonts w:ascii="Arial" w:cs="Arial" w:eastAsia="Arial" w:hAnsi="Arial"/>
          <w:sz w:val="19"/>
          <w:szCs w:val="19"/>
          <w:color w:val="auto"/>
        </w:rPr>
        <w:t xml:space="preserve"> of this Article, (iii) apply for or consent to the appointment of a receiver, trustee, custodian, sequestrator, conservator or similar official for any Borrower or any Significant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4" w:lineRule="exact"/>
        <w:rPr>
          <w:rFonts w:ascii="Arial" w:cs="Arial" w:eastAsia="Arial" w:hAnsi="Arial"/>
          <w:sz w:val="19"/>
          <w:szCs w:val="19"/>
          <w:color w:val="auto"/>
        </w:rPr>
      </w:pPr>
    </w:p>
    <w:p>
      <w:pPr>
        <w:ind w:firstLine="1505"/>
        <w:spacing w:after="0" w:line="260" w:lineRule="auto"/>
        <w:tabs>
          <w:tab w:leader="none" w:pos="2036" w:val="left"/>
        </w:tabs>
        <w:numPr>
          <w:ilvl w:val="1"/>
          <w:numId w:val="149"/>
        </w:numPr>
        <w:rPr>
          <w:rFonts w:ascii="Arial" w:cs="Arial" w:eastAsia="Arial" w:hAnsi="Arial"/>
          <w:sz w:val="20"/>
          <w:szCs w:val="20"/>
          <w:color w:val="auto"/>
        </w:rPr>
      </w:pPr>
      <w:r>
        <w:rPr>
          <w:rFonts w:ascii="Arial" w:cs="Arial" w:eastAsia="Arial" w:hAnsi="Arial"/>
          <w:sz w:val="20"/>
          <w:szCs w:val="20"/>
          <w:color w:val="auto"/>
        </w:rPr>
        <w:t>any Borrower or any Significant Subsidiary shall become unable, admit in writing its inability or fail generally to pay its debts as they become due;</w:t>
      </w:r>
    </w:p>
    <w:p>
      <w:pPr>
        <w:spacing w:after="0" w:line="176" w:lineRule="exact"/>
        <w:rPr>
          <w:rFonts w:ascii="Arial" w:cs="Arial" w:eastAsia="Arial" w:hAnsi="Arial"/>
          <w:sz w:val="20"/>
          <w:szCs w:val="20"/>
          <w:color w:val="auto"/>
        </w:rPr>
      </w:pPr>
    </w:p>
    <w:p>
      <w:pPr>
        <w:jc w:val="both"/>
        <w:ind w:firstLine="1505"/>
        <w:spacing w:after="0" w:line="260" w:lineRule="auto"/>
        <w:tabs>
          <w:tab w:leader="none" w:pos="2036" w:val="left"/>
        </w:tabs>
        <w:numPr>
          <w:ilvl w:val="1"/>
          <w:numId w:val="149"/>
        </w:numPr>
        <w:rPr>
          <w:rFonts w:ascii="Arial" w:cs="Arial" w:eastAsia="Arial" w:hAnsi="Arial"/>
          <w:sz w:val="19"/>
          <w:szCs w:val="19"/>
          <w:color w:val="auto"/>
        </w:rPr>
      </w:pPr>
      <w:r>
        <w:rPr>
          <w:rFonts w:ascii="Arial" w:cs="Arial" w:eastAsia="Arial" w:hAnsi="Arial"/>
          <w:sz w:val="19"/>
          <w:szCs w:val="19"/>
          <w:color w:val="auto"/>
        </w:rPr>
        <w:t>one or more final judgments for the payment of money in an aggregate amount in excess of $50,000,000 (to the extent not covered by independent third-party insurance as to which the insurer does not dispute coverage) shall be rendered against the Company or any Subsidiary and (i) the same shall remain undischarged for a period of ten (10) consecutive days during which execution shall not be effectively stayed by reason or pending appeal or otherwise, or (ii) any action shall be legally taken by a judgment creditor to attach or levy upon any assets of the Company or any Subsidiary to enforce any such judgment;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8" w:name="page159"/>
    <w:bookmarkEnd w:id="158"/>
    <w:p>
      <w:pPr>
        <w:jc w:val="both"/>
        <w:ind w:firstLine="1505"/>
        <w:spacing w:after="0" w:line="250" w:lineRule="auto"/>
        <w:tabs>
          <w:tab w:leader="none" w:pos="2036" w:val="left"/>
        </w:tabs>
        <w:numPr>
          <w:ilvl w:val="0"/>
          <w:numId w:val="150"/>
        </w:numPr>
        <w:rPr>
          <w:rFonts w:ascii="Arial" w:cs="Arial" w:eastAsia="Arial" w:hAnsi="Arial"/>
          <w:sz w:val="20"/>
          <w:szCs w:val="20"/>
          <w:color w:val="auto"/>
        </w:rPr>
      </w:pPr>
      <w:r>
        <w:rPr>
          <w:rFonts w:ascii="Arial" w:cs="Arial" w:eastAsia="Arial" w:hAnsi="Arial"/>
          <w:sz w:val="20"/>
          <w:szCs w:val="20"/>
          <w:color w:val="auto"/>
        </w:rPr>
        <w:t>an ERISA Event shall have occurred that, when taken together with all other ERISA Events that have occurred, could reasonably be expected to result in liability of the Company and its Subsidiaries in an aggregate amount exceeding $50,000,000 from and after the Effective Date;</w:t>
      </w:r>
    </w:p>
    <w:p>
      <w:pPr>
        <w:spacing w:after="0" w:line="185" w:lineRule="exact"/>
        <w:rPr>
          <w:rFonts w:ascii="Arial" w:cs="Arial" w:eastAsia="Arial" w:hAnsi="Arial"/>
          <w:sz w:val="20"/>
          <w:szCs w:val="20"/>
          <w:color w:val="auto"/>
        </w:rPr>
      </w:pPr>
    </w:p>
    <w:p>
      <w:pPr>
        <w:ind w:left="2040" w:hanging="535"/>
        <w:spacing w:after="0"/>
        <w:tabs>
          <w:tab w:leader="none" w:pos="204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a Change in Control shall occur; or</w:t>
      </w:r>
    </w:p>
    <w:p>
      <w:pPr>
        <w:spacing w:after="0" w:line="215" w:lineRule="exact"/>
        <w:rPr>
          <w:rFonts w:ascii="Arial" w:cs="Arial" w:eastAsia="Arial" w:hAnsi="Arial"/>
          <w:sz w:val="20"/>
          <w:szCs w:val="20"/>
          <w:color w:val="auto"/>
        </w:rPr>
      </w:pPr>
    </w:p>
    <w:p>
      <w:pPr>
        <w:jc w:val="both"/>
        <w:ind w:firstLine="1505"/>
        <w:spacing w:after="0" w:line="260" w:lineRule="auto"/>
        <w:tabs>
          <w:tab w:leader="none" w:pos="203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any material provisions of any Loan Document, at any time after its execution and delivery and for any reason other than as expressly permitted hereunder or satisfaction in full of all the Obligations, shall cease to be in full force and effect; or any Borrower or any other Person shall contest in any manner the validity or enforceability of any material provision of any Loan Document; or any Borrower shall deny that it has any or further liability or obligation under any material provisions of any Loan Document, or shall purport to revoke, terminate or rescind any material provision of any Loan Document;</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then, and in every such event (other than an event with respect to any Borrower described in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this Article), and at any time thereafter during the continuance of such event, the Administrative Agent may with the consent of the Required Lenders, and shall at the written request of the Required Lenders, by notice to the Company, take either or both of the following actions, at the same or different times:</w:t>
      </w:r>
    </w:p>
    <w:p>
      <w:pPr>
        <w:spacing w:after="0" w:line="1" w:lineRule="exact"/>
        <w:rPr>
          <w:sz w:val="20"/>
          <w:szCs w:val="20"/>
          <w:color w:val="auto"/>
        </w:rPr>
      </w:pPr>
    </w:p>
    <w:p>
      <w:pPr>
        <w:jc w:val="both"/>
        <w:ind w:firstLine="8"/>
        <w:spacing w:after="0" w:line="269" w:lineRule="auto"/>
        <w:tabs>
          <w:tab w:leader="none" w:pos="29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terminate the Commitments (including the Swingline Commitments and the Letter of Credit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(iii) require cash collateral for the LC Exposure in accordance with Section 2.06(j) hereof; and in case of any event with respect to any Borrower described in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this Article, the Commitments shall automatically terminate and the principal of the Loans then outstanding and cash collateral for the LC Exposure, together with accrued interest thereon and all fees and other Obligations of the Borrowers accrued hereunder, shall automatically become due and payable, without presentment, demand, protest or other notice of any kind, all of which are hereby waived by the Borrowers.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The Administrative Agent</w:t>
      </w:r>
    </w:p>
    <w:p>
      <w:pPr>
        <w:spacing w:after="0" w:line="21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Each of the Lenders and the Issuing Banks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 The provisions of this Article are solely for the benefit of the Administrative Agent and the Lenders, and neither the Company nor any other Borrower shall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8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Any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9" w:name="page160"/>
    <w:bookmarkEnd w:id="159"/>
    <w:p>
      <w:pPr>
        <w:jc w:val="both"/>
        <w:spacing w:after="0" w:line="260" w:lineRule="auto"/>
        <w:rPr>
          <w:sz w:val="20"/>
          <w:szCs w:val="20"/>
          <w:color w:val="auto"/>
        </w:rPr>
      </w:pPr>
      <w:r>
        <w:rPr>
          <w:rFonts w:ascii="Arial" w:cs="Arial" w:eastAsia="Arial" w:hAnsi="Arial"/>
          <w:sz w:val="20"/>
          <w:szCs w:val="20"/>
          <w:color w:val="auto"/>
        </w:rPr>
        <w:t>generally engage in any kind of business with the Company or any Subsidiary or other Affiliate thereof as if it were not the Administrative Agent hereunder.</w:t>
      </w:r>
    </w:p>
    <w:p>
      <w:pPr>
        <w:spacing w:after="0" w:line="177"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color w:val="auto"/>
        </w:rPr>
        <w:t xml:space="preserve">The Administrative Agent shall not have any duties or obligations except those expressly set forth herein.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that the Administrative Agent is required to exercise in writing as directed by the Required Lenders (or such other number or percentage of the Lenders as shall be necessary under the circumstances as provided in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and (c) except as expressly set forth herein, the Administrative Agent shall not have any duty to disclose, and shall not be liable for the failure to disclose, any information relating to the Company or any Subsidiary that is communicated to or obtained by the Person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or in the absence of its own gross negligence or willful misconduct as determined by a final nonappealable judgment of a court of competent jurisdiction. The Administrative Agent shall be deemed not to have knowledge of any Default or Event of Default unless and until written notice thereof is given to the Administrative Agent by the Company or a Lender, and the Administrative Agent shall not be responsible for or have any duty to ascertain or inquire into (i) any statement, warranty or representation made in or in connection with any Loan Document, (ii) the contents of any certificate, report or other document delivered under any Loan Document or in connection therewith, (iii) the performance or observance of any of the covenants, agreements or other terms or conditions set forth in any Loan Document or the occurrence of any Default or Event of Default, (iv) the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that reproduces an image of an actual executed signature page), or (v)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herein, other than to confirm receipt of items expressly required to be delivered to the Administrative Agent.</w:t>
      </w:r>
    </w:p>
    <w:p>
      <w:pPr>
        <w:spacing w:after="0" w:line="18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78"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6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Subject to the appointment and acceptance of a successor Administrative Agent as provided in this paragraph, the Administrative Agent may resign at any time by notifying the Lenders, the Issuing Bank and the Company. Upon any such resignation, the Required Lenders shall have the right, in consultation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0" w:name="page161"/>
    <w:bookmarkEnd w:id="160"/>
    <w:p>
      <w:pPr>
        <w:jc w:val="both"/>
        <w:spacing w:after="0" w:line="271" w:lineRule="auto"/>
        <w:rPr>
          <w:sz w:val="20"/>
          <w:szCs w:val="20"/>
          <w:color w:val="auto"/>
        </w:rPr>
      </w:pPr>
      <w:r>
        <w:rPr>
          <w:rFonts w:ascii="Arial" w:cs="Arial" w:eastAsia="Arial" w:hAnsi="Arial"/>
          <w:sz w:val="18"/>
          <w:szCs w:val="18"/>
          <w:color w:val="auto"/>
        </w:rPr>
        <w:t xml:space="preserve">the Company,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Company to a successor Administrative Agent shall be the same as those payable to its predecessor unless otherwise agreed between the Company and such successor. After the Administrative Agent’s resignation hereunder, the provisions of this Article and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shall continue in effect for the benefit of such retiring Administrative Agent, its sub agents and their respective Related Parties in respect of any actions taken or omitted to be taken by any of them while it was acting as Administrative Agent.</w:t>
      </w:r>
    </w:p>
    <w:p>
      <w:pPr>
        <w:spacing w:after="0" w:line="174"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color w:val="auto"/>
        </w:rPr>
        <w:t>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such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any Co-Sustainability Structuring Agent, any Syndication Agent, any Co-Documentation Agent or any other Lender or other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Co-Sustainability Structuring Agent, any Syndication Agent, any Co-Documentation Agent or any other Lender or other Issuing Bank, or any of the Related Parties of any of the foregoing, and based on such documents and information (which may contain material, non-public information within the meaning of the United States securities laws concerning the Company and its Affiliates) as it shall from time to time deem appropriate, continue to make its own decisions in taking or not taking action under or based upon this Agreement, any other Loan Document or any related agreement or any document furnished hereunder or thereunder. Each Lender and each Issuing Bank also acknowledges and agrees that (a) none of the Administrative Agent, any Arranger or any Co-Sustainability Structuring Agent acting in such capacities have made any assurances as to (i) whether the credit facility evidenced by this Agreement (the “</w:t>
      </w:r>
      <w:r>
        <w:rPr>
          <w:rFonts w:ascii="Arial" w:cs="Arial" w:eastAsia="Arial" w:hAnsi="Arial"/>
          <w:sz w:val="18"/>
          <w:szCs w:val="18"/>
          <w:b w:val="1"/>
          <w:bCs w:val="1"/>
          <w:i w:val="1"/>
          <w:iCs w:val="1"/>
          <w:color w:val="auto"/>
        </w:rPr>
        <w:t>Facility</w:t>
      </w:r>
      <w:r>
        <w:rPr>
          <w:rFonts w:ascii="Arial" w:cs="Arial" w:eastAsia="Arial" w:hAnsi="Arial"/>
          <w:sz w:val="18"/>
          <w:szCs w:val="18"/>
          <w:color w:val="auto"/>
        </w:rPr>
        <w:t>”) meets such Lender’s or such Issuing Bank’s criteria or expectations with regard to environmental impact and sustainability performance, (ii) whether any characteristics of the Facility, including the characteristics of the relevant key performance indicators to which the Company will link a potential margin step-up or step-down, including their environmental and sustainability criteria, meet any industry standards for sustainability-linked credit facilities and (b) such Lender and such Issuing Bank has performed its own independent investigation and analysis of the Facility and whether the Facility meets its own criteria or expectations with regard to environmental impact and/or sustainability performance.</w:t>
      </w:r>
    </w:p>
    <w:p>
      <w:pPr>
        <w:spacing w:after="0" w:line="17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None of any Syndication Agent, any Co-Documentation Agent, any Arranger or any Co-Sustainability Structuring Agent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1" w:name="page162"/>
    <w:bookmarkEnd w:id="161"/>
    <w:p>
      <w:pPr>
        <w:jc w:val="both"/>
        <w:ind w:firstLine="749"/>
        <w:spacing w:after="0" w:line="244" w:lineRule="auto"/>
        <w:rPr>
          <w:sz w:val="20"/>
          <w:szCs w:val="20"/>
          <w:color w:val="auto"/>
        </w:rPr>
      </w:pPr>
      <w:r>
        <w:rPr>
          <w:rFonts w:ascii="Arial" w:cs="Arial" w:eastAsia="Arial" w:hAnsi="Arial"/>
          <w:sz w:val="20"/>
          <w:szCs w:val="20"/>
          <w:color w:val="auto"/>
        </w:rPr>
        <w:t>Each party to this Agreement agrees that neither the Administrative Agent nor any Co-Sustainability Structuring Agent shall have any responsibility for (or liability in respect of) reviewing, auditing or otherwise evaluating any calculation by the Company of any Sustainability Fee Adjustment or any Sustainability Margin Adjustment (or any of the data or computations that are part of or related to any such calculation) set forth in any Pricing Certificate (and the Administrative Agent may rely conclusively on any such certificate, without further inquiry).</w:t>
      </w:r>
    </w:p>
    <w:p>
      <w:pPr>
        <w:spacing w:after="0" w:line="19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Guaranty</w:t>
      </w:r>
    </w:p>
    <w:p>
      <w:pPr>
        <w:spacing w:after="0" w:line="21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In order to induce the Lenders to extend credit to the Designated Borrowers hereunder, the Company hereby irrevocably and unconditionally guarantees, as a primary obligor and not merely as a surety, the payment when and as due of the Obligations of the Designated Borrowers. The Company further agrees that the due and punctual payment of such Obligations may be extended or renewed, in whole or in part, without notice to or further assent from it, and that it will remain bound upon its guarantee hereunder notwithstanding any such extension or renewal of any such Obligation.</w:t>
      </w:r>
    </w:p>
    <w:p>
      <w:pPr>
        <w:spacing w:after="0" w:line="194"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The Company waives presentment to, demand of payment from and protest to any Designated Borrower of any of the Obligations, and also waives notice of acceptance of its obligations and notice of protest for nonpayment. The obligations of the Company hereunder shall not be affected by (a) the failure of any Credit Party to assert any claim or demand or to enforce any right or remedy against any Borrower under the provisions of any Loan Document or otherwise, (b) any extension or renewal of any of the Obligations, (c) any rescission, waiver, amendment or modification of, or release from, any of the terms or provisions of any Loan Document or any other agreement, (d) any default, failure or delay, willful or otherwise, in the performance of any of the Obligations, (e) any amendment or waiver of any of the Obligations, (f) any law or regulation of any jurisdiction or any other event affecting any term of the Obligations, or (g) to the fullest extent permitted by applicable law,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w:t>
      </w:r>
    </w:p>
    <w:p>
      <w:pPr>
        <w:spacing w:after="0" w:line="190"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The Company further agrees that its agreement hereunder constitutes a guarantee of payment when due (whether or not any bankruptcy or similar proceeding shall have stayed the accrual or collection of any of the Obligations or operated as a discharge thereof) and not merely of collection, and, to the fullest extent permitted by applicable law, waives any right to require that any resort be had by any Credit Party to any balance of any deposit account or credit on the books of any Credit Party in favor of any Borrower or any other Person.</w:t>
      </w:r>
    </w:p>
    <w:p>
      <w:pPr>
        <w:spacing w:after="0" w:line="16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The obligations of the Company hereunder shall not be subject to any reduction, limitation, impairment or termination for any reason (other than the indefeasible payment in full of all the Obligations), and shall not be subject to any defense or set-off, counterclaim, recoupment or termination whatsoever, by reason of the invalidity, illegality or unenforceability of any of the Obligations, any impossibility in the performance of any of the Obligations or otherwise (other than for the indefeasible payment in full of all the Obligations), in each case, to the fullest extent permitted by applicable law.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2" w:name="page163"/>
    <w:bookmarkEnd w:id="162"/>
    <w:p>
      <w:pPr>
        <w:jc w:val="both"/>
        <w:ind w:firstLine="749"/>
        <w:spacing w:after="0" w:line="250" w:lineRule="auto"/>
        <w:rPr>
          <w:sz w:val="20"/>
          <w:szCs w:val="20"/>
          <w:color w:val="auto"/>
        </w:rPr>
      </w:pPr>
      <w:r>
        <w:rPr>
          <w:rFonts w:ascii="Arial" w:cs="Arial" w:eastAsia="Arial" w:hAnsi="Arial"/>
          <w:sz w:val="20"/>
          <w:szCs w:val="20"/>
          <w:color w:val="auto"/>
        </w:rPr>
        <w:t>The Company further agrees that its obligations hereunder shall continue to be effective or be reinstated, as the case may be, if at any time payment, or any part thereof, of any Obligation is rescinded or must otherwise be restored by any Credit Party upon the bankruptcy or reorganization of any Borrower or otherwise.</w:t>
      </w:r>
    </w:p>
    <w:p>
      <w:pPr>
        <w:spacing w:after="0" w:line="18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In furtherance of the foregoing and not in limitation of any other right which any Credit Party may have at law or in equity against the Company by virtue hereof, upon the failure of any Designated Borrower to pay any Obligation when and as the same shall become due, whether at maturity, by acceleration, after notice of prepayment or otherwise, the Company hereby promises to and will, upon receipt of written demand by any Credit Party, forthwith pay, or cause to be paid, to such Credit Party in cash an amount equal to the unpaid principal amount of such Obligations then due, together with accrued and unpaid interest thereon. The Company further agrees that if payment in respect of any Obligation shall be due in a Foreign Currency and/or at a place of payment other than New York and if, by reason of any Change in Law, disruption of currency or foreign exchange markets, war or civil disturbance or other event, payment of such Obligation in such currency or at such place of payment shall be impossible or, in the reasonable judgment of any Credit Party, not consistent with the protection of its rights or interests, then, at the election of the Administrative Agent, the Company shall make payment of such Obligation in U.S. Dollars (based upon the Dollar Amount of such Obligation on the date of payment) and/or in New York, and shall indemnify the Credit Parties against any losses or reasonable out-of-pocket expenses that it shall sustain as a result of such alternative payment.</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Upon payment by the Company of any sums as provided above, all rights of the Company against any Designated Borrower arising as a result thereof by way of right of subrogation or otherwise shall in all respects be subordinated and junior in right of payment to the prior indefeasible payment in full of all the Obligations.</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The parties hereto agree that, notwithstanding anything to the contrary contained herein, none of the Company’s Subsidiaries shall be required to provide any guarantee, pledge, or asset support arrangement that would result in any adverse tax consequences due to the application of Section 956 of the Code.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Miscellaneous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10.01Notices</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50" w:lineRule="auto"/>
        <w:tabs>
          <w:tab w:leader="none" w:pos="2036"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Except in the case of notices and other communications expressly permitted to be given by telephone (and subject to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below), all notices and other communications provided for herein shall be in writing and shall be delivered by hand or overnight courier service, mailed by certified or registered mail or sent by telecopy, as follows:</w:t>
      </w:r>
    </w:p>
    <w:p>
      <w:pPr>
        <w:spacing w:after="0" w:line="186" w:lineRule="exact"/>
        <w:rPr>
          <w:sz w:val="20"/>
          <w:szCs w:val="20"/>
          <w:color w:val="auto"/>
        </w:rPr>
      </w:pPr>
    </w:p>
    <w:p>
      <w:pPr>
        <w:ind w:left="2260" w:hanging="755"/>
        <w:spacing w:after="0" w:line="260" w:lineRule="auto"/>
        <w:tabs>
          <w:tab w:leader="none" w:pos="226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if to any Borrower, to the Company at Cabot Corporation, Two Seaport Lane, Boston, Massachusetts 02210-2019, Attention of Steven J. Delahunt (Telecopy No. (617) 342-6208);</w:t>
      </w:r>
    </w:p>
    <w:p>
      <w:pPr>
        <w:spacing w:after="0" w:line="176" w:lineRule="exact"/>
        <w:rPr>
          <w:rFonts w:ascii="Arial" w:cs="Arial" w:eastAsia="Arial" w:hAnsi="Arial"/>
          <w:sz w:val="20"/>
          <w:szCs w:val="20"/>
          <w:color w:val="auto"/>
        </w:rPr>
      </w:pPr>
    </w:p>
    <w:p>
      <w:pPr>
        <w:jc w:val="both"/>
        <w:ind w:left="2260" w:hanging="755"/>
        <w:spacing w:after="0" w:line="263" w:lineRule="auto"/>
        <w:tabs>
          <w:tab w:leader="none" w:pos="226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if to the Administrative Agent, (A) in the case of Borrowings denominated in U.S. Dollars, to JPMorgan Chase Bank, N.A., Loan and Agency Services Group, 10 South Dearborn, 7th Floor, Chicago, Illinois 60603-2003, Attention of Joyce King (Telecopy No. (888) 292-9533), (B) in the case of Borrowings denominated in Foreign Currencies, to J.P. Morgan Europe Limited, 25 Bank Street, Canary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3" w:name="page164"/>
    <w:bookmarkEnd w:id="163"/>
    <w:p>
      <w:pPr>
        <w:jc w:val="both"/>
        <w:ind w:left="2260"/>
        <w:spacing w:after="0" w:line="246" w:lineRule="auto"/>
        <w:rPr>
          <w:sz w:val="20"/>
          <w:szCs w:val="20"/>
          <w:color w:val="auto"/>
        </w:rPr>
      </w:pPr>
      <w:r>
        <w:rPr>
          <w:rFonts w:ascii="Arial" w:cs="Arial" w:eastAsia="Arial" w:hAnsi="Arial"/>
          <w:sz w:val="20"/>
          <w:szCs w:val="20"/>
          <w:color w:val="auto"/>
        </w:rPr>
        <w:t>Wharf, London E14 5JP, United Kingdom, Attention of Loan and Agency, Jacob Sheehan (Jacob.T.Sheehan@jpmorgan.com) with a copy to loan_and_agency_london@jpmorgan.com and (C) for all other notices, to JPMorgan Chase Bank, N.A., 8181 Communications Pkwy, Plano, Texas 75042, Attention of Peter Predun (email: peter.predun@jpmorgan.com);</w:t>
      </w:r>
    </w:p>
    <w:p>
      <w:pPr>
        <w:spacing w:after="0" w:line="191" w:lineRule="exact"/>
        <w:rPr>
          <w:sz w:val="20"/>
          <w:szCs w:val="20"/>
          <w:color w:val="auto"/>
        </w:rPr>
      </w:pPr>
    </w:p>
    <w:p>
      <w:pPr>
        <w:jc w:val="both"/>
        <w:ind w:left="2260" w:hanging="755"/>
        <w:spacing w:after="0" w:line="272" w:lineRule="auto"/>
        <w:tabs>
          <w:tab w:leader="none" w:pos="2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to an Issuing Bank, (A) in the case of JPMorgan Chase Bank, N.A., to JPMorgan Chase Bank, N.A., Loan and Agency Services Group, 10 South Dearborn, 7th Floor, Chicago, Illinois 60603-2003, Attention of Debra Williams (Telecopy No. (312) 385-7098), with a copy to Chicago.lc.agency.activity.team@jpmchase.com, and</w:t>
      </w:r>
    </w:p>
    <w:p>
      <w:pPr>
        <w:ind w:left="2260" w:hanging="6"/>
        <w:spacing w:after="0" w:line="244" w:lineRule="auto"/>
        <w:tabs>
          <w:tab w:leader="none" w:pos="2643" w:val="left"/>
        </w:tabs>
        <w:numPr>
          <w:ilvl w:val="1"/>
          <w:numId w:val="154"/>
        </w:numPr>
        <w:rPr>
          <w:rFonts w:ascii="Arial" w:cs="Arial" w:eastAsia="Arial" w:hAnsi="Arial"/>
          <w:sz w:val="20"/>
          <w:szCs w:val="20"/>
          <w:color w:val="auto"/>
        </w:rPr>
      </w:pPr>
      <w:r>
        <w:rPr>
          <w:rFonts w:ascii="Arial" w:cs="Arial" w:eastAsia="Arial" w:hAnsi="Arial"/>
          <w:sz w:val="20"/>
          <w:szCs w:val="20"/>
          <w:color w:val="auto"/>
        </w:rPr>
        <w:t>in the case of Citibank, N.A., to its address (or telecopy number) set forth in its Administrative Questionnaire;</w:t>
      </w:r>
    </w:p>
    <w:p>
      <w:pPr>
        <w:spacing w:after="0" w:line="191" w:lineRule="exact"/>
        <w:rPr>
          <w:rFonts w:ascii="Arial" w:cs="Arial" w:eastAsia="Arial" w:hAnsi="Arial"/>
          <w:sz w:val="20"/>
          <w:szCs w:val="20"/>
          <w:color w:val="auto"/>
        </w:rPr>
      </w:pPr>
    </w:p>
    <w:p>
      <w:pPr>
        <w:jc w:val="both"/>
        <w:ind w:left="2260" w:hanging="755"/>
        <w:spacing w:after="0" w:line="246" w:lineRule="auto"/>
        <w:tabs>
          <w:tab w:leader="none" w:pos="226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if to a Swingline Lender, to it at (A) in the case of JPMorgan Chase Bank, N.A., JPMorgan Chase Bank, N.A., Loan and Agency Services Group, 10 South Dearborn, 7th Floor, Chicago, Illinois 60603-2003, Attention of Joyce King (Telecopy No. (888) 292-9533), and (B) in the case of any other Swingline Lender, its address (or telecopy number) set forth in its Administrative Questionnaire; and</w:t>
      </w:r>
    </w:p>
    <w:p>
      <w:pPr>
        <w:spacing w:after="0" w:line="191" w:lineRule="exact"/>
        <w:rPr>
          <w:rFonts w:ascii="Arial" w:cs="Arial" w:eastAsia="Arial" w:hAnsi="Arial"/>
          <w:sz w:val="20"/>
          <w:szCs w:val="20"/>
          <w:color w:val="auto"/>
        </w:rPr>
      </w:pPr>
    </w:p>
    <w:p>
      <w:pPr>
        <w:ind w:left="2260" w:hanging="755"/>
        <w:spacing w:after="0"/>
        <w:tabs>
          <w:tab w:leader="none" w:pos="226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if to any other Lender, to it at its address (or telecopy number) set forth in its Administrative Questionnaire.</w:t>
      </w: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shall be effective as provided in said </w:t>
      </w:r>
      <w:r>
        <w:rPr>
          <w:rFonts w:ascii="Arial" w:cs="Arial" w:eastAsia="Arial" w:hAnsi="Arial"/>
          <w:sz w:val="18"/>
          <w:szCs w:val="18"/>
          <w:u w:val="single" w:color="auto"/>
          <w:color w:val="auto"/>
        </w:rPr>
        <w:t>paragraph (b)</w:t>
      </w:r>
      <w:r>
        <w:rPr>
          <w:rFonts w:ascii="Arial" w:cs="Arial" w:eastAsia="Arial" w:hAnsi="Arial"/>
          <w:sz w:val="18"/>
          <w:szCs w:val="18"/>
          <w:color w:val="auto"/>
        </w:rPr>
        <w:t>.</w:t>
      </w:r>
    </w:p>
    <w:p>
      <w:pPr>
        <w:spacing w:after="0" w:line="161" w:lineRule="exact"/>
        <w:rPr>
          <w:sz w:val="20"/>
          <w:szCs w:val="20"/>
          <w:color w:val="auto"/>
        </w:rPr>
      </w:pPr>
    </w:p>
    <w:p>
      <w:pPr>
        <w:jc w:val="both"/>
        <w:ind w:firstLine="1505"/>
        <w:spacing w:after="0" w:line="278" w:lineRule="auto"/>
        <w:tabs>
          <w:tab w:leader="none" w:pos="203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and the Issuing Bank hereunder may be delivered or furnished by using Electronic Systems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provided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68" w:lineRule="exact"/>
        <w:rPr>
          <w:sz w:val="20"/>
          <w:szCs w:val="20"/>
          <w:color w:val="auto"/>
        </w:rPr>
      </w:pPr>
    </w:p>
    <w:p>
      <w:pPr>
        <w:ind w:firstLine="1505"/>
        <w:spacing w:after="0" w:line="260" w:lineRule="auto"/>
        <w:tabs>
          <w:tab w:leader="none" w:pos="2036" w:val="left"/>
        </w:tabs>
        <w:numPr>
          <w:ilvl w:val="0"/>
          <w:numId w:val="156"/>
        </w:numPr>
        <w:rPr>
          <w:rFonts w:ascii="Arial" w:cs="Arial" w:eastAsia="Arial" w:hAnsi="Arial"/>
          <w:sz w:val="20"/>
          <w:szCs w:val="20"/>
          <w:color w:val="auto"/>
        </w:rPr>
      </w:pPr>
      <w:r>
        <w:rPr>
          <w:rFonts w:ascii="Arial" w:cs="Arial" w:eastAsia="Arial" w:hAnsi="Arial"/>
          <w:sz w:val="20"/>
          <w:szCs w:val="20"/>
          <w:color w:val="auto"/>
        </w:rPr>
        <w:t>Any party hereto may change its address or telecopy number for notices and other communications hereunder by notice to the other parties hereto.</w:t>
      </w:r>
    </w:p>
    <w:p>
      <w:pPr>
        <w:spacing w:after="0" w:line="176" w:lineRule="exact"/>
        <w:rPr>
          <w:rFonts w:ascii="Arial" w:cs="Arial" w:eastAsia="Arial" w:hAnsi="Arial"/>
          <w:sz w:val="20"/>
          <w:szCs w:val="20"/>
          <w:color w:val="auto"/>
        </w:rPr>
      </w:pPr>
    </w:p>
    <w:p>
      <w:pPr>
        <w:ind w:left="2040" w:hanging="535"/>
        <w:spacing w:after="0"/>
        <w:tabs>
          <w:tab w:leader="none" w:pos="2040"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Posting of Communications</w:t>
      </w:r>
      <w:r>
        <w:rPr>
          <w:rFonts w:ascii="Arial" w:cs="Arial" w:eastAsia="Arial" w:hAnsi="Arial"/>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4" w:name="page165"/>
    <w:bookmarkEnd w:id="164"/>
    <w:p>
      <w:pPr>
        <w:jc w:val="both"/>
        <w:ind w:left="1140" w:hanging="755"/>
        <w:spacing w:after="0" w:line="246" w:lineRule="auto"/>
        <w:tabs>
          <w:tab w:leader="none" w:pos="114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Each Borrower agrees that the Administrative Agent may, but shall not be obligated to, make Communications (as defined below) available to the Issuing Bank and the Lenders by posting the Communications on Debt Domain, Intralinks, Syndtrak, ClearPar or a substantially similar Electronic System chosen by the Administrative Agent to be its electronic transmission system (the “</w:t>
      </w:r>
      <w:r>
        <w:rPr>
          <w:rFonts w:ascii="Arial" w:cs="Arial" w:eastAsia="Arial" w:hAnsi="Arial"/>
          <w:sz w:val="20"/>
          <w:szCs w:val="20"/>
          <w:b w:val="1"/>
          <w:bCs w:val="1"/>
          <w:i w:val="1"/>
          <w:iCs w:val="1"/>
          <w:color w:val="auto"/>
        </w:rPr>
        <w:t>Platform</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1140" w:hanging="755"/>
        <w:spacing w:after="0" w:line="255" w:lineRule="auto"/>
        <w:tabs>
          <w:tab w:leader="none" w:pos="114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Although the Platform and its primary web portal are secured with generally-applicable security procedures and policies implemented or modified by the Administrative Agent from time to time (including, as of the Effective Date, a user ID/password authorization system) and the Platform is secured through a per-deal authorization method whereby each user may access the Platform only on a deal-by-deal basis, each of the Lenders, the Issuing Banks and the Borrowers acknowledges and agrees that the distribution of material through an electronic medium is not necessarily secure, that the Administrative Agent is not responsible for approving or vetting the representatives or contacts of any Lender that are added to the Platform, and that there may be confidentiality and other risks associated with such distribution. Each of the Lenders, the Issuing Banks and the Borrowers hereby approves distribution of the Communications through the Platform and understands and assumes the risks of such distribution.</w:t>
      </w:r>
    </w:p>
    <w:p>
      <w:pPr>
        <w:spacing w:after="0" w:line="189" w:lineRule="exact"/>
        <w:rPr>
          <w:rFonts w:ascii="Arial" w:cs="Arial" w:eastAsia="Arial" w:hAnsi="Arial"/>
          <w:sz w:val="19"/>
          <w:szCs w:val="19"/>
          <w:color w:val="auto"/>
        </w:rPr>
      </w:pPr>
    </w:p>
    <w:p>
      <w:pPr>
        <w:jc w:val="both"/>
        <w:ind w:left="1140" w:hanging="755"/>
        <w:spacing w:after="0" w:line="269" w:lineRule="auto"/>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Platform and the Communications are provided “as is” and “as available.” The Agent Parties (as defined below) do not warrant the accuracy or completeness of the Communications, or the adequacy of the Platform and expressly disclaim liability for errors or omissions in the Platform and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any Arranger, any Co-Sustainability Structuring Agent or any of their respective Related Parties (collectively, the “</w:t>
      </w:r>
      <w:r>
        <w:rPr>
          <w:rFonts w:ascii="Arial" w:cs="Arial" w:eastAsia="Arial" w:hAnsi="Arial"/>
          <w:sz w:val="18"/>
          <w:szCs w:val="18"/>
          <w:b w:val="1"/>
          <w:bCs w:val="1"/>
          <w:i w:val="1"/>
          <w:iCs w:val="1"/>
          <w:color w:val="auto"/>
        </w:rPr>
        <w:t>Agent Parties</w:t>
      </w:r>
      <w:r>
        <w:rPr>
          <w:rFonts w:ascii="Arial" w:cs="Arial" w:eastAsia="Arial" w:hAnsi="Arial"/>
          <w:sz w:val="18"/>
          <w:szCs w:val="18"/>
          <w:color w:val="auto"/>
        </w:rPr>
        <w:t>”) have any liability to the Borrowers, any Lender, the Issuing Bank or any other Person or entity for damages of any kind, including direct or indirect, special, incidental or consequential damages, losses or expenses (whether in tort, contract or otherwise) arising out of any Borrower’s or the Administrative Agent’s transmission of communications through the internet or the Platform. “</w:t>
      </w:r>
      <w:r>
        <w:rPr>
          <w:rFonts w:ascii="Arial" w:cs="Arial" w:eastAsia="Arial" w:hAnsi="Arial"/>
          <w:sz w:val="18"/>
          <w:szCs w:val="18"/>
          <w:b w:val="1"/>
          <w:bCs w:val="1"/>
          <w:i w:val="1"/>
          <w:iCs w:val="1"/>
          <w:color w:val="auto"/>
        </w:rPr>
        <w:t>Communications</w:t>
      </w:r>
      <w:r>
        <w:rPr>
          <w:rFonts w:ascii="Arial" w:cs="Arial" w:eastAsia="Arial" w:hAnsi="Arial"/>
          <w:sz w:val="18"/>
          <w:szCs w:val="18"/>
          <w:color w:val="auto"/>
        </w:rPr>
        <w:t>” means, collectively, any notice, demand, communication, information, document or other material provided by or on behalf of any Borrower pursuant to any Loan Document or the transactions contemplated therein which is distributed by the Administrative Agent, any Lender or any Issuing Bank by means of electronic communications pursuant to this Section, including through the Platform.</w:t>
      </w:r>
    </w:p>
    <w:p>
      <w:pPr>
        <w:spacing w:after="0" w:line="178" w:lineRule="exact"/>
        <w:rPr>
          <w:rFonts w:ascii="Arial" w:cs="Arial" w:eastAsia="Arial" w:hAnsi="Arial"/>
          <w:sz w:val="18"/>
          <w:szCs w:val="18"/>
          <w:color w:val="auto"/>
        </w:rPr>
      </w:pPr>
    </w:p>
    <w:p>
      <w:pPr>
        <w:jc w:val="both"/>
        <w:ind w:left="1140" w:hanging="755"/>
        <w:spacing w:after="0" w:line="276" w:lineRule="auto"/>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Each Lender and each Issuing Bank agrees that notice to it (as provided in the next sentence) specifying that Communications have been posted to the Platform shall constitute effective delivery of the Communications to such Lender for purposes of the Loan Documents. Each Lender and each Issuing Bank agrees (i) to notify the Administrative Agent in writing (which could be in the form of electronic communication) from time to time of such Lender’s or such Issuing Bank’s (as applicable) email address to which the foregoing notice may be sent by electronic transmission and (ii) that the foregoing notice may be sent to such email address.</w:t>
      </w:r>
    </w:p>
    <w:p>
      <w:pPr>
        <w:spacing w:after="0" w:line="165"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165" w:name="page166"/>
    <w:bookmarkEnd w:id="165"/>
    <w:p>
      <w:pPr>
        <w:jc w:val="both"/>
        <w:ind w:left="2260" w:hanging="755"/>
        <w:spacing w:after="0" w:line="342" w:lineRule="auto"/>
        <w:tabs>
          <w:tab w:leader="none" w:pos="22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Each of the Lenders, the Issuing Banks and the Borrowers agrees that the Administrative Agent may, but (except as may be required by applicable law) shall not be obligated to, store the Communications on the Platform in accordance with the Administrative Agent’s generally applicable document retention procedures and policies.</w:t>
      </w:r>
    </w:p>
    <w:p>
      <w:pPr>
        <w:spacing w:after="0" w:line="117" w:lineRule="exact"/>
        <w:rPr>
          <w:rFonts w:ascii="Arial" w:cs="Arial" w:eastAsia="Arial" w:hAnsi="Arial"/>
          <w:sz w:val="16"/>
          <w:szCs w:val="16"/>
          <w:color w:val="auto"/>
        </w:rPr>
      </w:pPr>
    </w:p>
    <w:p>
      <w:pPr>
        <w:jc w:val="both"/>
        <w:ind w:left="2260" w:hanging="755"/>
        <w:spacing w:after="0" w:line="250" w:lineRule="auto"/>
        <w:tabs>
          <w:tab w:leader="none" w:pos="226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10.02Waivers; Amendments</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73" w:lineRule="auto"/>
        <w:tabs>
          <w:tab w:leader="none" w:pos="203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No failure or delay by any Credit Party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Credit Parties hereunder are cumulative and are not exclusive of any rights or remedies that they would otherwise have. No waiver of any provision of this Agreement or consent to any departure by any Borrower therefrom shall in any event be effective unless the same shall be permitted by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any Credit Party may have had notice or knowledge of such Default at the time.</w:t>
      </w:r>
    </w:p>
    <w:p>
      <w:pPr>
        <w:spacing w:after="0" w:line="168" w:lineRule="exact"/>
        <w:rPr>
          <w:rFonts w:ascii="Arial" w:cs="Arial" w:eastAsia="Arial" w:hAnsi="Arial"/>
          <w:sz w:val="18"/>
          <w:szCs w:val="18"/>
          <w:color w:val="auto"/>
        </w:rPr>
      </w:pPr>
    </w:p>
    <w:p>
      <w:pPr>
        <w:jc w:val="both"/>
        <w:ind w:firstLine="1505"/>
        <w:spacing w:after="0" w:line="268" w:lineRule="auto"/>
        <w:tabs>
          <w:tab w:leader="none" w:pos="203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10.02(c)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10.02(d)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10.02(e)</w:t>
      </w:r>
      <w:r>
        <w:rPr>
          <w:rFonts w:ascii="Arial" w:cs="Arial" w:eastAsia="Arial" w:hAnsi="Arial"/>
          <w:sz w:val="18"/>
          <w:szCs w:val="18"/>
          <w:color w:val="auto"/>
        </w:rPr>
        <w:t xml:space="preserve"> below and except as provided in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with respect to an Incremental Term Loan Amendment or as provided in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with respect to an extension of the Maturity Date or as provided in </w:t>
      </w:r>
      <w:r>
        <w:rPr>
          <w:rFonts w:ascii="Arial" w:cs="Arial" w:eastAsia="Arial" w:hAnsi="Arial"/>
          <w:sz w:val="18"/>
          <w:szCs w:val="18"/>
          <w:u w:val="single" w:color="auto"/>
          <w:color w:val="auto"/>
        </w:rPr>
        <w:t>Section 2.14(b)</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2.14(c)</w:t>
      </w:r>
      <w:r>
        <w:rPr>
          <w:rFonts w:ascii="Arial" w:cs="Arial" w:eastAsia="Arial" w:hAnsi="Arial"/>
          <w:sz w:val="18"/>
          <w:szCs w:val="18"/>
          <w:color w:val="auto"/>
        </w:rPr>
        <w:t xml:space="preserve"> </w:t>
      </w:r>
      <w:r>
        <w:rPr>
          <w:rFonts w:ascii="Arial" w:cs="Arial" w:eastAsia="Arial" w:hAnsi="Arial"/>
          <w:sz w:val="18"/>
          <w:szCs w:val="18"/>
          <w:color w:val="FF0000"/>
        </w:rPr>
        <w:t>and</w:t>
      </w:r>
      <w:r>
        <w:rPr>
          <w:rFonts w:ascii="Arial" w:cs="Arial" w:eastAsia="Arial" w:hAnsi="Arial"/>
          <w:sz w:val="18"/>
          <w:szCs w:val="18"/>
          <w:color w:val="auto"/>
        </w:rPr>
        <w:t xml:space="preserve"> </w:t>
      </w:r>
      <w:r>
        <w:rPr>
          <w:rFonts w:ascii="Arial" w:cs="Arial" w:eastAsia="Arial" w:hAnsi="Arial"/>
          <w:sz w:val="18"/>
          <w:szCs w:val="18"/>
          <w:u w:val="single" w:color="auto"/>
          <w:color w:val="FF0000"/>
        </w:rPr>
        <w:t>Section 2.14(d)</w:t>
      </w:r>
      <w:r>
        <w:rPr>
          <w:rFonts w:ascii="Arial" w:cs="Arial" w:eastAsia="Arial" w:hAnsi="Arial"/>
          <w:sz w:val="18"/>
          <w:szCs w:val="18"/>
          <w:color w:val="FF0000"/>
        </w:rPr>
        <w: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 (i) increase the Commitment of any Lender without the written consent of such Lender (it being understood and agreed that a waiver of any condition precedent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or of any Default is not considered an increase in Commitments of any Lender), (ii) reduce the principal amount of any Loan or LC Disbursement or reduce the rate of interest thereon, or reduce any fees payable hereunder, without the written consent of each Lender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only the consent of the Required Lenders shall be necessary to amend the provisions with respect to the application of default rate interest described in </w:t>
      </w:r>
      <w:r>
        <w:rPr>
          <w:rFonts w:ascii="Arial" w:cs="Arial" w:eastAsia="Arial" w:hAnsi="Arial"/>
          <w:sz w:val="18"/>
          <w:szCs w:val="18"/>
          <w:u w:val="single" w:color="auto"/>
          <w:color w:val="auto"/>
        </w:rPr>
        <w:t>Section 2.13(d)</w:t>
      </w:r>
      <w:r>
        <w:rPr>
          <w:rFonts w:ascii="Arial" w:cs="Arial" w:eastAsia="Arial" w:hAnsi="Arial"/>
          <w:sz w:val="18"/>
          <w:szCs w:val="18"/>
          <w:color w:val="auto"/>
        </w:rPr>
        <w:t xml:space="preserve"> and the last paragraph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waive any obligation of any Borrower to pay interest or fees at such default rate, (iii) postpone the scheduled date of payment of the principal amount of any Loan or LC Disbursement, or any interest thereon, or any fees payable hereunder, or reduce the amount of, waive or excuse any such payment (in each case excluding, for the avoidance of doubt, mandatory prepayments under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or postpone the scheduled date of expiration of any Commitment, without the written consent of each Lender affected thereby, (iv) change </w:t>
      </w:r>
      <w:r>
        <w:rPr>
          <w:rFonts w:ascii="Arial" w:cs="Arial" w:eastAsia="Arial" w:hAnsi="Arial"/>
          <w:sz w:val="18"/>
          <w:szCs w:val="18"/>
          <w:u w:val="single" w:color="auto"/>
          <w:color w:val="auto"/>
        </w:rPr>
        <w:t>Section 2.09(c)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in a manner that would alter the ratable reduction of Commitments or the pro rata sharing of payments required thereby, without the written consent of each Lender, (v) release the Company from its obligations under the Loan Documents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to an Incremental Term Loan Amendment, Incremental Term Loans may be included in the determination of Required Lenders on substantially the same basis as the Commitments and the Revolving Loans are included on the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-2710815</wp:posOffset>
            </wp:positionV>
            <wp:extent cx="110680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1106805"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6" w:name="page167"/>
    <w:bookmarkEnd w:id="166"/>
    <w:p>
      <w:pPr>
        <w:jc w:val="both"/>
        <w:spacing w:after="0" w:line="246" w:lineRule="auto"/>
        <w:rPr>
          <w:sz w:val="20"/>
          <w:szCs w:val="20"/>
          <w:color w:val="auto"/>
        </w:rPr>
      </w:pPr>
      <w:r>
        <w:rPr>
          <w:rFonts w:ascii="Arial" w:cs="Arial" w:eastAsia="Arial" w:hAnsi="Arial"/>
          <w:sz w:val="20"/>
          <w:szCs w:val="20"/>
          <w:color w:val="auto"/>
        </w:rPr>
        <w:t xml:space="preserve">Date), (vii) change any of the provisions of </w:t>
      </w:r>
      <w:r>
        <w:rPr>
          <w:rFonts w:ascii="Arial" w:cs="Arial" w:eastAsia="Arial" w:hAnsi="Arial"/>
          <w:sz w:val="20"/>
          <w:szCs w:val="20"/>
          <w:u w:val="single" w:color="auto"/>
          <w:color w:val="auto"/>
        </w:rPr>
        <w:t>Section 2.23</w:t>
      </w:r>
      <w:r>
        <w:rPr>
          <w:rFonts w:ascii="Arial" w:cs="Arial" w:eastAsia="Arial" w:hAnsi="Arial"/>
          <w:sz w:val="20"/>
          <w:szCs w:val="20"/>
          <w:color w:val="auto"/>
        </w:rPr>
        <w:t xml:space="preserve">, or (viii) change the definition of “Agreed Currencies” without the written consent of each Lender;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no such agreement shall amend, modify or otherwise affect the rights or duties of the Administrative Agent, the Issuing Bank or the Swingline Lenders hereunder without the prior written consent of the Administrative Agent, the Issuing Bank or the Swingline Lenders, as the case may be.</w:t>
      </w:r>
    </w:p>
    <w:p>
      <w:pPr>
        <w:spacing w:after="0" w:line="191" w:lineRule="exact"/>
        <w:rPr>
          <w:sz w:val="20"/>
          <w:szCs w:val="20"/>
          <w:color w:val="auto"/>
        </w:rPr>
      </w:pPr>
    </w:p>
    <w:p>
      <w:pPr>
        <w:jc w:val="both"/>
        <w:ind w:firstLine="1505"/>
        <w:spacing w:after="0" w:line="243" w:lineRule="auto"/>
        <w:tabs>
          <w:tab w:leader="none" w:pos="2036" w:val="left"/>
        </w:tabs>
        <w:numPr>
          <w:ilvl w:val="0"/>
          <w:numId w:val="160"/>
        </w:numPr>
        <w:rPr>
          <w:rFonts w:ascii="Arial" w:cs="Arial" w:eastAsia="Arial" w:hAnsi="Arial"/>
          <w:sz w:val="20"/>
          <w:szCs w:val="20"/>
          <w:color w:val="auto"/>
        </w:rPr>
      </w:pPr>
      <w:r>
        <w:rPr>
          <w:rFonts w:ascii="Arial" w:cs="Arial" w:eastAsia="Arial" w:hAnsi="Arial"/>
          <w:sz w:val="20"/>
          <w:szCs w:val="20"/>
          <w:color w:val="auto"/>
        </w:rPr>
        <w:t>Notwithstanding the foregoing, this Agreement and any other Loan Document may be amended (or amended and restated) with the written consent of the Required Lenders, the Administrative Agent and the Borrowers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Incremental Term Loans and the accrued interest and fees in respect thereof and (y) to include appropriately the Lenders holding such credit facilities in any determination of the Required Lenders and Lenders.</w:t>
      </w:r>
    </w:p>
    <w:p>
      <w:pPr>
        <w:spacing w:after="0" w:line="192" w:lineRule="exact"/>
        <w:rPr>
          <w:rFonts w:ascii="Arial" w:cs="Arial" w:eastAsia="Arial" w:hAnsi="Arial"/>
          <w:sz w:val="20"/>
          <w:szCs w:val="20"/>
          <w:color w:val="auto"/>
        </w:rPr>
      </w:pPr>
    </w:p>
    <w:p>
      <w:pPr>
        <w:jc w:val="both"/>
        <w:ind w:firstLine="1505"/>
        <w:spacing w:after="0" w:line="268" w:lineRule="auto"/>
        <w:tabs>
          <w:tab w:leader="none" w:pos="203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8"/>
          <w:szCs w:val="18"/>
          <w:b w:val="1"/>
          <w:bCs w:val="1"/>
          <w:i w:val="1"/>
          <w:iCs w:val="1"/>
          <w:color w:val="auto"/>
        </w:rPr>
        <w:t>Non-Consenting Lender</w:t>
      </w:r>
      <w:r>
        <w:rPr>
          <w:rFonts w:ascii="Arial" w:cs="Arial" w:eastAsia="Arial" w:hAnsi="Arial"/>
          <w:sz w:val="18"/>
          <w:szCs w:val="18"/>
          <w:color w:val="auto"/>
        </w:rPr>
        <w:t xml:space="preserve">”), then the Company may elect to replace a Non-Consenting Lender as a Lender party to this Agreement, provided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(ii) each Borrower shall pay to such Non-Consenting Lender in same day funds on the day of such replacement (1) all interest, fees and other amounts then accrued but unpaid to such Non-Consenting Lender by such Borrower hereunder to and including the date of termination, including without limitation payments due to such Non-Consenting Lender under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and (2) an amount, if any, equal to the payment which would have been due to such Lender on the day of such replacement under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had the Loans of such Non-Consenting Lender been prepaid on such date rather than sold to the replacement Lender and (iii) such Non-Consenting Lender shall have received the outstanding principal amount of its Loans and participations in LC Disbursements. Each party hereto agrees that (i) an assignment required pursuant to this clause (d) may be effected pursuant to an Assignment and Assumption executed by the Company, the Administrative Agent and the assignee (or, to the extent applicable, an agreement incorporating an Assignment and Assumption by reference pursuant to a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documents shall be without recourse to or warranty by the parties thereto.</w:t>
      </w:r>
    </w:p>
    <w:p>
      <w:pPr>
        <w:spacing w:after="0" w:line="181" w:lineRule="exact"/>
        <w:rPr>
          <w:rFonts w:ascii="Arial" w:cs="Arial" w:eastAsia="Arial" w:hAnsi="Arial"/>
          <w:sz w:val="18"/>
          <w:szCs w:val="18"/>
          <w:color w:val="auto"/>
        </w:rPr>
      </w:pPr>
    </w:p>
    <w:p>
      <w:pPr>
        <w:jc w:val="both"/>
        <w:ind w:firstLine="1505"/>
        <w:spacing w:after="0" w:line="245" w:lineRule="auto"/>
        <w:tabs>
          <w:tab w:leader="none" w:pos="2036" w:val="left"/>
        </w:tabs>
        <w:numPr>
          <w:ilvl w:val="0"/>
          <w:numId w:val="160"/>
        </w:numPr>
        <w:rPr>
          <w:rFonts w:ascii="Arial" w:cs="Arial" w:eastAsia="Arial" w:hAnsi="Arial"/>
          <w:sz w:val="20"/>
          <w:szCs w:val="20"/>
          <w:color w:val="auto"/>
        </w:rPr>
      </w:pPr>
      <w:r>
        <w:rPr>
          <w:rFonts w:ascii="Arial" w:cs="Arial" w:eastAsia="Arial" w:hAnsi="Arial"/>
          <w:sz w:val="20"/>
          <w:szCs w:val="20"/>
          <w:color w:val="auto"/>
        </w:rPr>
        <w:t>If the Administrative Agent and the Company acting together identify any ambiguity, omission, mistake, typographical error or other defect in any provision of this Agreement or any other Loan Document, then the Administrative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 If the Administrative Agent and the Company make or implement any such amendment, modification or supplement to any Loan Document, the Administrative Agent agrees (without limiting or affecting the validity of any such amendment, modification or supplement) to give prompt notice thereof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7" w:name="page168"/>
    <w:bookmarkEnd w:id="167"/>
    <w:p>
      <w:pPr>
        <w:spacing w:after="0"/>
        <w:rPr>
          <w:sz w:val="20"/>
          <w:szCs w:val="20"/>
          <w:color w:val="auto"/>
        </w:rPr>
      </w:pPr>
      <w:r>
        <w:rPr>
          <w:rFonts w:ascii="Arial" w:cs="Arial" w:eastAsia="Arial" w:hAnsi="Arial"/>
          <w:sz w:val="20"/>
          <w:szCs w:val="20"/>
          <w:color w:val="auto"/>
        </w:rPr>
        <w:t>to the Lenders including (if appropriate) a copy of such Loan Document as so amended, modified or supplemented.</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10.03Expenses; Indemnity; Damage Waiver</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71" w:lineRule="auto"/>
        <w:tabs>
          <w:tab w:leader="none" w:pos="203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shall pay (i) all reasonable out-of-pocket expenses incurred by the Administrative Agent, the Arrangers and their respective Affiliates, including the reasonable fees, charges and disbursements of counsel for the Administrative Agent, in connection with the syndication of the credit facilities provided for herein, the preparation and administration of the Loan Documents and any amendments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any demand for payment thereunder and (iii) all reasonable out-of-pocket expenses incurred by the Credit Parties, including the reasonable fees, charges and disbursements of one counsel (and one local counsel in each relevant jurisdiction) for the Administrative Agent and one counsel (and one local counsel in each relevant jurisdiction) for all other Credit Parties, in connection with the enforcement or protection of their rights in connection with any Loan Document, including their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69" w:lineRule="exact"/>
        <w:rPr>
          <w:rFonts w:ascii="Arial" w:cs="Arial" w:eastAsia="Arial" w:hAnsi="Arial"/>
          <w:sz w:val="18"/>
          <w:szCs w:val="18"/>
          <w:color w:val="auto"/>
        </w:rPr>
      </w:pPr>
    </w:p>
    <w:p>
      <w:pPr>
        <w:jc w:val="both"/>
        <w:ind w:firstLine="1505"/>
        <w:spacing w:after="0" w:line="268" w:lineRule="auto"/>
        <w:tabs>
          <w:tab w:leader="none" w:pos="203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shall indemnify each Credit Party, each Arranger, each Co-Sustainability Structuring Agent and each of its respective Related Parties (each such Person being called an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the performance by the parties to the Loan Documents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Subsidiary, or any Environmental Liability related in any way to the Company or any Subsidiary, or (iv) any actual or prospective claim, litigation, investigation or proceeding relating to any of the foregoing, whether or not such claim, litigation, investigation or proceeding is brought by any Borrower or its equity holders, Affiliates, creditors or any other third Person and whether based on contract, tort or any other theory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are determined by a court of competent jurisdiction by final and nonappealable judgment to have resulted from the breach by such Indemnitee of its funding obligations hereunder, to the extent caused by the inability of such Indemnitee to satisfy such funding obligations because of its status as a Defaulting Lender under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thereof, or (z) result from a claim brought by any Borrower against such Indemnitee for breach in bad faith of such Indemnitee’s obligations under any Loan Document, if such Borrower has obtained a final and nonappealable judgment in its favor on such claim as determined by a court of competent jurisdiction. This </w:t>
      </w:r>
      <w:r>
        <w:rPr>
          <w:rFonts w:ascii="Arial" w:cs="Arial" w:eastAsia="Arial" w:hAnsi="Arial"/>
          <w:sz w:val="18"/>
          <w:szCs w:val="18"/>
          <w:u w:val="single" w:color="auto"/>
          <w:color w:val="auto"/>
        </w:rPr>
        <w:t>Section 10.03(b)</w:t>
      </w:r>
      <w:r>
        <w:rPr>
          <w:rFonts w:ascii="Arial" w:cs="Arial" w:eastAsia="Arial" w:hAnsi="Arial"/>
          <w:sz w:val="18"/>
          <w:szCs w:val="18"/>
          <w:color w:val="auto"/>
        </w:rPr>
        <w:t xml:space="preserve"> shall not apply with respect to Taxes other than any Taxes that represent losses, claims or damages arising from any non-Tax claim.</w:t>
      </w:r>
    </w:p>
    <w:p>
      <w:pPr>
        <w:spacing w:after="0" w:line="181" w:lineRule="exact"/>
        <w:rPr>
          <w:rFonts w:ascii="Arial" w:cs="Arial" w:eastAsia="Arial" w:hAnsi="Arial"/>
          <w:sz w:val="18"/>
          <w:szCs w:val="18"/>
          <w:color w:val="auto"/>
        </w:rPr>
      </w:pPr>
    </w:p>
    <w:p>
      <w:pPr>
        <w:ind w:firstLine="1505"/>
        <w:spacing w:after="0" w:line="260" w:lineRule="auto"/>
        <w:tabs>
          <w:tab w:leader="none" w:pos="2036"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To the extent that the Company fails to pay any amount required to be paid by it to the Administrative Agent, the Issuing Banks or the Swingline Lenders under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8" w:name="page169"/>
    <w:bookmarkEnd w:id="168"/>
    <w:p>
      <w:pPr>
        <w:jc w:val="both"/>
        <w:spacing w:after="0" w:line="282" w:lineRule="auto"/>
        <w:rPr>
          <w:sz w:val="20"/>
          <w:szCs w:val="20"/>
          <w:color w:val="auto"/>
        </w:rPr>
      </w:pPr>
      <w:r>
        <w:rPr>
          <w:rFonts w:ascii="Arial" w:cs="Arial" w:eastAsia="Arial" w:hAnsi="Arial"/>
          <w:sz w:val="18"/>
          <w:szCs w:val="18"/>
          <w:color w:val="auto"/>
        </w:rPr>
        <w:t xml:space="preserve">Section, each Lender severally agrees to pay to the Administrative Agent, the Issuing Bank or the Swingline Lenders, as the case may be, such Lender’s Applicable Percentage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the Issuing Bank or the Swingline Lenders in their capacity as such.</w:t>
      </w:r>
    </w:p>
    <w:p>
      <w:pPr>
        <w:spacing w:after="0" w:line="161" w:lineRule="exact"/>
        <w:rPr>
          <w:sz w:val="20"/>
          <w:szCs w:val="20"/>
          <w:color w:val="auto"/>
        </w:rPr>
      </w:pPr>
    </w:p>
    <w:p>
      <w:pPr>
        <w:jc w:val="both"/>
        <w:ind w:firstLine="1505"/>
        <w:spacing w:after="0" w:line="243" w:lineRule="auto"/>
        <w:tabs>
          <w:tab w:leader="none" w:pos="2036"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To the extent permitted by applicable law, no party hereto shall assert, and each party hereto hereby waives, any claim against any other party hereto, on any theory of liability, for special, indirect, consequential or punitive damages (as opposed to direct or actual damages) arising out of, in connection with, or as a result of, any Loan Document or any agreement or instrument contemplated hereby, the Transactions, any Loan or Letter of Credit or the use of the proceeds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nothing in this </w:t>
      </w:r>
      <w:r>
        <w:rPr>
          <w:rFonts w:ascii="Arial" w:cs="Arial" w:eastAsia="Arial" w:hAnsi="Arial"/>
          <w:sz w:val="20"/>
          <w:szCs w:val="20"/>
          <w:u w:val="single" w:color="auto"/>
          <w:color w:val="auto"/>
        </w:rPr>
        <w:t>clause (d)</w:t>
      </w:r>
      <w:r>
        <w:rPr>
          <w:rFonts w:ascii="Arial" w:cs="Arial" w:eastAsia="Arial" w:hAnsi="Arial"/>
          <w:sz w:val="20"/>
          <w:szCs w:val="20"/>
          <w:color w:val="auto"/>
        </w:rPr>
        <w:t xml:space="preserve"> shall relieve the Company of any obligation it may have to indemnify an Indemnitee against special, indirect, consequential or punitive damages asserted against such Indemnitee by a third party.</w:t>
      </w:r>
    </w:p>
    <w:p>
      <w:pPr>
        <w:spacing w:after="0" w:line="195" w:lineRule="exact"/>
        <w:rPr>
          <w:rFonts w:ascii="Arial" w:cs="Arial" w:eastAsia="Arial" w:hAnsi="Arial"/>
          <w:sz w:val="20"/>
          <w:szCs w:val="20"/>
          <w:color w:val="auto"/>
        </w:rPr>
      </w:pPr>
    </w:p>
    <w:p>
      <w:pPr>
        <w:ind w:left="2040" w:hanging="535"/>
        <w:spacing w:after="0"/>
        <w:tabs>
          <w:tab w:leader="none" w:pos="204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All amounts due under this Section shall be payable promptly after written demand therefor.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10.04Successors and Assigns</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75" w:lineRule="auto"/>
        <w:tabs>
          <w:tab w:leader="none" w:pos="203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provisions of this Agreement shall be binding upon and inure to the benefit of the parties hereto and their respective successors and assigns permitted hereby (including any Affiliate of the Issuing Bank that issues any Letter of Credit), except that</w:t>
      </w:r>
    </w:p>
    <w:p>
      <w:pPr>
        <w:jc w:val="both"/>
        <w:ind w:firstLine="8"/>
        <w:spacing w:after="0" w:line="254" w:lineRule="auto"/>
        <w:tabs>
          <w:tab w:leader="none" w:pos="24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and, to the extent expressly contemplated hereby, the Related Parties of each of the Credit Parties) any legal or equitable right, remedy or claim under or by reason of this Agreement.</w:t>
      </w:r>
    </w:p>
    <w:p>
      <w:pPr>
        <w:spacing w:after="0" w:line="187" w:lineRule="exact"/>
        <w:rPr>
          <w:rFonts w:ascii="Arial" w:cs="Arial" w:eastAsia="Arial" w:hAnsi="Arial"/>
          <w:sz w:val="19"/>
          <w:szCs w:val="19"/>
          <w:color w:val="auto"/>
        </w:rPr>
      </w:pPr>
    </w:p>
    <w:p>
      <w:pPr>
        <w:jc w:val="both"/>
        <w:ind w:firstLine="1505"/>
        <w:spacing w:after="0" w:line="246" w:lineRule="auto"/>
        <w:tabs>
          <w:tab w:leader="none" w:pos="2036" w:val="left"/>
        </w:tabs>
        <w:numPr>
          <w:ilvl w:val="1"/>
          <w:numId w:val="164"/>
        </w:numPr>
        <w:rPr>
          <w:rFonts w:ascii="Arial" w:cs="Arial" w:eastAsia="Arial" w:hAnsi="Arial"/>
          <w:sz w:val="20"/>
          <w:szCs w:val="20"/>
          <w:color w:val="auto"/>
        </w:rPr>
      </w:pPr>
      <w:r>
        <w:rPr>
          <w:rFonts w:ascii="Arial" w:cs="Arial" w:eastAsia="Arial" w:hAnsi="Arial"/>
          <w:sz w:val="20"/>
          <w:szCs w:val="20"/>
          <w:color w:val="auto"/>
        </w:rPr>
        <w:t xml:space="preserve">(i) Subject to the conditions set forth in </w:t>
      </w:r>
      <w:r>
        <w:rPr>
          <w:rFonts w:ascii="Arial" w:cs="Arial" w:eastAsia="Arial" w:hAnsi="Arial"/>
          <w:sz w:val="20"/>
          <w:szCs w:val="20"/>
          <w:u w:val="single" w:color="auto"/>
          <w:color w:val="auto"/>
        </w:rPr>
        <w:t>paragraph (b)(ii)</w:t>
      </w:r>
      <w:r>
        <w:rPr>
          <w:rFonts w:ascii="Arial" w:cs="Arial" w:eastAsia="Arial" w:hAnsi="Arial"/>
          <w:sz w:val="20"/>
          <w:szCs w:val="20"/>
          <w:color w:val="auto"/>
        </w:rPr>
        <w:t xml:space="preserve"> below, any Lender may assign to one or more Persons (other than an Ineligible Assignee) all or a portion of its rights and obligations under the Loan Documents (including all or a portion of its Commitment, participations in Letters of Credit and the Loans at the time owing to it) with the prior written consent (such consent not to be unreasonably withheld, conditioned or delayed) of:</w:t>
      </w:r>
    </w:p>
    <w:p>
      <w:pPr>
        <w:spacing w:after="0" w:line="191" w:lineRule="exact"/>
        <w:rPr>
          <w:rFonts w:ascii="Arial" w:cs="Arial" w:eastAsia="Arial" w:hAnsi="Arial"/>
          <w:sz w:val="20"/>
          <w:szCs w:val="20"/>
          <w:color w:val="auto"/>
        </w:rPr>
      </w:pPr>
    </w:p>
    <w:p>
      <w:pPr>
        <w:jc w:val="both"/>
        <w:ind w:left="1500" w:firstLine="1503"/>
        <w:spacing w:after="0" w:line="260" w:lineRule="auto"/>
        <w:tabs>
          <w:tab w:leader="none" w:pos="3567" w:val="left"/>
        </w:tabs>
        <w:numPr>
          <w:ilvl w:val="2"/>
          <w:numId w:val="164"/>
        </w:numPr>
        <w:rPr>
          <w:rFonts w:ascii="Arial" w:cs="Arial" w:eastAsia="Arial" w:hAnsi="Arial"/>
          <w:sz w:val="19"/>
          <w:szCs w:val="19"/>
          <w:color w:val="auto"/>
        </w:rPr>
      </w:pPr>
      <w:r>
        <w:rPr>
          <w:rFonts w:ascii="Arial" w:cs="Arial" w:eastAsia="Arial" w:hAnsi="Arial"/>
          <w:sz w:val="19"/>
          <w:szCs w:val="19"/>
          <w:color w:val="auto"/>
        </w:rPr>
        <w:t xml:space="preserve">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be deemed to have consented to an assignment unless it shall have objected thereto by written notice to the Administrative Agent within five (5) Business Days after having received notice thereof;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consent of the Company shall be required for an assignment to a Lender (other than a Defaulting Lender), an Affiliate of a Lender (other than a Defaulting Lender), an Approved Fund or, if an Event of Default has occurred and is continuing, any other assignee;</w:t>
      </w:r>
    </w:p>
    <w:p>
      <w:pPr>
        <w:spacing w:after="0" w:line="180" w:lineRule="exact"/>
        <w:rPr>
          <w:rFonts w:ascii="Arial" w:cs="Arial" w:eastAsia="Arial" w:hAnsi="Arial"/>
          <w:sz w:val="19"/>
          <w:szCs w:val="19"/>
          <w:color w:val="auto"/>
        </w:rPr>
      </w:pPr>
    </w:p>
    <w:p>
      <w:pPr>
        <w:jc w:val="both"/>
        <w:ind w:left="1500" w:firstLine="1503"/>
        <w:spacing w:after="0" w:line="250" w:lineRule="auto"/>
        <w:tabs>
          <w:tab w:leader="none" w:pos="3567" w:val="left"/>
        </w:tabs>
        <w:numPr>
          <w:ilvl w:val="2"/>
          <w:numId w:val="164"/>
        </w:numPr>
        <w:rPr>
          <w:rFonts w:ascii="Arial" w:cs="Arial" w:eastAsia="Arial" w:hAnsi="Arial"/>
          <w:sz w:val="20"/>
          <w:szCs w:val="20"/>
          <w:color w:val="auto"/>
        </w:rPr>
      </w:pPr>
      <w:r>
        <w:rPr>
          <w:rFonts w:ascii="Arial" w:cs="Arial" w:eastAsia="Arial" w:hAnsi="Arial"/>
          <w:sz w:val="20"/>
          <w:szCs w:val="20"/>
          <w:color w:val="auto"/>
        </w:rPr>
        <w:t xml:space="preserve">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Administrative Agent shall be required for an assignment to a Lender (other than a Defaulting Lender) or an Affiliate of a Lender (other than a Defaulting Lender);</w:t>
      </w:r>
    </w:p>
    <w:p>
      <w:pPr>
        <w:spacing w:after="0" w:line="185" w:lineRule="exact"/>
        <w:rPr>
          <w:rFonts w:ascii="Arial" w:cs="Arial" w:eastAsia="Arial" w:hAnsi="Arial"/>
          <w:sz w:val="20"/>
          <w:szCs w:val="20"/>
          <w:color w:val="auto"/>
        </w:rPr>
      </w:pPr>
    </w:p>
    <w:p>
      <w:pPr>
        <w:ind w:left="3580" w:hanging="577"/>
        <w:spacing w:after="0"/>
        <w:tabs>
          <w:tab w:leader="none" w:pos="3580" w:val="left"/>
        </w:tabs>
        <w:numPr>
          <w:ilvl w:val="2"/>
          <w:numId w:val="164"/>
        </w:numPr>
        <w:rPr>
          <w:rFonts w:ascii="Arial" w:cs="Arial" w:eastAsia="Arial" w:hAnsi="Arial"/>
          <w:sz w:val="20"/>
          <w:szCs w:val="20"/>
          <w:color w:val="auto"/>
        </w:rPr>
      </w:pPr>
      <w:r>
        <w:rPr>
          <w:rFonts w:ascii="Arial" w:cs="Arial" w:eastAsia="Arial" w:hAnsi="Arial"/>
          <w:sz w:val="20"/>
          <w:szCs w:val="20"/>
          <w:color w:val="auto"/>
        </w:rPr>
        <w:t>the Issuing Bank; 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9" w:name="page170"/>
    <w:bookmarkEnd w:id="169"/>
    <w:p>
      <w:pPr>
        <w:ind w:left="2460" w:hanging="577"/>
        <w:spacing w:after="0"/>
        <w:tabs>
          <w:tab w:leader="none" w:pos="246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each Swingline Lender.</w:t>
      </w:r>
    </w:p>
    <w:p>
      <w:pPr>
        <w:spacing w:after="0" w:line="215" w:lineRule="exact"/>
        <w:rPr>
          <w:rFonts w:ascii="Arial" w:cs="Arial" w:eastAsia="Arial" w:hAnsi="Arial"/>
          <w:sz w:val="20"/>
          <w:szCs w:val="20"/>
          <w:color w:val="auto"/>
        </w:rPr>
      </w:pPr>
    </w:p>
    <w:p>
      <w:pPr>
        <w:ind w:left="1140" w:hanging="755"/>
        <w:spacing w:after="0"/>
        <w:tabs>
          <w:tab w:leader="none" w:pos="114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215" w:lineRule="exact"/>
        <w:rPr>
          <w:rFonts w:ascii="Arial" w:cs="Arial" w:eastAsia="Arial" w:hAnsi="Arial"/>
          <w:sz w:val="20"/>
          <w:szCs w:val="20"/>
          <w:color w:val="auto"/>
        </w:rPr>
      </w:pPr>
    </w:p>
    <w:p>
      <w:pPr>
        <w:jc w:val="both"/>
        <w:ind w:left="380" w:firstLine="1503"/>
        <w:spacing w:after="0" w:line="276" w:lineRule="auto"/>
        <w:tabs>
          <w:tab w:leader="none" w:pos="244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Company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Company shall be required if an Event of Default has occurred and is continuing;</w:t>
      </w:r>
    </w:p>
    <w:p>
      <w:pPr>
        <w:spacing w:after="0" w:line="164" w:lineRule="exact"/>
        <w:rPr>
          <w:rFonts w:ascii="Arial" w:cs="Arial" w:eastAsia="Arial" w:hAnsi="Arial"/>
          <w:sz w:val="18"/>
          <w:szCs w:val="18"/>
          <w:color w:val="auto"/>
        </w:rPr>
      </w:pPr>
    </w:p>
    <w:p>
      <w:pPr>
        <w:ind w:left="380" w:firstLine="1503"/>
        <w:spacing w:after="0" w:line="260" w:lineRule="auto"/>
        <w:tabs>
          <w:tab w:leader="none" w:pos="2447" w:val="left"/>
        </w:tabs>
        <w:numPr>
          <w:ilvl w:val="1"/>
          <w:numId w:val="166"/>
        </w:numPr>
        <w:rPr>
          <w:rFonts w:ascii="Arial" w:cs="Arial" w:eastAsia="Arial" w:hAnsi="Arial"/>
          <w:sz w:val="20"/>
          <w:szCs w:val="20"/>
          <w:color w:val="auto"/>
        </w:rPr>
      </w:pPr>
      <w:r>
        <w:rPr>
          <w:rFonts w:ascii="Arial" w:cs="Arial" w:eastAsia="Arial" w:hAnsi="Arial"/>
          <w:sz w:val="20"/>
          <w:szCs w:val="20"/>
          <w:color w:val="auto"/>
        </w:rPr>
        <w:t>each partial assignment shall be made as an assignment of a proportionate part of all the assigning Lender’s rights and obligations under the Loan Documents;</w:t>
      </w:r>
    </w:p>
    <w:p>
      <w:pPr>
        <w:spacing w:after="0" w:line="176" w:lineRule="exact"/>
        <w:rPr>
          <w:rFonts w:ascii="Arial" w:cs="Arial" w:eastAsia="Arial" w:hAnsi="Arial"/>
          <w:sz w:val="20"/>
          <w:szCs w:val="20"/>
          <w:color w:val="auto"/>
        </w:rPr>
      </w:pPr>
    </w:p>
    <w:p>
      <w:pPr>
        <w:jc w:val="both"/>
        <w:ind w:left="380" w:firstLine="1503"/>
        <w:spacing w:after="0" w:line="246" w:lineRule="auto"/>
        <w:tabs>
          <w:tab w:leader="none" w:pos="2447" w:val="left"/>
        </w:tabs>
        <w:numPr>
          <w:ilvl w:val="1"/>
          <w:numId w:val="166"/>
        </w:numPr>
        <w:rPr>
          <w:rFonts w:ascii="Arial" w:cs="Arial" w:eastAsia="Arial" w:hAnsi="Arial"/>
          <w:sz w:val="20"/>
          <w:szCs w:val="20"/>
          <w:color w:val="auto"/>
        </w:rPr>
      </w:pPr>
      <w:r>
        <w:rPr>
          <w:rFonts w:ascii="Arial" w:cs="Arial" w:eastAsia="Arial" w:hAnsi="Arial"/>
          <w:sz w:val="20"/>
          <w:szCs w:val="20"/>
          <w:color w:val="auto"/>
        </w:rPr>
        <w:t>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a processing and recordation fee of $3,500;</w:t>
      </w:r>
    </w:p>
    <w:p>
      <w:pPr>
        <w:spacing w:after="0" w:line="191" w:lineRule="exact"/>
        <w:rPr>
          <w:rFonts w:ascii="Arial" w:cs="Arial" w:eastAsia="Arial" w:hAnsi="Arial"/>
          <w:sz w:val="20"/>
          <w:szCs w:val="20"/>
          <w:color w:val="auto"/>
        </w:rPr>
      </w:pPr>
    </w:p>
    <w:p>
      <w:pPr>
        <w:ind w:left="380" w:firstLine="1503"/>
        <w:spacing w:after="0" w:line="260" w:lineRule="auto"/>
        <w:tabs>
          <w:tab w:leader="none" w:pos="2447" w:val="left"/>
        </w:tabs>
        <w:numPr>
          <w:ilvl w:val="1"/>
          <w:numId w:val="166"/>
        </w:numPr>
        <w:rPr>
          <w:rFonts w:ascii="Arial" w:cs="Arial" w:eastAsia="Arial" w:hAnsi="Arial"/>
          <w:sz w:val="20"/>
          <w:szCs w:val="20"/>
          <w:color w:val="auto"/>
        </w:rPr>
      </w:pPr>
      <w:r>
        <w:rPr>
          <w:rFonts w:ascii="Arial" w:cs="Arial" w:eastAsia="Arial" w:hAnsi="Arial"/>
          <w:sz w:val="20"/>
          <w:szCs w:val="20"/>
          <w:color w:val="auto"/>
        </w:rPr>
        <w:t xml:space="preserve">the assignee shall deliver to the Administrative Agent, withholding agent and/or Company, as applicable, any documentation required by </w:t>
      </w:r>
      <w:r>
        <w:rPr>
          <w:rFonts w:ascii="Arial" w:cs="Arial" w:eastAsia="Arial" w:hAnsi="Arial"/>
          <w:sz w:val="20"/>
          <w:szCs w:val="20"/>
          <w:u w:val="single" w:color="auto"/>
          <w:color w:val="auto"/>
        </w:rPr>
        <w:t>Sections 2.17(f)</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(g)</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jc w:val="both"/>
        <w:ind w:left="380" w:firstLine="1503"/>
        <w:spacing w:after="0" w:line="260" w:lineRule="auto"/>
        <w:tabs>
          <w:tab w:leader="none" w:pos="2447" w:val="left"/>
        </w:tabs>
        <w:numPr>
          <w:ilvl w:val="1"/>
          <w:numId w:val="166"/>
        </w:numPr>
        <w:rPr>
          <w:rFonts w:ascii="Arial" w:cs="Arial" w:eastAsia="Arial" w:hAnsi="Arial"/>
          <w:sz w:val="19"/>
          <w:szCs w:val="19"/>
          <w:color w:val="auto"/>
        </w:rPr>
      </w:pPr>
      <w:r>
        <w:rPr>
          <w:rFonts w:ascii="Arial" w:cs="Arial" w:eastAsia="Arial" w:hAnsi="Arial"/>
          <w:sz w:val="19"/>
          <w:szCs w:val="19"/>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Borrowers and their Related Parties or their respective securities) will be made available and who may receive such information in accordance with the assignee’s compliance procedures and applicable laws, including Federal and state securities laws.</w:t>
      </w:r>
    </w:p>
    <w:p>
      <w:pPr>
        <w:spacing w:after="0" w:line="180" w:lineRule="exact"/>
        <w:rPr>
          <w:rFonts w:ascii="Arial" w:cs="Arial" w:eastAsia="Arial" w:hAnsi="Arial"/>
          <w:sz w:val="19"/>
          <w:szCs w:val="19"/>
          <w:color w:val="auto"/>
        </w:rPr>
      </w:pPr>
    </w:p>
    <w:p>
      <w:pPr>
        <w:jc w:val="both"/>
        <w:ind w:left="1140" w:hanging="755"/>
        <w:spacing w:after="0" w:line="255" w:lineRule="auto"/>
        <w:tabs>
          <w:tab w:leader="none" w:pos="114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pursuant to </w:t>
      </w:r>
      <w:r>
        <w:rPr>
          <w:rFonts w:ascii="Arial" w:cs="Arial" w:eastAsia="Arial" w:hAnsi="Arial"/>
          <w:sz w:val="19"/>
          <w:szCs w:val="19"/>
          <w:u w:val="single" w:color="auto"/>
          <w:color w:val="auto"/>
        </w:rPr>
        <w:t>paragraph (b)(iv)</w:t>
      </w:r>
      <w:r>
        <w:rPr>
          <w:rFonts w:ascii="Arial" w:cs="Arial" w:eastAsia="Arial" w:hAnsi="Arial"/>
          <w:sz w:val="19"/>
          <w:szCs w:val="19"/>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the Loan Documents (and, in the case of an Assignment and Assumption covering all of the assigning Lender’s rights and obligations under the Loan Documents, such Lender shall cease to be a party thereto but shall continue to be entitled to the benefits of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xml:space="preserve">). Any assignment or transfer by a Lender of rights or obligations under the Loan Documents that does not comply with this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w:t>
      </w:r>
    </w:p>
    <w:p>
      <w:pPr>
        <w:spacing w:after="0" w:line="187"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170" w:name="page171"/>
    <w:bookmarkEnd w:id="170"/>
    <w:p>
      <w:pPr>
        <w:jc w:val="both"/>
        <w:ind w:left="2260" w:hanging="755"/>
        <w:spacing w:after="0" w:line="256" w:lineRule="auto"/>
        <w:tabs>
          <w:tab w:leader="none" w:pos="22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Administrative Agent, acting solely for this purpose as a non-fiduciary agent of the Borrowers,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Arial" w:cs="Arial" w:eastAsia="Arial" w:hAnsi="Arial"/>
          <w:sz w:val="19"/>
          <w:szCs w:val="19"/>
          <w:b w:val="1"/>
          <w:bCs w:val="1"/>
          <w:i w:val="1"/>
          <w:iCs w:val="1"/>
          <w:color w:val="auto"/>
        </w:rPr>
        <w:t>Register</w:t>
      </w:r>
      <w:r>
        <w:rPr>
          <w:rFonts w:ascii="Arial" w:cs="Arial" w:eastAsia="Arial" w:hAnsi="Arial"/>
          <w:sz w:val="19"/>
          <w:szCs w:val="19"/>
          <w:color w:val="auto"/>
        </w:rPr>
        <w:t>”). The entries in the Register shall be conclusive absent manifest error, and the Borrowers and the Credit Parties shall treat each Person whose name is recorded in the Register pursuant to the terms hereof as a Lender hereunder for all purposes of this Agreement, notwithstanding notice to the contrary. The Register shall be available for inspection by the Company, the Issuing Bank and any Lender, at any reasonable time and from time to time upon reasonable prior notice.</w:t>
      </w:r>
    </w:p>
    <w:p>
      <w:pPr>
        <w:spacing w:after="0" w:line="184" w:lineRule="exact"/>
        <w:rPr>
          <w:rFonts w:ascii="Arial" w:cs="Arial" w:eastAsia="Arial" w:hAnsi="Arial"/>
          <w:sz w:val="19"/>
          <w:szCs w:val="19"/>
          <w:color w:val="auto"/>
        </w:rPr>
      </w:pPr>
    </w:p>
    <w:p>
      <w:pPr>
        <w:jc w:val="both"/>
        <w:ind w:left="2260" w:hanging="755"/>
        <w:spacing w:after="0" w:line="268" w:lineRule="auto"/>
        <w:tabs>
          <w:tab w:leader="none" w:pos="22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Upon its receipt of a duly completed Assignment and Assumption executed by an assigning Lender and an assignee (or, to the extent applicable, an agreement incorporating an Assignment and Assumption by reference pursuant to a Platform as to which the Administrative Agent and the parties to the Assignment and Assumption are participants), any documentation required by </w:t>
      </w:r>
      <w:r>
        <w:rPr>
          <w:rFonts w:ascii="Arial" w:cs="Arial" w:eastAsia="Arial" w:hAnsi="Arial"/>
          <w:sz w:val="18"/>
          <w:szCs w:val="18"/>
          <w:u w:val="single" w:color="auto"/>
          <w:color w:val="auto"/>
        </w:rPr>
        <w:t>Sections 2.17(f)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the assignee’s completed Administrative Questionnaire (unless the assignee shall already be a Lender hereunder), the processing and recordation fee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and any written consent to such assignment required by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the Administrative Agent shall accept such Assignment and Assumption and record the information contained therein in the Register;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either the assigning Lender or the assignee shall have failed to make any payment required to be made by it pursuant to </w:t>
      </w:r>
      <w:r>
        <w:rPr>
          <w:rFonts w:ascii="Arial" w:cs="Arial" w:eastAsia="Arial" w:hAnsi="Arial"/>
          <w:sz w:val="18"/>
          <w:szCs w:val="18"/>
          <w:u w:val="single" w:color="auto"/>
          <w:color w:val="auto"/>
        </w:rPr>
        <w:t>Section 2.05(d)</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2.06(d)</w:t>
      </w:r>
      <w:r>
        <w:rPr>
          <w:rFonts w:ascii="Arial" w:cs="Arial" w:eastAsia="Arial" w:hAnsi="Arial"/>
          <w:sz w:val="18"/>
          <w:szCs w:val="18"/>
          <w:color w:val="auto"/>
        </w:rPr>
        <w:t xml:space="preserve"> or</w:t>
      </w:r>
    </w:p>
    <w:p>
      <w:pPr>
        <w:spacing w:after="0" w:line="1" w:lineRule="exact"/>
        <w:rPr>
          <w:rFonts w:ascii="Arial" w:cs="Arial" w:eastAsia="Arial" w:hAnsi="Arial"/>
          <w:sz w:val="18"/>
          <w:szCs w:val="18"/>
          <w:color w:val="auto"/>
        </w:rPr>
      </w:pPr>
    </w:p>
    <w:p>
      <w:pPr>
        <w:jc w:val="both"/>
        <w:ind w:left="2260"/>
        <w:spacing w:after="0" w:line="276" w:lineRule="auto"/>
        <w:rPr>
          <w:rFonts w:ascii="Arial" w:cs="Arial" w:eastAsia="Arial" w:hAnsi="Arial"/>
          <w:sz w:val="18"/>
          <w:szCs w:val="18"/>
          <w:color w:val="auto"/>
        </w:rPr>
      </w:pP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2.07(b)</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9.03(c)</w:t>
      </w:r>
      <w:r>
        <w:rPr>
          <w:rFonts w:ascii="Arial" w:cs="Arial" w:eastAsia="Arial" w:hAnsi="Arial"/>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66" w:lineRule="exact"/>
        <w:rPr>
          <w:sz w:val="20"/>
          <w:szCs w:val="20"/>
          <w:color w:val="auto"/>
        </w:rPr>
      </w:pPr>
    </w:p>
    <w:p>
      <w:pPr>
        <w:jc w:val="both"/>
        <w:ind w:firstLine="1505"/>
        <w:spacing w:after="0" w:line="269" w:lineRule="auto"/>
        <w:tabs>
          <w:tab w:leader="none" w:pos="20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Lender may, without the consent of any Borrower, the Administrative Agent, the Issuing Bank or the Swingline Lenders, sell participations to one or more banks or other entities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other than an Ineligible Assignee, in all or a portion of such Lender’s rights and obligations under the Loan Documents (including all or a portion of its Commitment and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the Loan Documents shall remain unchanged, (B) such Lender shall remain solely responsible to the other parties hereto for the performance of such obligations and (C) the Borrowers, the Administrative Agent, the Issuing Bank and the other Lenders shall continue to deal solely and directly with such Lender in connection with such Lender’s rights and obligations under the Loan Documents.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8"/>
          <w:szCs w:val="18"/>
          <w:u w:val="single" w:color="auto"/>
          <w:color w:val="auto"/>
        </w:rPr>
        <w:t>Section 10.02(b)</w:t>
      </w:r>
      <w:r>
        <w:rPr>
          <w:rFonts w:ascii="Arial" w:cs="Arial" w:eastAsia="Arial" w:hAnsi="Arial"/>
          <w:sz w:val="18"/>
          <w:szCs w:val="18"/>
          <w:color w:val="auto"/>
        </w:rPr>
        <w:t xml:space="preserve"> that affects such Participant. Each Borrower agrees that each Participant shall be entitled to the benefits of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Sections 2.17(f)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2.17(f)</w:t>
      </w:r>
      <w:r>
        <w:rPr>
          <w:rFonts w:ascii="Arial" w:cs="Arial" w:eastAsia="Arial" w:hAnsi="Arial"/>
          <w:sz w:val="18"/>
          <w:szCs w:val="18"/>
          <w:color w:val="auto"/>
        </w:rPr>
        <w:t xml:space="preserve"> and (g) shall be delivered to the Participant) to the same extent as if it were a Lender and had acquired its interest by assignment pursuant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as if it were an assignee under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1" w:name="page172"/>
    <w:bookmarkEnd w:id="171"/>
    <w:p>
      <w:pPr>
        <w:jc w:val="both"/>
        <w:ind w:firstLine="8"/>
        <w:spacing w:after="0" w:line="269" w:lineRule="auto"/>
        <w:tabs>
          <w:tab w:leader="none" w:pos="32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shall not be entitled to receive any greater payment under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Arial" w:cs="Arial" w:eastAsia="Arial" w:hAnsi="Arial"/>
          <w:sz w:val="18"/>
          <w:szCs w:val="18"/>
          <w:u w:val="single" w:color="auto"/>
          <w:color w:val="auto"/>
        </w:rPr>
        <w:t>Section 2.19(b)</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as though it were a Lender, provided such Participant agrees to be subject to </w:t>
      </w:r>
      <w:r>
        <w:rPr>
          <w:rFonts w:ascii="Arial" w:cs="Arial" w:eastAsia="Arial" w:hAnsi="Arial"/>
          <w:sz w:val="18"/>
          <w:szCs w:val="18"/>
          <w:u w:val="single" w:color="auto"/>
          <w:color w:val="auto"/>
        </w:rPr>
        <w:t>Section 2.18(c)</w:t>
      </w:r>
      <w:r>
        <w:rPr>
          <w:rFonts w:ascii="Arial" w:cs="Arial" w:eastAsia="Arial" w:hAnsi="Arial"/>
          <w:sz w:val="18"/>
          <w:szCs w:val="18"/>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b w:val="1"/>
          <w:bCs w:val="1"/>
          <w:i w:val="1"/>
          <w:iCs w:val="1"/>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Proposed Treasury Regulations Section 1.163-5(b)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3" w:lineRule="exact"/>
        <w:rPr>
          <w:rFonts w:ascii="Arial" w:cs="Arial" w:eastAsia="Arial" w:hAnsi="Arial"/>
          <w:sz w:val="18"/>
          <w:szCs w:val="18"/>
          <w:color w:val="auto"/>
        </w:rPr>
      </w:pPr>
    </w:p>
    <w:p>
      <w:pPr>
        <w:jc w:val="both"/>
        <w:ind w:firstLine="1505"/>
        <w:spacing w:after="0" w:line="244" w:lineRule="auto"/>
        <w:tabs>
          <w:tab w:leader="none" w:pos="2036" w:val="left"/>
        </w:tabs>
        <w:numPr>
          <w:ilvl w:val="1"/>
          <w:numId w:val="169"/>
        </w:numPr>
        <w:rPr>
          <w:rFonts w:ascii="Arial" w:cs="Arial" w:eastAsia="Arial" w:hAnsi="Arial"/>
          <w:sz w:val="20"/>
          <w:szCs w:val="20"/>
          <w:color w:val="auto"/>
        </w:rPr>
      </w:pPr>
      <w:r>
        <w:rPr>
          <w:rFonts w:ascii="Arial" w:cs="Arial" w:eastAsia="Arial" w:hAnsi="Arial"/>
          <w:sz w:val="20"/>
          <w:szCs w:val="20"/>
          <w:color w:val="auto"/>
        </w:rPr>
        <w:t xml:space="preserve">Any Lender may at any time pledge or assign a security interest in all or any portion of its rights under the Loan Documents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94"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u w:val="single" w:color="auto"/>
          <w:color w:val="auto"/>
        </w:rPr>
        <w:t>SECTION 10.05Survival</w:t>
      </w:r>
      <w:r>
        <w:rPr>
          <w:rFonts w:ascii="Arial" w:cs="Arial" w:eastAsia="Arial" w:hAnsi="Arial"/>
          <w:sz w:val="19"/>
          <w:szCs w:val="19"/>
          <w:color w:val="auto"/>
        </w:rPr>
        <w:t xml:space="preserve">. All covenants, agreements, representations and warranties made by the Borrowers herein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any Credit Party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shall survive and remain in full force and effect regardless of the consummation of the transactions contemplated hereby, the repayment of the Loans, the expiration, termination, cash collateralization or other securing of the Letters of Credit, the expiration or termination of the Commitments or the termination of this Agreement or any provision hereof.</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10.06Counterparts; Integration; Effectiveness; Electronic Execution</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46" w:lineRule="auto"/>
        <w:tabs>
          <w:tab w:leader="none" w:pos="2036"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Issuing Bank constitute the entire contract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2" w:name="page173"/>
    <w:bookmarkEnd w:id="172"/>
    <w:p>
      <w:pPr>
        <w:jc w:val="both"/>
        <w:spacing w:after="0" w:line="244" w:lineRule="auto"/>
        <w:rPr>
          <w:sz w:val="20"/>
          <w:szCs w:val="20"/>
          <w:color w:val="auto"/>
        </w:rPr>
      </w:pPr>
      <w:r>
        <w:rPr>
          <w:rFonts w:ascii="Arial" w:cs="Arial" w:eastAsia="Arial" w:hAnsi="Arial"/>
          <w:sz w:val="20"/>
          <w:szCs w:val="20"/>
          <w:color w:val="auto"/>
        </w:rPr>
        <w:t xml:space="preserve">among the parties relating to the subject matter hereof and supersede any and all previous agreements and understandings, oral or written, relating to the subject matter hereof. Except as provided in </w:t>
      </w:r>
      <w:r>
        <w:rPr>
          <w:rFonts w:ascii="Arial" w:cs="Arial" w:eastAsia="Arial" w:hAnsi="Arial"/>
          <w:sz w:val="20"/>
          <w:szCs w:val="20"/>
          <w:u w:val="single" w:color="auto"/>
          <w:color w:val="auto"/>
        </w:rPr>
        <w:t>Section 4.01</w:t>
      </w:r>
      <w:r>
        <w:rPr>
          <w:rFonts w:ascii="Arial" w:cs="Arial" w:eastAsia="Arial" w:hAnsi="Arial"/>
          <w:sz w:val="20"/>
          <w:szCs w:val="20"/>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94" w:lineRule="exact"/>
        <w:rPr>
          <w:sz w:val="20"/>
          <w:szCs w:val="20"/>
          <w:color w:val="auto"/>
        </w:rPr>
      </w:pPr>
    </w:p>
    <w:p>
      <w:pPr>
        <w:ind w:left="2040" w:hanging="535"/>
        <w:spacing w:after="0"/>
        <w:tabs>
          <w:tab w:leader="none" w:pos="20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Delivery of an executed counterpart of a signature page of (x) this Agreement, (y) any other Loan Document and/or</w:t>
      </w:r>
    </w:p>
    <w:p>
      <w:pPr>
        <w:spacing w:after="0" w:line="38" w:lineRule="exact"/>
        <w:rPr>
          <w:rFonts w:ascii="Arial" w:cs="Arial" w:eastAsia="Arial" w:hAnsi="Arial"/>
          <w:sz w:val="18"/>
          <w:szCs w:val="18"/>
          <w:color w:val="auto"/>
        </w:rPr>
      </w:pPr>
    </w:p>
    <w:p>
      <w:pPr>
        <w:jc w:val="both"/>
        <w:ind w:firstLine="8"/>
        <w:spacing w:after="0" w:line="267" w:lineRule="auto"/>
        <w:tabs>
          <w:tab w:leader="none" w:pos="27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any document, amendment, approval, consent, information, notice (including, for the avoidance of doubt, any notice delivered pursuant to </w:t>
      </w:r>
      <w:r>
        <w:rPr>
          <w:rFonts w:ascii="Arial" w:cs="Arial" w:eastAsia="Arial" w:hAnsi="Arial"/>
          <w:sz w:val="18"/>
          <w:szCs w:val="18"/>
          <w:u w:val="single" w:color="auto"/>
          <w:color w:val="auto"/>
        </w:rPr>
        <w:t>Section 10.01</w:t>
      </w:r>
      <w:r>
        <w:rPr>
          <w:rFonts w:ascii="Arial" w:cs="Arial" w:eastAsia="Arial" w:hAnsi="Arial"/>
          <w:sz w:val="18"/>
          <w:szCs w:val="18"/>
          <w:color w:val="auto"/>
        </w:rPr>
        <w:t>), certificate, request, statement, disclosure or authorization related to this Agreement, any other Loan Document and/or the transactions contemplated hereby and/or thereby (each an “</w:t>
      </w:r>
      <w:r>
        <w:rPr>
          <w:rFonts w:ascii="Arial" w:cs="Arial" w:eastAsia="Arial" w:hAnsi="Arial"/>
          <w:sz w:val="18"/>
          <w:szCs w:val="18"/>
          <w:b w:val="1"/>
          <w:bCs w:val="1"/>
          <w:i w:val="1"/>
          <w:iCs w:val="1"/>
          <w:color w:val="auto"/>
        </w:rPr>
        <w:t>Ancillary Document</w:t>
      </w:r>
      <w:r>
        <w:rPr>
          <w:rFonts w:ascii="Arial" w:cs="Arial" w:eastAsia="Arial" w:hAnsi="Arial"/>
          <w:sz w:val="18"/>
          <w:szCs w:val="18"/>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similar state laws based on the Uniform Electronic Transactions Act; provided that, without limiting the foregoing, (i) the Administrative Agent and each of the Lenders shall be entitled to rely on such Electronic Signature purportedly given by or on behalf of the Borrowers without further verification thereof and without any obligation to review the appearance or form of any such Electronic Signature and (ii) upon the reasonable request of the Administrative Agent or any Lender, any Electronic Signature shall be promptly followed by a manually executed counterpart. Without limiting the generality of the foregoing, each Borrower hereby (i) agrees that, for all purposes, including without limitation, in connection with any workout, restructuring, enforcement of remedies, bankruptcy proceedings or litigation among the Administrative Agent, the Lenders, and the Borrowers,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the Administrative Agent, any Arranger, any Co-Sustainability Structuring Agent, any Issuing Bank and any Lender, and any Related Parties of any of the foregoing Persons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Borrowers to use any available security measures in connection with the execution, delivery or transmission of any Electronic Signature.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3" w:name="page174"/>
    <w:bookmarkEnd w:id="173"/>
    <w:p>
      <w:pPr>
        <w:jc w:val="both"/>
        <w:ind w:firstLine="749"/>
        <w:spacing w:after="0" w:line="246" w:lineRule="auto"/>
        <w:rPr>
          <w:sz w:val="20"/>
          <w:szCs w:val="20"/>
          <w:color w:val="auto"/>
        </w:rPr>
      </w:pPr>
      <w:r>
        <w:rPr>
          <w:rFonts w:ascii="Arial" w:cs="Arial" w:eastAsia="Arial" w:hAnsi="Arial"/>
          <w:sz w:val="20"/>
          <w:szCs w:val="20"/>
          <w:u w:val="single" w:color="auto"/>
          <w:color w:val="auto"/>
        </w:rPr>
        <w:t>SECTION 10.07Severability</w:t>
      </w:r>
      <w:r>
        <w:rPr>
          <w:rFonts w:ascii="Arial" w:cs="Arial" w:eastAsia="Arial" w:hAnsi="Arial"/>
          <w:sz w:val="20"/>
          <w:szCs w:val="20"/>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9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u w:val="single" w:color="auto"/>
          <w:color w:val="auto"/>
        </w:rPr>
        <w:t>SECTION 10.08Right of Setoff</w:t>
      </w:r>
      <w:r>
        <w:rPr>
          <w:rFonts w:ascii="Arial" w:cs="Arial" w:eastAsia="Arial" w:hAnsi="Arial"/>
          <w:sz w:val="19"/>
          <w:szCs w:val="19"/>
          <w:color w:val="auto"/>
        </w:rPr>
        <w:t>.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any Borrower against any of and all the Obligations of such Borrower now or hereafter existing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10.09Governing Law; Jurisdiction; Consent to Service of Process</w:t>
      </w:r>
      <w:r>
        <w:rPr>
          <w:rFonts w:ascii="Arial" w:cs="Arial" w:eastAsia="Arial" w:hAnsi="Arial"/>
          <w:sz w:val="20"/>
          <w:szCs w:val="20"/>
          <w:color w:val="auto"/>
        </w:rPr>
        <w:t>.</w:t>
      </w:r>
    </w:p>
    <w:p>
      <w:pPr>
        <w:spacing w:after="0" w:line="216" w:lineRule="exact"/>
        <w:rPr>
          <w:sz w:val="20"/>
          <w:szCs w:val="20"/>
          <w:color w:val="auto"/>
        </w:rPr>
      </w:pPr>
    </w:p>
    <w:p>
      <w:pPr>
        <w:ind w:left="2040" w:hanging="535"/>
        <w:spacing w:after="0"/>
        <w:tabs>
          <w:tab w:leader="none" w:pos="204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This Agreement shall be construed in accordance with and governed by the law of the State of New York.</w:t>
      </w:r>
    </w:p>
    <w:p>
      <w:pPr>
        <w:spacing w:after="0" w:line="227" w:lineRule="exact"/>
        <w:rPr>
          <w:rFonts w:ascii="Arial" w:cs="Arial" w:eastAsia="Arial" w:hAnsi="Arial"/>
          <w:sz w:val="19"/>
          <w:szCs w:val="19"/>
          <w:color w:val="auto"/>
        </w:rPr>
      </w:pPr>
    </w:p>
    <w:p>
      <w:pPr>
        <w:jc w:val="both"/>
        <w:ind w:firstLine="1505"/>
        <w:spacing w:after="0" w:line="256" w:lineRule="auto"/>
        <w:tabs>
          <w:tab w:leader="none" w:pos="2036" w:val="left"/>
        </w:tabs>
        <w:numPr>
          <w:ilvl w:val="0"/>
          <w:numId w:val="173"/>
        </w:numPr>
        <w:rPr>
          <w:rFonts w:ascii="Arial" w:cs="Arial" w:eastAsia="Arial" w:hAnsi="Arial"/>
          <w:sz w:val="19"/>
          <w:szCs w:val="19"/>
          <w:color w:val="auto"/>
        </w:rPr>
      </w:pPr>
      <w:r>
        <w:rPr>
          <w:rFonts w:ascii="Arial" w:cs="Arial" w:eastAsia="Arial" w:hAnsi="Arial"/>
          <w:sz w:val="19"/>
          <w:szCs w:val="19"/>
          <w:color w:val="auto"/>
        </w:rPr>
        <w:t>Each Borrower hereby irrevocably and unconditionally submits, for itself and its property, to the nonexclusive jurisdiction of the Supreme Court of the State of New York sitting in the Borough of Manhattan, and of the United States District Court for the Southern District of New York sitting in the Borough of Manhattan,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Credit Party may otherwise have to bring any action or proceeding relating to this Agreement against any Borrower or its properties in the courts of any jurisdiction.</w:t>
      </w:r>
    </w:p>
    <w:p>
      <w:pPr>
        <w:spacing w:after="0" w:line="184" w:lineRule="exact"/>
        <w:rPr>
          <w:rFonts w:ascii="Arial" w:cs="Arial" w:eastAsia="Arial" w:hAnsi="Arial"/>
          <w:sz w:val="19"/>
          <w:szCs w:val="19"/>
          <w:color w:val="auto"/>
        </w:rPr>
      </w:pPr>
    </w:p>
    <w:p>
      <w:pPr>
        <w:jc w:val="both"/>
        <w:ind w:firstLine="1505"/>
        <w:spacing w:after="0" w:line="282" w:lineRule="auto"/>
        <w:tabs>
          <w:tab w:leader="none" w:pos="203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Each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61" w:lineRule="exact"/>
        <w:rPr>
          <w:rFonts w:ascii="Arial" w:cs="Arial" w:eastAsia="Arial" w:hAnsi="Arial"/>
          <w:sz w:val="18"/>
          <w:szCs w:val="18"/>
          <w:color w:val="auto"/>
        </w:rPr>
      </w:pPr>
    </w:p>
    <w:p>
      <w:pPr>
        <w:jc w:val="both"/>
        <w:ind w:firstLine="1505"/>
        <w:spacing w:after="0" w:line="250" w:lineRule="auto"/>
        <w:tabs>
          <w:tab w:leader="none" w:pos="2036"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Each party to this Agreement irrevocably consents to service of process in the manner provided for notices in </w:t>
      </w:r>
      <w:r>
        <w:rPr>
          <w:rFonts w:ascii="Arial" w:cs="Arial" w:eastAsia="Arial" w:hAnsi="Arial"/>
          <w:sz w:val="20"/>
          <w:szCs w:val="20"/>
          <w:u w:val="single" w:color="auto"/>
          <w:color w:val="auto"/>
        </w:rPr>
        <w:t>Section 10.01</w:t>
      </w:r>
      <w:r>
        <w:rPr>
          <w:rFonts w:ascii="Arial" w:cs="Arial" w:eastAsia="Arial" w:hAnsi="Arial"/>
          <w:sz w:val="20"/>
          <w:szCs w:val="20"/>
          <w:color w:val="auto"/>
        </w:rPr>
        <w:t>. Nothing in this Agreement will affect the right of any party to this Agreement to serve process in any other manner permitted by applicable law.</w:t>
      </w:r>
    </w:p>
    <w:p>
      <w:pPr>
        <w:spacing w:after="0" w:line="185" w:lineRule="exact"/>
        <w:rPr>
          <w:rFonts w:ascii="Arial" w:cs="Arial" w:eastAsia="Arial" w:hAnsi="Arial"/>
          <w:sz w:val="20"/>
          <w:szCs w:val="20"/>
          <w:color w:val="auto"/>
        </w:rPr>
      </w:pPr>
    </w:p>
    <w:p>
      <w:pPr>
        <w:jc w:val="both"/>
        <w:ind w:firstLine="1505"/>
        <w:spacing w:after="0" w:line="246" w:lineRule="auto"/>
        <w:tabs>
          <w:tab w:leader="none" w:pos="2036"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Without limiting the foregoing, each Designated Borrower hereby irrevocably designates the Company, at its address set forth in </w:t>
      </w:r>
      <w:r>
        <w:rPr>
          <w:rFonts w:ascii="Arial" w:cs="Arial" w:eastAsia="Arial" w:hAnsi="Arial"/>
          <w:sz w:val="20"/>
          <w:szCs w:val="20"/>
          <w:u w:val="single" w:color="auto"/>
          <w:color w:val="auto"/>
        </w:rPr>
        <w:t>Section 10.01</w:t>
      </w:r>
      <w:r>
        <w:rPr>
          <w:rFonts w:ascii="Arial" w:cs="Arial" w:eastAsia="Arial" w:hAnsi="Arial"/>
          <w:sz w:val="20"/>
          <w:szCs w:val="20"/>
          <w:color w:val="auto"/>
        </w:rPr>
        <w:t>, as the designee, appointee and agent of such Designated Borrower to receive, for and on behalf of such Designated Borrower, service of process in such respective jurisdictions in any legal action or proceeding with respect to this Agreement or any other Loan Document.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4" w:name="page175"/>
    <w:bookmarkEnd w:id="174"/>
    <w:p>
      <w:pPr>
        <w:jc w:val="both"/>
        <w:ind w:firstLine="749"/>
        <w:spacing w:after="0" w:line="242" w:lineRule="auto"/>
        <w:rPr>
          <w:sz w:val="20"/>
          <w:szCs w:val="20"/>
          <w:color w:val="auto"/>
        </w:rPr>
      </w:pPr>
      <w:r>
        <w:rPr>
          <w:rFonts w:ascii="Arial" w:cs="Arial" w:eastAsia="Arial" w:hAnsi="Arial"/>
          <w:sz w:val="20"/>
          <w:szCs w:val="20"/>
          <w:u w:val="single" w:color="auto"/>
          <w:color w:val="auto"/>
        </w:rPr>
        <w:t>SECTION 10.10WAIVER OF JURY TRIAL</w:t>
      </w:r>
      <w:r>
        <w:rPr>
          <w:rFonts w:ascii="Arial" w:cs="Arial" w:eastAsia="Arial" w:hAnsi="Arial"/>
          <w:sz w:val="20"/>
          <w:szCs w:val="20"/>
          <w:color w:val="auto"/>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4"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u w:val="single" w:color="auto"/>
          <w:color w:val="auto"/>
        </w:rPr>
        <w:t>SECTION 10.11Headings</w:t>
      </w:r>
      <w:r>
        <w:rPr>
          <w:rFonts w:ascii="Arial" w:cs="Arial" w:eastAsia="Arial" w:hAnsi="Arial"/>
          <w:sz w:val="18"/>
          <w:szCs w:val="18"/>
          <w:color w:val="auto"/>
        </w:rPr>
        <w:t xml:space="preserve"> .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10.12Confidentiality</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68" w:lineRule="auto"/>
        <w:tabs>
          <w:tab w:leader="none" w:pos="203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Each Credit Party agrees to maintain the confidentiality of the Information (as defined below), except that Information may be disclosed (i)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(ii) to the extent requested by any Governmental Authority (including any self-regulatory authority, such as the National Association of Insurance Commissioners), (iii) to the extent required by applicable laws or regulations or by any subpoena or similar legal process, (iv) to any other party to this Agreement, (v) in connection with the exercise of any remedies hereunder or any suit, action or proceeding relating to this Agreement or the enforcement of rights hereunder, (vi) subject to an agreement containing provisions substantially the same as those of this Section, to (A) any assignee of or Participant in, or any prospective assignee of or Participant in, any of its rights or obligations under this Agreement or (B) any actual or prospective counterparty (or its advisors) to any swap or derivative transaction relating to any Borrower and its obligations, (vii) with the consent of the Company or (viii) to the extent such Information (A) becomes publicly available other than as a result of a breach of this Section or (B) becomes available to any Credit Party on a non-confidential basis from a source other than any Borrower. For the purposes of this Section,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xml:space="preserve">” means all information received from any Borrower relating to such Borrower or its business, other than any such information that is available to any Credit Party on a non-confidential basis prior to disclosure by such Borrower and other than information pertaining to this Agreement routinely provided by arrangers to data service providers, including league table providers, that serve the lending industry;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such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8" w:lineRule="exact"/>
        <w:rPr>
          <w:rFonts w:ascii="Arial" w:cs="Arial" w:eastAsia="Arial" w:hAnsi="Arial"/>
          <w:sz w:val="18"/>
          <w:szCs w:val="18"/>
          <w:color w:val="auto"/>
        </w:rPr>
      </w:pPr>
    </w:p>
    <w:p>
      <w:pPr>
        <w:ind w:left="2040" w:hanging="535"/>
        <w:spacing w:after="0"/>
        <w:tabs>
          <w:tab w:leader="none" w:pos="2040" w:val="left"/>
        </w:tabs>
        <w:numPr>
          <w:ilvl w:val="0"/>
          <w:numId w:val="174"/>
        </w:numPr>
        <w:rPr>
          <w:rFonts w:ascii="Arial" w:cs="Arial" w:eastAsia="Arial" w:hAnsi="Arial"/>
          <w:sz w:val="20"/>
          <w:szCs w:val="20"/>
          <w:color w:val="auto"/>
        </w:rPr>
      </w:pPr>
      <w:r>
        <w:rPr>
          <w:rFonts w:ascii="Arial" w:cs="Arial" w:eastAsia="Arial" w:hAnsi="Arial"/>
          <w:sz w:val="20"/>
          <w:szCs w:val="20"/>
          <w:b w:val="1"/>
          <w:bCs w:val="1"/>
          <w:color w:val="auto"/>
        </w:rPr>
        <w:t xml:space="preserve">EACH  LENDER ACKNOWLEDGES  THAT  INFORMATION AS  DEFINED  IN  </w:t>
      </w:r>
      <w:r>
        <w:rPr>
          <w:rFonts w:ascii="Arial" w:cs="Arial" w:eastAsia="Arial" w:hAnsi="Arial"/>
          <w:sz w:val="20"/>
          <w:szCs w:val="20"/>
          <w:b w:val="1"/>
          <w:bCs w:val="1"/>
          <w:u w:val="single" w:color="auto"/>
          <w:color w:val="auto"/>
        </w:rPr>
        <w:t>SECTION  10.12(a)</w:t>
      </w:r>
    </w:p>
    <w:p>
      <w:pPr>
        <w:spacing w:after="0" w:line="21" w:lineRule="exact"/>
        <w:rPr>
          <w:rFonts w:ascii="Arial" w:cs="Arial" w:eastAsia="Arial" w:hAnsi="Arial"/>
          <w:sz w:val="20"/>
          <w:szCs w:val="20"/>
          <w:color w:val="auto"/>
        </w:rPr>
      </w:pPr>
    </w:p>
    <w:p>
      <w:pPr>
        <w:jc w:val="both"/>
        <w:spacing w:after="0" w:line="241" w:lineRule="auto"/>
        <w:rPr>
          <w:rFonts w:ascii="Arial" w:cs="Arial" w:eastAsia="Arial" w:hAnsi="Arial"/>
          <w:sz w:val="20"/>
          <w:szCs w:val="20"/>
          <w:color w:val="auto"/>
        </w:rPr>
      </w:pPr>
      <w:r>
        <w:rPr>
          <w:rFonts w:ascii="Arial" w:cs="Arial" w:eastAsia="Arial" w:hAnsi="Arial"/>
          <w:sz w:val="20"/>
          <w:szCs w:val="20"/>
          <w:b w:val="1"/>
          <w:bCs w:val="1"/>
          <w:color w:val="auto"/>
        </w:rPr>
        <w:t>FURNISHED TO IT PURSUANT TO THIS AGREEMENT MAY INCLUDE MATERIAL NON-PUBLIC INFORMATION CONCERNING THE BORROWERS AND THEIR RELATED PARTIES OR THEIR RESPECTIVE SECURITIES, AND CONFIRMS THAT IT HAS DEVELOPED COMPLIANCE PROCEDURES REGARDING THE USE OF MATERIAL NON-PUBLIC INFORMATION AND THAT IT WILL HANDLE SUCH MATERIAL NON-PUBLIC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5" w:name="page176"/>
    <w:bookmarkEnd w:id="175"/>
    <w:p>
      <w:pPr>
        <w:spacing w:after="0" w:line="267" w:lineRule="auto"/>
        <w:rPr>
          <w:sz w:val="20"/>
          <w:szCs w:val="20"/>
          <w:color w:val="auto"/>
        </w:rPr>
      </w:pPr>
      <w:r>
        <w:rPr>
          <w:rFonts w:ascii="Arial" w:cs="Arial" w:eastAsia="Arial" w:hAnsi="Arial"/>
          <w:sz w:val="20"/>
          <w:szCs w:val="20"/>
          <w:b w:val="1"/>
          <w:bCs w:val="1"/>
          <w:color w:val="auto"/>
        </w:rPr>
        <w:t>INFORMATION IN ACCORDANCE WITH THOSE PROCEDURES AND APPLICABLE LAW, INCLUDING FEDERAL AND STATE SECURITIES LAWS.</w:t>
      </w:r>
    </w:p>
    <w:p>
      <w:pPr>
        <w:spacing w:after="0" w:line="163" w:lineRule="exact"/>
        <w:rPr>
          <w:sz w:val="20"/>
          <w:szCs w:val="20"/>
          <w:color w:val="auto"/>
        </w:rPr>
      </w:pPr>
    </w:p>
    <w:p>
      <w:pPr>
        <w:jc w:val="both"/>
        <w:ind w:firstLine="1505"/>
        <w:spacing w:after="0" w:line="243" w:lineRule="auto"/>
        <w:tabs>
          <w:tab w:leader="none" w:pos="2036" w:val="left"/>
        </w:tabs>
        <w:numPr>
          <w:ilvl w:val="0"/>
          <w:numId w:val="175"/>
        </w:numPr>
        <w:rPr>
          <w:rFonts w:ascii="Arial" w:cs="Arial" w:eastAsia="Arial" w:hAnsi="Arial"/>
          <w:sz w:val="20"/>
          <w:szCs w:val="20"/>
          <w:color w:val="auto"/>
        </w:rPr>
      </w:pPr>
      <w:r>
        <w:rPr>
          <w:rFonts w:ascii="Arial" w:cs="Arial" w:eastAsia="Arial" w:hAnsi="Arial"/>
          <w:sz w:val="20"/>
          <w:szCs w:val="20"/>
          <w:b w:val="1"/>
          <w:bCs w:val="1"/>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BORROWERS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9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u w:val="single" w:color="auto"/>
          <w:color w:val="auto"/>
        </w:rPr>
        <w:t>SECTION 10.13Interest Rate Limitation</w:t>
      </w:r>
      <w:r>
        <w:rPr>
          <w:rFonts w:ascii="Arial" w:cs="Arial" w:eastAsia="Arial" w:hAnsi="Arial"/>
          <w:sz w:val="19"/>
          <w:szCs w:val="19"/>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9"/>
          <w:szCs w:val="19"/>
          <w:b w:val="1"/>
          <w:bCs w:val="1"/>
          <w:i w:val="1"/>
          <w:iCs w:val="1"/>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b w:val="1"/>
          <w:bCs w:val="1"/>
          <w:i w:val="1"/>
          <w:iCs w:val="1"/>
          <w:color w:val="auto"/>
        </w:rPr>
        <w:t>Maximum Rate</w:t>
      </w:r>
      <w:r>
        <w:rPr>
          <w:rFonts w:ascii="Arial" w:cs="Arial" w:eastAsia="Arial" w:hAnsi="Arial"/>
          <w:sz w:val="19"/>
          <w:szCs w:val="19"/>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spacing w:after="0" w:line="18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u w:val="single" w:color="auto"/>
          <w:color w:val="auto"/>
        </w:rPr>
        <w:t>SECTION 10.14USA PATRIOT Act</w:t>
      </w:r>
      <w:r>
        <w:rPr>
          <w:rFonts w:ascii="Arial" w:cs="Arial" w:eastAsia="Arial" w:hAnsi="Arial"/>
          <w:sz w:val="19"/>
          <w:szCs w:val="19"/>
          <w:color w:val="auto"/>
        </w:rPr>
        <w:t>. Each Lender that is subject to the requirements of the USA Patriot Act (Title III of Pub. L. 107-56 (signed into law October 26, 2001))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and the requirements of the Beneficial Ownership Regulation hereby notifies the Borrowers that pursuant to the requirements of the Act and the Beneficial Ownership Regulation, it is required to obtain, verify and record information that identifies the Borrowers, which information includes the names, addresses and tax identification numbers of the Borrowers and other information that will allow such Lender to identify the Borrowers in accordance with the Act and the Beneficial Ownership Regulation and other applicable “know your customer” and anti-money laundering rules and regulations.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10.15No Advisory or Fiduciary Responsibility</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55" w:lineRule="auto"/>
        <w:tabs>
          <w:tab w:leader="none" w:pos="2036" w:val="left"/>
        </w:tabs>
        <w:numPr>
          <w:ilvl w:val="0"/>
          <w:numId w:val="176"/>
        </w:numPr>
        <w:rPr>
          <w:rFonts w:ascii="Arial" w:cs="Arial" w:eastAsia="Arial" w:hAnsi="Arial"/>
          <w:sz w:val="19"/>
          <w:szCs w:val="19"/>
          <w:color w:val="auto"/>
        </w:rPr>
      </w:pPr>
      <w:r>
        <w:rPr>
          <w:rFonts w:ascii="Arial" w:cs="Arial" w:eastAsia="Arial" w:hAnsi="Arial"/>
          <w:sz w:val="19"/>
          <w:szCs w:val="19"/>
          <w:color w:val="auto"/>
        </w:rPr>
        <w:t>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such Borrower with respect to the Loan Documents and the transactions contemplated herein and therein and not as a financial advisor or a fiduciary to, or an agent of, such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such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6" w:name="page177"/>
    <w:bookmarkEnd w:id="176"/>
    <w:p>
      <w:pPr>
        <w:jc w:val="both"/>
        <w:ind w:firstLine="1505"/>
        <w:spacing w:after="0" w:line="257" w:lineRule="auto"/>
        <w:tabs>
          <w:tab w:leader="none" w:pos="2036" w:val="left"/>
        </w:tabs>
        <w:numPr>
          <w:ilvl w:val="0"/>
          <w:numId w:val="177"/>
        </w:numPr>
        <w:rPr>
          <w:rFonts w:ascii="Arial" w:cs="Arial" w:eastAsia="Arial" w:hAnsi="Arial"/>
          <w:sz w:val="19"/>
          <w:szCs w:val="19"/>
          <w:color w:val="auto"/>
        </w:rPr>
      </w:pPr>
      <w:r>
        <w:rPr>
          <w:rFonts w:ascii="Arial" w:cs="Arial" w:eastAsia="Arial" w:hAnsi="Arial"/>
          <w:sz w:val="19"/>
          <w:szCs w:val="19"/>
          <w:color w:val="auto"/>
        </w:rPr>
        <w:t>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such Borrower, its Subsidiaries and other companies with which such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80" w:lineRule="exact"/>
        <w:rPr>
          <w:rFonts w:ascii="Arial" w:cs="Arial" w:eastAsia="Arial" w:hAnsi="Arial"/>
          <w:sz w:val="19"/>
          <w:szCs w:val="19"/>
          <w:color w:val="auto"/>
        </w:rPr>
      </w:pPr>
    </w:p>
    <w:p>
      <w:pPr>
        <w:jc w:val="both"/>
        <w:ind w:firstLine="1505"/>
        <w:spacing w:after="0" w:line="273" w:lineRule="auto"/>
        <w:tabs>
          <w:tab w:leader="none" w:pos="203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such Borrower or any of its Subsidiaries may have conflicting interests regarding the transactions described herein and otherwise. No Credit Party will use confidential information obtained from any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such Borrower or any of its Subsidiaries, confidential information obtained from other companies.</w:t>
      </w:r>
    </w:p>
    <w:p>
      <w:pPr>
        <w:spacing w:after="0" w:line="168" w:lineRule="exact"/>
        <w:rPr>
          <w:sz w:val="20"/>
          <w:szCs w:val="20"/>
          <w:color w:val="auto"/>
        </w:rPr>
      </w:pPr>
    </w:p>
    <w:p>
      <w:pPr>
        <w:jc w:val="both"/>
        <w:ind w:firstLine="1123"/>
        <w:spacing w:after="0" w:line="282" w:lineRule="auto"/>
        <w:rPr>
          <w:sz w:val="20"/>
          <w:szCs w:val="20"/>
          <w:color w:val="auto"/>
        </w:rPr>
      </w:pPr>
      <w:r>
        <w:rPr>
          <w:rFonts w:ascii="Arial" w:cs="Arial" w:eastAsia="Arial" w:hAnsi="Arial"/>
          <w:sz w:val="18"/>
          <w:szCs w:val="18"/>
          <w:u w:val="single" w:color="auto"/>
          <w:color w:val="auto"/>
        </w:rPr>
        <w:t>SECTION 10.16Acknowledgement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61" w:lineRule="exact"/>
        <w:rPr>
          <w:sz w:val="20"/>
          <w:szCs w:val="20"/>
          <w:color w:val="auto"/>
        </w:rPr>
      </w:pPr>
    </w:p>
    <w:p>
      <w:pPr>
        <w:ind w:firstLine="1505"/>
        <w:spacing w:after="0" w:line="260" w:lineRule="auto"/>
        <w:tabs>
          <w:tab w:leader="none" w:pos="2036"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6" w:lineRule="exact"/>
        <w:rPr>
          <w:rFonts w:ascii="Arial" w:cs="Arial" w:eastAsia="Arial" w:hAnsi="Arial"/>
          <w:sz w:val="20"/>
          <w:szCs w:val="20"/>
          <w:color w:val="auto"/>
        </w:rPr>
      </w:pPr>
    </w:p>
    <w:p>
      <w:pPr>
        <w:ind w:left="2040" w:hanging="535"/>
        <w:spacing w:after="0"/>
        <w:tabs>
          <w:tab w:leader="none" w:pos="204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6" w:lineRule="exact"/>
        <w:rPr>
          <w:sz w:val="20"/>
          <w:szCs w:val="20"/>
          <w:color w:val="auto"/>
        </w:rPr>
      </w:pPr>
    </w:p>
    <w:p>
      <w:pPr>
        <w:ind w:left="2260" w:hanging="755"/>
        <w:spacing w:after="0"/>
        <w:tabs>
          <w:tab w:leader="none" w:pos="226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2260" w:hanging="755"/>
        <w:spacing w:after="0" w:line="263" w:lineRule="auto"/>
        <w:tabs>
          <w:tab w:leader="none" w:pos="226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Arial" w:cs="Arial" w:eastAsia="Arial" w:hAnsi="Arial"/>
          <w:sz w:val="19"/>
          <w:szCs w:val="19"/>
          <w:color w:val="auto"/>
        </w:rPr>
      </w:pPr>
    </w:p>
    <w:p>
      <w:pPr>
        <w:ind w:left="2260" w:hanging="755"/>
        <w:spacing w:after="0" w:line="260" w:lineRule="auto"/>
        <w:tabs>
          <w:tab w:leader="none" w:pos="226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u w:val="single" w:color="auto"/>
          <w:color w:val="auto"/>
        </w:rPr>
        <w:t>SECTION 10.17Acknowledgement Regarding Any Supported QFCs</w:t>
      </w:r>
      <w:r>
        <w:rPr>
          <w:rFonts w:ascii="Arial" w:cs="Arial" w:eastAsia="Arial" w:hAnsi="Arial"/>
          <w:sz w:val="20"/>
          <w:szCs w:val="20"/>
          <w:color w:val="auto"/>
        </w:rPr>
        <w:t>. To the extent that the Loan Documents provide support, through a guarantee or otherwise, for Swap Agreements or any other agreement or instrument that is a QFC (such support “</w:t>
      </w:r>
      <w:r>
        <w:rPr>
          <w:rFonts w:ascii="Arial" w:cs="Arial" w:eastAsia="Arial" w:hAnsi="Arial"/>
          <w:sz w:val="20"/>
          <w:szCs w:val="20"/>
          <w:b w:val="1"/>
          <w:bCs w:val="1"/>
          <w:i w:val="1"/>
          <w:iCs w:val="1"/>
          <w:color w:val="auto"/>
        </w:rPr>
        <w:t>QFC Credit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Support</w:t>
      </w:r>
      <w:r>
        <w:rPr>
          <w:rFonts w:ascii="Arial" w:cs="Arial" w:eastAsia="Arial" w:hAnsi="Arial"/>
          <w:sz w:val="20"/>
          <w:szCs w:val="20"/>
          <w:color w:val="auto"/>
        </w:rPr>
        <w:t>” and each such QFC 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7" w:name="page178"/>
    <w:bookmarkEnd w:id="177"/>
    <w:p>
      <w:pPr>
        <w:jc w:val="both"/>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b w:val="1"/>
          <w:bCs w:val="1"/>
          <w:i w:val="1"/>
          <w:iCs w:val="1"/>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5" w:lineRule="exact"/>
        <w:rPr>
          <w:sz w:val="20"/>
          <w:szCs w:val="20"/>
          <w:color w:val="auto"/>
        </w:rPr>
      </w:pPr>
    </w:p>
    <w:p>
      <w:pPr>
        <w:jc w:val="both"/>
        <w:ind w:left="760" w:firstLine="749"/>
        <w:spacing w:after="0" w:line="244" w:lineRule="auto"/>
        <w:rPr>
          <w:sz w:val="20"/>
          <w:szCs w:val="20"/>
          <w:color w:val="auto"/>
        </w:rPr>
      </w:pPr>
      <w:r>
        <w:rPr>
          <w:rFonts w:ascii="Arial" w:cs="Arial" w:eastAsia="Arial" w:hAnsi="Arial"/>
          <w:sz w:val="20"/>
          <w:szCs w:val="20"/>
          <w:color w:val="auto"/>
        </w:rPr>
        <w:t>In the event a Covered Entity that is party to a Supported QFC (each, a “</w:t>
      </w:r>
      <w:r>
        <w:rPr>
          <w:rFonts w:ascii="Arial" w:cs="Arial" w:eastAsia="Arial" w:hAnsi="Arial"/>
          <w:sz w:val="20"/>
          <w:szCs w:val="20"/>
          <w:b w:val="1"/>
          <w:bCs w:val="1"/>
          <w:i w:val="1"/>
          <w:iCs w:val="1"/>
          <w:color w:val="auto"/>
        </w:rPr>
        <w:t>Covered Party</w:t>
      </w:r>
      <w:r>
        <w:rPr>
          <w:rFonts w:ascii="Arial" w:cs="Arial" w:eastAsia="Arial" w:hAnsi="Arial"/>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w:t>
      </w:r>
    </w:p>
    <w:p>
      <w:pPr>
        <w:spacing w:after="0" w:line="194" w:lineRule="exact"/>
        <w:rPr>
          <w:sz w:val="20"/>
          <w:szCs w:val="20"/>
          <w:color w:val="auto"/>
        </w:rPr>
      </w:pPr>
    </w:p>
    <w:p>
      <w:pPr>
        <w:jc w:val="both"/>
        <w:ind w:left="760" w:firstLine="749"/>
        <w:spacing w:after="0" w:line="256" w:lineRule="auto"/>
        <w:rPr>
          <w:sz w:val="20"/>
          <w:szCs w:val="20"/>
          <w:color w:val="auto"/>
        </w:rPr>
      </w:pPr>
      <w:r>
        <w:rPr>
          <w:rFonts w:ascii="Arial" w:cs="Arial" w:eastAsia="Arial" w:hAnsi="Arial"/>
          <w:sz w:val="19"/>
          <w:szCs w:val="19"/>
          <w:color w:val="auto"/>
        </w:rPr>
        <w:t>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4"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u w:val="single" w:color="auto"/>
          <w:color w:val="auto"/>
        </w:rPr>
        <w:t>SECTION 10.18Certain ERISA Matters</w:t>
      </w:r>
      <w:r>
        <w:rPr>
          <w:rFonts w:ascii="Arial" w:cs="Arial" w:eastAsia="Arial" w:hAnsi="Arial"/>
          <w:sz w:val="18"/>
          <w:szCs w:val="18"/>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Company or any other Borrower, that at least one of the following is and will be true:</w:t>
      </w:r>
    </w:p>
    <w:p>
      <w:pPr>
        <w:spacing w:after="0" w:line="161" w:lineRule="exact"/>
        <w:rPr>
          <w:sz w:val="20"/>
          <w:szCs w:val="20"/>
          <w:color w:val="auto"/>
        </w:rPr>
      </w:pPr>
    </w:p>
    <w:p>
      <w:pPr>
        <w:jc w:val="both"/>
        <w:ind w:left="2260" w:hanging="755"/>
        <w:spacing w:after="0" w:line="250" w:lineRule="auto"/>
        <w:tabs>
          <w:tab w:leader="none" w:pos="226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the Plan Asset Regulations) of one or more Benefit Plans with respect to such Lender’s entrance into, participation in, administration of and performance of the Loans, the Letters of Credit or the Commitments,</w:t>
      </w:r>
    </w:p>
    <w:p>
      <w:pPr>
        <w:spacing w:after="0" w:line="185" w:lineRule="exact"/>
        <w:rPr>
          <w:rFonts w:ascii="Arial" w:cs="Arial" w:eastAsia="Arial" w:hAnsi="Arial"/>
          <w:sz w:val="20"/>
          <w:szCs w:val="20"/>
          <w:color w:val="auto"/>
        </w:rPr>
      </w:pPr>
    </w:p>
    <w:p>
      <w:pPr>
        <w:jc w:val="both"/>
        <w:ind w:left="2260" w:hanging="755"/>
        <w:spacing w:after="0" w:line="242" w:lineRule="auto"/>
        <w:tabs>
          <w:tab w:leader="none" w:pos="226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8" w:name="page179"/>
    <w:bookmarkEnd w:id="178"/>
    <w:p>
      <w:pPr>
        <w:jc w:val="both"/>
        <w:ind w:left="2260" w:hanging="755"/>
        <w:spacing w:after="0" w:line="269" w:lineRule="auto"/>
        <w:tabs>
          <w:tab w:leader="none" w:pos="2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w:t>
      </w:r>
    </w:p>
    <w:p>
      <w:pPr>
        <w:spacing w:after="0" w:line="3" w:lineRule="exact"/>
        <w:rPr>
          <w:rFonts w:ascii="Arial" w:cs="Arial" w:eastAsia="Arial" w:hAnsi="Arial"/>
          <w:sz w:val="18"/>
          <w:szCs w:val="18"/>
          <w:color w:val="auto"/>
        </w:rPr>
      </w:pPr>
    </w:p>
    <w:p>
      <w:pPr>
        <w:jc w:val="both"/>
        <w:ind w:left="2260" w:hanging="6"/>
        <w:spacing w:after="0" w:line="281" w:lineRule="auto"/>
        <w:tabs>
          <w:tab w:leader="none" w:pos="257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61" w:lineRule="exact"/>
        <w:rPr>
          <w:sz w:val="20"/>
          <w:szCs w:val="20"/>
          <w:color w:val="auto"/>
        </w:rPr>
      </w:pPr>
    </w:p>
    <w:p>
      <w:pPr>
        <w:ind w:left="2260" w:hanging="755"/>
        <w:spacing w:after="0" w:line="260" w:lineRule="auto"/>
        <w:tabs>
          <w:tab w:leader="none" w:pos="226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7" w:lineRule="exact"/>
        <w:rPr>
          <w:sz w:val="20"/>
          <w:szCs w:val="20"/>
          <w:color w:val="auto"/>
        </w:rPr>
      </w:pPr>
    </w:p>
    <w:p>
      <w:pPr>
        <w:jc w:val="both"/>
        <w:ind w:firstLine="1505"/>
        <w:spacing w:after="0" w:line="273" w:lineRule="auto"/>
        <w:tabs>
          <w:tab w:leader="none" w:pos="203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Company or any other Borrower, that none of the Administrative Agent, or any Arranger, any syndication agent, any co-documentation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SECTION 10.19Erroneous Payments</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55" w:lineRule="auto"/>
        <w:tabs>
          <w:tab w:leader="none" w:pos="2036" w:val="left"/>
        </w:tabs>
        <w:numPr>
          <w:ilvl w:val="0"/>
          <w:numId w:val="184"/>
        </w:numPr>
        <w:rPr>
          <w:rFonts w:ascii="Arial" w:cs="Arial" w:eastAsia="Arial" w:hAnsi="Arial"/>
          <w:sz w:val="19"/>
          <w:szCs w:val="19"/>
          <w:color w:val="auto"/>
        </w:rPr>
      </w:pPr>
      <w:r>
        <w:rPr>
          <w:rFonts w:ascii="Arial" w:cs="Arial" w:eastAsia="Arial" w:hAnsi="Arial"/>
          <w:sz w:val="19"/>
          <w:szCs w:val="19"/>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xml:space="preserve">”) were erroneously transmitted to such Lender (whether or not known to such Lender), and demands the return of such Payment (or a portion thereof), such Lender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Arial" w:cs="Arial" w:eastAsia="Arial" w:hAnsi="Arial"/>
          <w:sz w:val="19"/>
          <w:szCs w:val="19"/>
          <w:u w:val="single" w:color="auto"/>
          <w:color w:val="auto"/>
        </w:rPr>
        <w:t>Section 10.19</w:t>
      </w:r>
      <w:r>
        <w:rPr>
          <w:rFonts w:ascii="Arial" w:cs="Arial" w:eastAsia="Arial" w:hAnsi="Arial"/>
          <w:sz w:val="19"/>
          <w:szCs w:val="19"/>
          <w:color w:val="auto"/>
        </w:rPr>
        <w:t xml:space="preserve"> shall be conclusive, absent manifest error.</w:t>
      </w:r>
    </w:p>
    <w:p>
      <w:pPr>
        <w:spacing w:after="0" w:line="181" w:lineRule="exact"/>
        <w:rPr>
          <w:rFonts w:ascii="Arial" w:cs="Arial" w:eastAsia="Arial" w:hAnsi="Arial"/>
          <w:sz w:val="19"/>
          <w:szCs w:val="19"/>
          <w:color w:val="auto"/>
        </w:rPr>
      </w:pPr>
    </w:p>
    <w:p>
      <w:pPr>
        <w:jc w:val="both"/>
        <w:ind w:firstLine="1505"/>
        <w:spacing w:after="0" w:line="250" w:lineRule="auto"/>
        <w:tabs>
          <w:tab w:leader="none" w:pos="2036" w:val="left"/>
        </w:tabs>
        <w:numPr>
          <w:ilvl w:val="0"/>
          <w:numId w:val="184"/>
        </w:numPr>
        <w:rPr>
          <w:rFonts w:ascii="Arial" w:cs="Arial" w:eastAsia="Arial" w:hAnsi="Arial"/>
          <w:sz w:val="20"/>
          <w:szCs w:val="20"/>
          <w:color w:val="auto"/>
        </w:rPr>
      </w:pPr>
      <w:r>
        <w:rPr>
          <w:rFonts w:ascii="Arial" w:cs="Arial" w:eastAsia="Arial" w:hAnsi="Arial"/>
          <w:sz w:val="20"/>
          <w:szCs w:val="20"/>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9" w:name="page180"/>
    <w:bookmarkEnd w:id="179"/>
    <w:p>
      <w:pPr>
        <w:jc w:val="both"/>
        <w:spacing w:after="0" w:line="273" w:lineRule="auto"/>
        <w:rPr>
          <w:sz w:val="20"/>
          <w:szCs w:val="20"/>
          <w:color w:val="auto"/>
        </w:rPr>
      </w:pPr>
      <w:r>
        <w:rPr>
          <w:rFonts w:ascii="Arial" w:cs="Arial" w:eastAsia="Arial" w:hAnsi="Arial"/>
          <w:sz w:val="18"/>
          <w:szCs w:val="18"/>
          <w:color w:val="auto"/>
        </w:rPr>
        <w:t xml:space="preserve">respect to such Payment (a “ </w:t>
      </w:r>
      <w:r>
        <w:rPr>
          <w:rFonts w:ascii="Arial" w:cs="Arial" w:eastAsia="Arial" w:hAnsi="Arial"/>
          <w:sz w:val="18"/>
          <w:szCs w:val="18"/>
          <w:b w:val="1"/>
          <w:bCs w:val="1"/>
          <w:i w:val="1"/>
          <w:iCs w:val="1"/>
          <w:color w:val="auto"/>
        </w:rPr>
        <w:t>Payment Notice</w:t>
      </w:r>
      <w:r>
        <w:rPr>
          <w:rFonts w:ascii="Arial" w:cs="Arial" w:eastAsia="Arial" w:hAnsi="Arial"/>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68" w:lineRule="exact"/>
        <w:rPr>
          <w:sz w:val="20"/>
          <w:szCs w:val="20"/>
          <w:color w:val="auto"/>
        </w:rPr>
      </w:pPr>
    </w:p>
    <w:p>
      <w:pPr>
        <w:jc w:val="both"/>
        <w:ind w:firstLine="1505"/>
        <w:spacing w:after="0" w:line="256" w:lineRule="auto"/>
        <w:tabs>
          <w:tab w:leader="none" w:pos="203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The Company and each other Borrower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Company or any other Borrower, except to the extent such erroneous Payment is, and solely with respect to the amount of such erroneous Payment that is, comprised of funds received by the Administrative Agent from the Company or any other Borrower for the purpose of making a payment to satisfy any of the Obligations. Notwithstanding anything to the contrary herein or in any other Loan Document, the provisions of this </w:t>
      </w:r>
      <w:r>
        <w:rPr>
          <w:rFonts w:ascii="Arial" w:cs="Arial" w:eastAsia="Arial" w:hAnsi="Arial"/>
          <w:sz w:val="19"/>
          <w:szCs w:val="19"/>
          <w:u w:val="single" w:color="auto"/>
          <w:color w:val="auto"/>
        </w:rPr>
        <w:t>Section 10.19</w:t>
      </w:r>
      <w:r>
        <w:rPr>
          <w:rFonts w:ascii="Arial" w:cs="Arial" w:eastAsia="Arial" w:hAnsi="Arial"/>
          <w:sz w:val="19"/>
          <w:szCs w:val="19"/>
          <w:color w:val="auto"/>
        </w:rPr>
        <w:t xml:space="preserve"> relating to Payments (including the preceding two paragraphs and this paragraph) will not constitute, create or otherwise alter any Obligations on the part of the Borrowers under the Loan Documents or otherwise.</w:t>
      </w:r>
    </w:p>
    <w:p>
      <w:pPr>
        <w:spacing w:after="0" w:line="184" w:lineRule="exact"/>
        <w:rPr>
          <w:rFonts w:ascii="Arial" w:cs="Arial" w:eastAsia="Arial" w:hAnsi="Arial"/>
          <w:sz w:val="19"/>
          <w:szCs w:val="19"/>
          <w:color w:val="auto"/>
        </w:rPr>
      </w:pPr>
    </w:p>
    <w:p>
      <w:pPr>
        <w:jc w:val="both"/>
        <w:ind w:firstLine="1505"/>
        <w:spacing w:after="0" w:line="250" w:lineRule="auto"/>
        <w:tabs>
          <w:tab w:leader="none" w:pos="2036"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Each party’s obligations under this </w:t>
      </w:r>
      <w:r>
        <w:rPr>
          <w:rFonts w:ascii="Arial" w:cs="Arial" w:eastAsia="Arial" w:hAnsi="Arial"/>
          <w:sz w:val="20"/>
          <w:szCs w:val="20"/>
          <w:u w:val="single" w:color="auto"/>
          <w:color w:val="auto"/>
        </w:rPr>
        <w:t>Section 10.19</w:t>
      </w:r>
      <w:r>
        <w:rPr>
          <w:rFonts w:ascii="Arial" w:cs="Arial" w:eastAsia="Arial" w:hAnsi="Arial"/>
          <w:sz w:val="20"/>
          <w:szCs w:val="20"/>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8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u w:val="single" w:color="auto"/>
          <w:color w:val="auto"/>
        </w:rPr>
        <w:t>SECTION 10.20Termination of Commitments under the Existing Credit Agreement</w:t>
      </w:r>
      <w:r>
        <w:rPr>
          <w:rFonts w:ascii="Arial" w:cs="Arial" w:eastAsia="Arial" w:hAnsi="Arial"/>
          <w:sz w:val="19"/>
          <w:szCs w:val="19"/>
          <w:color w:val="auto"/>
        </w:rPr>
        <w:t>. Each of the signatories hereto that is also a party to the Existing Credit Agreement hereby agrees that, as of the Effective Date, all of the commitments to extend credit under the Existing Credit Agreement to which such signatory is a party will be terminated and cancelled automatically and any and all required notice periods in connection with such termination are hereby waived and of no further force and effect.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Pages Follow]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80" w:name="page181"/>
    <w:bookmarkEnd w:id="180"/>
    <w:p>
      <w:pPr>
        <w:ind w:firstLine="749"/>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and delivered by their respective authorized officers as of the day and year first above written.</w:t>
      </w:r>
    </w:p>
    <w:p>
      <w:pPr>
        <w:spacing w:after="0" w:line="177"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CABOT CORPORATION, as the Company and a Borrower</w:t>
      </w:r>
    </w:p>
    <w:p>
      <w:pPr>
        <w:spacing w:after="0" w:line="200" w:lineRule="exact"/>
        <w:rPr>
          <w:sz w:val="20"/>
          <w:szCs w:val="20"/>
          <w:color w:val="auto"/>
        </w:rPr>
      </w:pPr>
    </w:p>
    <w:p>
      <w:pPr>
        <w:spacing w:after="0" w:line="25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w:t>
      </w:r>
    </w:p>
    <w:p>
      <w:pPr>
        <w:ind w:left="45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 (JPM/CABOT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81" w:name="page182"/>
    <w:bookmarkEnd w:id="181"/>
    <w:p>
      <w:pPr>
        <w:ind w:left="4120" w:hanging="748"/>
        <w:spacing w:after="0" w:line="260" w:lineRule="auto"/>
        <w:rPr>
          <w:sz w:val="20"/>
          <w:szCs w:val="20"/>
          <w:color w:val="auto"/>
        </w:rPr>
      </w:pPr>
      <w:r>
        <w:rPr>
          <w:rFonts w:ascii="Arial" w:cs="Arial" w:eastAsia="Arial" w:hAnsi="Arial"/>
          <w:sz w:val="20"/>
          <w:szCs w:val="20"/>
          <w:color w:val="auto"/>
        </w:rPr>
        <w:t>JPMORGAN CHASE BANK, N.A., as the Administrative Agent, an Issuing Bank and a Lender</w:t>
      </w:r>
    </w:p>
    <w:p>
      <w:pPr>
        <w:spacing w:after="0" w:line="200" w:lineRule="exact"/>
        <w:rPr>
          <w:sz w:val="20"/>
          <w:szCs w:val="20"/>
          <w:color w:val="auto"/>
        </w:rPr>
      </w:pPr>
    </w:p>
    <w:p>
      <w:pPr>
        <w:spacing w:after="0" w:line="220"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Name:</w:t>
      </w:r>
    </w:p>
    <w:p>
      <w:pPr>
        <w:ind w:left="33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32"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[SIGNATURE PAGE TO CREDIT AGREEMENT (JPM/CABOT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440" w:top="352" w:right="539" w:bottom="1440" w:gutter="0" w:footer="0" w:header="0"/>
        </w:sectPr>
      </w:pPr>
    </w:p>
    <w:bookmarkStart w:id="182" w:name="page183"/>
    <w:bookmarkEnd w:id="182"/>
    <w:p>
      <w:pPr>
        <w:jc w:val="right"/>
        <w:ind w:right="1539"/>
        <w:spacing w:after="0"/>
        <w:rPr>
          <w:sz w:val="20"/>
          <w:szCs w:val="20"/>
          <w:color w:val="auto"/>
        </w:rPr>
      </w:pPr>
      <w:r>
        <w:rPr>
          <w:rFonts w:ascii="Arial" w:cs="Arial" w:eastAsia="Arial" w:hAnsi="Arial"/>
          <w:sz w:val="20"/>
          <w:szCs w:val="20"/>
          <w:color w:val="auto"/>
        </w:rPr>
        <w:t>CITIBANK, N.A., as an Issuing Bank and a Lender</w:t>
      </w:r>
    </w:p>
    <w:p>
      <w:pPr>
        <w:spacing w:after="0" w:line="200" w:lineRule="exact"/>
        <w:rPr>
          <w:sz w:val="20"/>
          <w:szCs w:val="20"/>
          <w:color w:val="auto"/>
        </w:rPr>
      </w:pPr>
    </w:p>
    <w:p>
      <w:pPr>
        <w:spacing w:after="0" w:line="259"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Name:</w:t>
      </w:r>
    </w:p>
    <w:p>
      <w:pPr>
        <w:ind w:left="33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CREDIT AGREEMENT (JPM/CABOT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78105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183" w:name="page184"/>
    <w:bookmarkEnd w:id="183"/>
    <w:p>
      <w:pPr>
        <w:jc w:val="center"/>
        <w:ind w:right="339"/>
        <w:spacing w:after="0"/>
        <w:rPr>
          <w:sz w:val="20"/>
          <w:szCs w:val="20"/>
          <w:color w:val="auto"/>
        </w:rPr>
      </w:pPr>
      <w:r>
        <w:rPr>
          <w:rFonts w:ascii="Arial" w:cs="Arial" w:eastAsia="Arial" w:hAnsi="Arial"/>
          <w:sz w:val="20"/>
          <w:szCs w:val="20"/>
          <w:color w:val="auto"/>
        </w:rPr>
        <w:t>[LENDER], as a Lender</w:t>
      </w:r>
    </w:p>
    <w:p>
      <w:pPr>
        <w:spacing w:after="0" w:line="200" w:lineRule="exact"/>
        <w:rPr>
          <w:sz w:val="20"/>
          <w:szCs w:val="20"/>
          <w:color w:val="auto"/>
        </w:rPr>
      </w:pPr>
    </w:p>
    <w:p>
      <w:pPr>
        <w:spacing w:after="0" w:line="259"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Name:</w:t>
      </w:r>
    </w:p>
    <w:p>
      <w:pPr>
        <w:ind w:left="33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CREDIT AGREEMENT (JPM/CABOT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78105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184" w:name="page185"/>
    <w:bookmarkEnd w:id="18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5" w:name="page186"/>
    <w:bookmarkEnd w:id="185"/>
    <w:p>
      <w:pPr>
        <w:jc w:val="right"/>
        <w:spacing w:after="0"/>
        <w:rPr>
          <w:sz w:val="20"/>
          <w:szCs w:val="20"/>
          <w:color w:val="auto"/>
        </w:rPr>
      </w:pPr>
      <w:r>
        <w:rPr>
          <w:rFonts w:ascii="Arial" w:cs="Arial" w:eastAsia="Arial" w:hAnsi="Arial"/>
          <w:sz w:val="20"/>
          <w:szCs w:val="20"/>
          <w:color w:val="auto"/>
        </w:rPr>
        <w:t>Exhibit 10.2</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COPY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NO. 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July 27, 2023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CREDIT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August 6, 2021</w:t>
      </w:r>
    </w:p>
    <w:p>
      <w:pPr>
        <w:spacing w:after="0" w:line="229"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8"/>
          <w:szCs w:val="18"/>
          <w:color w:val="auto"/>
        </w:rPr>
        <w:t>THIS AMENDMENT NO. 2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as of July 27, 2023 by and among Cabot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Lenders party hereto and JPMorgan Chase Bank, N.A., in its capacity as administrative agent for the Lenders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under that certain Credit Agreement dated as of August 6, 2021, by and among the Company, the Designated Borrowers from time to time party thereto, the Lenders from time to time party thereto and the Administrative Agent (as amended, restated, supplemented or otherwise modified from time to time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and not otherwise defined herein shall have the respective meanings given to them in the Credit Agreement.</w:t>
      </w:r>
    </w:p>
    <w:p>
      <w:pPr>
        <w:spacing w:after="0" w:line="165" w:lineRule="exact"/>
        <w:rPr>
          <w:sz w:val="20"/>
          <w:szCs w:val="20"/>
          <w:color w:val="auto"/>
        </w:rPr>
      </w:pPr>
    </w:p>
    <w:p>
      <w:pPr>
        <w:jc w:val="both"/>
        <w:ind w:firstLine="1592"/>
        <w:spacing w:after="0" w:line="246" w:lineRule="auto"/>
        <w:rPr>
          <w:sz w:val="20"/>
          <w:szCs w:val="20"/>
          <w:color w:val="auto"/>
        </w:rPr>
      </w:pPr>
      <w:r>
        <w:rPr>
          <w:rFonts w:ascii="Arial" w:cs="Arial" w:eastAsia="Arial" w:hAnsi="Arial"/>
          <w:sz w:val="20"/>
          <w:szCs w:val="20"/>
          <w:color w:val="auto"/>
        </w:rPr>
        <w:t xml:space="preserve">WHEREAS, pursuant to </w:t>
      </w:r>
      <w:r>
        <w:rPr>
          <w:rFonts w:ascii="Arial" w:cs="Arial" w:eastAsia="Arial" w:hAnsi="Arial"/>
          <w:sz w:val="20"/>
          <w:szCs w:val="20"/>
          <w:u w:val="single" w:color="auto"/>
          <w:color w:val="auto"/>
        </w:rPr>
        <w:t>Section 10.02(e)</w:t>
      </w:r>
      <w:r>
        <w:rPr>
          <w:rFonts w:ascii="Arial" w:cs="Arial" w:eastAsia="Arial" w:hAnsi="Arial"/>
          <w:sz w:val="20"/>
          <w:szCs w:val="20"/>
          <w:color w:val="auto"/>
        </w:rPr>
        <w:t xml:space="preserve"> of the Credit Agreement, the Administrative Agent and the Company may, with any further action or consent of any other party to the Credit Agreement, amend the Credit Agreement to amend, modify or supplement any provision of the Credit Agreement or any other Loan Document to cure any ambiguity, omission, mistake, typographical error or other defect therein;</w:t>
      </w:r>
    </w:p>
    <w:p>
      <w:pPr>
        <w:spacing w:after="0" w:line="191" w:lineRule="exact"/>
        <w:rPr>
          <w:sz w:val="20"/>
          <w:szCs w:val="20"/>
          <w:color w:val="auto"/>
        </w:rPr>
      </w:pPr>
    </w:p>
    <w:p>
      <w:pPr>
        <w:jc w:val="both"/>
        <w:ind w:firstLine="1592"/>
        <w:spacing w:after="0" w:line="260" w:lineRule="auto"/>
        <w:rPr>
          <w:sz w:val="20"/>
          <w:szCs w:val="20"/>
          <w:color w:val="auto"/>
        </w:rPr>
      </w:pPr>
      <w:r>
        <w:rPr>
          <w:rFonts w:ascii="Arial" w:cs="Arial" w:eastAsia="Arial" w:hAnsi="Arial"/>
          <w:sz w:val="20"/>
          <w:szCs w:val="20"/>
          <w:color w:val="auto"/>
        </w:rPr>
        <w:t xml:space="preserve">WHEREAS, the Credit Agreement contains references to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of the Credit Agreement but no such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of the Credit Agreement exists;</w:t>
      </w:r>
    </w:p>
    <w:p>
      <w:pPr>
        <w:spacing w:after="0" w:line="177" w:lineRule="exact"/>
        <w:rPr>
          <w:sz w:val="20"/>
          <w:szCs w:val="20"/>
          <w:color w:val="auto"/>
        </w:rPr>
      </w:pPr>
    </w:p>
    <w:p>
      <w:pPr>
        <w:jc w:val="both"/>
        <w:ind w:firstLine="1592"/>
        <w:spacing w:after="0" w:line="260" w:lineRule="auto"/>
        <w:rPr>
          <w:sz w:val="20"/>
          <w:szCs w:val="20"/>
          <w:color w:val="auto"/>
        </w:rPr>
      </w:pPr>
      <w:r>
        <w:rPr>
          <w:rFonts w:ascii="Arial" w:cs="Arial" w:eastAsia="Arial" w:hAnsi="Arial"/>
          <w:sz w:val="20"/>
          <w:szCs w:val="20"/>
          <w:color w:val="auto"/>
        </w:rPr>
        <w:t xml:space="preserve">WHEREAS, such references to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of the Credit Agreement were intended to refer to </w:t>
      </w:r>
      <w:r>
        <w:rPr>
          <w:rFonts w:ascii="Arial" w:cs="Arial" w:eastAsia="Arial" w:hAnsi="Arial"/>
          <w:sz w:val="20"/>
          <w:szCs w:val="20"/>
          <w:u w:val="single" w:color="auto"/>
          <w:color w:val="auto"/>
        </w:rPr>
        <w:t>Section 10.03</w:t>
      </w:r>
      <w:r>
        <w:rPr>
          <w:rFonts w:ascii="Arial" w:cs="Arial" w:eastAsia="Arial" w:hAnsi="Arial"/>
          <w:sz w:val="20"/>
          <w:szCs w:val="20"/>
          <w:color w:val="auto"/>
        </w:rPr>
        <w:t xml:space="preserve"> of the Credit Agreement; and</w:t>
      </w:r>
    </w:p>
    <w:p>
      <w:pPr>
        <w:spacing w:after="0" w:line="177" w:lineRule="exact"/>
        <w:rPr>
          <w:sz w:val="20"/>
          <w:szCs w:val="20"/>
          <w:color w:val="auto"/>
        </w:rPr>
      </w:pPr>
    </w:p>
    <w:p>
      <w:pPr>
        <w:jc w:val="both"/>
        <w:ind w:firstLine="1592"/>
        <w:spacing w:after="0" w:line="316" w:lineRule="auto"/>
        <w:rPr>
          <w:sz w:val="20"/>
          <w:szCs w:val="20"/>
          <w:color w:val="auto"/>
        </w:rPr>
      </w:pPr>
      <w:r>
        <w:rPr>
          <w:rFonts w:ascii="Arial" w:cs="Arial" w:eastAsia="Arial" w:hAnsi="Arial"/>
          <w:sz w:val="18"/>
          <w:szCs w:val="18"/>
          <w:color w:val="auto"/>
        </w:rPr>
        <w:t xml:space="preserve">WHEREAS, pursuant to and in accordance with </w:t>
      </w:r>
      <w:r>
        <w:rPr>
          <w:rFonts w:ascii="Arial" w:cs="Arial" w:eastAsia="Arial" w:hAnsi="Arial"/>
          <w:sz w:val="18"/>
          <w:szCs w:val="18"/>
          <w:u w:val="single" w:color="auto"/>
          <w:color w:val="auto"/>
        </w:rPr>
        <w:t>Section 10.02(e)</w:t>
      </w:r>
      <w:r>
        <w:rPr>
          <w:rFonts w:ascii="Arial" w:cs="Arial" w:eastAsia="Arial" w:hAnsi="Arial"/>
          <w:sz w:val="18"/>
          <w:szCs w:val="18"/>
          <w:color w:val="auto"/>
        </w:rPr>
        <w:t xml:space="preserve"> of the Credit Agreement, the Company and the Administrative Agent have agreed to amend the Credit Agreement as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Amendment to correct such mistakes;</w:t>
      </w:r>
    </w:p>
    <w:p>
      <w:pPr>
        <w:spacing w:after="0" w:line="130" w:lineRule="exact"/>
        <w:rPr>
          <w:sz w:val="20"/>
          <w:szCs w:val="20"/>
          <w:color w:val="auto"/>
        </w:rPr>
      </w:pPr>
    </w:p>
    <w:p>
      <w:pPr>
        <w:jc w:val="both"/>
        <w:ind w:firstLine="1592"/>
        <w:spacing w:after="0" w:line="260" w:lineRule="auto"/>
        <w:rPr>
          <w:sz w:val="20"/>
          <w:szCs w:val="20"/>
          <w:color w:val="auto"/>
        </w:rPr>
      </w:pPr>
      <w:r>
        <w:rPr>
          <w:rFonts w:ascii="Arial" w:cs="Arial" w:eastAsia="Arial" w:hAnsi="Arial"/>
          <w:sz w:val="20"/>
          <w:szCs w:val="20"/>
          <w:color w:val="auto"/>
        </w:rPr>
        <w:t>NOW, THEREFORE, in consideration of the mutual agreements, provisions and covenants contained herein, the parties hereto agree as follows:</w:t>
      </w:r>
    </w:p>
    <w:p>
      <w:pPr>
        <w:spacing w:after="0" w:line="177" w:lineRule="exact"/>
        <w:rPr>
          <w:sz w:val="20"/>
          <w:szCs w:val="20"/>
          <w:color w:val="auto"/>
        </w:rPr>
      </w:pPr>
    </w:p>
    <w:p>
      <w:pPr>
        <w:jc w:val="both"/>
        <w:ind w:firstLine="1505"/>
        <w:spacing w:after="0" w:line="246" w:lineRule="auto"/>
        <w:tabs>
          <w:tab w:leader="none" w:pos="2036"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Amendments to the Credit Agreement</w:t>
      </w:r>
      <w:r>
        <w:rPr>
          <w:rFonts w:ascii="Arial" w:cs="Arial" w:eastAsia="Arial" w:hAnsi="Arial"/>
          <w:sz w:val="20"/>
          <w:szCs w:val="20"/>
          <w:color w:val="auto"/>
        </w:rPr>
        <w:t xml:space="preserve">. Effective as of the date of satisfaction of the condition to effectiveness set forth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below (such date,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the parties hereto agree that each reference to “</w:t>
      </w:r>
      <w:r>
        <w:rPr>
          <w:rFonts w:ascii="Arial" w:cs="Arial" w:eastAsia="Arial" w:hAnsi="Arial"/>
          <w:sz w:val="20"/>
          <w:szCs w:val="20"/>
          <w:u w:val="single" w:color="auto"/>
          <w:color w:val="auto"/>
        </w:rPr>
        <w:t>Section 9.03</w:t>
      </w:r>
      <w:r>
        <w:rPr>
          <w:rFonts w:ascii="Arial" w:cs="Arial" w:eastAsia="Arial" w:hAnsi="Arial"/>
          <w:sz w:val="20"/>
          <w:szCs w:val="20"/>
          <w:color w:val="auto"/>
        </w:rPr>
        <w:t>” in the Credit Agreement shall be amended and restated to be a reference to “</w:t>
      </w:r>
      <w:r>
        <w:rPr>
          <w:rFonts w:ascii="Arial" w:cs="Arial" w:eastAsia="Arial" w:hAnsi="Arial"/>
          <w:sz w:val="20"/>
          <w:szCs w:val="20"/>
          <w:u w:val="single" w:color="auto"/>
          <w:color w:val="auto"/>
        </w:rPr>
        <w:t>Section 10.03</w:t>
      </w:r>
      <w:r>
        <w:rPr>
          <w:rFonts w:ascii="Arial" w:cs="Arial" w:eastAsia="Arial" w:hAnsi="Arial"/>
          <w:sz w:val="20"/>
          <w:szCs w:val="20"/>
          <w:color w:val="auto"/>
        </w:rPr>
        <w:t>” of the Credit Agreement (the Credit Agreement as so amended, the “</w:t>
      </w:r>
      <w:r>
        <w:rPr>
          <w:rFonts w:ascii="Arial" w:cs="Arial" w:eastAsia="Arial" w:hAnsi="Arial"/>
          <w:sz w:val="20"/>
          <w:szCs w:val="20"/>
          <w:u w:val="single" w:color="auto"/>
          <w:color w:val="auto"/>
        </w:rPr>
        <w:t>Amended Credit Agreement</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1505"/>
        <w:spacing w:after="0" w:line="250" w:lineRule="auto"/>
        <w:tabs>
          <w:tab w:leader="none" w:pos="2036"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Condition to Effectiveness</w:t>
      </w:r>
      <w:r>
        <w:rPr>
          <w:rFonts w:ascii="Arial" w:cs="Arial" w:eastAsia="Arial" w:hAnsi="Arial"/>
          <w:sz w:val="20"/>
          <w:szCs w:val="20"/>
          <w:color w:val="auto"/>
        </w:rPr>
        <w:t>. The effectiveness of this Amendment is subject to the condition precedent that the Administrative Agent shall have received counterparts to this Amendment, duly executed by both of the Company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|US-DOCS\143847293.2||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6" w:name="page187"/>
    <w:bookmarkEnd w:id="186"/>
    <w:p>
      <w:pPr>
        <w:jc w:val="both"/>
        <w:ind w:firstLine="1505"/>
        <w:spacing w:after="0" w:line="244" w:lineRule="auto"/>
        <w:tabs>
          <w:tab w:leader="none" w:pos="2036"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the Company</w:t>
      </w:r>
      <w:r>
        <w:rPr>
          <w:rFonts w:ascii="Arial" w:cs="Arial" w:eastAsia="Arial" w:hAnsi="Arial"/>
          <w:sz w:val="20"/>
          <w:szCs w:val="20"/>
          <w:color w:val="auto"/>
        </w:rPr>
        <w:t>. The Company hereby represents and warrants to the Lenders on the Amendment Effective Date that each of this Amendment and the Amended Credit Agreement constitutes a legal, valid and binding obligation of each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4" w:lineRule="exact"/>
        <w:rPr>
          <w:rFonts w:ascii="Arial" w:cs="Arial" w:eastAsia="Arial" w:hAnsi="Arial"/>
          <w:sz w:val="20"/>
          <w:szCs w:val="20"/>
          <w:color w:val="auto"/>
        </w:rPr>
      </w:pPr>
    </w:p>
    <w:p>
      <w:pPr>
        <w:ind w:left="2040" w:hanging="535"/>
        <w:spacing w:after="0"/>
        <w:tabs>
          <w:tab w:leader="none" w:pos="2040"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Reference to and Effect on the Credit Agreement</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46" w:lineRule="auto"/>
        <w:tabs>
          <w:tab w:leader="none" w:pos="203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From and after the effectiveness of the amendment to the Credit Agreement evidenced hereby, the terms “Agreement”, “this Agreement”, “herein”, “hereinafter”, “hereto”, “hereof” and words of similar import, as used in the Amended Credit Agreement, shall, unless the context otherwise requires, refer to the Amended Credit Agreement, and the term “Credit Agreement”, as used in the other Loan Documents, shall mean the Amended Credit Agreement.</w:t>
      </w:r>
    </w:p>
    <w:p>
      <w:pPr>
        <w:spacing w:after="0" w:line="191" w:lineRule="exact"/>
        <w:rPr>
          <w:rFonts w:ascii="Arial" w:cs="Arial" w:eastAsia="Arial" w:hAnsi="Arial"/>
          <w:sz w:val="20"/>
          <w:szCs w:val="20"/>
          <w:color w:val="auto"/>
        </w:rPr>
      </w:pPr>
    </w:p>
    <w:p>
      <w:pPr>
        <w:ind w:firstLine="1505"/>
        <w:spacing w:after="0" w:line="260" w:lineRule="auto"/>
        <w:tabs>
          <w:tab w:leader="none" w:pos="203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Each Loan Document and all other documents, instruments and agreements executed and/or delivered in connection therewith shall remain in full force and effect and are hereby ratified and confirmed.</w:t>
      </w:r>
    </w:p>
    <w:p>
      <w:pPr>
        <w:spacing w:after="0" w:line="176" w:lineRule="exact"/>
        <w:rPr>
          <w:rFonts w:ascii="Arial" w:cs="Arial" w:eastAsia="Arial" w:hAnsi="Arial"/>
          <w:sz w:val="20"/>
          <w:szCs w:val="20"/>
          <w:color w:val="auto"/>
        </w:rPr>
      </w:pPr>
    </w:p>
    <w:p>
      <w:pPr>
        <w:jc w:val="both"/>
        <w:ind w:firstLine="1505"/>
        <w:spacing w:after="0" w:line="250" w:lineRule="auto"/>
        <w:tabs>
          <w:tab w:leader="none" w:pos="203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Amendment shall not operate as a waiver of any right, power or remedy of the Administrative Agent or the Lenders, nor constitute a waiver of any provision of the Credit Agreement, the Loan Documents or any other documents, instruments and agreements executed and/or delivered in connection therewith.</w:t>
      </w:r>
    </w:p>
    <w:p>
      <w:pPr>
        <w:spacing w:after="0" w:line="185" w:lineRule="exact"/>
        <w:rPr>
          <w:rFonts w:ascii="Arial" w:cs="Arial" w:eastAsia="Arial" w:hAnsi="Arial"/>
          <w:sz w:val="20"/>
          <w:szCs w:val="20"/>
          <w:color w:val="auto"/>
        </w:rPr>
      </w:pPr>
    </w:p>
    <w:p>
      <w:pPr>
        <w:ind w:left="2040" w:hanging="535"/>
        <w:spacing w:after="0"/>
        <w:tabs>
          <w:tab w:leader="none" w:pos="20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This Amendment shall be a Loan Document.</w:t>
      </w:r>
    </w:p>
    <w:p>
      <w:pPr>
        <w:spacing w:after="0" w:line="216" w:lineRule="exact"/>
        <w:rPr>
          <w:sz w:val="20"/>
          <w:szCs w:val="20"/>
          <w:color w:val="auto"/>
        </w:rPr>
      </w:pPr>
    </w:p>
    <w:p>
      <w:pPr>
        <w:ind w:left="2040" w:hanging="535"/>
        <w:spacing w:after="0"/>
        <w:tabs>
          <w:tab w:leader="none" w:pos="204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Amendment shall be construed in accordance with and governed by the law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State of New York.</w:t>
      </w:r>
    </w:p>
    <w:p>
      <w:pPr>
        <w:spacing w:after="0" w:line="199" w:lineRule="exact"/>
        <w:rPr>
          <w:rFonts w:ascii="Arial" w:cs="Arial" w:eastAsia="Arial" w:hAnsi="Arial"/>
          <w:sz w:val="18"/>
          <w:szCs w:val="18"/>
          <w:color w:val="auto"/>
        </w:rPr>
      </w:pPr>
    </w:p>
    <w:p>
      <w:pPr>
        <w:ind w:firstLine="1505"/>
        <w:spacing w:after="0" w:line="260" w:lineRule="auto"/>
        <w:tabs>
          <w:tab w:leader="none" w:pos="2036"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Amendment are included herein for convenience of reference only and shall not constitute a part of this Amendment for any other purpose.</w:t>
      </w:r>
    </w:p>
    <w:p>
      <w:pPr>
        <w:spacing w:after="0" w:line="176" w:lineRule="exact"/>
        <w:rPr>
          <w:rFonts w:ascii="Arial" w:cs="Arial" w:eastAsia="Arial" w:hAnsi="Arial"/>
          <w:sz w:val="20"/>
          <w:szCs w:val="20"/>
          <w:color w:val="auto"/>
        </w:rPr>
      </w:pPr>
    </w:p>
    <w:p>
      <w:pPr>
        <w:jc w:val="both"/>
        <w:ind w:firstLine="1505"/>
        <w:spacing w:after="0" w:line="273" w:lineRule="auto"/>
        <w:tabs>
          <w:tab w:leader="none" w:pos="2036"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electronic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Arial" w:cs="Arial" w:eastAsia="Arial" w:hAnsi="Arial"/>
          <w:sz w:val="18"/>
          <w:szCs w:val="18"/>
          <w:u w:val="single" w:color="auto"/>
          <w:color w:val="auto"/>
        </w:rPr>
        <w:t>Electronic Signatures</w:t>
      </w:r>
      <w:r>
        <w:rPr>
          <w:rFonts w:ascii="Arial" w:cs="Arial" w:eastAsia="Arial" w:hAnsi="Arial"/>
          <w:sz w:val="18"/>
          <w:szCs w:val="18"/>
          <w:color w:val="auto"/>
        </w:rPr>
        <w:t>” means any electronic symbol or process attached to, or associated with, any contract or other record and adopted by a person with the intent to sign, authenticate or accept such contract or record.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7" w:name="page188"/>
    <w:bookmarkEnd w:id="187"/>
    <w:p>
      <w:pPr>
        <w:ind w:firstLine="1497"/>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respective authorized officers as of the day and year first above written.</w:t>
      </w:r>
    </w:p>
    <w:p>
      <w:pPr>
        <w:spacing w:after="0" w:line="177"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CABOT CORPORATION,</w:t>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as the Company</w:t>
      </w:r>
    </w:p>
    <w:p>
      <w:pPr>
        <w:spacing w:after="0" w:line="200" w:lineRule="exact"/>
        <w:rPr>
          <w:sz w:val="20"/>
          <w:szCs w:val="20"/>
          <w:color w:val="auto"/>
        </w:rPr>
      </w:pPr>
    </w:p>
    <w:p>
      <w:pPr>
        <w:spacing w:after="0" w:line="24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/S/ Steven J. Delahunt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-14605</wp:posOffset>
            </wp:positionV>
            <wp:extent cx="193357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0"/>
          <w:szCs w:val="20"/>
          <w:color w:val="auto"/>
        </w:rPr>
        <w:t>Name: Steven J. Delahunt</w:t>
      </w:r>
    </w:p>
    <w:p>
      <w:pPr>
        <w:ind w:left="450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 dated as of August 6,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188" w:name="page189"/>
    <w:bookmarkEnd w:id="188"/>
    <w:p>
      <w:pPr>
        <w:ind w:left="3380"/>
        <w:spacing w:after="0"/>
        <w:rPr>
          <w:sz w:val="20"/>
          <w:szCs w:val="20"/>
          <w:color w:val="auto"/>
        </w:rPr>
      </w:pPr>
      <w:r>
        <w:rPr>
          <w:rFonts w:ascii="Arial" w:cs="Arial" w:eastAsia="Arial" w:hAnsi="Arial"/>
          <w:sz w:val="19"/>
          <w:szCs w:val="19"/>
          <w:color w:val="auto"/>
        </w:rPr>
        <w:t>JPMORGAN CHASE BANK, N.A.,</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as the Administrative Agent</w:t>
      </w:r>
    </w:p>
    <w:p>
      <w:pPr>
        <w:spacing w:after="0" w:line="200" w:lineRule="exact"/>
        <w:rPr>
          <w:sz w:val="20"/>
          <w:szCs w:val="20"/>
          <w:color w:val="auto"/>
        </w:rPr>
      </w:pPr>
    </w:p>
    <w:p>
      <w:pPr>
        <w:spacing w:after="0" w:line="238"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Jonathan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-10795</wp:posOffset>
            </wp:positionV>
            <wp:extent cx="15125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1512570" cy="8255"/>
                    </a:xfrm>
                    <a:prstGeom prst="rect">
                      <a:avLst/>
                    </a:prstGeom>
                    <a:noFill/>
                  </pic:spPr>
                </pic:pic>
              </a:graphicData>
            </a:graphic>
          </wp:anchor>
        </w:drawing>
      </w:r>
    </w:p>
    <w:p>
      <w:pPr>
        <w:spacing w:after="0" w:line="2"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Name: Jonathan Bennett</w:t>
      </w:r>
    </w:p>
    <w:p>
      <w:pPr>
        <w:ind w:left="33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2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dated as of August 6, 2021</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215900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6" w:right="1440" w:bottom="1440" w:gutter="0" w:footer="0" w:header="0"/>
        </w:sectPr>
      </w:pPr>
    </w:p>
    <w:bookmarkStart w:id="189" w:name="page190"/>
    <w:bookmarkEnd w:id="18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0" w:name="page191"/>
    <w:bookmarkEnd w:id="190"/>
    <w:p>
      <w:pPr>
        <w:jc w:val="right"/>
        <w:spacing w:after="0"/>
        <w:rPr>
          <w:sz w:val="20"/>
          <w:szCs w:val="20"/>
          <w:color w:val="auto"/>
        </w:rPr>
      </w:pPr>
      <w:r>
        <w:rPr>
          <w:rFonts w:ascii="Arial" w:cs="Arial" w:eastAsia="Arial" w:hAnsi="Arial"/>
          <w:sz w:val="20"/>
          <w:szCs w:val="20"/>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€300,000,000</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CREDIT AGREEMENT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May 18, 2023,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and among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CABOT CORPORATION</w:t>
      </w:r>
      <w:r>
        <w:rPr>
          <w:rFonts w:ascii="Arial" w:cs="Arial" w:eastAsia="Arial" w:hAnsi="Arial"/>
          <w:sz w:val="20"/>
          <w:szCs w:val="20"/>
          <w:color w:val="auto"/>
        </w:rPr>
        <w: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the Company and the Guarantor,</w:t>
      </w:r>
    </w:p>
    <w:p>
      <w:pPr>
        <w:spacing w:after="0" w:line="207" w:lineRule="exact"/>
        <w:rPr>
          <w:sz w:val="20"/>
          <w:szCs w:val="20"/>
          <w:color w:val="auto"/>
        </w:rPr>
      </w:pPr>
    </w:p>
    <w:p>
      <w:pPr>
        <w:ind w:left="1860"/>
        <w:spacing w:after="0"/>
        <w:rPr>
          <w:sz w:val="20"/>
          <w:szCs w:val="20"/>
          <w:color w:val="auto"/>
        </w:rPr>
      </w:pPr>
      <w:r>
        <w:rPr>
          <w:rFonts w:ascii="Arial" w:cs="Arial" w:eastAsia="Arial" w:hAnsi="Arial"/>
          <w:sz w:val="20"/>
          <w:szCs w:val="20"/>
          <w:b w:val="1"/>
          <w:bCs w:val="1"/>
          <w:color w:val="auto"/>
        </w:rPr>
        <w:t>CABOT LUXEMBOURG TC S.A.R.L., LUXEMBOURG, SCHAFFHAUSEN BRANCH,</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CABOT SWITZERLAND GMBH,</w:t>
      </w:r>
    </w:p>
    <w:p>
      <w:pPr>
        <w:ind w:left="4460"/>
        <w:spacing w:after="0"/>
        <w:rPr>
          <w:sz w:val="20"/>
          <w:szCs w:val="20"/>
          <w:color w:val="auto"/>
        </w:rPr>
      </w:pPr>
      <w:r>
        <w:rPr>
          <w:rFonts w:ascii="Arial" w:cs="Arial" w:eastAsia="Arial" w:hAnsi="Arial"/>
          <w:sz w:val="20"/>
          <w:szCs w:val="20"/>
          <w:b w:val="1"/>
          <w:bCs w:val="1"/>
          <w:color w:val="auto"/>
        </w:rPr>
        <w:t>PT CABOT INDONESIA,</w:t>
      </w:r>
    </w:p>
    <w:p>
      <w:pPr>
        <w:ind w:left="1260"/>
        <w:spacing w:after="0"/>
        <w:rPr>
          <w:sz w:val="20"/>
          <w:szCs w:val="20"/>
          <w:color w:val="auto"/>
        </w:rPr>
      </w:pPr>
      <w:r>
        <w:rPr>
          <w:rFonts w:ascii="Arial" w:cs="Arial" w:eastAsia="Arial" w:hAnsi="Arial"/>
          <w:sz w:val="20"/>
          <w:szCs w:val="20"/>
          <w:b w:val="1"/>
          <w:bCs w:val="1"/>
          <w:color w:val="auto"/>
        </w:rPr>
        <w:t>CERTAIN OTHER SUBSIDIARIES OF THE COMPANY FROM TIME TO TIME PARTY HERETO,</w:t>
      </w:r>
    </w:p>
    <w:p>
      <w:pPr>
        <w:ind w:left="4920"/>
        <w:spacing w:after="0"/>
        <w:rPr>
          <w:sz w:val="20"/>
          <w:szCs w:val="20"/>
          <w:color w:val="auto"/>
        </w:rPr>
      </w:pPr>
      <w:r>
        <w:rPr>
          <w:rFonts w:ascii="Arial" w:cs="Arial" w:eastAsia="Arial" w:hAnsi="Arial"/>
          <w:sz w:val="20"/>
          <w:szCs w:val="20"/>
          <w:color w:val="auto"/>
        </w:rPr>
        <w:t>as the Borrowers,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Lenders referred to herein,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Lenders,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23"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PNC BANK, NATIONAL ASSOCIATION,</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as Administrative Agent and</w:t>
      </w:r>
    </w:p>
    <w:p>
      <w:pPr>
        <w:ind w:left="4920"/>
        <w:spacing w:after="0"/>
        <w:rPr>
          <w:sz w:val="20"/>
          <w:szCs w:val="20"/>
          <w:color w:val="auto"/>
        </w:rPr>
      </w:pPr>
      <w:r>
        <w:rPr>
          <w:rFonts w:ascii="Arial" w:cs="Arial" w:eastAsia="Arial" w:hAnsi="Arial"/>
          <w:sz w:val="20"/>
          <w:szCs w:val="20"/>
          <w:color w:val="auto"/>
        </w:rPr>
        <w:t>Swingline Lender</w:t>
      </w:r>
    </w:p>
    <w:p>
      <w:pPr>
        <w:spacing w:after="0" w:line="207" w:lineRule="exact"/>
        <w:rPr>
          <w:sz w:val="20"/>
          <w:szCs w:val="20"/>
          <w:color w:val="auto"/>
        </w:rPr>
      </w:pPr>
    </w:p>
    <w:p>
      <w:pPr>
        <w:ind w:left="2760"/>
        <w:spacing w:after="0"/>
        <w:rPr>
          <w:sz w:val="20"/>
          <w:szCs w:val="20"/>
          <w:color w:val="auto"/>
        </w:rPr>
      </w:pPr>
      <w:r>
        <w:rPr>
          <w:rFonts w:ascii="Arial" w:cs="Arial" w:eastAsia="Arial" w:hAnsi="Arial"/>
          <w:sz w:val="20"/>
          <w:szCs w:val="20"/>
          <w:b w:val="1"/>
          <w:bCs w:val="1"/>
          <w:color w:val="auto"/>
        </w:rPr>
        <w:t>__________________________________________________________</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PNC CAPITAL MARKETS LLC,</w:t>
      </w:r>
    </w:p>
    <w:p>
      <w:pPr>
        <w:jc w:val="center"/>
        <w:spacing w:after="0"/>
        <w:rPr>
          <w:sz w:val="20"/>
          <w:szCs w:val="20"/>
          <w:color w:val="auto"/>
        </w:rPr>
      </w:pPr>
      <w:r>
        <w:rPr>
          <w:rFonts w:ascii="Arial" w:cs="Arial" w:eastAsia="Arial" w:hAnsi="Arial"/>
          <w:sz w:val="20"/>
          <w:szCs w:val="20"/>
          <w:color w:val="auto"/>
        </w:rPr>
        <w:t>as Sole Lead Arranger and Sole Bookrunner,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ING BANK N.V., DUBLIN BRANCH </w:t>
      </w:r>
      <w:r>
        <w:rPr>
          <w:rFonts w:ascii="Arial" w:cs="Arial" w:eastAsia="Arial" w:hAnsi="Arial"/>
          <w:sz w:val="20"/>
          <w:szCs w:val="20"/>
          <w:color w:val="auto"/>
        </w:rPr>
        <w:t>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w:t>
      </w:r>
    </w:p>
    <w:p>
      <w:pPr>
        <w:jc w:val="center"/>
        <w:spacing w:after="0"/>
        <w:rPr>
          <w:sz w:val="20"/>
          <w:szCs w:val="20"/>
          <w:color w:val="auto"/>
        </w:rPr>
      </w:pPr>
      <w:r>
        <w:rPr>
          <w:rFonts w:ascii="Arial" w:cs="Arial" w:eastAsia="Arial" w:hAnsi="Arial"/>
          <w:sz w:val="20"/>
          <w:szCs w:val="20"/>
          <w:color w:val="auto"/>
        </w:rPr>
        <w:t>as Co-Syndication Agents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10"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MIZUHO BANK, LTD.</w:t>
      </w:r>
      <w:r>
        <w:rPr>
          <w:rFonts w:ascii="Arial" w:cs="Arial" w:eastAsia="Arial" w:hAnsi="Arial"/>
          <w:sz w:val="20"/>
          <w:szCs w:val="20"/>
          <w:color w:val="auto"/>
        </w:rPr>
        <w:t>,</w:t>
      </w:r>
    </w:p>
    <w:p>
      <w:pPr>
        <w:spacing w:after="0" w:line="22"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|US-DOCS\139871829.10||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22"/>
          <w:szCs w:val="22"/>
          <w:color w:val="auto"/>
        </w:rPr>
        <w:t>TABLE OF CONTENTS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881"/>
        </w:trPr>
        <w:tc>
          <w:tcPr>
            <w:tcW w:w="8880" w:type="dxa"/>
            <w:vAlign w:val="bottom"/>
          </w:tcPr>
          <w:p>
            <w:pPr>
              <w:ind w:left="20"/>
              <w:spacing w:after="0"/>
              <w:rPr>
                <w:sz w:val="20"/>
                <w:szCs w:val="20"/>
                <w:color w:val="auto"/>
              </w:rPr>
            </w:pPr>
            <w:r>
              <w:rPr>
                <w:rFonts w:ascii="Arial" w:cs="Arial" w:eastAsia="Arial" w:hAnsi="Arial"/>
                <w:sz w:val="22"/>
                <w:szCs w:val="22"/>
                <w:color w:val="auto"/>
              </w:rPr>
              <w:t>ARTICLE I Definitions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1</w:t>
            </w:r>
          </w:p>
        </w:tc>
      </w:tr>
      <w:tr>
        <w:trPr>
          <w:trHeight w:val="374"/>
        </w:trPr>
        <w:tc>
          <w:tcPr>
            <w:tcW w:w="8880" w:type="dxa"/>
            <w:vAlign w:val="bottom"/>
          </w:tcPr>
          <w:p>
            <w:pPr>
              <w:ind w:left="240"/>
              <w:spacing w:after="0"/>
              <w:rPr>
                <w:sz w:val="20"/>
                <w:szCs w:val="20"/>
                <w:color w:val="auto"/>
              </w:rPr>
            </w:pPr>
            <w:r>
              <w:rPr>
                <w:rFonts w:ascii="Arial" w:cs="Arial" w:eastAsia="Arial" w:hAnsi="Arial"/>
                <w:sz w:val="22"/>
                <w:szCs w:val="22"/>
                <w:color w:val="auto"/>
              </w:rPr>
              <w:t>SECTION 1.01 Defined Terms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1</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1.02 Classification of Loans and Borrowings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39</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1.03 Terms Generally</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39</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1.04 Accounting Terms; GAAP</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40</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1.05 Luxembourg Terms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40</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1.06 Divisions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41</w:t>
            </w:r>
          </w:p>
        </w:tc>
      </w:tr>
      <w:tr>
        <w:trPr>
          <w:trHeight w:val="274"/>
        </w:trPr>
        <w:tc>
          <w:tcPr>
            <w:tcW w:w="8880" w:type="dxa"/>
            <w:vAlign w:val="bottom"/>
          </w:tcPr>
          <w:p>
            <w:pPr>
              <w:ind w:left="240"/>
              <w:spacing w:after="0"/>
              <w:rPr>
                <w:sz w:val="20"/>
                <w:szCs w:val="20"/>
                <w:color w:val="auto"/>
              </w:rPr>
            </w:pPr>
            <w:r>
              <w:rPr>
                <w:rFonts w:ascii="Arial" w:cs="Arial" w:eastAsia="Arial" w:hAnsi="Arial"/>
                <w:sz w:val="22"/>
                <w:szCs w:val="22"/>
                <w:color w:val="auto"/>
              </w:rPr>
              <w:t>SECTION 1.07 Interest Rates; Benchmark Notification</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41</w:t>
            </w:r>
          </w:p>
        </w:tc>
      </w:tr>
      <w:tr>
        <w:trPr>
          <w:trHeight w:val="378"/>
        </w:trPr>
        <w:tc>
          <w:tcPr>
            <w:tcW w:w="8880" w:type="dxa"/>
            <w:vAlign w:val="bottom"/>
          </w:tcPr>
          <w:p>
            <w:pPr>
              <w:ind w:left="20"/>
              <w:spacing w:after="0"/>
              <w:rPr>
                <w:sz w:val="20"/>
                <w:szCs w:val="20"/>
                <w:color w:val="auto"/>
              </w:rPr>
            </w:pPr>
            <w:r>
              <w:rPr>
                <w:rFonts w:ascii="Arial" w:cs="Arial" w:eastAsia="Arial" w:hAnsi="Arial"/>
                <w:sz w:val="22"/>
                <w:szCs w:val="22"/>
                <w:color w:val="auto"/>
              </w:rPr>
              <w:t>ARTICLE II The Credits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42</w:t>
            </w:r>
          </w:p>
        </w:tc>
      </w:tr>
      <w:tr>
        <w:trPr>
          <w:trHeight w:val="374"/>
        </w:trPr>
        <w:tc>
          <w:tcPr>
            <w:tcW w:w="8880" w:type="dxa"/>
            <w:vAlign w:val="bottom"/>
          </w:tcPr>
          <w:p>
            <w:pPr>
              <w:ind w:left="240"/>
              <w:spacing w:after="0"/>
              <w:rPr>
                <w:sz w:val="20"/>
                <w:szCs w:val="20"/>
                <w:color w:val="auto"/>
              </w:rPr>
            </w:pPr>
            <w:r>
              <w:rPr>
                <w:rFonts w:ascii="Arial" w:cs="Arial" w:eastAsia="Arial" w:hAnsi="Arial"/>
                <w:sz w:val="22"/>
                <w:szCs w:val="22"/>
                <w:color w:val="auto"/>
              </w:rPr>
              <w:t>SECTION 2.01 Commitments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42</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2.02 Loans and Borrowings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42</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2.03 Requests for Revolving Borrowings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43</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2.04 Determination of Euro Amounts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44</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2.05 Swingline Loans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44</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2.06 [Reserved]</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46</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2.07 Funding of Borrowings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46</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2.08 Interest Elections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47</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2.09 Termination and Reduction of Commitments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49</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2.10 Repayment of Loans; Evidence of Debt</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50</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2.11 Prepayment of Loans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50</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2.12 Fees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52</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2.13 Interest</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52</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2.14 Alternate Rate of Interest</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2.15 Increased Costs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57</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2.16 Break Funding Payments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58</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2.17 Taxes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59</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2.18 Payments Generally; Pro Rata Treatment; Sharing of Set-offs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67</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2.19 Mitigation Obligations; Replacement of Lenders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68</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2.20 Defaulting Lenders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69</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2.21 [Reserved]</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71</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2.22 Judgment Currency</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71</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2.23 Designated Borrowers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72</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2.24 Designation of Company as the Agent for the Borrowers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74</w:t>
            </w:r>
          </w:p>
        </w:tc>
      </w:tr>
      <w:tr>
        <w:trPr>
          <w:trHeight w:val="274"/>
        </w:trPr>
        <w:tc>
          <w:tcPr>
            <w:tcW w:w="8880" w:type="dxa"/>
            <w:vAlign w:val="bottom"/>
          </w:tcPr>
          <w:p>
            <w:pPr>
              <w:ind w:left="240"/>
              <w:spacing w:after="0"/>
              <w:rPr>
                <w:sz w:val="20"/>
                <w:szCs w:val="20"/>
                <w:color w:val="auto"/>
              </w:rPr>
            </w:pPr>
            <w:r>
              <w:rPr>
                <w:rFonts w:ascii="Arial" w:cs="Arial" w:eastAsia="Arial" w:hAnsi="Arial"/>
                <w:sz w:val="22"/>
                <w:szCs w:val="22"/>
                <w:color w:val="auto"/>
              </w:rPr>
              <w:t>SECTION 2.25 Foreign Obligor Obligations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74</w:t>
            </w:r>
          </w:p>
        </w:tc>
      </w:tr>
      <w:tr>
        <w:trPr>
          <w:trHeight w:val="378"/>
        </w:trPr>
        <w:tc>
          <w:tcPr>
            <w:tcW w:w="8880" w:type="dxa"/>
            <w:vAlign w:val="bottom"/>
          </w:tcPr>
          <w:p>
            <w:pPr>
              <w:ind w:left="20"/>
              <w:spacing w:after="0"/>
              <w:rPr>
                <w:sz w:val="20"/>
                <w:szCs w:val="20"/>
                <w:color w:val="auto"/>
              </w:rPr>
            </w:pPr>
            <w:r>
              <w:rPr>
                <w:rFonts w:ascii="Arial" w:cs="Arial" w:eastAsia="Arial" w:hAnsi="Arial"/>
                <w:sz w:val="22"/>
                <w:szCs w:val="22"/>
                <w:color w:val="auto"/>
              </w:rPr>
              <w:t>ARTICLE III Representations and Warranties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74</w:t>
            </w:r>
          </w:p>
        </w:tc>
      </w:tr>
      <w:tr>
        <w:trPr>
          <w:trHeight w:val="374"/>
        </w:trPr>
        <w:tc>
          <w:tcPr>
            <w:tcW w:w="8880" w:type="dxa"/>
            <w:vAlign w:val="bottom"/>
          </w:tcPr>
          <w:p>
            <w:pPr>
              <w:ind w:left="240"/>
              <w:spacing w:after="0"/>
              <w:rPr>
                <w:sz w:val="20"/>
                <w:szCs w:val="20"/>
                <w:color w:val="auto"/>
              </w:rPr>
            </w:pPr>
            <w:r>
              <w:rPr>
                <w:rFonts w:ascii="Arial" w:cs="Arial" w:eastAsia="Arial" w:hAnsi="Arial"/>
                <w:sz w:val="22"/>
                <w:szCs w:val="22"/>
                <w:color w:val="auto"/>
              </w:rPr>
              <w:t>SECTION 3.01 Organization; Powers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74</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3.02 Authorization; Enforceability</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75</w:t>
            </w:r>
          </w:p>
        </w:tc>
      </w:tr>
      <w:tr>
        <w:trPr>
          <w:trHeight w:val="270"/>
        </w:trPr>
        <w:tc>
          <w:tcPr>
            <w:tcW w:w="8880" w:type="dxa"/>
            <w:vAlign w:val="bottom"/>
          </w:tcPr>
          <w:p>
            <w:pPr>
              <w:ind w:left="240"/>
              <w:spacing w:after="0"/>
              <w:rPr>
                <w:sz w:val="20"/>
                <w:szCs w:val="20"/>
                <w:color w:val="auto"/>
              </w:rPr>
            </w:pPr>
            <w:r>
              <w:rPr>
                <w:rFonts w:ascii="Arial" w:cs="Arial" w:eastAsia="Arial" w:hAnsi="Arial"/>
                <w:sz w:val="22"/>
                <w:szCs w:val="22"/>
                <w:color w:val="auto"/>
              </w:rPr>
              <w:t>SECTION 3.03 Governmental Approvals; No Conflicts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75</w:t>
            </w:r>
          </w:p>
        </w:tc>
      </w:tr>
      <w:tr>
        <w:trPr>
          <w:trHeight w:val="259"/>
        </w:trPr>
        <w:tc>
          <w:tcPr>
            <w:tcW w:w="8880" w:type="dxa"/>
            <w:vAlign w:val="bottom"/>
          </w:tcPr>
          <w:p>
            <w:pPr>
              <w:ind w:left="240"/>
              <w:spacing w:after="0"/>
              <w:rPr>
                <w:sz w:val="20"/>
                <w:szCs w:val="20"/>
                <w:color w:val="auto"/>
              </w:rPr>
            </w:pPr>
            <w:r>
              <w:rPr>
                <w:rFonts w:ascii="Arial" w:cs="Arial" w:eastAsia="Arial" w:hAnsi="Arial"/>
                <w:sz w:val="22"/>
                <w:szCs w:val="22"/>
                <w:color w:val="auto"/>
              </w:rPr>
              <w:t>SECTION 3.04 Financial Condition; No Material Adverse Change</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75</w:t>
            </w:r>
          </w:p>
        </w:tc>
      </w:tr>
      <w:tr>
        <w:trPr>
          <w:trHeight w:val="182"/>
        </w:trPr>
        <w:tc>
          <w:tcPr>
            <w:tcW w:w="8880" w:type="dxa"/>
            <w:vAlign w:val="bottom"/>
          </w:tcPr>
          <w:p>
            <w:pPr>
              <w:ind w:left="5600"/>
              <w:spacing w:after="0"/>
              <w:rPr>
                <w:sz w:val="20"/>
                <w:szCs w:val="20"/>
                <w:color w:val="auto"/>
              </w:rPr>
            </w:pPr>
            <w:r>
              <w:rPr>
                <w:rFonts w:ascii="Arial" w:cs="Arial" w:eastAsia="Arial" w:hAnsi="Arial"/>
                <w:sz w:val="14"/>
                <w:szCs w:val="14"/>
                <w:color w:val="auto"/>
              </w:rPr>
              <w:t>i</w:t>
            </w:r>
          </w:p>
        </w:tc>
        <w:tc>
          <w:tcPr>
            <w:tcW w:w="19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48"/>
        </w:trPr>
        <w:tc>
          <w:tcPr>
            <w:tcW w:w="8880" w:type="dxa"/>
            <w:vAlign w:val="bottom"/>
            <w:tcBorders>
              <w:bottom w:val="single" w:sz="8" w:color="9A9A9A"/>
            </w:tcBorders>
          </w:tcPr>
          <w:p>
            <w:pPr>
              <w:spacing w:after="0"/>
              <w:rPr>
                <w:sz w:val="21"/>
                <w:szCs w:val="21"/>
                <w:color w:val="auto"/>
              </w:rPr>
            </w:pPr>
          </w:p>
        </w:tc>
        <w:tc>
          <w:tcPr>
            <w:tcW w:w="1940" w:type="dxa"/>
            <w:vAlign w:val="bottom"/>
            <w:tcBorders>
              <w:bottom w:val="single" w:sz="8" w:color="9A9A9A"/>
            </w:tcBorders>
          </w:tcPr>
          <w:p>
            <w:pPr>
              <w:spacing w:after="0"/>
              <w:rPr>
                <w:sz w:val="21"/>
                <w:szCs w:val="21"/>
                <w:color w:val="auto"/>
              </w:rPr>
            </w:pPr>
          </w:p>
        </w:tc>
        <w:tc>
          <w:tcPr>
            <w:tcW w:w="4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3.05 Litigation and Environmental Matters</w:t>
            </w:r>
          </w:p>
        </w:tc>
        <w:tc>
          <w:tcPr>
            <w:tcW w:w="196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3.06 Compliance with Laws and Agreements; No Default</w:t>
            </w:r>
          </w:p>
        </w:tc>
        <w:tc>
          <w:tcPr>
            <w:tcW w:w="196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3.07 Investment Company Status; Margin Regulations</w:t>
            </w:r>
          </w:p>
        </w:tc>
        <w:tc>
          <w:tcPr>
            <w:tcW w:w="196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3.08 Taxes</w:t>
            </w:r>
          </w:p>
        </w:tc>
        <w:tc>
          <w:tcPr>
            <w:tcW w:w="196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3.09 ERISA</w:t>
            </w:r>
          </w:p>
        </w:tc>
        <w:tc>
          <w:tcPr>
            <w:tcW w:w="196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3.10 Disclosure</w:t>
            </w:r>
          </w:p>
        </w:tc>
        <w:tc>
          <w:tcPr>
            <w:tcW w:w="196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3.11 Subsidiaries</w:t>
            </w:r>
          </w:p>
        </w:tc>
        <w:tc>
          <w:tcPr>
            <w:tcW w:w="196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3.12 Representations as to Foreign Obligors</w:t>
            </w:r>
          </w:p>
        </w:tc>
        <w:tc>
          <w:tcPr>
            <w:tcW w:w="196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3.13 Swiss Non-Bank Rules</w:t>
            </w:r>
          </w:p>
        </w:tc>
        <w:tc>
          <w:tcPr>
            <w:tcW w:w="19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3.14 Swiss COVID Loans</w:t>
            </w:r>
          </w:p>
        </w:tc>
        <w:tc>
          <w:tcPr>
            <w:tcW w:w="19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3.15 Use of Proceeds</w:t>
            </w:r>
          </w:p>
        </w:tc>
        <w:tc>
          <w:tcPr>
            <w:tcW w:w="19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3.16 Anti-Corruption Laws, Anti-Money Laundering Laws and Sanctions</w:t>
            </w:r>
          </w:p>
        </w:tc>
        <w:tc>
          <w:tcPr>
            <w:tcW w:w="19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3.17 Affected Financial Institutions</w:t>
            </w:r>
          </w:p>
        </w:tc>
        <w:tc>
          <w:tcPr>
            <w:tcW w:w="19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74"/>
        </w:trPr>
        <w:tc>
          <w:tcPr>
            <w:tcW w:w="9280" w:type="dxa"/>
            <w:vAlign w:val="bottom"/>
          </w:tcPr>
          <w:p>
            <w:pPr>
              <w:ind w:left="240"/>
              <w:spacing w:after="0"/>
              <w:rPr>
                <w:sz w:val="20"/>
                <w:szCs w:val="20"/>
                <w:color w:val="auto"/>
              </w:rPr>
            </w:pPr>
            <w:r>
              <w:rPr>
                <w:rFonts w:ascii="Arial" w:cs="Arial" w:eastAsia="Arial" w:hAnsi="Arial"/>
                <w:sz w:val="22"/>
                <w:szCs w:val="22"/>
                <w:color w:val="auto"/>
              </w:rPr>
              <w:t>SECTION 3.18 Solvency</w:t>
            </w:r>
          </w:p>
        </w:tc>
        <w:tc>
          <w:tcPr>
            <w:tcW w:w="19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78"/>
        </w:trPr>
        <w:tc>
          <w:tcPr>
            <w:tcW w:w="9280" w:type="dxa"/>
            <w:vAlign w:val="bottom"/>
          </w:tcPr>
          <w:p>
            <w:pPr>
              <w:ind w:left="20"/>
              <w:spacing w:after="0"/>
              <w:rPr>
                <w:sz w:val="20"/>
                <w:szCs w:val="20"/>
                <w:color w:val="auto"/>
              </w:rPr>
            </w:pPr>
            <w:r>
              <w:rPr>
                <w:rFonts w:ascii="Arial" w:cs="Arial" w:eastAsia="Arial" w:hAnsi="Arial"/>
                <w:sz w:val="22"/>
                <w:szCs w:val="22"/>
                <w:color w:val="auto"/>
              </w:rPr>
              <w:t>ARTICLE IV Conditions</w:t>
            </w:r>
          </w:p>
        </w:tc>
        <w:tc>
          <w:tcPr>
            <w:tcW w:w="19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74"/>
        </w:trPr>
        <w:tc>
          <w:tcPr>
            <w:tcW w:w="9280" w:type="dxa"/>
            <w:vAlign w:val="bottom"/>
          </w:tcPr>
          <w:p>
            <w:pPr>
              <w:ind w:left="240"/>
              <w:spacing w:after="0"/>
              <w:rPr>
                <w:sz w:val="20"/>
                <w:szCs w:val="20"/>
                <w:color w:val="auto"/>
              </w:rPr>
            </w:pPr>
            <w:r>
              <w:rPr>
                <w:rFonts w:ascii="Arial" w:cs="Arial" w:eastAsia="Arial" w:hAnsi="Arial"/>
                <w:sz w:val="22"/>
                <w:szCs w:val="22"/>
                <w:color w:val="auto"/>
              </w:rPr>
              <w:t>SECTION 4.01 Effective Date</w:t>
            </w:r>
          </w:p>
        </w:tc>
        <w:tc>
          <w:tcPr>
            <w:tcW w:w="19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4.02 Each Credit Event</w:t>
            </w:r>
          </w:p>
        </w:tc>
        <w:tc>
          <w:tcPr>
            <w:tcW w:w="196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274"/>
        </w:trPr>
        <w:tc>
          <w:tcPr>
            <w:tcW w:w="9280" w:type="dxa"/>
            <w:vAlign w:val="bottom"/>
          </w:tcPr>
          <w:p>
            <w:pPr>
              <w:ind w:left="240"/>
              <w:spacing w:after="0"/>
              <w:rPr>
                <w:sz w:val="20"/>
                <w:szCs w:val="20"/>
                <w:color w:val="auto"/>
              </w:rPr>
            </w:pPr>
            <w:r>
              <w:rPr>
                <w:rFonts w:ascii="Arial" w:cs="Arial" w:eastAsia="Arial" w:hAnsi="Arial"/>
                <w:sz w:val="22"/>
                <w:szCs w:val="22"/>
                <w:color w:val="auto"/>
              </w:rPr>
              <w:t>SECTION 4.03 Initial Credit Event for each Additional Borrower</w:t>
            </w:r>
          </w:p>
        </w:tc>
        <w:tc>
          <w:tcPr>
            <w:tcW w:w="196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78"/>
        </w:trPr>
        <w:tc>
          <w:tcPr>
            <w:tcW w:w="9280" w:type="dxa"/>
            <w:vAlign w:val="bottom"/>
          </w:tcPr>
          <w:p>
            <w:pPr>
              <w:ind w:left="20"/>
              <w:spacing w:after="0"/>
              <w:rPr>
                <w:sz w:val="20"/>
                <w:szCs w:val="20"/>
                <w:color w:val="auto"/>
              </w:rPr>
            </w:pPr>
            <w:r>
              <w:rPr>
                <w:rFonts w:ascii="Arial" w:cs="Arial" w:eastAsia="Arial" w:hAnsi="Arial"/>
                <w:sz w:val="22"/>
                <w:szCs w:val="22"/>
                <w:color w:val="auto"/>
              </w:rPr>
              <w:t>ARTICLE V Affirmative Covenants</w:t>
            </w:r>
          </w:p>
        </w:tc>
        <w:tc>
          <w:tcPr>
            <w:tcW w:w="196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74"/>
        </w:trPr>
        <w:tc>
          <w:tcPr>
            <w:tcW w:w="9280" w:type="dxa"/>
            <w:vAlign w:val="bottom"/>
          </w:tcPr>
          <w:p>
            <w:pPr>
              <w:ind w:left="240"/>
              <w:spacing w:after="0"/>
              <w:rPr>
                <w:sz w:val="20"/>
                <w:szCs w:val="20"/>
                <w:color w:val="auto"/>
              </w:rPr>
            </w:pPr>
            <w:r>
              <w:rPr>
                <w:rFonts w:ascii="Arial" w:cs="Arial" w:eastAsia="Arial" w:hAnsi="Arial"/>
                <w:sz w:val="22"/>
                <w:szCs w:val="22"/>
                <w:color w:val="auto"/>
              </w:rPr>
              <w:t>SECTION 5.01 Financial Statements and Other Information</w:t>
            </w:r>
          </w:p>
        </w:tc>
        <w:tc>
          <w:tcPr>
            <w:tcW w:w="196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5.02 Notices of Material Events</w:t>
            </w:r>
          </w:p>
        </w:tc>
        <w:tc>
          <w:tcPr>
            <w:tcW w:w="196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5.03 Existence; Conduct of Business</w:t>
            </w:r>
          </w:p>
        </w:tc>
        <w:tc>
          <w:tcPr>
            <w:tcW w:w="196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5.04 Payment of Obligations</w:t>
            </w:r>
          </w:p>
        </w:tc>
        <w:tc>
          <w:tcPr>
            <w:tcW w:w="196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5.05 Maintenance of Properties; Insurance</w:t>
            </w:r>
          </w:p>
        </w:tc>
        <w:tc>
          <w:tcPr>
            <w:tcW w:w="196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5.06 Books and Records; Inspection Rights</w:t>
            </w:r>
          </w:p>
        </w:tc>
        <w:tc>
          <w:tcPr>
            <w:tcW w:w="196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5.07 Compliance with Laws</w:t>
            </w:r>
          </w:p>
        </w:tc>
        <w:tc>
          <w:tcPr>
            <w:tcW w:w="196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5.08 Use of Proceeds</w:t>
            </w:r>
          </w:p>
        </w:tc>
        <w:tc>
          <w:tcPr>
            <w:tcW w:w="196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5.09 Swiss Non-Bank Rules</w:t>
            </w:r>
          </w:p>
        </w:tc>
        <w:tc>
          <w:tcPr>
            <w:tcW w:w="196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5.10 Indonesian Translation; Indonesian Statement Letters</w:t>
            </w:r>
          </w:p>
        </w:tc>
        <w:tc>
          <w:tcPr>
            <w:tcW w:w="196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74"/>
        </w:trPr>
        <w:tc>
          <w:tcPr>
            <w:tcW w:w="9280" w:type="dxa"/>
            <w:vAlign w:val="bottom"/>
          </w:tcPr>
          <w:p>
            <w:pPr>
              <w:ind w:left="240"/>
              <w:spacing w:after="0"/>
              <w:rPr>
                <w:sz w:val="20"/>
                <w:szCs w:val="20"/>
                <w:color w:val="auto"/>
              </w:rPr>
            </w:pPr>
            <w:r>
              <w:rPr>
                <w:rFonts w:ascii="Arial" w:cs="Arial" w:eastAsia="Arial" w:hAnsi="Arial"/>
                <w:sz w:val="22"/>
                <w:szCs w:val="22"/>
                <w:color w:val="auto"/>
              </w:rPr>
              <w:t>SECTION 5.11 Indonesian Filings</w:t>
            </w:r>
          </w:p>
        </w:tc>
        <w:tc>
          <w:tcPr>
            <w:tcW w:w="196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78"/>
        </w:trPr>
        <w:tc>
          <w:tcPr>
            <w:tcW w:w="9280" w:type="dxa"/>
            <w:vAlign w:val="bottom"/>
          </w:tcPr>
          <w:p>
            <w:pPr>
              <w:ind w:left="20"/>
              <w:spacing w:after="0"/>
              <w:rPr>
                <w:sz w:val="20"/>
                <w:szCs w:val="20"/>
                <w:color w:val="auto"/>
              </w:rPr>
            </w:pPr>
            <w:r>
              <w:rPr>
                <w:rFonts w:ascii="Arial" w:cs="Arial" w:eastAsia="Arial" w:hAnsi="Arial"/>
                <w:sz w:val="22"/>
                <w:szCs w:val="22"/>
                <w:color w:val="auto"/>
              </w:rPr>
              <w:t>ARTICLE VI Negative Covenants</w:t>
            </w:r>
          </w:p>
        </w:tc>
        <w:tc>
          <w:tcPr>
            <w:tcW w:w="196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74"/>
        </w:trPr>
        <w:tc>
          <w:tcPr>
            <w:tcW w:w="9280" w:type="dxa"/>
            <w:vAlign w:val="bottom"/>
          </w:tcPr>
          <w:p>
            <w:pPr>
              <w:ind w:left="240"/>
              <w:spacing w:after="0"/>
              <w:rPr>
                <w:sz w:val="20"/>
                <w:szCs w:val="20"/>
                <w:color w:val="auto"/>
              </w:rPr>
            </w:pPr>
            <w:r>
              <w:rPr>
                <w:rFonts w:ascii="Arial" w:cs="Arial" w:eastAsia="Arial" w:hAnsi="Arial"/>
                <w:sz w:val="22"/>
                <w:szCs w:val="22"/>
                <w:color w:val="auto"/>
              </w:rPr>
              <w:t>SECTION 6.01 Liens</w:t>
            </w:r>
          </w:p>
        </w:tc>
        <w:tc>
          <w:tcPr>
            <w:tcW w:w="196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6.02 Fundamental Changes</w:t>
            </w:r>
          </w:p>
        </w:tc>
        <w:tc>
          <w:tcPr>
            <w:tcW w:w="196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6.03 Investments, Loans, Advances, Guarantees and Acquisitions</w:t>
            </w:r>
          </w:p>
        </w:tc>
        <w:tc>
          <w:tcPr>
            <w:tcW w:w="196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6.04 Transactions with Affiliates</w:t>
            </w:r>
          </w:p>
        </w:tc>
        <w:tc>
          <w:tcPr>
            <w:tcW w:w="19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6.05 Financial Covenant</w:t>
            </w:r>
          </w:p>
        </w:tc>
        <w:tc>
          <w:tcPr>
            <w:tcW w:w="19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6.06 Organization Documents</w:t>
            </w:r>
          </w:p>
        </w:tc>
        <w:tc>
          <w:tcPr>
            <w:tcW w:w="19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270"/>
        </w:trPr>
        <w:tc>
          <w:tcPr>
            <w:tcW w:w="9280" w:type="dxa"/>
            <w:vAlign w:val="bottom"/>
          </w:tcPr>
          <w:p>
            <w:pPr>
              <w:ind w:left="240"/>
              <w:spacing w:after="0"/>
              <w:rPr>
                <w:sz w:val="20"/>
                <w:szCs w:val="20"/>
                <w:color w:val="auto"/>
              </w:rPr>
            </w:pPr>
            <w:r>
              <w:rPr>
                <w:rFonts w:ascii="Arial" w:cs="Arial" w:eastAsia="Arial" w:hAnsi="Arial"/>
                <w:sz w:val="22"/>
                <w:szCs w:val="22"/>
                <w:color w:val="auto"/>
              </w:rPr>
              <w:t>SECTION 6.07 Use of Proceeds</w:t>
            </w:r>
          </w:p>
        </w:tc>
        <w:tc>
          <w:tcPr>
            <w:tcW w:w="19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274"/>
        </w:trPr>
        <w:tc>
          <w:tcPr>
            <w:tcW w:w="9280" w:type="dxa"/>
            <w:vAlign w:val="bottom"/>
          </w:tcPr>
          <w:p>
            <w:pPr>
              <w:ind w:left="240"/>
              <w:spacing w:after="0"/>
              <w:rPr>
                <w:sz w:val="20"/>
                <w:szCs w:val="20"/>
                <w:color w:val="auto"/>
              </w:rPr>
            </w:pPr>
            <w:r>
              <w:rPr>
                <w:rFonts w:ascii="Arial" w:cs="Arial" w:eastAsia="Arial" w:hAnsi="Arial"/>
                <w:sz w:val="22"/>
                <w:szCs w:val="22"/>
                <w:color w:val="auto"/>
              </w:rPr>
              <w:t>SECTION 6.08 Subsidiary Indebtedness</w:t>
            </w:r>
          </w:p>
        </w:tc>
        <w:tc>
          <w:tcPr>
            <w:tcW w:w="19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78"/>
        </w:trPr>
        <w:tc>
          <w:tcPr>
            <w:tcW w:w="9280" w:type="dxa"/>
            <w:vAlign w:val="bottom"/>
          </w:tcPr>
          <w:p>
            <w:pPr>
              <w:ind w:left="20"/>
              <w:spacing w:after="0"/>
              <w:rPr>
                <w:sz w:val="20"/>
                <w:szCs w:val="20"/>
                <w:color w:val="auto"/>
              </w:rPr>
            </w:pPr>
            <w:r>
              <w:rPr>
                <w:rFonts w:ascii="Arial" w:cs="Arial" w:eastAsia="Arial" w:hAnsi="Arial"/>
                <w:sz w:val="22"/>
                <w:szCs w:val="22"/>
                <w:color w:val="auto"/>
              </w:rPr>
              <w:t>ARTICLE VII Events of Default</w:t>
            </w:r>
          </w:p>
        </w:tc>
        <w:tc>
          <w:tcPr>
            <w:tcW w:w="19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78"/>
        </w:trPr>
        <w:tc>
          <w:tcPr>
            <w:tcW w:w="9280" w:type="dxa"/>
            <w:vAlign w:val="bottom"/>
          </w:tcPr>
          <w:p>
            <w:pPr>
              <w:ind w:left="240"/>
              <w:spacing w:after="0"/>
              <w:rPr>
                <w:sz w:val="20"/>
                <w:szCs w:val="20"/>
                <w:color w:val="auto"/>
              </w:rPr>
            </w:pPr>
            <w:r>
              <w:rPr>
                <w:rFonts w:ascii="Arial" w:cs="Arial" w:eastAsia="Arial" w:hAnsi="Arial"/>
                <w:sz w:val="22"/>
                <w:szCs w:val="22"/>
                <w:color w:val="auto"/>
              </w:rPr>
              <w:t>SECTION 7.01 Events of Default</w:t>
            </w:r>
          </w:p>
        </w:tc>
        <w:tc>
          <w:tcPr>
            <w:tcW w:w="19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78"/>
        </w:trPr>
        <w:tc>
          <w:tcPr>
            <w:tcW w:w="9280" w:type="dxa"/>
            <w:vAlign w:val="bottom"/>
          </w:tcPr>
          <w:p>
            <w:pPr>
              <w:ind w:left="20"/>
              <w:spacing w:after="0"/>
              <w:rPr>
                <w:sz w:val="20"/>
                <w:szCs w:val="20"/>
                <w:color w:val="auto"/>
              </w:rPr>
            </w:pPr>
            <w:r>
              <w:rPr>
                <w:rFonts w:ascii="Arial" w:cs="Arial" w:eastAsia="Arial" w:hAnsi="Arial"/>
                <w:sz w:val="22"/>
                <w:szCs w:val="22"/>
                <w:color w:val="auto"/>
              </w:rPr>
              <w:t>ARTICLE VIII The Administrative Agent</w:t>
            </w:r>
          </w:p>
        </w:tc>
        <w:tc>
          <w:tcPr>
            <w:tcW w:w="196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275"/>
        </w:trPr>
        <w:tc>
          <w:tcPr>
            <w:tcW w:w="9280" w:type="dxa"/>
            <w:vAlign w:val="bottom"/>
          </w:tcPr>
          <w:p>
            <w:pPr>
              <w:ind w:left="5540"/>
              <w:spacing w:after="0"/>
              <w:rPr>
                <w:sz w:val="20"/>
                <w:szCs w:val="20"/>
                <w:color w:val="auto"/>
              </w:rPr>
            </w:pPr>
            <w:r>
              <w:rPr>
                <w:rFonts w:ascii="Arial" w:cs="Arial" w:eastAsia="Arial" w:hAnsi="Arial"/>
                <w:sz w:val="14"/>
                <w:szCs w:val="14"/>
                <w:color w:val="auto"/>
              </w:rPr>
              <w:t>-ii-</w:t>
            </w:r>
          </w:p>
        </w:tc>
        <w:tc>
          <w:tcPr>
            <w:tcW w:w="1960" w:type="dxa"/>
            <w:vAlign w:val="bottom"/>
          </w:tcPr>
          <w:p>
            <w:pPr>
              <w:spacing w:after="0"/>
              <w:rPr>
                <w:sz w:val="23"/>
                <w:szCs w:val="23"/>
                <w:color w:val="auto"/>
              </w:rPr>
            </w:pPr>
          </w:p>
        </w:tc>
      </w:tr>
      <w:tr>
        <w:trPr>
          <w:trHeight w:val="248"/>
        </w:trPr>
        <w:tc>
          <w:tcPr>
            <w:tcW w:w="9280" w:type="dxa"/>
            <w:vAlign w:val="bottom"/>
            <w:tcBorders>
              <w:bottom w:val="single" w:sz="8" w:color="9A9A9A"/>
            </w:tcBorders>
          </w:tcPr>
          <w:p>
            <w:pPr>
              <w:spacing w:after="0"/>
              <w:rPr>
                <w:sz w:val="21"/>
                <w:szCs w:val="21"/>
                <w:color w:val="auto"/>
              </w:rPr>
            </w:pPr>
          </w:p>
        </w:tc>
        <w:tc>
          <w:tcPr>
            <w:tcW w:w="196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8.01 Appointment and Authority</w:t>
            </w:r>
          </w:p>
        </w:tc>
        <w:tc>
          <w:tcPr>
            <w:tcW w:w="152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8.02 Rights as a Lender</w:t>
            </w:r>
          </w:p>
        </w:tc>
        <w:tc>
          <w:tcPr>
            <w:tcW w:w="152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8.03 Exculpatory Provisions</w:t>
            </w:r>
          </w:p>
        </w:tc>
        <w:tc>
          <w:tcPr>
            <w:tcW w:w="152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8.04 Reliance by the Administrative Agent</w:t>
            </w:r>
          </w:p>
        </w:tc>
        <w:tc>
          <w:tcPr>
            <w:tcW w:w="152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8.05 Delegation of Duties</w:t>
            </w:r>
          </w:p>
        </w:tc>
        <w:tc>
          <w:tcPr>
            <w:tcW w:w="152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8.06 Resignation of Administrative Agent</w:t>
            </w:r>
          </w:p>
        </w:tc>
        <w:tc>
          <w:tcPr>
            <w:tcW w:w="152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8.07 Non-Reliance on Administrative Agent and Other Lenders</w:t>
            </w:r>
          </w:p>
        </w:tc>
        <w:tc>
          <w:tcPr>
            <w:tcW w:w="152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8.08 No Other Duties, Etc</w:t>
            </w:r>
          </w:p>
        </w:tc>
        <w:tc>
          <w:tcPr>
            <w:tcW w:w="152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8.09 Administrative Agent May File Proofs of Claim</w:t>
            </w:r>
          </w:p>
        </w:tc>
        <w:tc>
          <w:tcPr>
            <w:tcW w:w="152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274"/>
        </w:trPr>
        <w:tc>
          <w:tcPr>
            <w:tcW w:w="9720" w:type="dxa"/>
            <w:vAlign w:val="bottom"/>
          </w:tcPr>
          <w:p>
            <w:pPr>
              <w:ind w:left="240"/>
              <w:spacing w:after="0"/>
              <w:rPr>
                <w:sz w:val="20"/>
                <w:szCs w:val="20"/>
                <w:color w:val="auto"/>
              </w:rPr>
            </w:pPr>
            <w:r>
              <w:rPr>
                <w:rFonts w:ascii="Arial" w:cs="Arial" w:eastAsia="Arial" w:hAnsi="Arial"/>
                <w:sz w:val="22"/>
                <w:szCs w:val="22"/>
                <w:color w:val="auto"/>
              </w:rPr>
              <w:t>SECTION 8.10 Certain ERISA Matters</w:t>
            </w:r>
          </w:p>
        </w:tc>
        <w:tc>
          <w:tcPr>
            <w:tcW w:w="152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378"/>
        </w:trPr>
        <w:tc>
          <w:tcPr>
            <w:tcW w:w="9720" w:type="dxa"/>
            <w:vAlign w:val="bottom"/>
          </w:tcPr>
          <w:p>
            <w:pPr>
              <w:ind w:left="20"/>
              <w:spacing w:after="0"/>
              <w:rPr>
                <w:sz w:val="20"/>
                <w:szCs w:val="20"/>
                <w:color w:val="auto"/>
              </w:rPr>
            </w:pPr>
            <w:r>
              <w:rPr>
                <w:rFonts w:ascii="Arial" w:cs="Arial" w:eastAsia="Arial" w:hAnsi="Arial"/>
                <w:sz w:val="22"/>
                <w:szCs w:val="22"/>
                <w:color w:val="auto"/>
              </w:rPr>
              <w:t>ARTICLE IX Guaranty</w:t>
            </w:r>
          </w:p>
        </w:tc>
        <w:tc>
          <w:tcPr>
            <w:tcW w:w="152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374"/>
        </w:trPr>
        <w:tc>
          <w:tcPr>
            <w:tcW w:w="9720" w:type="dxa"/>
            <w:vAlign w:val="bottom"/>
          </w:tcPr>
          <w:p>
            <w:pPr>
              <w:ind w:left="240"/>
              <w:spacing w:after="0"/>
              <w:rPr>
                <w:sz w:val="20"/>
                <w:szCs w:val="20"/>
                <w:color w:val="auto"/>
              </w:rPr>
            </w:pPr>
            <w:r>
              <w:rPr>
                <w:rFonts w:ascii="Arial" w:cs="Arial" w:eastAsia="Arial" w:hAnsi="Arial"/>
                <w:sz w:val="22"/>
                <w:szCs w:val="22"/>
                <w:color w:val="auto"/>
              </w:rPr>
              <w:t>SECTION 9.01 Guaranty</w:t>
            </w:r>
          </w:p>
        </w:tc>
        <w:tc>
          <w:tcPr>
            <w:tcW w:w="152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9.02 Bankruptcy Limitations on the Guarantor</w:t>
            </w:r>
          </w:p>
        </w:tc>
        <w:tc>
          <w:tcPr>
            <w:tcW w:w="152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9.03 No Subrogation</w:t>
            </w:r>
          </w:p>
        </w:tc>
        <w:tc>
          <w:tcPr>
            <w:tcW w:w="152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9.04 Nature of Guaranty</w:t>
            </w:r>
          </w:p>
        </w:tc>
        <w:tc>
          <w:tcPr>
            <w:tcW w:w="152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9.05 Waivers</w:t>
            </w:r>
          </w:p>
        </w:tc>
        <w:tc>
          <w:tcPr>
            <w:tcW w:w="152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9.06 Modification of Loan Documents, etc</w:t>
            </w:r>
          </w:p>
        </w:tc>
        <w:tc>
          <w:tcPr>
            <w:tcW w:w="152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9.07 Demand by the Administrative Agent</w:t>
            </w:r>
          </w:p>
        </w:tc>
        <w:tc>
          <w:tcPr>
            <w:tcW w:w="152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9.08 Remedies</w:t>
            </w:r>
          </w:p>
        </w:tc>
        <w:tc>
          <w:tcPr>
            <w:tcW w:w="152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9.09 Benefits of Guaranty</w:t>
            </w:r>
          </w:p>
        </w:tc>
        <w:tc>
          <w:tcPr>
            <w:tcW w:w="152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9.10 Termination; Reinstatement</w:t>
            </w:r>
          </w:p>
        </w:tc>
        <w:tc>
          <w:tcPr>
            <w:tcW w:w="152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9.11 Payments</w:t>
            </w:r>
          </w:p>
        </w:tc>
        <w:tc>
          <w:tcPr>
            <w:tcW w:w="152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9.12 Injunctive Relief</w:t>
            </w:r>
          </w:p>
        </w:tc>
        <w:tc>
          <w:tcPr>
            <w:tcW w:w="152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9.13 No Waiver by Course of Conduct</w:t>
            </w:r>
          </w:p>
        </w:tc>
        <w:tc>
          <w:tcPr>
            <w:tcW w:w="152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74"/>
        </w:trPr>
        <w:tc>
          <w:tcPr>
            <w:tcW w:w="9720" w:type="dxa"/>
            <w:vAlign w:val="bottom"/>
          </w:tcPr>
          <w:p>
            <w:pPr>
              <w:ind w:left="240"/>
              <w:spacing w:after="0"/>
              <w:rPr>
                <w:sz w:val="20"/>
                <w:szCs w:val="20"/>
                <w:color w:val="auto"/>
              </w:rPr>
            </w:pPr>
            <w:r>
              <w:rPr>
                <w:rFonts w:ascii="Arial" w:cs="Arial" w:eastAsia="Arial" w:hAnsi="Arial"/>
                <w:sz w:val="22"/>
                <w:szCs w:val="22"/>
                <w:color w:val="auto"/>
              </w:rPr>
              <w:t>SECTION 9.14 Subordination of Intercompany Indebtedness</w:t>
            </w:r>
          </w:p>
        </w:tc>
        <w:tc>
          <w:tcPr>
            <w:tcW w:w="152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378"/>
        </w:trPr>
        <w:tc>
          <w:tcPr>
            <w:tcW w:w="9720" w:type="dxa"/>
            <w:vAlign w:val="bottom"/>
          </w:tcPr>
          <w:p>
            <w:pPr>
              <w:ind w:left="20"/>
              <w:spacing w:after="0"/>
              <w:rPr>
                <w:sz w:val="20"/>
                <w:szCs w:val="20"/>
                <w:color w:val="auto"/>
              </w:rPr>
            </w:pPr>
            <w:r>
              <w:rPr>
                <w:rFonts w:ascii="Arial" w:cs="Arial" w:eastAsia="Arial" w:hAnsi="Arial"/>
                <w:sz w:val="22"/>
                <w:szCs w:val="22"/>
                <w:color w:val="auto"/>
              </w:rPr>
              <w:t>ARTICLE X Miscellaneous</w:t>
            </w:r>
          </w:p>
        </w:tc>
        <w:tc>
          <w:tcPr>
            <w:tcW w:w="152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374"/>
        </w:trPr>
        <w:tc>
          <w:tcPr>
            <w:tcW w:w="9720" w:type="dxa"/>
            <w:vAlign w:val="bottom"/>
          </w:tcPr>
          <w:p>
            <w:pPr>
              <w:ind w:left="240"/>
              <w:spacing w:after="0"/>
              <w:rPr>
                <w:sz w:val="20"/>
                <w:szCs w:val="20"/>
                <w:color w:val="auto"/>
              </w:rPr>
            </w:pPr>
            <w:r>
              <w:rPr>
                <w:rFonts w:ascii="Arial" w:cs="Arial" w:eastAsia="Arial" w:hAnsi="Arial"/>
                <w:sz w:val="22"/>
                <w:szCs w:val="22"/>
                <w:color w:val="auto"/>
              </w:rPr>
              <w:t>SECTION 10.01 Notices</w:t>
            </w:r>
          </w:p>
        </w:tc>
        <w:tc>
          <w:tcPr>
            <w:tcW w:w="152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10.02 Waivers; Amendments</w:t>
            </w:r>
          </w:p>
        </w:tc>
        <w:tc>
          <w:tcPr>
            <w:tcW w:w="152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10.03 Expenses; Indemnity; Damage Waiver</w:t>
            </w:r>
          </w:p>
        </w:tc>
        <w:tc>
          <w:tcPr>
            <w:tcW w:w="1520" w:type="dxa"/>
            <w:vAlign w:val="bottom"/>
          </w:tcPr>
          <w:p>
            <w:pPr>
              <w:jc w:val="right"/>
              <w:spacing w:after="0"/>
              <w:rPr>
                <w:sz w:val="20"/>
                <w:szCs w:val="20"/>
                <w:color w:val="auto"/>
              </w:rPr>
            </w:pPr>
            <w:r>
              <w:rPr>
                <w:rFonts w:ascii="Arial" w:cs="Arial" w:eastAsia="Arial" w:hAnsi="Arial"/>
                <w:sz w:val="22"/>
                <w:szCs w:val="22"/>
                <w:color w:val="auto"/>
              </w:rPr>
              <w:t>111</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10.04 Successors and Assigns</w:t>
            </w:r>
          </w:p>
        </w:tc>
        <w:tc>
          <w:tcPr>
            <w:tcW w:w="152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10.05 Survival</w:t>
            </w:r>
          </w:p>
        </w:tc>
        <w:tc>
          <w:tcPr>
            <w:tcW w:w="152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10.06 Counterparts; Integration; Effectiveness; Electronic Execution</w:t>
            </w:r>
          </w:p>
        </w:tc>
        <w:tc>
          <w:tcPr>
            <w:tcW w:w="152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10.07 Severability</w:t>
            </w:r>
          </w:p>
        </w:tc>
        <w:tc>
          <w:tcPr>
            <w:tcW w:w="152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10.08 Right of Setoff</w:t>
            </w:r>
          </w:p>
        </w:tc>
        <w:tc>
          <w:tcPr>
            <w:tcW w:w="152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10.09 Governing Law; Jurisdiction; Consent to Service of Process; Language Choice</w:t>
            </w:r>
          </w:p>
        </w:tc>
        <w:tc>
          <w:tcPr>
            <w:tcW w:w="152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10.10 WAIVER OF JURY TRIAL</w:t>
            </w:r>
          </w:p>
        </w:tc>
        <w:tc>
          <w:tcPr>
            <w:tcW w:w="1520" w:type="dxa"/>
            <w:vAlign w:val="bottom"/>
          </w:tcPr>
          <w:p>
            <w:pPr>
              <w:jc w:val="right"/>
              <w:spacing w:after="0"/>
              <w:rPr>
                <w:sz w:val="20"/>
                <w:szCs w:val="20"/>
                <w:color w:val="auto"/>
              </w:rPr>
            </w:pPr>
            <w:r>
              <w:rPr>
                <w:rFonts w:ascii="Arial" w:cs="Arial" w:eastAsia="Arial" w:hAnsi="Arial"/>
                <w:sz w:val="22"/>
                <w:szCs w:val="22"/>
                <w:color w:val="auto"/>
              </w:rPr>
              <w:t>119</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10.11 Headings</w:t>
            </w:r>
          </w:p>
        </w:tc>
        <w:tc>
          <w:tcPr>
            <w:tcW w:w="152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10.12 Confidentiality</w:t>
            </w:r>
          </w:p>
        </w:tc>
        <w:tc>
          <w:tcPr>
            <w:tcW w:w="152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10.13 Interest Rate Limitation</w:t>
            </w:r>
          </w:p>
        </w:tc>
        <w:tc>
          <w:tcPr>
            <w:tcW w:w="152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10.14 USA PATRIOT Act</w:t>
            </w:r>
          </w:p>
        </w:tc>
        <w:tc>
          <w:tcPr>
            <w:tcW w:w="152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10.15 No Advisory or Fiduciary Responsibility</w:t>
            </w:r>
          </w:p>
        </w:tc>
        <w:tc>
          <w:tcPr>
            <w:tcW w:w="152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270"/>
        </w:trPr>
        <w:tc>
          <w:tcPr>
            <w:tcW w:w="9720" w:type="dxa"/>
            <w:vAlign w:val="bottom"/>
          </w:tcPr>
          <w:p>
            <w:pPr>
              <w:ind w:left="240"/>
              <w:spacing w:after="0"/>
              <w:rPr>
                <w:sz w:val="20"/>
                <w:szCs w:val="20"/>
                <w:color w:val="auto"/>
              </w:rPr>
            </w:pPr>
            <w:r>
              <w:rPr>
                <w:rFonts w:ascii="Arial" w:cs="Arial" w:eastAsia="Arial" w:hAnsi="Arial"/>
                <w:sz w:val="22"/>
                <w:szCs w:val="22"/>
                <w:color w:val="auto"/>
              </w:rPr>
              <w:t>SECTION 10.16 Acknowledgement and Consent to Bail-In of Affected Financial Institutions</w:t>
            </w:r>
          </w:p>
        </w:tc>
        <w:tc>
          <w:tcPr>
            <w:tcW w:w="152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259"/>
        </w:trPr>
        <w:tc>
          <w:tcPr>
            <w:tcW w:w="9720" w:type="dxa"/>
            <w:vAlign w:val="bottom"/>
          </w:tcPr>
          <w:p>
            <w:pPr>
              <w:ind w:left="240"/>
              <w:spacing w:after="0"/>
              <w:rPr>
                <w:sz w:val="20"/>
                <w:szCs w:val="20"/>
                <w:color w:val="auto"/>
              </w:rPr>
            </w:pPr>
            <w:r>
              <w:rPr>
                <w:rFonts w:ascii="Arial" w:cs="Arial" w:eastAsia="Arial" w:hAnsi="Arial"/>
                <w:sz w:val="22"/>
                <w:szCs w:val="22"/>
                <w:color w:val="auto"/>
              </w:rPr>
              <w:t>SECTION 10.17 Erroneous Payments</w:t>
            </w:r>
          </w:p>
        </w:tc>
        <w:tc>
          <w:tcPr>
            <w:tcW w:w="152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182"/>
        </w:trPr>
        <w:tc>
          <w:tcPr>
            <w:tcW w:w="9720" w:type="dxa"/>
            <w:vAlign w:val="bottom"/>
          </w:tcPr>
          <w:p>
            <w:pPr>
              <w:ind w:left="5520"/>
              <w:spacing w:after="0"/>
              <w:rPr>
                <w:sz w:val="20"/>
                <w:szCs w:val="20"/>
                <w:color w:val="auto"/>
              </w:rPr>
            </w:pPr>
            <w:r>
              <w:rPr>
                <w:rFonts w:ascii="Arial" w:cs="Arial" w:eastAsia="Arial" w:hAnsi="Arial"/>
                <w:sz w:val="14"/>
                <w:szCs w:val="14"/>
                <w:color w:val="auto"/>
              </w:rPr>
              <w:t>-iii-</w:t>
            </w:r>
          </w:p>
        </w:tc>
        <w:tc>
          <w:tcPr>
            <w:tcW w:w="1520" w:type="dxa"/>
            <w:vAlign w:val="bottom"/>
          </w:tcPr>
          <w:p>
            <w:pPr>
              <w:spacing w:after="0"/>
              <w:rPr>
                <w:sz w:val="15"/>
                <w:szCs w:val="15"/>
                <w:color w:val="auto"/>
              </w:rPr>
            </w:pPr>
          </w:p>
        </w:tc>
      </w:tr>
      <w:tr>
        <w:trPr>
          <w:trHeight w:val="249"/>
        </w:trPr>
        <w:tc>
          <w:tcPr>
            <w:tcW w:w="9720" w:type="dxa"/>
            <w:vAlign w:val="bottom"/>
            <w:tcBorders>
              <w:bottom w:val="single" w:sz="8" w:color="9A9A9A"/>
            </w:tcBorders>
          </w:tcPr>
          <w:p>
            <w:pPr>
              <w:spacing w:after="0"/>
              <w:rPr>
                <w:sz w:val="21"/>
                <w:szCs w:val="21"/>
                <w:color w:val="auto"/>
              </w:rPr>
            </w:pPr>
          </w:p>
        </w:tc>
        <w:tc>
          <w:tcPr>
            <w:tcW w:w="15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154305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u w:val="single" w:color="auto"/>
          <w:color w:val="auto"/>
        </w:rPr>
        <w:t>SCHEDULES</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Schedule 2.01 – Commitments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Schedule 6.01 – Existing Liens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A – Form of Assignment and Assumption</w:t>
      </w:r>
    </w:p>
    <w:p>
      <w:pPr>
        <w:spacing w:after="0" w:line="238" w:lineRule="auto"/>
        <w:rPr>
          <w:sz w:val="20"/>
          <w:szCs w:val="20"/>
          <w:color w:val="auto"/>
        </w:rPr>
      </w:pPr>
      <w:r>
        <w:rPr>
          <w:rFonts w:ascii="Arial" w:cs="Arial" w:eastAsia="Arial" w:hAnsi="Arial"/>
          <w:sz w:val="22"/>
          <w:szCs w:val="22"/>
          <w:color w:val="auto"/>
        </w:rPr>
        <w:t>Exhibit B – Form of U.S. Tax Compliance Certificates</w:t>
      </w:r>
    </w:p>
    <w:p>
      <w:pPr>
        <w:ind w:right="3259"/>
        <w:spacing w:after="0" w:line="230" w:lineRule="auto"/>
        <w:rPr>
          <w:sz w:val="20"/>
          <w:szCs w:val="20"/>
          <w:color w:val="auto"/>
        </w:rPr>
      </w:pPr>
      <w:r>
        <w:rPr>
          <w:rFonts w:ascii="Arial" w:cs="Arial" w:eastAsia="Arial" w:hAnsi="Arial"/>
          <w:sz w:val="22"/>
          <w:szCs w:val="22"/>
          <w:color w:val="auto"/>
        </w:rPr>
        <w:t>Exhibit C – Form of Designated Borrower Request and Assumption Agreement Exhibit D – Form of Designated Borrower Notice Exhibit E – Form of Compliance Certificate</w:t>
      </w:r>
    </w:p>
    <w:p>
      <w:pPr>
        <w:spacing w:after="0" w:line="232" w:lineRule="auto"/>
        <w:rPr>
          <w:sz w:val="20"/>
          <w:szCs w:val="20"/>
          <w:color w:val="auto"/>
        </w:rPr>
      </w:pPr>
      <w:r>
        <w:rPr>
          <w:rFonts w:ascii="Arial" w:cs="Arial" w:eastAsia="Arial" w:hAnsi="Arial"/>
          <w:sz w:val="22"/>
          <w:szCs w:val="22"/>
          <w:color w:val="auto"/>
        </w:rPr>
        <w:t>Exhibit F-1 – Form of Revolving Credit Note</w:t>
      </w:r>
    </w:p>
    <w:p>
      <w:pPr>
        <w:spacing w:after="0" w:line="230" w:lineRule="auto"/>
        <w:rPr>
          <w:sz w:val="20"/>
          <w:szCs w:val="20"/>
          <w:color w:val="auto"/>
        </w:rPr>
      </w:pPr>
      <w:r>
        <w:rPr>
          <w:rFonts w:ascii="Arial" w:cs="Arial" w:eastAsia="Arial" w:hAnsi="Arial"/>
          <w:sz w:val="22"/>
          <w:szCs w:val="22"/>
          <w:color w:val="auto"/>
        </w:rPr>
        <w:t>Exhibit F-2 – Form of Swingline Note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Exhibit G – Form of Notice of Account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196" w:name="page197"/>
    <w:bookmarkEnd w:id="196"/>
    <w:p>
      <w:pPr>
        <w:jc w:val="center"/>
        <w:spacing w:after="0"/>
        <w:rPr>
          <w:sz w:val="20"/>
          <w:szCs w:val="20"/>
          <w:color w:val="auto"/>
        </w:rPr>
      </w:pPr>
      <w:r>
        <w:rPr>
          <w:rFonts w:ascii="Arial" w:cs="Arial" w:eastAsia="Arial" w:hAnsi="Arial"/>
          <w:sz w:val="22"/>
          <w:szCs w:val="22"/>
          <w:b w:val="1"/>
          <w:bCs w:val="1"/>
          <w:color w:val="auto"/>
        </w:rPr>
        <w:t>CREDIT AGREEMENT</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This CREDIT AGREEMENT (as amended, restated, amended and restated, supplemented or otherwise modified from time to time,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as of May 18, 2023, among CABOT CORPORATION,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as the Guarantor, Cabot Luxembourg TC S.a.r.l., Luxembourg, Schaffhausen Branch, a Luxembourg private limited liability company (société à responsabilité limitée), existing under the laws of the Grand-Duchy of Luxembourg, having its registered office at 15, Boulevard F.W. Raiffeisen L - 2411 Luxembourg, Grand Duchy of Luxembourg and registered with the Luxembourg Trade and Companies Register (</w:t>
      </w:r>
      <w:r>
        <w:rPr>
          <w:rFonts w:ascii="Arial" w:cs="Arial" w:eastAsia="Arial" w:hAnsi="Arial"/>
          <w:sz w:val="19"/>
          <w:szCs w:val="19"/>
          <w:i w:val="1"/>
          <w:iCs w:val="1"/>
          <w:color w:val="auto"/>
        </w:rPr>
        <w:t>Registre de Commerce et des Société, Luxembourg)</w:t>
      </w:r>
      <w:r>
        <w:rPr>
          <w:rFonts w:ascii="Arial" w:cs="Arial" w:eastAsia="Arial" w:hAnsi="Arial"/>
          <w:sz w:val="19"/>
          <w:szCs w:val="19"/>
          <w:color w:val="auto"/>
        </w:rPr>
        <w:t xml:space="preserve"> under number B 186143, acting through its Swiss branch registered with the commercial register of the Canton of Schaffhausen under number CHE-378.778.759 with a registered office at Mühlentalstrasse 36/38 8200 Schaffhausen (“</w:t>
      </w:r>
      <w:r>
        <w:rPr>
          <w:rFonts w:ascii="Arial" w:cs="Arial" w:eastAsia="Arial" w:hAnsi="Arial"/>
          <w:sz w:val="19"/>
          <w:szCs w:val="19"/>
          <w:b w:val="1"/>
          <w:bCs w:val="1"/>
          <w:i w:val="1"/>
          <w:iCs w:val="1"/>
          <w:color w:val="auto"/>
        </w:rPr>
        <w:t>Cabot Luxembourg</w:t>
      </w:r>
      <w:r>
        <w:rPr>
          <w:rFonts w:ascii="Arial" w:cs="Arial" w:eastAsia="Arial" w:hAnsi="Arial"/>
          <w:sz w:val="19"/>
          <w:szCs w:val="19"/>
          <w:color w:val="auto"/>
        </w:rPr>
        <w:t>”), Cabot Switzerland GmbH, a Swiss limited liability company registered with the commercial register of the Canton of Schaffhausen under number CHE-115.488.533 with a registered office at Mühlentalstrasse 36/38, 8200 Schaffhausen, Switzerland (“</w:t>
      </w:r>
      <w:r>
        <w:rPr>
          <w:rFonts w:ascii="Arial" w:cs="Arial" w:eastAsia="Arial" w:hAnsi="Arial"/>
          <w:sz w:val="19"/>
          <w:szCs w:val="19"/>
          <w:b w:val="1"/>
          <w:bCs w:val="1"/>
          <w:i w:val="1"/>
          <w:iCs w:val="1"/>
          <w:color w:val="auto"/>
        </w:rPr>
        <w:t>Cabot Switzerland</w:t>
      </w:r>
      <w:r>
        <w:rPr>
          <w:rFonts w:ascii="Arial" w:cs="Arial" w:eastAsia="Arial" w:hAnsi="Arial"/>
          <w:sz w:val="19"/>
          <w:szCs w:val="19"/>
          <w:color w:val="auto"/>
        </w:rPr>
        <w:t>”), PT Cabot Indonesia, a limited liability company organized under the laws of the Republic of Indonesia (“</w:t>
      </w:r>
      <w:r>
        <w:rPr>
          <w:rFonts w:ascii="Arial" w:cs="Arial" w:eastAsia="Arial" w:hAnsi="Arial"/>
          <w:sz w:val="19"/>
          <w:szCs w:val="19"/>
          <w:b w:val="1"/>
          <w:bCs w:val="1"/>
          <w:i w:val="1"/>
          <w:iCs w:val="1"/>
          <w:color w:val="auto"/>
        </w:rPr>
        <w:t>Cabot Indonesia</w:t>
      </w:r>
      <w:r>
        <w:rPr>
          <w:rFonts w:ascii="Arial" w:cs="Arial" w:eastAsia="Arial" w:hAnsi="Arial"/>
          <w:sz w:val="19"/>
          <w:szCs w:val="19"/>
          <w:color w:val="auto"/>
        </w:rPr>
        <w:t xml:space="preserve">”), certain Subsidiaries of the Company from time to time party hereto pursuant to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(each, a “</w:t>
      </w:r>
      <w:r>
        <w:rPr>
          <w:rFonts w:ascii="Arial" w:cs="Arial" w:eastAsia="Arial" w:hAnsi="Arial"/>
          <w:sz w:val="19"/>
          <w:szCs w:val="19"/>
          <w:b w:val="1"/>
          <w:bCs w:val="1"/>
          <w:i w:val="1"/>
          <w:iCs w:val="1"/>
          <w:color w:val="auto"/>
        </w:rPr>
        <w:t>Designated Borrower</w:t>
      </w:r>
      <w:r>
        <w:rPr>
          <w:rFonts w:ascii="Arial" w:cs="Arial" w:eastAsia="Arial" w:hAnsi="Arial"/>
          <w:sz w:val="19"/>
          <w:szCs w:val="19"/>
          <w:color w:val="auto"/>
        </w:rPr>
        <w:t>” and, together with Cabot Luxembourg, Cabot Switzerland and Cabot Indonesia, collectively, the “</w:t>
      </w:r>
      <w:r>
        <w:rPr>
          <w:rFonts w:ascii="Arial" w:cs="Arial" w:eastAsia="Arial" w:hAnsi="Arial"/>
          <w:sz w:val="19"/>
          <w:szCs w:val="19"/>
          <w:b w:val="1"/>
          <w:bCs w:val="1"/>
          <w:i w:val="1"/>
          <w:iCs w:val="1"/>
          <w:color w:val="auto"/>
        </w:rPr>
        <w:t>Borrowers</w:t>
      </w:r>
      <w:r>
        <w:rPr>
          <w:rFonts w:ascii="Arial" w:cs="Arial" w:eastAsia="Arial" w:hAnsi="Arial"/>
          <w:sz w:val="19"/>
          <w:szCs w:val="19"/>
          <w:color w:val="auto"/>
        </w:rPr>
        <w:t>” and each, a “</w:t>
      </w:r>
      <w:r>
        <w:rPr>
          <w:rFonts w:ascii="Arial" w:cs="Arial" w:eastAsia="Arial" w:hAnsi="Arial"/>
          <w:sz w:val="19"/>
          <w:szCs w:val="19"/>
          <w:b w:val="1"/>
          <w:bCs w:val="1"/>
          <w:i w:val="1"/>
          <w:iCs w:val="1"/>
          <w:color w:val="auto"/>
        </w:rPr>
        <w:t>Borrower</w:t>
      </w:r>
      <w:r>
        <w:rPr>
          <w:rFonts w:ascii="Arial" w:cs="Arial" w:eastAsia="Arial" w:hAnsi="Arial"/>
          <w:sz w:val="19"/>
          <w:szCs w:val="19"/>
          <w:color w:val="auto"/>
        </w:rPr>
        <w:t>”), the LENDERS from time to time party hereto, and PNC BANK, NATIONAL ASSOCIATION, a national banking association, as Administrative Agent for the Lenders.</w:t>
      </w:r>
    </w:p>
    <w:p>
      <w:pPr>
        <w:spacing w:after="0" w:line="200" w:lineRule="exact"/>
        <w:rPr>
          <w:sz w:val="20"/>
          <w:szCs w:val="20"/>
          <w:color w:val="auto"/>
        </w:rPr>
      </w:pPr>
    </w:p>
    <w:p>
      <w:pPr>
        <w:spacing w:after="0" w:line="23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parties hereto agree as follows: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206" w:lineRule="exact"/>
        <w:rPr>
          <w:sz w:val="20"/>
          <w:szCs w:val="20"/>
          <w:color w:val="auto"/>
        </w:rPr>
      </w:pPr>
    </w:p>
    <w:p>
      <w:pPr>
        <w:jc w:val="center"/>
        <w:ind w:left="360"/>
        <w:spacing w:after="0"/>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have the meanings specified below:</w:t>
      </w:r>
    </w:p>
    <w:p>
      <w:pPr>
        <w:spacing w:after="0" w:line="21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ABR</w:t>
      </w:r>
      <w:r>
        <w:rPr>
          <w:rFonts w:ascii="Arial" w:cs="Arial" w:eastAsia="Arial" w:hAnsi="Arial"/>
          <w:sz w:val="22"/>
          <w:szCs w:val="22"/>
          <w:color w:val="auto"/>
        </w:rPr>
        <w:t>”, when used in reference to any Loan or Borrowing, refers to whether such Loan, or the Loans comprising such Borrowing, bear interest at a rate determined by reference to the Alternate Base Rate. All ABR Loans shall be denominated in U.S. Dollars.</w:t>
      </w:r>
    </w:p>
    <w:p>
      <w:pPr>
        <w:spacing w:after="0" w:line="18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Acquisition</w:t>
      </w:r>
      <w:r>
        <w:rPr>
          <w:rFonts w:ascii="Arial" w:cs="Arial" w:eastAsia="Arial" w:hAnsi="Arial"/>
          <w:sz w:val="19"/>
          <w:szCs w:val="19"/>
          <w:color w:val="auto"/>
        </w:rPr>
        <w:t>”, by any Person, means the acquisition by such Person (other than a transaction that would be classified as a capital expenditure in accordance with GAAP), in a single transaction or in a series of related transactions, of all or any substantial portion (constituting a separate business unit) of the assets of another Person or at least a majority of the Equity Interests with ordinary voting power of another Person, in each case whether or not involving a merger or consolidation with such other Person and whether for cash, property, services, assumption of Indebtedness, securities or otherwise.</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10.14</w:t>
      </w:r>
      <w:r>
        <w:rPr>
          <w:rFonts w:ascii="Arial" w:cs="Arial" w:eastAsia="Arial" w:hAnsi="Arial"/>
          <w:sz w:val="22"/>
          <w:szCs w:val="22"/>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97" w:name="page198"/>
    <w:bookmarkEnd w:id="197"/>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Adjusted Daily Simple RFR</w:t>
      </w:r>
      <w:r>
        <w:rPr>
          <w:rFonts w:ascii="Arial" w:cs="Arial" w:eastAsia="Arial" w:hAnsi="Arial"/>
          <w:sz w:val="22"/>
          <w:szCs w:val="22"/>
          <w:color w:val="auto"/>
        </w:rPr>
        <w:t xml:space="preserve">” means, (i) with respect to any RFR Borrowing denominated in Pounds Sterling, an interest rate per annum equal to the Daily Simple RFR for Pounds Sterling, (ii) with respect to any RFR Borrowing denominated in Swiss Francs, an interest rate per annum equal to the Daily Simple RFR for Swiss Francs, and (iii) with respect to any RFR Borrowing denominated in U.S. Dollars, an interest rate per annum equal to (a) the Daily Simple RFR for U.S. Dollars,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0.10%.</w:t>
      </w:r>
    </w:p>
    <w:p>
      <w:pPr>
        <w:spacing w:after="0" w:line="18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Adjusted EURIBO Rate</w:t>
      </w:r>
      <w:r>
        <w:rPr>
          <w:rFonts w:ascii="Arial" w:cs="Arial" w:eastAsia="Arial" w:hAnsi="Arial"/>
          <w:sz w:val="22"/>
          <w:szCs w:val="22"/>
          <w:color w:val="auto"/>
        </w:rPr>
        <w:t>” means, with respect to any Term Benchmark Borrowing denominated in Euro for any Interest Period, an interest rate per annum equal to (a) the EURIBO Rate for such Interest Period multiplied by (b) the Statutory Reserve Rate.</w:t>
      </w:r>
    </w:p>
    <w:p>
      <w:pPr>
        <w:spacing w:after="0" w:line="18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Adjusted Term SOFR Rate</w:t>
      </w:r>
      <w:r>
        <w:rPr>
          <w:rFonts w:ascii="Arial" w:cs="Arial" w:eastAsia="Arial" w:hAnsi="Arial"/>
          <w:sz w:val="22"/>
          <w:szCs w:val="22"/>
          <w:color w:val="auto"/>
        </w:rPr>
        <w:t xml:space="preserve">” means, with respect to any Term Benchmark Borrowing denominated in U.S. Dollars for any Interest Period, an interest rate per annum equal to (a) the Term SOFR Rate for such Interest Period,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0.10%;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Adjusted Term SOFR Rate as so determined would be less than the Floor, such rate shall be deemed to be equal to the Floor for the purposes of this Agreement.</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Administrative Agent</w:t>
      </w:r>
      <w:r>
        <w:rPr>
          <w:rFonts w:ascii="Arial" w:cs="Arial" w:eastAsia="Arial" w:hAnsi="Arial"/>
          <w:sz w:val="22"/>
          <w:szCs w:val="22"/>
          <w:color w:val="auto"/>
        </w:rPr>
        <w:t>” means PNC Bank, National Association (including its subsidiaries and Affiliates), in its capacity as administrative agent for the Lenders hereunder.</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Affected Financial Institution</w:t>
      </w:r>
      <w:r>
        <w:rPr>
          <w:rFonts w:ascii="Arial" w:cs="Arial" w:eastAsia="Arial" w:hAnsi="Arial"/>
          <w:sz w:val="22"/>
          <w:szCs w:val="22"/>
          <w:color w:val="auto"/>
        </w:rPr>
        <w:t>” means (a) any EEA Financial Institution or (b) any UK Financial Institution.</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Agent Indemnitee</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10.03(c)</w:t>
      </w:r>
      <w:r>
        <w:rPr>
          <w:rFonts w:ascii="Arial" w:cs="Arial" w:eastAsia="Arial" w:hAnsi="Arial"/>
          <w:sz w:val="22"/>
          <w:szCs w:val="22"/>
          <w:color w:val="auto"/>
        </w:rPr>
        <w:t>.</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Agent Party</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10.01(d)(ii)</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Agreed Currencies</w:t>
      </w:r>
      <w:r>
        <w:rPr>
          <w:rFonts w:ascii="Arial" w:cs="Arial" w:eastAsia="Arial" w:hAnsi="Arial"/>
          <w:sz w:val="22"/>
          <w:szCs w:val="22"/>
          <w:color w:val="auto"/>
        </w:rPr>
        <w:t>” means (a) U.S. Dollars, (b) Euro, (c) Pounds Sterling, (d) Swiss Francs, and (e) any other Foreign Currency acceptable to all of the Lenders.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has the meaning assigned to such term in the preamble.</w:t>
      </w:r>
    </w:p>
    <w:p>
      <w:pPr>
        <w:spacing w:after="0" w:line="20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Alternate Base Rate</w:t>
      </w:r>
      <w:r>
        <w:rPr>
          <w:rFonts w:ascii="Arial" w:cs="Arial" w:eastAsia="Arial" w:hAnsi="Arial"/>
          <w:sz w:val="19"/>
          <w:szCs w:val="19"/>
          <w:color w:val="auto"/>
        </w:rPr>
        <w:t xml:space="preserve">” means, for any day, a rate per annum equal to the greatest of (a) the Prime Rate in effect on such day, (b) the NYFRB Rate in effect on such day plus ½ of 1% and (c) the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8" w:name="page199"/>
    <w:bookmarkEnd w:id="198"/>
    <w:p>
      <w:pPr>
        <w:jc w:val="both"/>
        <w:spacing w:after="0" w:line="234" w:lineRule="auto"/>
        <w:rPr>
          <w:sz w:val="20"/>
          <w:szCs w:val="20"/>
          <w:color w:val="auto"/>
        </w:rPr>
      </w:pPr>
      <w:r>
        <w:rPr>
          <w:rFonts w:ascii="Arial" w:cs="Arial" w:eastAsia="Arial" w:hAnsi="Arial"/>
          <w:sz w:val="22"/>
          <w:szCs w:val="22"/>
          <w:color w:val="auto"/>
        </w:rPr>
        <w:t xml:space="preserve">Rate due to a change in the Prime Rate, the NYFRB Rate or the Term SOFR Rate shall be effective from and including the effective date of such change in the Prime Rate, the NYFRB Rate or the Term SOFR Rate, respectively. If the Alternate Base Rate is being used as an alternate rate of interest pursuant to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(for the avoidance of doubt, only until the Benchmark Replacement has been determined pursuant to </w:t>
      </w:r>
      <w:r>
        <w:rPr>
          <w:rFonts w:ascii="Arial" w:cs="Arial" w:eastAsia="Arial" w:hAnsi="Arial"/>
          <w:sz w:val="22"/>
          <w:szCs w:val="22"/>
          <w:u w:val="single" w:color="auto"/>
          <w:color w:val="auto"/>
        </w:rPr>
        <w:t>Section 2.14(b)</w:t>
      </w:r>
      <w:r>
        <w:rPr>
          <w:rFonts w:ascii="Arial" w:cs="Arial" w:eastAsia="Arial" w:hAnsi="Arial"/>
          <w:sz w:val="22"/>
          <w:szCs w:val="22"/>
          <w:color w:val="auto"/>
        </w:rPr>
        <w:t xml:space="preserve">), then the Alternate Base Rate shall be the greater of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 and shall be determined without reference to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above. For the avoidance of doubt, if the Alternate Base Rate as determined pursuant to the foregoing would be less than 1.00%, such rate shall be deemed to be 1.00% for purposes of this Agreement.</w:t>
      </w:r>
    </w:p>
    <w:p>
      <w:pPr>
        <w:spacing w:after="0" w:line="19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Anti-Corruption Laws</w:t>
      </w:r>
      <w:r>
        <w:rPr>
          <w:rFonts w:ascii="Arial" w:cs="Arial" w:eastAsia="Arial" w:hAnsi="Arial"/>
          <w:sz w:val="22"/>
          <w:szCs w:val="22"/>
          <w:color w:val="auto"/>
        </w:rPr>
        <w:t>” means all laws, rules, and regulations of any jurisdiction applicable to any Loan Party or any of its Affiliates from time to time concerning or relating to bribery or corruption.</w:t>
      </w:r>
    </w:p>
    <w:p>
      <w:pPr>
        <w:spacing w:after="0" w:line="17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Anti-Money Laundering Laws</w:t>
      </w:r>
      <w:r>
        <w:rPr>
          <w:rFonts w:ascii="Arial" w:cs="Arial" w:eastAsia="Arial" w:hAnsi="Arial"/>
          <w:sz w:val="22"/>
          <w:szCs w:val="22"/>
          <w:color w:val="auto"/>
        </w:rPr>
        <w:t>” means any and all laws, statutes, regulations or obligatory government orders, decrees, ordinances or rules related to terrorism financing or money laundering, including any applicable provision of the Patriot Act and The Currency and Foreign Transactions Reporting Act (also known as the “Bank Secrecy Act,” 31 U.S.C. §§ 5311-5330 and 12 U.S.C. §§ 1818(s), 1820(b) and 1951-1959).</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Foreign Borrower Documents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3.12(a)</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Applicable Percentage</w:t>
      </w:r>
      <w:r>
        <w:rPr>
          <w:rFonts w:ascii="Arial" w:cs="Arial" w:eastAsia="Arial" w:hAnsi="Arial"/>
          <w:sz w:val="21"/>
          <w:szCs w:val="21"/>
          <w:color w:val="auto"/>
        </w:rPr>
        <w:t xml:space="preserve">” means, with respect to any Lender, the percentage of the total Commitments represented by such Lender’s Commitment;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w:t>
      </w:r>
      <w:r>
        <w:rPr>
          <w:rFonts w:ascii="Arial" w:cs="Arial" w:eastAsia="Arial" w:hAnsi="Arial"/>
          <w:sz w:val="21"/>
          <w:szCs w:val="21"/>
          <w:u w:val="single" w:color="auto"/>
          <w:color w:val="auto"/>
        </w:rPr>
        <w:t>Section 2.20</w:t>
      </w:r>
      <w:r>
        <w:rPr>
          <w:rFonts w:ascii="Arial" w:cs="Arial" w:eastAsia="Arial" w:hAnsi="Arial"/>
          <w:sz w:val="21"/>
          <w:szCs w:val="21"/>
          <w:color w:val="auto"/>
        </w:rPr>
        <w:t xml:space="preserve"> when a Defaulting Lender shall exist, “Applicable Percentage” shall mean the percentage of the total Commitments (disregarding any Defaulting Lender’s Commitment) represented by such Lender’s Commitment. If the Commitments have terminated or expired, the Applicable Percentages shall be determined based upon the Revolving Credit Exposure then in effect, giving effect to any assignments and to any Lender’s status as a Defaulting Lender at the time of determination.</w:t>
      </w:r>
    </w:p>
    <w:p>
      <w:pPr>
        <w:spacing w:after="0" w:line="17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Applicable Rate</w:t>
      </w:r>
      <w:r>
        <w:rPr>
          <w:rFonts w:ascii="Arial" w:cs="Arial" w:eastAsia="Arial" w:hAnsi="Arial"/>
          <w:sz w:val="21"/>
          <w:szCs w:val="21"/>
          <w:color w:val="auto"/>
        </w:rPr>
        <w:t>” means, for any day, with respect to any ABR Loan, Term Benchmark Loan, RFR Loan or CBR Loan, or with respect to the facility fees payable hereunder, as the case may be, the applicable rate per annum set forth below under the caption “ABR Spread”, “Term Benchmark/RFR/CBR Spread” or “Facility Fee Rate”, as the case may be, based upon the ratings by Moody’s and S&amp;P, respectively, applicable on such date to the Index Debt: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right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right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right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10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right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5"/>
              </w:rPr>
              <w:t>Term</w:t>
            </w:r>
          </w:p>
        </w:tc>
        <w:tc>
          <w:tcPr>
            <w:tcW w:w="960" w:type="dxa"/>
            <w:vAlign w:val="bottom"/>
            <w:tcBorders>
              <w:right w:val="single" w:sz="8" w:color="auto"/>
            </w:tcBorders>
            <w:gridSpan w:val="3"/>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Borders>
              <w:right w:val="single" w:sz="8" w:color="auto"/>
            </w:tcBorders>
            <w:gridSpan w:val="6"/>
            <w:vMerge w:val="restart"/>
          </w:tcPr>
          <w:p>
            <w:pPr>
              <w:jc w:val="center"/>
              <w:ind w:right="520"/>
              <w:spacing w:after="0"/>
              <w:rPr>
                <w:sz w:val="20"/>
                <w:szCs w:val="20"/>
                <w:color w:val="auto"/>
              </w:rPr>
            </w:pPr>
            <w:r>
              <w:rPr>
                <w:rFonts w:ascii="Arial" w:cs="Arial" w:eastAsia="Arial" w:hAnsi="Arial"/>
                <w:sz w:val="22"/>
                <w:szCs w:val="22"/>
                <w:color w:val="auto"/>
                <w:w w:val="94"/>
              </w:rPr>
              <w:t>Tier</w:t>
            </w:r>
          </w:p>
        </w:tc>
        <w:tc>
          <w:tcPr>
            <w:tcW w:w="29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22"/>
                <w:szCs w:val="22"/>
                <w:color w:val="auto"/>
                <w:w w:val="88"/>
              </w:rPr>
              <w:t>Ratings</w:t>
            </w:r>
          </w:p>
        </w:tc>
        <w:tc>
          <w:tcPr>
            <w:tcW w:w="180" w:type="dxa"/>
            <w:vAlign w:val="bottom"/>
          </w:tcPr>
          <w:p>
            <w:pPr>
              <w:spacing w:after="0"/>
              <w:rPr>
                <w:sz w:val="19"/>
                <w:szCs w:val="19"/>
                <w:color w:val="auto"/>
              </w:rPr>
            </w:pPr>
          </w:p>
        </w:tc>
        <w:tc>
          <w:tcPr>
            <w:tcW w:w="2020" w:type="dxa"/>
            <w:vAlign w:val="bottom"/>
            <w:tcBorders>
              <w:bottom w:val="single" w:sz="8" w:color="auto"/>
            </w:tcBorders>
            <w:gridSpan w:val="5"/>
          </w:tcPr>
          <w:p>
            <w:pPr>
              <w:jc w:val="center"/>
              <w:ind w:right="60"/>
              <w:spacing w:after="0" w:line="223" w:lineRule="exact"/>
              <w:rPr>
                <w:sz w:val="20"/>
                <w:szCs w:val="20"/>
                <w:color w:val="auto"/>
              </w:rPr>
            </w:pPr>
            <w:r>
              <w:rPr>
                <w:rFonts w:ascii="Arial" w:cs="Arial" w:eastAsia="Arial" w:hAnsi="Arial"/>
                <w:sz w:val="22"/>
                <w:szCs w:val="22"/>
                <w:color w:val="auto"/>
                <w:w w:val="91"/>
              </w:rPr>
              <w:t>Benchmark/RFR/CBR</w:t>
            </w:r>
          </w:p>
        </w:tc>
        <w:tc>
          <w:tcPr>
            <w:tcW w:w="20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780" w:type="dxa"/>
            <w:vAlign w:val="bottom"/>
            <w:tcBorders>
              <w:right w:val="single" w:sz="8" w:color="auto"/>
            </w:tcBorders>
            <w:gridSpan w:val="2"/>
            <w:vMerge w:val="restart"/>
          </w:tcPr>
          <w:p>
            <w:pPr>
              <w:jc w:val="center"/>
              <w:ind w:right="680"/>
              <w:spacing w:after="0"/>
              <w:rPr>
                <w:sz w:val="20"/>
                <w:szCs w:val="20"/>
                <w:color w:val="auto"/>
              </w:rPr>
            </w:pPr>
            <w:r>
              <w:rPr>
                <w:rFonts w:ascii="Arial" w:cs="Arial" w:eastAsia="Arial" w:hAnsi="Arial"/>
                <w:sz w:val="22"/>
                <w:szCs w:val="22"/>
                <w:color w:val="auto"/>
                <w:w w:val="89"/>
              </w:rPr>
              <w:t>ABR Spread</w:t>
            </w:r>
          </w:p>
        </w:tc>
        <w:tc>
          <w:tcPr>
            <w:tcW w:w="260" w:type="dxa"/>
            <w:vAlign w:val="bottom"/>
          </w:tcPr>
          <w:p>
            <w:pPr>
              <w:spacing w:after="0"/>
              <w:rPr>
                <w:sz w:val="19"/>
                <w:szCs w:val="19"/>
                <w:color w:val="auto"/>
              </w:rPr>
            </w:pPr>
          </w:p>
        </w:tc>
        <w:tc>
          <w:tcPr>
            <w:tcW w:w="1780" w:type="dxa"/>
            <w:vAlign w:val="bottom"/>
            <w:tcBorders>
              <w:right w:val="single" w:sz="8" w:color="auto"/>
            </w:tcBorders>
            <w:gridSpan w:val="2"/>
            <w:vMerge w:val="restart"/>
          </w:tcPr>
          <w:p>
            <w:pPr>
              <w:jc w:val="center"/>
              <w:ind w:right="300"/>
              <w:spacing w:after="0"/>
              <w:rPr>
                <w:sz w:val="20"/>
                <w:szCs w:val="20"/>
                <w:color w:val="auto"/>
              </w:rPr>
            </w:pPr>
            <w:r>
              <w:rPr>
                <w:rFonts w:ascii="Arial" w:cs="Arial" w:eastAsia="Arial" w:hAnsi="Arial"/>
                <w:sz w:val="22"/>
                <w:szCs w:val="22"/>
                <w:color w:val="auto"/>
                <w:w w:val="89"/>
              </w:rPr>
              <w:t>Facility Fee Rate</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Borders>
              <w:right w:val="single" w:sz="8" w:color="auto"/>
            </w:tcBorders>
            <w:gridSpan w:val="6"/>
            <w:vMerge w:val="continue"/>
          </w:tcPr>
          <w:p>
            <w:pPr>
              <w:spacing w:after="0"/>
              <w:rPr>
                <w:sz w:val="19"/>
                <w:szCs w:val="19"/>
                <w:color w:val="auto"/>
              </w:rPr>
            </w:pPr>
          </w:p>
        </w:tc>
        <w:tc>
          <w:tcPr>
            <w:tcW w:w="2960" w:type="dxa"/>
            <w:vAlign w:val="bottom"/>
            <w:tcBorders>
              <w:right w:val="single" w:sz="8" w:color="auto"/>
            </w:tcBorders>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Borders>
              <w:right w:val="single" w:sz="8" w:color="auto"/>
            </w:tcBorders>
            <w:gridSpan w:val="6"/>
          </w:tcPr>
          <w:p>
            <w:pPr>
              <w:jc w:val="center"/>
              <w:ind w:right="220"/>
              <w:spacing w:after="0" w:line="223" w:lineRule="exact"/>
              <w:rPr>
                <w:sz w:val="20"/>
                <w:szCs w:val="20"/>
                <w:color w:val="auto"/>
              </w:rPr>
            </w:pPr>
            <w:r>
              <w:rPr>
                <w:rFonts w:ascii="Arial" w:cs="Arial" w:eastAsia="Arial" w:hAnsi="Arial"/>
                <w:sz w:val="22"/>
                <w:szCs w:val="22"/>
                <w:color w:val="auto"/>
                <w:w w:val="84"/>
              </w:rPr>
              <w:t>Spread</w:t>
            </w:r>
          </w:p>
        </w:tc>
        <w:tc>
          <w:tcPr>
            <w:tcW w:w="640" w:type="dxa"/>
            <w:vAlign w:val="bottom"/>
          </w:tcPr>
          <w:p>
            <w:pPr>
              <w:spacing w:after="0"/>
              <w:rPr>
                <w:sz w:val="19"/>
                <w:szCs w:val="19"/>
                <w:color w:val="auto"/>
              </w:rPr>
            </w:pPr>
          </w:p>
        </w:tc>
        <w:tc>
          <w:tcPr>
            <w:tcW w:w="1780" w:type="dxa"/>
            <w:vAlign w:val="bottom"/>
            <w:tcBorders>
              <w:right w:val="single" w:sz="8" w:color="auto"/>
            </w:tcBorders>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Borders>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0" w:type="dxa"/>
            <w:vAlign w:val="bottom"/>
            <w:tcBorders>
              <w:top w:val="single" w:sz="8" w:color="auto"/>
              <w:bottom w:val="single" w:sz="8" w:color="auto"/>
              <w:right w:val="single" w:sz="8" w:color="auto"/>
            </w:tcBorders>
            <w:shd w:val="clear" w:color="auto" w:fill="000000"/>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right w:val="single" w:sz="8" w:color="auto"/>
            </w:tcBorders>
            <w:gridSpan w:val="4"/>
          </w:tcPr>
          <w:p>
            <w:pPr>
              <w:jc w:val="center"/>
              <w:ind w:right="660"/>
              <w:spacing w:after="0"/>
              <w:rPr>
                <w:sz w:val="20"/>
                <w:szCs w:val="20"/>
                <w:color w:val="auto"/>
              </w:rPr>
            </w:pPr>
            <w:r>
              <w:rPr>
                <w:rFonts w:ascii="Arial" w:cs="Arial" w:eastAsia="Arial" w:hAnsi="Arial"/>
                <w:sz w:val="22"/>
                <w:szCs w:val="22"/>
                <w:color w:val="auto"/>
              </w:rPr>
              <w:t>I</w:t>
            </w:r>
          </w:p>
        </w:tc>
        <w:tc>
          <w:tcPr>
            <w:tcW w:w="29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94"/>
              </w:rPr>
              <w:t>≥ A2 / A</w:t>
            </w:r>
          </w:p>
        </w:tc>
        <w:tc>
          <w:tcPr>
            <w:tcW w:w="2200" w:type="dxa"/>
            <w:vAlign w:val="bottom"/>
            <w:gridSpan w:val="6"/>
          </w:tcPr>
          <w:p>
            <w:pPr>
              <w:jc w:val="center"/>
              <w:ind w:left="84"/>
              <w:spacing w:after="0"/>
              <w:rPr>
                <w:sz w:val="20"/>
                <w:szCs w:val="20"/>
                <w:color w:val="auto"/>
              </w:rPr>
            </w:pPr>
            <w:r>
              <w:rPr>
                <w:rFonts w:ascii="Arial" w:cs="Arial" w:eastAsia="Arial" w:hAnsi="Arial"/>
                <w:sz w:val="22"/>
                <w:szCs w:val="22"/>
                <w:color w:val="auto"/>
                <w:w w:val="88"/>
              </w:rPr>
              <w:t>0.680%</w:t>
            </w:r>
          </w:p>
        </w:tc>
        <w:tc>
          <w:tcPr>
            <w:tcW w:w="200" w:type="dxa"/>
            <w:vAlign w:val="bottom"/>
            <w:tcBorders>
              <w:right w:val="single" w:sz="8" w:color="auto"/>
            </w:tcBorders>
          </w:tcPr>
          <w:p>
            <w:pPr>
              <w:spacing w:after="0"/>
              <w:rPr>
                <w:sz w:val="24"/>
                <w:szCs w:val="24"/>
                <w:color w:val="auto"/>
              </w:rPr>
            </w:pPr>
          </w:p>
        </w:tc>
        <w:tc>
          <w:tcPr>
            <w:tcW w:w="1740" w:type="dxa"/>
            <w:vAlign w:val="bottom"/>
            <w:gridSpan w:val="2"/>
          </w:tcPr>
          <w:p>
            <w:pPr>
              <w:jc w:val="center"/>
              <w:ind w:left="552"/>
              <w:spacing w:after="0"/>
              <w:rPr>
                <w:sz w:val="20"/>
                <w:szCs w:val="20"/>
                <w:color w:val="auto"/>
              </w:rPr>
            </w:pPr>
            <w:r>
              <w:rPr>
                <w:rFonts w:ascii="Arial" w:cs="Arial" w:eastAsia="Arial" w:hAnsi="Arial"/>
                <w:sz w:val="22"/>
                <w:szCs w:val="22"/>
                <w:color w:val="auto"/>
                <w:w w:val="87"/>
              </w:rPr>
              <w:t>0%</w:t>
            </w:r>
          </w:p>
        </w:tc>
        <w:tc>
          <w:tcPr>
            <w:tcW w:w="680" w:type="dxa"/>
            <w:vAlign w:val="bottom"/>
            <w:tcBorders>
              <w:right w:val="single" w:sz="8" w:color="auto"/>
            </w:tcBorders>
          </w:tcPr>
          <w:p>
            <w:pPr>
              <w:spacing w:after="0"/>
              <w:rPr>
                <w:sz w:val="24"/>
                <w:szCs w:val="24"/>
                <w:color w:val="auto"/>
              </w:rPr>
            </w:pPr>
          </w:p>
        </w:tc>
        <w:tc>
          <w:tcPr>
            <w:tcW w:w="1740" w:type="dxa"/>
            <w:vAlign w:val="bottom"/>
            <w:gridSpan w:val="2"/>
          </w:tcPr>
          <w:p>
            <w:pPr>
              <w:jc w:val="center"/>
              <w:ind w:left="132"/>
              <w:spacing w:after="0"/>
              <w:rPr>
                <w:sz w:val="20"/>
                <w:szCs w:val="20"/>
                <w:color w:val="auto"/>
              </w:rPr>
            </w:pPr>
            <w:r>
              <w:rPr>
                <w:rFonts w:ascii="Arial" w:cs="Arial" w:eastAsia="Arial" w:hAnsi="Arial"/>
                <w:sz w:val="22"/>
                <w:szCs w:val="22"/>
                <w:color w:val="auto"/>
                <w:w w:val="88"/>
              </w:rPr>
              <w:t>0.070%</w:t>
            </w: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 w:type="dxa"/>
            <w:vAlign w:val="bottom"/>
            <w:tcBorders>
              <w:top w:val="single" w:sz="8" w:color="auto"/>
              <w:bottom w:val="single" w:sz="8" w:color="auto"/>
              <w:right w:val="single" w:sz="8" w:color="auto"/>
            </w:tcBorders>
            <w:shd w:val="clear" w:color="auto" w:fill="000000"/>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96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22"/>
                <w:szCs w:val="22"/>
                <w:color w:val="auto"/>
                <w:w w:val="88"/>
              </w:rPr>
              <w:t>&lt; A2 / A and</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right w:val="single" w:sz="8" w:color="auto"/>
            </w:tcBorders>
            <w:gridSpan w:val="5"/>
          </w:tcPr>
          <w:p>
            <w:pPr>
              <w:jc w:val="center"/>
              <w:ind w:right="620"/>
              <w:spacing w:after="0" w:line="224" w:lineRule="exact"/>
              <w:rPr>
                <w:sz w:val="20"/>
                <w:szCs w:val="20"/>
                <w:color w:val="auto"/>
              </w:rPr>
            </w:pPr>
            <w:r>
              <w:rPr>
                <w:rFonts w:ascii="Arial" w:cs="Arial" w:eastAsia="Arial" w:hAnsi="Arial"/>
                <w:sz w:val="22"/>
                <w:szCs w:val="22"/>
                <w:color w:val="auto"/>
              </w:rPr>
              <w:t>II</w:t>
            </w:r>
          </w:p>
        </w:tc>
        <w:tc>
          <w:tcPr>
            <w:tcW w:w="2960" w:type="dxa"/>
            <w:vAlign w:val="bottom"/>
            <w:tcBorders>
              <w:right w:val="single" w:sz="8" w:color="auto"/>
            </w:tcBorders>
            <w:gridSpan w:val="3"/>
          </w:tcPr>
          <w:p>
            <w:pPr>
              <w:jc w:val="center"/>
              <w:ind w:right="40"/>
              <w:spacing w:after="0" w:line="224" w:lineRule="exact"/>
              <w:rPr>
                <w:sz w:val="20"/>
                <w:szCs w:val="20"/>
                <w:color w:val="auto"/>
              </w:rPr>
            </w:pPr>
            <w:r>
              <w:rPr>
                <w:rFonts w:ascii="Arial" w:cs="Arial" w:eastAsia="Arial" w:hAnsi="Arial"/>
                <w:sz w:val="22"/>
                <w:szCs w:val="22"/>
                <w:color w:val="auto"/>
                <w:w w:val="93"/>
              </w:rPr>
              <w:t>≥ A3 / A-</w:t>
            </w:r>
          </w:p>
        </w:tc>
        <w:tc>
          <w:tcPr>
            <w:tcW w:w="2200" w:type="dxa"/>
            <w:vAlign w:val="bottom"/>
            <w:gridSpan w:val="6"/>
          </w:tcPr>
          <w:p>
            <w:pPr>
              <w:jc w:val="center"/>
              <w:ind w:left="84"/>
              <w:spacing w:after="0" w:line="224" w:lineRule="exact"/>
              <w:rPr>
                <w:sz w:val="20"/>
                <w:szCs w:val="20"/>
                <w:color w:val="auto"/>
              </w:rPr>
            </w:pPr>
            <w:r>
              <w:rPr>
                <w:rFonts w:ascii="Arial" w:cs="Arial" w:eastAsia="Arial" w:hAnsi="Arial"/>
                <w:sz w:val="22"/>
                <w:szCs w:val="22"/>
                <w:color w:val="auto"/>
                <w:w w:val="88"/>
              </w:rPr>
              <w:t>0.900%</w:t>
            </w:r>
          </w:p>
        </w:tc>
        <w:tc>
          <w:tcPr>
            <w:tcW w:w="200" w:type="dxa"/>
            <w:vAlign w:val="bottom"/>
            <w:tcBorders>
              <w:right w:val="single" w:sz="8" w:color="auto"/>
            </w:tcBorders>
          </w:tcPr>
          <w:p>
            <w:pPr>
              <w:spacing w:after="0"/>
              <w:rPr>
                <w:sz w:val="19"/>
                <w:szCs w:val="19"/>
                <w:color w:val="auto"/>
              </w:rPr>
            </w:pPr>
          </w:p>
        </w:tc>
        <w:tc>
          <w:tcPr>
            <w:tcW w:w="1740" w:type="dxa"/>
            <w:vAlign w:val="bottom"/>
            <w:gridSpan w:val="2"/>
          </w:tcPr>
          <w:p>
            <w:pPr>
              <w:jc w:val="center"/>
              <w:ind w:left="552"/>
              <w:spacing w:after="0" w:line="224" w:lineRule="exact"/>
              <w:rPr>
                <w:sz w:val="20"/>
                <w:szCs w:val="20"/>
                <w:color w:val="auto"/>
              </w:rPr>
            </w:pPr>
            <w:r>
              <w:rPr>
                <w:rFonts w:ascii="Arial" w:cs="Arial" w:eastAsia="Arial" w:hAnsi="Arial"/>
                <w:sz w:val="22"/>
                <w:szCs w:val="22"/>
                <w:color w:val="auto"/>
                <w:w w:val="87"/>
              </w:rPr>
              <w:t>0%</w:t>
            </w:r>
          </w:p>
        </w:tc>
        <w:tc>
          <w:tcPr>
            <w:tcW w:w="680" w:type="dxa"/>
            <w:vAlign w:val="bottom"/>
            <w:tcBorders>
              <w:right w:val="single" w:sz="8" w:color="auto"/>
            </w:tcBorders>
          </w:tcPr>
          <w:p>
            <w:pPr>
              <w:spacing w:after="0"/>
              <w:rPr>
                <w:sz w:val="19"/>
                <w:szCs w:val="19"/>
                <w:color w:val="auto"/>
              </w:rPr>
            </w:pPr>
          </w:p>
        </w:tc>
        <w:tc>
          <w:tcPr>
            <w:tcW w:w="1740" w:type="dxa"/>
            <w:vAlign w:val="bottom"/>
            <w:gridSpan w:val="2"/>
          </w:tcPr>
          <w:p>
            <w:pPr>
              <w:jc w:val="center"/>
              <w:ind w:left="132"/>
              <w:spacing w:after="0" w:line="224" w:lineRule="exact"/>
              <w:rPr>
                <w:sz w:val="20"/>
                <w:szCs w:val="20"/>
                <w:color w:val="auto"/>
              </w:rPr>
            </w:pPr>
            <w:r>
              <w:rPr>
                <w:rFonts w:ascii="Arial" w:cs="Arial" w:eastAsia="Arial" w:hAnsi="Arial"/>
                <w:sz w:val="22"/>
                <w:szCs w:val="22"/>
                <w:color w:val="auto"/>
                <w:w w:val="88"/>
              </w:rPr>
              <w:t>0.100%</w:t>
            </w:r>
          </w:p>
        </w:tc>
        <w:tc>
          <w:tcPr>
            <w:tcW w:w="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0" w:type="dxa"/>
            <w:vAlign w:val="bottom"/>
            <w:tcBorders>
              <w:top w:val="single" w:sz="8" w:color="auto"/>
              <w:bottom w:val="single" w:sz="8" w:color="auto"/>
              <w:right w:val="single" w:sz="8" w:color="auto"/>
            </w:tcBorders>
            <w:shd w:val="clear" w:color="auto" w:fill="000000"/>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gridSpan w:val="4"/>
          </w:tcPr>
          <w:p>
            <w:pPr>
              <w:jc w:val="right"/>
              <w:ind w:right="12"/>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4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right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right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right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10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right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5"/>
              </w:rPr>
              <w:t>Term</w:t>
            </w:r>
          </w:p>
        </w:tc>
        <w:tc>
          <w:tcPr>
            <w:tcW w:w="960" w:type="dxa"/>
            <w:vAlign w:val="bottom"/>
            <w:tcBorders>
              <w:right w:val="single" w:sz="8" w:color="auto"/>
            </w:tcBorders>
            <w:gridSpan w:val="3"/>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Borders>
              <w:right w:val="single" w:sz="8" w:color="auto"/>
            </w:tcBorders>
            <w:gridSpan w:val="7"/>
            <w:vMerge w:val="restart"/>
          </w:tcPr>
          <w:p>
            <w:pPr>
              <w:jc w:val="center"/>
              <w:ind w:right="520"/>
              <w:spacing w:after="0"/>
              <w:rPr>
                <w:sz w:val="20"/>
                <w:szCs w:val="20"/>
                <w:color w:val="auto"/>
              </w:rPr>
            </w:pPr>
            <w:r>
              <w:rPr>
                <w:rFonts w:ascii="Arial" w:cs="Arial" w:eastAsia="Arial" w:hAnsi="Arial"/>
                <w:sz w:val="22"/>
                <w:szCs w:val="22"/>
                <w:color w:val="auto"/>
                <w:w w:val="94"/>
              </w:rPr>
              <w:t>Tier</w:t>
            </w:r>
          </w:p>
        </w:tc>
        <w:tc>
          <w:tcPr>
            <w:tcW w:w="29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22"/>
                <w:szCs w:val="22"/>
                <w:color w:val="auto"/>
                <w:w w:val="88"/>
              </w:rPr>
              <w:t>Ratings</w:t>
            </w:r>
          </w:p>
        </w:tc>
        <w:tc>
          <w:tcPr>
            <w:tcW w:w="180" w:type="dxa"/>
            <w:vAlign w:val="bottom"/>
          </w:tcPr>
          <w:p>
            <w:pPr>
              <w:spacing w:after="0"/>
              <w:rPr>
                <w:sz w:val="19"/>
                <w:szCs w:val="19"/>
                <w:color w:val="auto"/>
              </w:rPr>
            </w:pPr>
          </w:p>
        </w:tc>
        <w:tc>
          <w:tcPr>
            <w:tcW w:w="2020" w:type="dxa"/>
            <w:vAlign w:val="bottom"/>
            <w:tcBorders>
              <w:bottom w:val="single" w:sz="8" w:color="auto"/>
            </w:tcBorders>
            <w:gridSpan w:val="5"/>
          </w:tcPr>
          <w:p>
            <w:pPr>
              <w:jc w:val="center"/>
              <w:ind w:right="60"/>
              <w:spacing w:after="0" w:line="223" w:lineRule="exact"/>
              <w:rPr>
                <w:sz w:val="20"/>
                <w:szCs w:val="20"/>
                <w:color w:val="auto"/>
              </w:rPr>
            </w:pPr>
            <w:r>
              <w:rPr>
                <w:rFonts w:ascii="Arial" w:cs="Arial" w:eastAsia="Arial" w:hAnsi="Arial"/>
                <w:sz w:val="22"/>
                <w:szCs w:val="22"/>
                <w:color w:val="auto"/>
                <w:w w:val="91"/>
              </w:rPr>
              <w:t>Benchmark/RFR/CBR</w:t>
            </w:r>
          </w:p>
        </w:tc>
        <w:tc>
          <w:tcPr>
            <w:tcW w:w="20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7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2"/>
                <w:szCs w:val="22"/>
                <w:color w:val="auto"/>
              </w:rPr>
              <w:t>ABR Spread</w:t>
            </w:r>
          </w:p>
        </w:tc>
        <w:tc>
          <w:tcPr>
            <w:tcW w:w="260" w:type="dxa"/>
            <w:vAlign w:val="bottom"/>
          </w:tcPr>
          <w:p>
            <w:pPr>
              <w:spacing w:after="0"/>
              <w:rPr>
                <w:sz w:val="19"/>
                <w:szCs w:val="19"/>
                <w:color w:val="auto"/>
              </w:rPr>
            </w:pPr>
          </w:p>
        </w:tc>
        <w:tc>
          <w:tcPr>
            <w:tcW w:w="1780" w:type="dxa"/>
            <w:vAlign w:val="bottom"/>
            <w:tcBorders>
              <w:right w:val="single" w:sz="8" w:color="auto"/>
            </w:tcBorders>
            <w:gridSpan w:val="2"/>
            <w:vMerge w:val="restart"/>
          </w:tcPr>
          <w:p>
            <w:pPr>
              <w:jc w:val="center"/>
              <w:ind w:right="300"/>
              <w:spacing w:after="0"/>
              <w:rPr>
                <w:sz w:val="20"/>
                <w:szCs w:val="20"/>
                <w:color w:val="auto"/>
              </w:rPr>
            </w:pPr>
            <w:r>
              <w:rPr>
                <w:rFonts w:ascii="Arial" w:cs="Arial" w:eastAsia="Arial" w:hAnsi="Arial"/>
                <w:sz w:val="22"/>
                <w:szCs w:val="22"/>
                <w:color w:val="auto"/>
                <w:w w:val="89"/>
              </w:rPr>
              <w:t>Facility Fee Rate</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Borders>
              <w:right w:val="single" w:sz="8" w:color="auto"/>
            </w:tcBorders>
            <w:gridSpan w:val="7"/>
            <w:vMerge w:val="continue"/>
          </w:tcPr>
          <w:p>
            <w:pPr>
              <w:spacing w:after="0"/>
              <w:rPr>
                <w:sz w:val="19"/>
                <w:szCs w:val="19"/>
                <w:color w:val="auto"/>
              </w:rPr>
            </w:pPr>
          </w:p>
        </w:tc>
        <w:tc>
          <w:tcPr>
            <w:tcW w:w="2960" w:type="dxa"/>
            <w:vAlign w:val="bottom"/>
            <w:tcBorders>
              <w:right w:val="single" w:sz="8" w:color="auto"/>
            </w:tcBorders>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Borders>
              <w:right w:val="single" w:sz="8" w:color="auto"/>
            </w:tcBorders>
            <w:gridSpan w:val="6"/>
          </w:tcPr>
          <w:p>
            <w:pPr>
              <w:jc w:val="center"/>
              <w:ind w:right="220"/>
              <w:spacing w:after="0" w:line="223" w:lineRule="exact"/>
              <w:rPr>
                <w:sz w:val="20"/>
                <w:szCs w:val="20"/>
                <w:color w:val="auto"/>
              </w:rPr>
            </w:pPr>
            <w:r>
              <w:rPr>
                <w:rFonts w:ascii="Arial" w:cs="Arial" w:eastAsia="Arial" w:hAnsi="Arial"/>
                <w:sz w:val="22"/>
                <w:szCs w:val="22"/>
                <w:color w:val="auto"/>
                <w:w w:val="84"/>
              </w:rPr>
              <w:t>Spread</w:t>
            </w:r>
          </w:p>
        </w:tc>
        <w:tc>
          <w:tcPr>
            <w:tcW w:w="640" w:type="dxa"/>
            <w:vAlign w:val="bottom"/>
          </w:tcPr>
          <w:p>
            <w:pPr>
              <w:spacing w:after="0"/>
              <w:rPr>
                <w:sz w:val="19"/>
                <w:szCs w:val="19"/>
                <w:color w:val="auto"/>
              </w:rPr>
            </w:pPr>
          </w:p>
        </w:tc>
        <w:tc>
          <w:tcPr>
            <w:tcW w:w="1780" w:type="dxa"/>
            <w:vAlign w:val="bottom"/>
            <w:tcBorders>
              <w:right w:val="single" w:sz="8" w:color="auto"/>
            </w:tcBorders>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Borders>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0" w:type="dxa"/>
            <w:vAlign w:val="bottom"/>
            <w:tcBorders>
              <w:top w:val="single" w:sz="8" w:color="auto"/>
              <w:bottom w:val="single" w:sz="8" w:color="auto"/>
              <w:right w:val="single" w:sz="8" w:color="auto"/>
            </w:tcBorders>
            <w:shd w:val="clear" w:color="auto" w:fill="000000"/>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96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22"/>
                <w:szCs w:val="22"/>
                <w:color w:val="auto"/>
                <w:w w:val="91"/>
              </w:rPr>
              <w:t>&lt; A3 / A- and</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right w:val="single" w:sz="8" w:color="auto"/>
            </w:tcBorders>
            <w:gridSpan w:val="6"/>
          </w:tcPr>
          <w:p>
            <w:pPr>
              <w:jc w:val="center"/>
              <w:ind w:right="560"/>
              <w:spacing w:after="0" w:line="224" w:lineRule="exact"/>
              <w:rPr>
                <w:sz w:val="20"/>
                <w:szCs w:val="20"/>
                <w:color w:val="auto"/>
              </w:rPr>
            </w:pPr>
            <w:r>
              <w:rPr>
                <w:rFonts w:ascii="Arial" w:cs="Arial" w:eastAsia="Arial" w:hAnsi="Arial"/>
                <w:sz w:val="22"/>
                <w:szCs w:val="22"/>
                <w:color w:val="auto"/>
              </w:rPr>
              <w:t>III</w:t>
            </w:r>
          </w:p>
        </w:tc>
        <w:tc>
          <w:tcPr>
            <w:tcW w:w="2960" w:type="dxa"/>
            <w:vAlign w:val="bottom"/>
            <w:tcBorders>
              <w:right w:val="single" w:sz="8" w:color="auto"/>
            </w:tcBorders>
            <w:gridSpan w:val="3"/>
          </w:tcPr>
          <w:p>
            <w:pPr>
              <w:jc w:val="center"/>
              <w:ind w:right="20"/>
              <w:spacing w:after="0" w:line="224" w:lineRule="exact"/>
              <w:rPr>
                <w:sz w:val="20"/>
                <w:szCs w:val="20"/>
                <w:color w:val="auto"/>
              </w:rPr>
            </w:pPr>
            <w:r>
              <w:rPr>
                <w:rFonts w:ascii="Arial" w:cs="Arial" w:eastAsia="Arial" w:hAnsi="Arial"/>
                <w:sz w:val="22"/>
                <w:szCs w:val="22"/>
                <w:color w:val="auto"/>
                <w:w w:val="92"/>
              </w:rPr>
              <w:t>≥ Baa1 / BBB+</w:t>
            </w:r>
          </w:p>
        </w:tc>
        <w:tc>
          <w:tcPr>
            <w:tcW w:w="2200" w:type="dxa"/>
            <w:vAlign w:val="bottom"/>
            <w:gridSpan w:val="6"/>
          </w:tcPr>
          <w:p>
            <w:pPr>
              <w:jc w:val="center"/>
              <w:ind w:left="72"/>
              <w:spacing w:after="0" w:line="224" w:lineRule="exact"/>
              <w:rPr>
                <w:sz w:val="20"/>
                <w:szCs w:val="20"/>
                <w:color w:val="auto"/>
              </w:rPr>
            </w:pPr>
            <w:r>
              <w:rPr>
                <w:rFonts w:ascii="Arial" w:cs="Arial" w:eastAsia="Arial" w:hAnsi="Arial"/>
                <w:sz w:val="22"/>
                <w:szCs w:val="22"/>
                <w:color w:val="auto"/>
                <w:w w:val="88"/>
              </w:rPr>
              <w:t>1.000%</w:t>
            </w:r>
          </w:p>
        </w:tc>
        <w:tc>
          <w:tcPr>
            <w:tcW w:w="200" w:type="dxa"/>
            <w:vAlign w:val="bottom"/>
            <w:tcBorders>
              <w:right w:val="single" w:sz="8" w:color="auto"/>
            </w:tcBorders>
          </w:tcPr>
          <w:p>
            <w:pPr>
              <w:spacing w:after="0"/>
              <w:rPr>
                <w:sz w:val="19"/>
                <w:szCs w:val="19"/>
                <w:color w:val="auto"/>
              </w:rPr>
            </w:pPr>
          </w:p>
        </w:tc>
        <w:tc>
          <w:tcPr>
            <w:tcW w:w="1740" w:type="dxa"/>
            <w:vAlign w:val="bottom"/>
            <w:gridSpan w:val="2"/>
          </w:tcPr>
          <w:p>
            <w:pPr>
              <w:jc w:val="center"/>
              <w:ind w:left="552"/>
              <w:spacing w:after="0" w:line="224" w:lineRule="exact"/>
              <w:rPr>
                <w:sz w:val="20"/>
                <w:szCs w:val="20"/>
                <w:color w:val="auto"/>
              </w:rPr>
            </w:pPr>
            <w:r>
              <w:rPr>
                <w:rFonts w:ascii="Arial" w:cs="Arial" w:eastAsia="Arial" w:hAnsi="Arial"/>
                <w:sz w:val="22"/>
                <w:szCs w:val="22"/>
                <w:color w:val="auto"/>
                <w:w w:val="87"/>
              </w:rPr>
              <w:t>0%</w:t>
            </w:r>
          </w:p>
        </w:tc>
        <w:tc>
          <w:tcPr>
            <w:tcW w:w="680" w:type="dxa"/>
            <w:vAlign w:val="bottom"/>
            <w:tcBorders>
              <w:right w:val="single" w:sz="8" w:color="auto"/>
            </w:tcBorders>
          </w:tcPr>
          <w:p>
            <w:pPr>
              <w:spacing w:after="0"/>
              <w:rPr>
                <w:sz w:val="19"/>
                <w:szCs w:val="19"/>
                <w:color w:val="auto"/>
              </w:rPr>
            </w:pPr>
          </w:p>
        </w:tc>
        <w:tc>
          <w:tcPr>
            <w:tcW w:w="1740" w:type="dxa"/>
            <w:vAlign w:val="bottom"/>
            <w:gridSpan w:val="2"/>
          </w:tcPr>
          <w:p>
            <w:pPr>
              <w:jc w:val="center"/>
              <w:ind w:left="132"/>
              <w:spacing w:after="0" w:line="224" w:lineRule="exact"/>
              <w:rPr>
                <w:sz w:val="20"/>
                <w:szCs w:val="20"/>
                <w:color w:val="auto"/>
              </w:rPr>
            </w:pPr>
            <w:r>
              <w:rPr>
                <w:rFonts w:ascii="Arial" w:cs="Arial" w:eastAsia="Arial" w:hAnsi="Arial"/>
                <w:sz w:val="22"/>
                <w:szCs w:val="22"/>
                <w:color w:val="auto"/>
                <w:w w:val="88"/>
              </w:rPr>
              <w:t>0.125%</w:t>
            </w:r>
          </w:p>
        </w:tc>
        <w:tc>
          <w:tcPr>
            <w:tcW w:w="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0" w:type="dxa"/>
            <w:vAlign w:val="bottom"/>
            <w:tcBorders>
              <w:top w:val="single" w:sz="8" w:color="auto"/>
              <w:bottom w:val="single" w:sz="8" w:color="auto"/>
              <w:right w:val="single" w:sz="8" w:color="auto"/>
            </w:tcBorders>
            <w:shd w:val="clear" w:color="auto" w:fill="000000"/>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96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22"/>
                <w:szCs w:val="22"/>
                <w:color w:val="auto"/>
                <w:w w:val="91"/>
              </w:rPr>
              <w:t>&lt; Baa1 / BBB+ and</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right w:val="single" w:sz="8" w:color="auto"/>
            </w:tcBorders>
            <w:gridSpan w:val="6"/>
          </w:tcPr>
          <w:p>
            <w:pPr>
              <w:jc w:val="center"/>
              <w:ind w:right="580"/>
              <w:spacing w:after="0" w:line="224" w:lineRule="exact"/>
              <w:rPr>
                <w:sz w:val="20"/>
                <w:szCs w:val="20"/>
                <w:color w:val="auto"/>
              </w:rPr>
            </w:pPr>
            <w:r>
              <w:rPr>
                <w:rFonts w:ascii="Arial" w:cs="Arial" w:eastAsia="Arial" w:hAnsi="Arial"/>
                <w:sz w:val="22"/>
                <w:szCs w:val="22"/>
                <w:color w:val="auto"/>
              </w:rPr>
              <w:t>IV</w:t>
            </w:r>
          </w:p>
        </w:tc>
        <w:tc>
          <w:tcPr>
            <w:tcW w:w="2960" w:type="dxa"/>
            <w:vAlign w:val="bottom"/>
            <w:tcBorders>
              <w:right w:val="single" w:sz="8" w:color="auto"/>
            </w:tcBorders>
            <w:gridSpan w:val="3"/>
          </w:tcPr>
          <w:p>
            <w:pPr>
              <w:jc w:val="center"/>
              <w:ind w:right="20"/>
              <w:spacing w:after="0" w:line="224" w:lineRule="exact"/>
              <w:rPr>
                <w:sz w:val="20"/>
                <w:szCs w:val="20"/>
                <w:color w:val="auto"/>
              </w:rPr>
            </w:pPr>
            <w:r>
              <w:rPr>
                <w:rFonts w:ascii="Arial" w:cs="Arial" w:eastAsia="Arial" w:hAnsi="Arial"/>
                <w:sz w:val="22"/>
                <w:szCs w:val="22"/>
                <w:color w:val="auto"/>
                <w:w w:val="92"/>
              </w:rPr>
              <w:t>≥ Baa2 / BBB</w:t>
            </w:r>
          </w:p>
        </w:tc>
        <w:tc>
          <w:tcPr>
            <w:tcW w:w="2200" w:type="dxa"/>
            <w:vAlign w:val="bottom"/>
            <w:gridSpan w:val="6"/>
          </w:tcPr>
          <w:p>
            <w:pPr>
              <w:jc w:val="center"/>
              <w:ind w:left="72"/>
              <w:spacing w:after="0" w:line="224" w:lineRule="exact"/>
              <w:rPr>
                <w:sz w:val="20"/>
                <w:szCs w:val="20"/>
                <w:color w:val="auto"/>
              </w:rPr>
            </w:pPr>
            <w:r>
              <w:rPr>
                <w:rFonts w:ascii="Arial" w:cs="Arial" w:eastAsia="Arial" w:hAnsi="Arial"/>
                <w:sz w:val="22"/>
                <w:szCs w:val="22"/>
                <w:color w:val="auto"/>
                <w:w w:val="88"/>
              </w:rPr>
              <w:t>1.100%</w:t>
            </w:r>
          </w:p>
        </w:tc>
        <w:tc>
          <w:tcPr>
            <w:tcW w:w="200" w:type="dxa"/>
            <w:vAlign w:val="bottom"/>
            <w:tcBorders>
              <w:right w:val="single" w:sz="8" w:color="auto"/>
            </w:tcBorders>
          </w:tcPr>
          <w:p>
            <w:pPr>
              <w:spacing w:after="0"/>
              <w:rPr>
                <w:sz w:val="19"/>
                <w:szCs w:val="19"/>
                <w:color w:val="auto"/>
              </w:rPr>
            </w:pPr>
          </w:p>
        </w:tc>
        <w:tc>
          <w:tcPr>
            <w:tcW w:w="1740" w:type="dxa"/>
            <w:vAlign w:val="bottom"/>
            <w:gridSpan w:val="2"/>
          </w:tcPr>
          <w:p>
            <w:pPr>
              <w:jc w:val="center"/>
              <w:ind w:left="532"/>
              <w:spacing w:after="0" w:line="224" w:lineRule="exact"/>
              <w:rPr>
                <w:sz w:val="20"/>
                <w:szCs w:val="20"/>
                <w:color w:val="auto"/>
              </w:rPr>
            </w:pPr>
            <w:r>
              <w:rPr>
                <w:rFonts w:ascii="Arial" w:cs="Arial" w:eastAsia="Arial" w:hAnsi="Arial"/>
                <w:sz w:val="22"/>
                <w:szCs w:val="22"/>
                <w:color w:val="auto"/>
                <w:w w:val="88"/>
              </w:rPr>
              <w:t>0.100%</w:t>
            </w:r>
          </w:p>
        </w:tc>
        <w:tc>
          <w:tcPr>
            <w:tcW w:w="680" w:type="dxa"/>
            <w:vAlign w:val="bottom"/>
            <w:tcBorders>
              <w:right w:val="single" w:sz="8" w:color="auto"/>
            </w:tcBorders>
          </w:tcPr>
          <w:p>
            <w:pPr>
              <w:spacing w:after="0"/>
              <w:rPr>
                <w:sz w:val="19"/>
                <w:szCs w:val="19"/>
                <w:color w:val="auto"/>
              </w:rPr>
            </w:pPr>
          </w:p>
        </w:tc>
        <w:tc>
          <w:tcPr>
            <w:tcW w:w="1740" w:type="dxa"/>
            <w:vAlign w:val="bottom"/>
            <w:gridSpan w:val="2"/>
          </w:tcPr>
          <w:p>
            <w:pPr>
              <w:jc w:val="center"/>
              <w:ind w:left="132"/>
              <w:spacing w:after="0" w:line="224" w:lineRule="exact"/>
              <w:rPr>
                <w:sz w:val="20"/>
                <w:szCs w:val="20"/>
                <w:color w:val="auto"/>
              </w:rPr>
            </w:pPr>
            <w:r>
              <w:rPr>
                <w:rFonts w:ascii="Arial" w:cs="Arial" w:eastAsia="Arial" w:hAnsi="Arial"/>
                <w:sz w:val="22"/>
                <w:szCs w:val="22"/>
                <w:color w:val="auto"/>
                <w:w w:val="88"/>
              </w:rPr>
              <w:t>0.150%</w:t>
            </w:r>
          </w:p>
        </w:tc>
        <w:tc>
          <w:tcPr>
            <w:tcW w:w="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0" w:type="dxa"/>
            <w:vAlign w:val="bottom"/>
            <w:tcBorders>
              <w:top w:val="single" w:sz="8" w:color="auto"/>
              <w:bottom w:val="single" w:sz="8" w:color="auto"/>
              <w:right w:val="single" w:sz="8" w:color="auto"/>
            </w:tcBorders>
            <w:shd w:val="clear" w:color="auto" w:fill="000000"/>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Borders>
              <w:right w:val="single" w:sz="8" w:color="auto"/>
            </w:tcBorders>
            <w:gridSpan w:val="5"/>
          </w:tcPr>
          <w:p>
            <w:pPr>
              <w:jc w:val="center"/>
              <w:ind w:right="600"/>
              <w:spacing w:after="0"/>
              <w:rPr>
                <w:sz w:val="20"/>
                <w:szCs w:val="20"/>
                <w:color w:val="auto"/>
              </w:rPr>
            </w:pPr>
            <w:r>
              <w:rPr>
                <w:rFonts w:ascii="Arial" w:cs="Arial" w:eastAsia="Arial" w:hAnsi="Arial"/>
                <w:sz w:val="22"/>
                <w:szCs w:val="22"/>
                <w:color w:val="auto"/>
              </w:rPr>
              <w:t>V</w:t>
            </w:r>
          </w:p>
        </w:tc>
        <w:tc>
          <w:tcPr>
            <w:tcW w:w="29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91"/>
              </w:rPr>
              <w:t>≤ Baa3 / BBB-</w:t>
            </w:r>
          </w:p>
        </w:tc>
        <w:tc>
          <w:tcPr>
            <w:tcW w:w="2200" w:type="dxa"/>
            <w:vAlign w:val="bottom"/>
            <w:gridSpan w:val="6"/>
          </w:tcPr>
          <w:p>
            <w:pPr>
              <w:jc w:val="center"/>
              <w:ind w:left="72"/>
              <w:spacing w:after="0"/>
              <w:rPr>
                <w:sz w:val="20"/>
                <w:szCs w:val="20"/>
                <w:color w:val="auto"/>
              </w:rPr>
            </w:pPr>
            <w:r>
              <w:rPr>
                <w:rFonts w:ascii="Arial" w:cs="Arial" w:eastAsia="Arial" w:hAnsi="Arial"/>
                <w:sz w:val="22"/>
                <w:szCs w:val="22"/>
                <w:color w:val="auto"/>
                <w:w w:val="88"/>
              </w:rPr>
              <w:t>1.200%</w:t>
            </w:r>
          </w:p>
        </w:tc>
        <w:tc>
          <w:tcPr>
            <w:tcW w:w="200" w:type="dxa"/>
            <w:vAlign w:val="bottom"/>
            <w:tcBorders>
              <w:right w:val="single" w:sz="8" w:color="auto"/>
            </w:tcBorders>
          </w:tcPr>
          <w:p>
            <w:pPr>
              <w:spacing w:after="0"/>
              <w:rPr>
                <w:sz w:val="24"/>
                <w:szCs w:val="24"/>
                <w:color w:val="auto"/>
              </w:rPr>
            </w:pPr>
          </w:p>
        </w:tc>
        <w:tc>
          <w:tcPr>
            <w:tcW w:w="1740" w:type="dxa"/>
            <w:vAlign w:val="bottom"/>
            <w:gridSpan w:val="2"/>
          </w:tcPr>
          <w:p>
            <w:pPr>
              <w:jc w:val="center"/>
              <w:ind w:left="532"/>
              <w:spacing w:after="0"/>
              <w:rPr>
                <w:sz w:val="20"/>
                <w:szCs w:val="20"/>
                <w:color w:val="auto"/>
              </w:rPr>
            </w:pPr>
            <w:r>
              <w:rPr>
                <w:rFonts w:ascii="Arial" w:cs="Arial" w:eastAsia="Arial" w:hAnsi="Arial"/>
                <w:sz w:val="22"/>
                <w:szCs w:val="22"/>
                <w:color w:val="auto"/>
                <w:w w:val="88"/>
              </w:rPr>
              <w:t>0.200%</w:t>
            </w:r>
          </w:p>
        </w:tc>
        <w:tc>
          <w:tcPr>
            <w:tcW w:w="680" w:type="dxa"/>
            <w:vAlign w:val="bottom"/>
            <w:tcBorders>
              <w:right w:val="single" w:sz="8" w:color="auto"/>
            </w:tcBorders>
          </w:tcPr>
          <w:p>
            <w:pPr>
              <w:spacing w:after="0"/>
              <w:rPr>
                <w:sz w:val="24"/>
                <w:szCs w:val="24"/>
                <w:color w:val="auto"/>
              </w:rPr>
            </w:pPr>
          </w:p>
        </w:tc>
        <w:tc>
          <w:tcPr>
            <w:tcW w:w="1740" w:type="dxa"/>
            <w:vAlign w:val="bottom"/>
            <w:gridSpan w:val="2"/>
          </w:tcPr>
          <w:p>
            <w:pPr>
              <w:jc w:val="center"/>
              <w:ind w:left="132"/>
              <w:spacing w:after="0"/>
              <w:rPr>
                <w:sz w:val="20"/>
                <w:szCs w:val="20"/>
                <w:color w:val="auto"/>
              </w:rPr>
            </w:pPr>
            <w:r>
              <w:rPr>
                <w:rFonts w:ascii="Arial" w:cs="Arial" w:eastAsia="Arial" w:hAnsi="Arial"/>
                <w:sz w:val="22"/>
                <w:szCs w:val="22"/>
                <w:color w:val="auto"/>
                <w:w w:val="88"/>
              </w:rPr>
              <w:t>0.175%</w:t>
            </w: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 w:type="dxa"/>
            <w:vAlign w:val="bottom"/>
            <w:tcBorders>
              <w:top w:val="single" w:sz="8" w:color="auto"/>
              <w:bottom w:val="single" w:sz="8" w:color="auto"/>
              <w:right w:val="single" w:sz="8" w:color="auto"/>
            </w:tcBorders>
            <w:shd w:val="clear" w:color="auto" w:fill="000000"/>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434"/>
        <w:spacing w:after="0" w:line="270" w:lineRule="auto"/>
        <w:rPr>
          <w:sz w:val="20"/>
          <w:szCs w:val="20"/>
          <w:color w:val="auto"/>
        </w:rPr>
      </w:pPr>
      <w:r>
        <w:rPr>
          <w:rFonts w:ascii="Arial" w:cs="Arial" w:eastAsia="Arial" w:hAnsi="Arial"/>
          <w:sz w:val="19"/>
          <w:szCs w:val="19"/>
          <w:color w:val="auto"/>
        </w:rPr>
        <w:t xml:space="preserve">For purposes of the foregoing, (i) if either Moody’s or S&amp;P shall not have in effect a rating for the Index Debt (other than by reason of the circumstances referred to in the last sentence of this definition), then such rating agency shall be deemed to have established a rating equivalent to the Moody’s or S&amp;P, as applicable, rating then in effect (unless the absence of any such rating is due to the termination of the rating engagement by the Company with Moody’s or S&amp;P, as applicable, in which case the applicable rating shall be deemed to be Tier V); (ii) if the ratings established or deemed to have been established by Moody’s and S&amp;P for the Index Debt shall fall within different Tiers, the Applicable Rate shall be based on the higher of the two ratings unless one of the two ratings is two or more Tiers lower than the other, in which case the Applicable Rate shall be determined by reference to the Tier next above that of the lower of the two ratings; and (iii) 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irrespective of when notice of such change shall have been furnished by the Company to the Administrative Agent and the Lenders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or otherwise. Each change in the Applicable Rate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Applicant Borrower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2.23(b)</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Approved Fund</w:t>
      </w:r>
      <w:r>
        <w:rPr>
          <w:rFonts w:ascii="Arial" w:cs="Arial" w:eastAsia="Arial" w:hAnsi="Arial"/>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Arranger</w:t>
      </w:r>
      <w:r>
        <w:rPr>
          <w:rFonts w:ascii="Arial" w:cs="Arial" w:eastAsia="Arial" w:hAnsi="Arial"/>
          <w:sz w:val="19"/>
          <w:szCs w:val="19"/>
          <w:color w:val="auto"/>
        </w:rPr>
        <w:t>” means PNC Capital Markets LLC, in its capacity as sole bookrunner and sole lead arranger hereunder.</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200" w:name="page201"/>
    <w:bookmarkEnd w:id="200"/>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Assignment and Assumption</w:t>
      </w:r>
      <w:r>
        <w:rPr>
          <w:rFonts w:ascii="Arial" w:cs="Arial" w:eastAsia="Arial" w:hAnsi="Arial"/>
          <w:sz w:val="22"/>
          <w:szCs w:val="22"/>
          <w:color w:val="auto"/>
        </w:rPr>
        <w:t xml:space="preserve">” means an assignment and assumption entered into by a Lender and an assignee (with the consent of any party whose consent is required by </w:t>
      </w:r>
      <w:r>
        <w:rPr>
          <w:rFonts w:ascii="Arial" w:cs="Arial" w:eastAsia="Arial" w:hAnsi="Arial"/>
          <w:sz w:val="22"/>
          <w:szCs w:val="22"/>
          <w:u w:val="single" w:color="auto"/>
          <w:color w:val="auto"/>
        </w:rPr>
        <w:t>Section 10.04</w:t>
      </w:r>
      <w:r>
        <w:rPr>
          <w:rFonts w:ascii="Arial" w:cs="Arial" w:eastAsia="Arial" w:hAnsi="Arial"/>
          <w:sz w:val="22"/>
          <w:szCs w:val="22"/>
          <w:color w:val="auto"/>
        </w:rPr>
        <w:t xml:space="preserve">), and accepted by the Administrative Agent,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any other form approved by the Administrative Agent.</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Availability Period</w:t>
      </w:r>
      <w:r>
        <w:rPr>
          <w:rFonts w:ascii="Arial" w:cs="Arial" w:eastAsia="Arial" w:hAnsi="Arial"/>
          <w:sz w:val="22"/>
          <w:szCs w:val="22"/>
          <w:color w:val="auto"/>
        </w:rPr>
        <w:t>” means the period from and including the Effective Date to but excluding the earlier of the Maturity Date and the date of termination of the Commitments.</w:t>
      </w:r>
    </w:p>
    <w:p>
      <w:pPr>
        <w:spacing w:after="0" w:line="17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Available Tenor</w:t>
      </w:r>
      <w:r>
        <w:rPr>
          <w:rFonts w:ascii="Arial" w:cs="Arial" w:eastAsia="Arial" w:hAnsi="Arial"/>
          <w:sz w:val="19"/>
          <w:szCs w:val="19"/>
          <w:color w:val="auto"/>
        </w:rPr>
        <w:t xml:space="preserve">”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15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20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Bail-In Legislation</w:t>
      </w:r>
      <w:r>
        <w:rPr>
          <w:rFonts w:ascii="Arial" w:cs="Arial" w:eastAsia="Arial" w:hAnsi="Arial"/>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1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Bankruptcy Code</w:t>
      </w:r>
      <w:r>
        <w:rPr>
          <w:rFonts w:ascii="Arial" w:cs="Arial" w:eastAsia="Arial" w:hAnsi="Arial"/>
          <w:sz w:val="22"/>
          <w:szCs w:val="22"/>
          <w:color w:val="auto"/>
        </w:rPr>
        <w:t>” means Title 11 of the United States Code entitled “Bankruptcy”, as now and hereafter in effect, or any successor statute.</w:t>
      </w:r>
    </w:p>
    <w:p>
      <w:pPr>
        <w:spacing w:after="0" w:line="17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Bankruptcy Event</w:t>
      </w:r>
      <w:r>
        <w:rPr>
          <w:rFonts w:ascii="Arial" w:cs="Arial" w:eastAsia="Arial" w:hAnsi="Arial"/>
          <w:sz w:val="19"/>
          <w:szCs w:val="19"/>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of America or from the enforcement of judgments or writs of attachment on its assets or permit such Person (or such Governmental Authority or instrumentality) to reject, repudiate, disavow or disaffirm any contracts or agreements made by such Person.</w:t>
      </w:r>
    </w:p>
    <w:p>
      <w:pPr>
        <w:spacing w:after="0" w:line="15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Benchmark</w:t>
      </w:r>
      <w:r>
        <w:rPr>
          <w:rFonts w:ascii="Arial" w:cs="Arial" w:eastAsia="Arial" w:hAnsi="Arial"/>
          <w:sz w:val="22"/>
          <w:szCs w:val="22"/>
          <w:color w:val="auto"/>
        </w:rPr>
        <w:t>” means, initially, with respect to any (i) RFR Loan in any Agreed Currency, the applicable Relevant Adjusted Rate for such Agreed Currency or (ii) Term Benchmark Loan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1" w:name="page202"/>
    <w:bookmarkEnd w:id="201"/>
    <w:p>
      <w:pPr>
        <w:jc w:val="both"/>
        <w:spacing w:after="0" w:line="287" w:lineRule="auto"/>
        <w:rPr>
          <w:sz w:val="20"/>
          <w:szCs w:val="20"/>
          <w:color w:val="auto"/>
        </w:rPr>
      </w:pPr>
      <w:r>
        <w:rPr>
          <w:rFonts w:ascii="Arial" w:cs="Arial" w:eastAsia="Arial" w:hAnsi="Arial"/>
          <w:sz w:val="19"/>
          <w:szCs w:val="19"/>
          <w:color w:val="auto"/>
        </w:rPr>
        <w:t xml:space="preserve">any Agreed Currency, the Relevant Adjusted Rate for such Agreed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Benchmark Transition Event and the related Benchmark Replacement Date have occurred with respect to the applicable Relevant Adjusted Rate or the then-current Benchmark for such Agreed Currency, then “Benchmark” means the applicable Benchmark Replacement to the extent that such Benchmark Replacement has replaced such prior benchmark rate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14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Benchmark Replacement</w:t>
      </w:r>
      <w:r>
        <w:rPr>
          <w:rFonts w:ascii="Arial" w:cs="Arial" w:eastAsia="Arial" w:hAnsi="Arial"/>
          <w:sz w:val="21"/>
          <w:szCs w:val="21"/>
          <w:color w:val="auto"/>
        </w:rPr>
        <w:t xml:space="preserve">” means, with respect to any Benchmark Transition Event in respect of an Agreed Currency,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Benchmark Replacement would be less than the Floor, the Benchmark Replacement will be deemed to be the Floor for the purposes of this Agreement and the other Loan Documents.</w:t>
      </w:r>
    </w:p>
    <w:p>
      <w:pPr>
        <w:spacing w:after="0" w:line="18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Replacement Adjustment</w:t>
      </w:r>
      <w:r>
        <w:rPr>
          <w:rFonts w:ascii="Arial" w:cs="Arial" w:eastAsia="Arial" w:hAnsi="Arial"/>
          <w:sz w:val="19"/>
          <w:szCs w:val="19"/>
          <w:color w:val="auto"/>
        </w:rPr>
        <w:t>” means, with respect to any replacement of the then-current Benchmark in respect of a specified currency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in the United States.</w:t>
      </w:r>
    </w:p>
    <w:p>
      <w:pPr>
        <w:spacing w:after="0" w:line="200" w:lineRule="exact"/>
        <w:rPr>
          <w:sz w:val="20"/>
          <w:szCs w:val="20"/>
          <w:color w:val="auto"/>
        </w:rPr>
      </w:pPr>
    </w:p>
    <w:p>
      <w:pPr>
        <w:spacing w:after="0" w:line="20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Replacement Conforming Changes</w:t>
      </w:r>
      <w:r>
        <w:rPr>
          <w:rFonts w:ascii="Arial" w:cs="Arial" w:eastAsia="Arial" w:hAnsi="Arial"/>
          <w:sz w:val="19"/>
          <w:szCs w:val="19"/>
          <w:color w:val="auto"/>
        </w:rPr>
        <w:t>” means, with respect to any Benchmark Replacement and/or any Term Benchmark Revolving Loan denominated in U.S.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after consultation with the Company,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after consultation with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2" w:name="page203"/>
    <w:bookmarkEnd w:id="202"/>
    <w:p>
      <w:pPr>
        <w:jc w:val="both"/>
        <w:spacing w:after="0"/>
        <w:rPr>
          <w:sz w:val="20"/>
          <w:szCs w:val="20"/>
          <w:color w:val="auto"/>
        </w:rPr>
      </w:pPr>
      <w:r>
        <w:rPr>
          <w:rFonts w:ascii="Arial" w:cs="Arial" w:eastAsia="Arial" w:hAnsi="Arial"/>
          <w:sz w:val="22"/>
          <w:szCs w:val="22"/>
          <w:color w:val="auto"/>
        </w:rPr>
        <w:t>Company, that no market practice for the administration of such Benchmark exists, in such other manner of administration as the Administrative Agent decides, after consultation with the Company, is reasonably necessary in connection with the administration of this Agreement and the other Loan Documents).</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Benchmark Replacement Date</w:t>
      </w:r>
      <w:r>
        <w:rPr>
          <w:rFonts w:ascii="Arial" w:cs="Arial" w:eastAsia="Arial" w:hAnsi="Arial"/>
          <w:sz w:val="22"/>
          <w:szCs w:val="22"/>
          <w:color w:val="auto"/>
        </w:rPr>
        <w:t>” means, with respect to any Benchmark, the earliest to occur of the following events with respect to such then-current Benchmark:</w:t>
      </w:r>
    </w:p>
    <w:p>
      <w:pPr>
        <w:spacing w:after="0" w:line="175" w:lineRule="exact"/>
        <w:rPr>
          <w:sz w:val="20"/>
          <w:szCs w:val="20"/>
          <w:color w:val="auto"/>
        </w:rPr>
      </w:pPr>
    </w:p>
    <w:p>
      <w:pPr>
        <w:jc w:val="both"/>
        <w:ind w:left="760" w:firstLine="745"/>
        <w:spacing w:after="0" w:line="252" w:lineRule="auto"/>
        <w:tabs>
          <w:tab w:leader="none" w:pos="2062" w:val="left"/>
        </w:tabs>
        <w:numPr>
          <w:ilvl w:val="0"/>
          <w:numId w:val="190"/>
        </w:numPr>
        <w:rPr>
          <w:rFonts w:ascii="Arial" w:cs="Arial" w:eastAsia="Arial" w:hAnsi="Arial"/>
          <w:sz w:val="21"/>
          <w:szCs w:val="21"/>
          <w:color w:val="auto"/>
        </w:rPr>
      </w:pPr>
      <w:r>
        <w:rPr>
          <w:rFonts w:ascii="Arial" w:cs="Arial" w:eastAsia="Arial" w:hAnsi="Arial"/>
          <w:sz w:val="21"/>
          <w:szCs w:val="21"/>
          <w:color w:val="auto"/>
        </w:rPr>
        <w:t xml:space="preserve">in the case of </w:t>
      </w:r>
      <w:r>
        <w:rPr>
          <w:rFonts w:ascii="Arial" w:cs="Arial" w:eastAsia="Arial" w:hAnsi="Arial"/>
          <w:sz w:val="21"/>
          <w:szCs w:val="21"/>
          <w:u w:val="single" w:color="auto"/>
          <w:color w:val="auto"/>
        </w:rPr>
        <w:t>clause (1)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w:t>
      </w:r>
      <w:r>
        <w:rPr>
          <w:rFonts w:ascii="Arial" w:cs="Arial" w:eastAsia="Arial" w:hAnsi="Arial"/>
          <w:sz w:val="21"/>
          <w:szCs w:val="21"/>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3" w:lineRule="exact"/>
        <w:rPr>
          <w:rFonts w:ascii="Arial" w:cs="Arial" w:eastAsia="Arial" w:hAnsi="Arial"/>
          <w:sz w:val="21"/>
          <w:szCs w:val="21"/>
          <w:color w:val="auto"/>
        </w:rPr>
      </w:pPr>
    </w:p>
    <w:p>
      <w:pPr>
        <w:jc w:val="both"/>
        <w:ind w:left="760" w:firstLine="745"/>
        <w:spacing w:after="0" w:line="235" w:lineRule="auto"/>
        <w:tabs>
          <w:tab w:leader="none" w:pos="2069"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in the case of </w:t>
      </w:r>
      <w:r>
        <w:rPr>
          <w:rFonts w:ascii="Arial" w:cs="Arial" w:eastAsia="Arial" w:hAnsi="Arial"/>
          <w:sz w:val="22"/>
          <w:szCs w:val="22"/>
          <w:u w:val="single" w:color="auto"/>
          <w:color w:val="auto"/>
        </w:rPr>
        <w:t>clause (3)</w:t>
      </w:r>
      <w:r>
        <w:rPr>
          <w:rFonts w:ascii="Arial" w:cs="Arial" w:eastAsia="Arial" w:hAnsi="Arial"/>
          <w:sz w:val="22"/>
          <w:szCs w:val="22"/>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non-representativeness will be determined by reference to the most recent statement or publication referenced in such </w:t>
      </w:r>
      <w:r>
        <w:rPr>
          <w:rFonts w:ascii="Arial" w:cs="Arial" w:eastAsia="Arial" w:hAnsi="Arial"/>
          <w:sz w:val="22"/>
          <w:szCs w:val="22"/>
          <w:u w:val="single" w:color="auto"/>
          <w:color w:val="auto"/>
        </w:rPr>
        <w:t>clause (3</w:t>
      </w:r>
      <w:r>
        <w:rPr>
          <w:rFonts w:ascii="Arial" w:cs="Arial" w:eastAsia="Arial" w:hAnsi="Arial"/>
          <w:sz w:val="22"/>
          <w:szCs w:val="22"/>
          <w:color w:val="auto"/>
        </w:rPr>
        <w:t>) and even if any Available Tenor of such Benchmark (or such component thereof) continues to be provided on such date.</w:t>
      </w:r>
    </w:p>
    <w:p>
      <w:pPr>
        <w:spacing w:after="0" w:line="188"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Arial" w:cs="Arial" w:eastAsia="Arial" w:hAnsi="Arial"/>
          <w:sz w:val="22"/>
          <w:szCs w:val="22"/>
          <w:u w:val="single" w:color="auto"/>
          <w:color w:val="auto"/>
        </w:rPr>
        <w:t>clause (1)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w:t>
      </w:r>
      <w:r>
        <w:rPr>
          <w:rFonts w:ascii="Arial" w:cs="Arial" w:eastAsia="Arial" w:hAnsi="Arial"/>
          <w:sz w:val="22"/>
          <w:szCs w:val="22"/>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Benchmark Transition Event</w:t>
      </w:r>
      <w:r>
        <w:rPr>
          <w:rFonts w:ascii="Arial" w:cs="Arial" w:eastAsia="Arial" w:hAnsi="Arial"/>
          <w:sz w:val="22"/>
          <w:szCs w:val="22"/>
          <w:color w:val="auto"/>
        </w:rPr>
        <w:t>” means, with respect to any Benchmark, the occurrence of one or more of the following events with respect to such then-current Benchmark:</w:t>
      </w:r>
    </w:p>
    <w:p>
      <w:pPr>
        <w:spacing w:after="0" w:line="175" w:lineRule="exact"/>
        <w:rPr>
          <w:sz w:val="20"/>
          <w:szCs w:val="20"/>
          <w:color w:val="auto"/>
        </w:rPr>
      </w:pPr>
    </w:p>
    <w:p>
      <w:pPr>
        <w:jc w:val="both"/>
        <w:ind w:left="760" w:firstLine="745"/>
        <w:spacing w:after="0" w:line="249" w:lineRule="auto"/>
        <w:tabs>
          <w:tab w:leader="none" w:pos="2067" w:val="left"/>
        </w:tabs>
        <w:numPr>
          <w:ilvl w:val="0"/>
          <w:numId w:val="191"/>
        </w:numPr>
        <w:rPr>
          <w:rFonts w:ascii="Arial" w:cs="Arial" w:eastAsia="Arial" w:hAnsi="Arial"/>
          <w:sz w:val="21"/>
          <w:szCs w:val="21"/>
          <w:color w:val="auto"/>
        </w:rPr>
      </w:pPr>
      <w:r>
        <w:rPr>
          <w:rFonts w:ascii="Arial" w:cs="Arial" w:eastAsia="Arial" w:hAnsi="Arial"/>
          <w:sz w:val="21"/>
          <w:szCs w:val="21"/>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at the time of such statement or publication, there is no successor administrator that will continue to provide any Available Tenor of such Benchmark (or such component thereof);</w:t>
      </w:r>
    </w:p>
    <w:p>
      <w:pPr>
        <w:spacing w:after="0" w:line="178" w:lineRule="exact"/>
        <w:rPr>
          <w:rFonts w:ascii="Arial" w:cs="Arial" w:eastAsia="Arial" w:hAnsi="Arial"/>
          <w:sz w:val="21"/>
          <w:szCs w:val="21"/>
          <w:color w:val="auto"/>
        </w:rPr>
      </w:pPr>
    </w:p>
    <w:p>
      <w:pPr>
        <w:jc w:val="both"/>
        <w:ind w:left="760" w:firstLine="745"/>
        <w:spacing w:after="0" w:line="252" w:lineRule="auto"/>
        <w:tabs>
          <w:tab w:leader="none" w:pos="2059" w:val="left"/>
        </w:tabs>
        <w:numPr>
          <w:ilvl w:val="0"/>
          <w:numId w:val="191"/>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the regulatory supervisor for the administrator of such Benchmark (or the published component used in the calculation thereof), the Board, the NYFRB, the CME Term SOFR Administrator, the central bank for the Agreed Currency applicable to such Benchmark, an insolvency official with jurisdiction over the administrator for such Benchmark (or such component),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3" w:name="page204"/>
    <w:bookmarkEnd w:id="203"/>
    <w:p>
      <w:pPr>
        <w:jc w:val="both"/>
        <w:ind w:left="760"/>
        <w:spacing w:after="0" w:line="279" w:lineRule="auto"/>
        <w:rPr>
          <w:sz w:val="20"/>
          <w:szCs w:val="20"/>
          <w:color w:val="auto"/>
        </w:rPr>
      </w:pPr>
      <w:r>
        <w:rPr>
          <w:rFonts w:ascii="Arial" w:cs="Arial" w:eastAsia="Arial" w:hAnsi="Arial"/>
          <w:sz w:val="19"/>
          <w:szCs w:val="19"/>
          <w:color w:val="auto"/>
        </w:rPr>
        <w:t xml:space="preserve">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9"/>
          <w:szCs w:val="19"/>
          <w:u w:val="single" w:color="auto"/>
          <w:color w:val="auto"/>
        </w:rPr>
        <w:t>provided that</w:t>
      </w:r>
      <w:r>
        <w:rPr>
          <w:rFonts w:ascii="Arial" w:cs="Arial" w:eastAsia="Arial" w:hAnsi="Arial"/>
          <w:sz w:val="19"/>
          <w:szCs w:val="19"/>
          <w:color w:val="auto"/>
        </w:rPr>
        <w:t>, at the time of such statement or publication, there is no successor administrator that will continue to provide any Available Tenor of such Benchmark (or such component thereof); or</w:t>
      </w:r>
    </w:p>
    <w:p>
      <w:pPr>
        <w:spacing w:after="0" w:line="150" w:lineRule="exact"/>
        <w:rPr>
          <w:sz w:val="20"/>
          <w:szCs w:val="20"/>
          <w:color w:val="auto"/>
        </w:rPr>
      </w:pPr>
    </w:p>
    <w:p>
      <w:pPr>
        <w:jc w:val="both"/>
        <w:ind w:left="760" w:firstLine="745"/>
        <w:spacing w:after="0" w:line="297" w:lineRule="auto"/>
        <w:tabs>
          <w:tab w:leader="none" w:pos="2059"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1"/>
          <w:szCs w:val="21"/>
          <w:color w:val="auto"/>
        </w:rPr>
        <w:t>For the avoidance of doubt, a “Benchmark Transition Event” will be deemed to have occurred with respect to any</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Benchmark if a public statement or publication of information set forth above has occurred with respect to each then-current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Available Tenor of such Benchmark (or the published component used in the calculation thereof).</w:t>
      </w:r>
    </w:p>
    <w:p>
      <w:pPr>
        <w:spacing w:after="0" w:line="188"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Unavailability Period</w:t>
      </w:r>
      <w:r>
        <w:rPr>
          <w:rFonts w:ascii="Arial" w:cs="Arial" w:eastAsia="Arial" w:hAnsi="Arial"/>
          <w:sz w:val="19"/>
          <w:szCs w:val="19"/>
          <w:color w:val="auto"/>
        </w:rPr>
        <w:t xml:space="preserve">” means, with respect to any Benchmark, the period (if any) (x) beginning at the time that a Benchmark Replacement Date pursuant to </w:t>
      </w:r>
      <w:r>
        <w:rPr>
          <w:rFonts w:ascii="Arial" w:cs="Arial" w:eastAsia="Arial" w:hAnsi="Arial"/>
          <w:sz w:val="19"/>
          <w:szCs w:val="19"/>
          <w:u w:val="single" w:color="auto"/>
          <w:color w:val="auto"/>
        </w:rPr>
        <w:t>clauses (1)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w:t>
      </w:r>
      <w:r>
        <w:rPr>
          <w:rFonts w:ascii="Arial" w:cs="Arial" w:eastAsia="Arial" w:hAnsi="Arial"/>
          <w:sz w:val="19"/>
          <w:szCs w:val="19"/>
          <w:color w:val="auto"/>
        </w:rPr>
        <w:t xml:space="preserve"> of that definition has occurred if, at such time, no Benchmark Replacement has replaced such then-current Benchmark for all purposes hereunder and under any Loan Document in accordance with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and (y) ending at the time that a Benchmark Replacement has replaced such then-current Benchmark for all purposes hereunder and under any Loan Document in accordance with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14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Ownership Certification</w:t>
      </w:r>
      <w:r>
        <w:rPr>
          <w:rFonts w:ascii="Arial" w:cs="Arial" w:eastAsia="Arial" w:hAnsi="Arial"/>
          <w:sz w:val="22"/>
          <w:szCs w:val="22"/>
          <w:color w:val="auto"/>
        </w:rPr>
        <w:t>” means a certification regarding beneficial ownership as required by the Beneficial Ownership Regulation.</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Ownership Regulation</w:t>
      </w:r>
      <w:r>
        <w:rPr>
          <w:rFonts w:ascii="Arial" w:cs="Arial" w:eastAsia="Arial" w:hAnsi="Arial"/>
          <w:sz w:val="22"/>
          <w:szCs w:val="22"/>
          <w:color w:val="auto"/>
        </w:rPr>
        <w:t>” means 31 CFR § 1010.230.</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Benefit Plan</w:t>
      </w:r>
      <w:r>
        <w:rPr>
          <w:rFonts w:ascii="Arial" w:cs="Arial" w:eastAsia="Arial" w:hAnsi="Arial"/>
          <w:sz w:val="22"/>
          <w:szCs w:val="22"/>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Governors of the Federal Reserve System of the United States of America.</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Borrower</w:t>
      </w:r>
      <w:r>
        <w:rPr>
          <w:rFonts w:ascii="Arial" w:cs="Arial" w:eastAsia="Arial" w:hAnsi="Arial"/>
          <w:sz w:val="22"/>
          <w:szCs w:val="22"/>
          <w:color w:val="auto"/>
        </w:rPr>
        <w:t>” and “</w:t>
      </w:r>
      <w:r>
        <w:rPr>
          <w:rFonts w:ascii="Arial" w:cs="Arial" w:eastAsia="Arial" w:hAnsi="Arial"/>
          <w:sz w:val="22"/>
          <w:szCs w:val="22"/>
          <w:b w:val="1"/>
          <w:bCs w:val="1"/>
          <w:i w:val="1"/>
          <w:iCs w:val="1"/>
          <w:color w:val="auto"/>
        </w:rPr>
        <w:t>Borrowers</w:t>
      </w:r>
      <w:r>
        <w:rPr>
          <w:rFonts w:ascii="Arial" w:cs="Arial" w:eastAsia="Arial" w:hAnsi="Arial"/>
          <w:sz w:val="22"/>
          <w:szCs w:val="22"/>
          <w:color w:val="auto"/>
        </w:rPr>
        <w:t>” each has the meaning assigned to such term in the preamble.</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Borrower DTTP Filing</w:t>
      </w:r>
      <w:r>
        <w:rPr>
          <w:rFonts w:ascii="Arial" w:cs="Arial" w:eastAsia="Arial" w:hAnsi="Arial"/>
          <w:sz w:val="22"/>
          <w:szCs w:val="22"/>
          <w:color w:val="auto"/>
        </w:rPr>
        <w:t>” means an HM Revenue &amp; Customs’ Form DTTP2, duly completed and filed by the relevant Borrower within the applicable time limit, which contains the scheme reference number and jurisdiction of tax residence provided by the applicable Lender to the Company and the Administrative Agent.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4" w:name="page205"/>
    <w:bookmarkEnd w:id="204"/>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Borrower Materials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10.01(d).</w:t>
      </w:r>
    </w:p>
    <w:p>
      <w:pPr>
        <w:spacing w:after="0" w:line="206"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Borrowing</w:t>
      </w:r>
      <w:r>
        <w:rPr>
          <w:rFonts w:ascii="Arial" w:cs="Arial" w:eastAsia="Arial" w:hAnsi="Arial"/>
          <w:sz w:val="19"/>
          <w:szCs w:val="19"/>
          <w:color w:val="auto"/>
        </w:rPr>
        <w:t>” means (a) Revolving Loans of the same Type and currency, made, converted or continued on the same date and, in the case of Term Benchmark Loans, as to which a single Interest Period is in effect, or (b) a Swingline Loan.</w:t>
      </w:r>
    </w:p>
    <w:p>
      <w:pPr>
        <w:spacing w:after="0" w:line="10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Borrowing Request</w:t>
      </w:r>
      <w:r>
        <w:rPr>
          <w:rFonts w:ascii="Arial" w:cs="Arial" w:eastAsia="Arial" w:hAnsi="Arial"/>
          <w:sz w:val="22"/>
          <w:szCs w:val="22"/>
          <w:color w:val="auto"/>
        </w:rPr>
        <w:t xml:space="preserve">” means a request by the Company, on behalf of the Borrowers, for a Revolving Borrowing in accordance with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17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Business Day</w:t>
      </w:r>
      <w:r>
        <w:rPr>
          <w:rFonts w:ascii="Arial" w:cs="Arial" w:eastAsia="Arial" w:hAnsi="Arial"/>
          <w:sz w:val="19"/>
          <w:szCs w:val="19"/>
          <w:color w:val="auto"/>
        </w:rPr>
        <w:t xml:space="preserve">” means, any day (other than a Saturday or a Sunday) on which banks are open for business in New York City;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addition to the foregoing, a Business Day shall be (i)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 (ii) in relation to Loans denominated in Euro and in relation to the calculation or computation of the EURIBO Rate, any day which is a TARGET Day or (iii) in relation to RFR Loans and any interest rate settings, fundings, disbursements, settlements or payments of any such RFR Loan, or any other dealings in the applicable Agreed Currency of such RFR Loan, any such day that is only an RFR Business Day.</w:t>
      </w:r>
    </w:p>
    <w:p>
      <w:pPr>
        <w:spacing w:after="0" w:line="15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Lease Obligations</w:t>
      </w:r>
      <w:r>
        <w:rPr>
          <w:rFonts w:ascii="Arial" w:cs="Arial" w:eastAsia="Arial" w:hAnsi="Arial"/>
          <w:sz w:val="19"/>
          <w:szCs w:val="19"/>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Cash Equivalents</w:t>
      </w:r>
      <w:r>
        <w:rPr>
          <w:rFonts w:ascii="Arial" w:cs="Arial" w:eastAsia="Arial" w:hAnsi="Arial"/>
          <w:sz w:val="22"/>
          <w:szCs w:val="22"/>
          <w:color w:val="auto"/>
        </w:rPr>
        <w:t>” of any Person means cash equivalents as classified or accounted for as cash equivalents on the balance sheet of such Person in accordance with GAAP.</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CBR Loan</w:t>
      </w:r>
      <w:r>
        <w:rPr>
          <w:rFonts w:ascii="Arial" w:cs="Arial" w:eastAsia="Arial" w:hAnsi="Arial"/>
          <w:sz w:val="22"/>
          <w:szCs w:val="22"/>
          <w:color w:val="auto"/>
        </w:rPr>
        <w:t>” means a Loan that bears interest at a rate determined by reference to the Central Bank Rate.</w:t>
      </w:r>
    </w:p>
    <w:p>
      <w:pPr>
        <w:spacing w:after="0" w:line="20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Central Bank Rate</w:t>
      </w:r>
      <w:r>
        <w:rPr>
          <w:rFonts w:ascii="Arial" w:cs="Arial" w:eastAsia="Arial" w:hAnsi="Arial"/>
          <w:sz w:val="19"/>
          <w:szCs w:val="19"/>
          <w:color w:val="auto"/>
        </w:rPr>
        <w:t>” means the greater of (i) (A) for any Loan denominated in (a) Pounds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(c) Swiss Francs, the policy rate of the Swiss National Bank (or any successor thereto) as published by the Swiss National Bank (or any successor thereto) from time to time, and (d) any other Foreign Currency, a central bank rate as determined by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5" w:name="page206"/>
    <w:bookmarkEnd w:id="205"/>
    <w:p>
      <w:pPr>
        <w:spacing w:after="0"/>
        <w:rPr>
          <w:sz w:val="20"/>
          <w:szCs w:val="20"/>
          <w:color w:val="auto"/>
        </w:rPr>
      </w:pPr>
      <w:r>
        <w:rPr>
          <w:rFonts w:ascii="Arial" w:cs="Arial" w:eastAsia="Arial" w:hAnsi="Arial"/>
          <w:sz w:val="21"/>
          <w:szCs w:val="21"/>
          <w:color w:val="auto"/>
        </w:rPr>
        <w:t xml:space="preserve">Administrative Agent in its reasonable discretion;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(B) the applicable Central Bank Rate Adjustment and (ii) the Floor.</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Central Bank Rate Adjustment</w:t>
      </w:r>
      <w:r>
        <w:rPr>
          <w:rFonts w:ascii="Arial" w:cs="Arial" w:eastAsia="Arial" w:hAnsi="Arial"/>
          <w:sz w:val="22"/>
          <w:szCs w:val="22"/>
          <w:color w:val="auto"/>
        </w:rPr>
        <w:t>” means, for any day, for any Loan denominated in:</w:t>
      </w:r>
    </w:p>
    <w:p>
      <w:pPr>
        <w:spacing w:after="0" w:line="206" w:lineRule="exact"/>
        <w:rPr>
          <w:sz w:val="20"/>
          <w:szCs w:val="20"/>
          <w:color w:val="auto"/>
        </w:rPr>
      </w:pPr>
    </w:p>
    <w:p>
      <w:pPr>
        <w:jc w:val="both"/>
        <w:ind w:firstLine="757"/>
        <w:spacing w:after="0" w:line="282" w:lineRule="auto"/>
        <w:tabs>
          <w:tab w:leader="none" w:pos="105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Pounds Sterling, a rate equal to the difference (which may be a positive or negative value or zero) of (x) the average of Adjusted Daily Simple RFR for Pounds Sterling Borrowings for the five (5) most recent RFR Business Days preceding such day for which Adjusted Daily Simple RFR for Pounds Sterling Borrowings was available (excluding, from such averaging, the highest and the lowest such Adjusted Daily Simple RFR applicable during such period of five (5) RFR Business Days)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(y) the Central Bank Rate in respect of Pounds Sterling in effect on the last RFR Business Day in such period,</w:t>
      </w:r>
    </w:p>
    <w:p>
      <w:pPr>
        <w:spacing w:after="0" w:line="147" w:lineRule="exact"/>
        <w:rPr>
          <w:rFonts w:ascii="Arial" w:cs="Arial" w:eastAsia="Arial" w:hAnsi="Arial"/>
          <w:sz w:val="19"/>
          <w:szCs w:val="19"/>
          <w:color w:val="auto"/>
        </w:rPr>
      </w:pPr>
    </w:p>
    <w:p>
      <w:pPr>
        <w:jc w:val="both"/>
        <w:ind w:firstLine="757"/>
        <w:spacing w:after="0" w:line="236" w:lineRule="auto"/>
        <w:tabs>
          <w:tab w:leader="none" w:pos="1062" w:val="left"/>
        </w:tabs>
        <w:numPr>
          <w:ilvl w:val="0"/>
          <w:numId w:val="193"/>
        </w:numPr>
        <w:rPr>
          <w:rFonts w:ascii="Arial" w:cs="Arial" w:eastAsia="Arial" w:hAnsi="Arial"/>
          <w:sz w:val="22"/>
          <w:szCs w:val="22"/>
          <w:color w:val="auto"/>
        </w:rPr>
      </w:pPr>
      <w:r>
        <w:rPr>
          <w:rFonts w:ascii="Arial" w:cs="Arial" w:eastAsia="Arial" w:hAnsi="Arial"/>
          <w:sz w:val="22"/>
          <w:szCs w:val="22"/>
          <w:color w:val="auto"/>
        </w:rPr>
        <w:t xml:space="preserve">Swiss Francs, a rate equal to the difference (which may be a positive or negative value or zero) of (x) the average of Adjusted Daily Simple RFR for Swiss Franc Borrowings for the five (5) most recent RFR Business Days preceding such day for which SARON was available (excluding, from such averaging, the highest and the lowest such Adjusted Daily Simple RFR applicable during such period of five (5) RFR Business Days)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(y) the Central Bank Rate in respect of Swiss Francs in effect on the last RFR Business Day in such period,</w:t>
      </w:r>
    </w:p>
    <w:p>
      <w:pPr>
        <w:spacing w:after="0" w:line="187" w:lineRule="exact"/>
        <w:rPr>
          <w:rFonts w:ascii="Arial" w:cs="Arial" w:eastAsia="Arial" w:hAnsi="Arial"/>
          <w:sz w:val="22"/>
          <w:szCs w:val="22"/>
          <w:color w:val="auto"/>
        </w:rPr>
      </w:pPr>
    </w:p>
    <w:p>
      <w:pPr>
        <w:jc w:val="both"/>
        <w:ind w:firstLine="757"/>
        <w:spacing w:after="0" w:line="287" w:lineRule="auto"/>
        <w:tabs>
          <w:tab w:leader="none" w:pos="1067"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Euro, a rate equal to the difference (which may be a positive or negative value or zero) of (x) the average of the EURIBO Rate for the five (5) most recent Business Days preceding such day for which the EURIBO Screen Rate was available (excluding, from such averaging, the highest and the lowest EURIBO Rate applicable during such period of five (5) Business Days)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(y) the Central Bank Rate in respect of Euro in effect on the last Business Day in such period, and</w:t>
      </w:r>
    </w:p>
    <w:p>
      <w:pPr>
        <w:spacing w:after="0" w:line="142" w:lineRule="exact"/>
        <w:rPr>
          <w:rFonts w:ascii="Arial" w:cs="Arial" w:eastAsia="Arial" w:hAnsi="Arial"/>
          <w:sz w:val="19"/>
          <w:szCs w:val="19"/>
          <w:color w:val="auto"/>
        </w:rPr>
      </w:pPr>
    </w:p>
    <w:p>
      <w:pPr>
        <w:ind w:left="1060" w:hanging="303"/>
        <w:spacing w:after="0"/>
        <w:tabs>
          <w:tab w:leader="none" w:pos="106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any other Foreign Currency, an adjustment as determined by the Administrative Agent in its reasonable discretion.</w:t>
      </w:r>
    </w:p>
    <w:p>
      <w:pPr>
        <w:spacing w:after="0" w:line="241"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 xml:space="preserve">For purposes of this definition, (x) the term Central Bank Rate shall be determined disregarding </w:t>
      </w:r>
      <w:r>
        <w:rPr>
          <w:rFonts w:ascii="Arial" w:cs="Arial" w:eastAsia="Arial" w:hAnsi="Arial"/>
          <w:sz w:val="19"/>
          <w:szCs w:val="19"/>
          <w:u w:val="single" w:color="auto"/>
          <w:color w:val="auto"/>
        </w:rPr>
        <w:t>clause (i)(B)</w:t>
      </w:r>
      <w:r>
        <w:rPr>
          <w:rFonts w:ascii="Arial" w:cs="Arial" w:eastAsia="Arial" w:hAnsi="Arial"/>
          <w:sz w:val="19"/>
          <w:szCs w:val="19"/>
          <w:color w:val="auto"/>
        </w:rPr>
        <w:t xml:space="preserve"> of the definition of such term and (y) each applicable Relevant Rate on any day shall be based on the applicable Relevant Screen Rate (if applicable to such Relevant Rate) in respect of such applicable Relevant Rate, as applicable, on such day at approximately the time referred to in the definition of such term for deposits in the applicable Foreign Currency for a maturity of one month;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such Relevant Rate or Relevant Screen Rate shall be less than zero, such rate shall be deemed to be zero.</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an event or series of events by which:</w:t>
      </w:r>
    </w:p>
    <w:p>
      <w:pPr>
        <w:spacing w:after="0" w:line="206" w:lineRule="exact"/>
        <w:rPr>
          <w:sz w:val="20"/>
          <w:szCs w:val="20"/>
          <w:color w:val="auto"/>
        </w:rPr>
      </w:pPr>
    </w:p>
    <w:p>
      <w:pPr>
        <w:jc w:val="both"/>
        <w:ind w:firstLine="757"/>
        <w:spacing w:after="0" w:line="277" w:lineRule="auto"/>
        <w:tabs>
          <w:tab w:leader="none" w:pos="1316" w:val="left"/>
        </w:tabs>
        <w:numPr>
          <w:ilvl w:val="0"/>
          <w:numId w:val="194"/>
        </w:numPr>
        <w:rPr>
          <w:rFonts w:ascii="Arial" w:cs="Arial" w:eastAsia="Arial" w:hAnsi="Arial"/>
          <w:sz w:val="19"/>
          <w:szCs w:val="19"/>
          <w:color w:val="auto"/>
        </w:rPr>
      </w:pPr>
      <w:r>
        <w:rPr>
          <w:rFonts w:ascii="Arial" w:cs="Arial" w:eastAsia="Arial" w:hAnsi="Arial"/>
          <w:sz w:val="19"/>
          <w:szCs w:val="19"/>
          <w:color w:val="auto"/>
        </w:rPr>
        <w:t>any “person” or “group” (as such terms are used in Sections 13(d) and 14(d) of the Securities Exchange Act of 1934, but excluding members of the Cabot family, any employee benefit plan of the Company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(such right, an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right</w:t>
      </w:r>
      <w:r>
        <w:rPr>
          <w:rFonts w:ascii="Arial" w:cs="Arial" w:eastAsia="Arial" w:hAnsi="Arial"/>
          <w:sz w:val="19"/>
          <w:szCs w:val="19"/>
          <w:color w:val="auto"/>
        </w:rPr>
        <w:t>”), whether such right is exercisable immediately or only after the passage of time), directly or indirectly, of twenty-five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percent (25%) or more of the equity securities of the Company entitled to vote for members of the board of</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6" w:name="page207"/>
    <w:bookmarkEnd w:id="206"/>
    <w:p>
      <w:pPr>
        <w:spacing w:after="0" w:line="250" w:lineRule="auto"/>
        <w:rPr>
          <w:sz w:val="20"/>
          <w:szCs w:val="20"/>
          <w:color w:val="auto"/>
        </w:rPr>
      </w:pPr>
      <w:r>
        <w:rPr>
          <w:rFonts w:ascii="Arial" w:cs="Arial" w:eastAsia="Arial" w:hAnsi="Arial"/>
          <w:sz w:val="22"/>
          <w:szCs w:val="22"/>
          <w:color w:val="auto"/>
        </w:rPr>
        <w:t>directors or equivalent governing body of the Company on a fully-diluted basis (and taking into account all such securities that such person or group has the right to acquire pursuant to any option right); or</w:t>
      </w:r>
    </w:p>
    <w:p>
      <w:pPr>
        <w:spacing w:after="0" w:line="175" w:lineRule="exact"/>
        <w:rPr>
          <w:sz w:val="20"/>
          <w:szCs w:val="20"/>
          <w:color w:val="auto"/>
        </w:rPr>
      </w:pPr>
    </w:p>
    <w:p>
      <w:pPr>
        <w:jc w:val="both"/>
        <w:ind w:firstLine="757"/>
        <w:spacing w:after="0" w:line="246" w:lineRule="auto"/>
        <w:tabs>
          <w:tab w:leader="none" w:pos="1304" w:val="left"/>
        </w:tabs>
        <w:numPr>
          <w:ilvl w:val="0"/>
          <w:numId w:val="195"/>
        </w:numPr>
        <w:rPr>
          <w:rFonts w:ascii="Arial" w:cs="Arial" w:eastAsia="Arial" w:hAnsi="Arial"/>
          <w:sz w:val="21"/>
          <w:szCs w:val="21"/>
          <w:color w:val="auto"/>
        </w:rPr>
      </w:pPr>
      <w:r>
        <w:rPr>
          <w:rFonts w:ascii="Arial" w:cs="Arial" w:eastAsia="Arial" w:hAnsi="Arial"/>
          <w:sz w:val="21"/>
          <w:szCs w:val="21"/>
          <w:color w:val="auto"/>
        </w:rPr>
        <w:t xml:space="preserve">during any period of twenty-four (24)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above constituting at the time of such election or nomination at least a majority of that board or equivalent governing body; or</w:t>
      </w:r>
    </w:p>
    <w:p>
      <w:pPr>
        <w:spacing w:after="0" w:line="184" w:lineRule="exact"/>
        <w:rPr>
          <w:rFonts w:ascii="Arial" w:cs="Arial" w:eastAsia="Arial" w:hAnsi="Arial"/>
          <w:sz w:val="21"/>
          <w:szCs w:val="21"/>
          <w:color w:val="auto"/>
        </w:rPr>
      </w:pPr>
    </w:p>
    <w:p>
      <w:pPr>
        <w:ind w:firstLine="757"/>
        <w:spacing w:after="0" w:line="250" w:lineRule="auto"/>
        <w:tabs>
          <w:tab w:leader="none" w:pos="131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Company ceases to own, directly or indirectly, greater than 90% of the Equity Interests in each Borrower, or any Borrower ceases to be a consolidated Subsidiary of the Company.</w:t>
      </w:r>
    </w:p>
    <w:p>
      <w:pPr>
        <w:spacing w:after="0" w:line="17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Law</w:t>
      </w:r>
      <w:r>
        <w:rPr>
          <w:rFonts w:ascii="Arial" w:cs="Arial" w:eastAsia="Arial" w:hAnsi="Arial"/>
          <w:sz w:val="19"/>
          <w:szCs w:val="19"/>
          <w:color w:val="auto"/>
        </w:rPr>
        <w:t xml:space="preserve">” means (a) the adoption of or taking effect of any law, rule, regulation, or treaty (including any rules or regulations issued under or implementing any existing law) after the date of this Agreement, (b) any change in any law, rule, regulation or treaty or in the administration, interpretation, implementation or application thereof by any Governmental Authority after the date of this Agreement or (c) compliance by any Lender (or by any applicable lending office of such Lender) with any request, guideline or directive (whether or not having the force of law) of any Governmental Authority made or issued after the date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or in implementation thereof, and (y) all requests, rules, guidelines or directives promulgated by the Bank for International Settlements, the Basel Committee on Banking Supervision (or any successor or similar authority) or the United States of America or foreign regulatory authorities, in each case under Basel III, shall in each case be deemed to be a “Change in Law” regardless of the date enacted, adopted, issued or implemented.</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Charges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10.13</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w:t>
      </w:r>
      <w:r>
        <w:rPr>
          <w:rFonts w:ascii="Arial" w:cs="Arial" w:eastAsia="Arial" w:hAnsi="Arial"/>
          <w:sz w:val="22"/>
          <w:szCs w:val="22"/>
          <w:color w:val="auto"/>
        </w:rPr>
        <w:t xml:space="preserve"> ”, when used in reference to any Loan or Borrowing, refers to whether such Loan, or the Loans comprising such Borrowing, are Revolving Loans or Swingline Loans.</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CME Term SOFR Administrator</w:t>
      </w:r>
      <w:r>
        <w:rPr>
          <w:rFonts w:ascii="Arial" w:cs="Arial" w:eastAsia="Arial" w:hAnsi="Arial"/>
          <w:sz w:val="22"/>
          <w:szCs w:val="22"/>
          <w:color w:val="auto"/>
        </w:rPr>
        <w:t>” means CME Group Benchmark Administration Limited as administrator of the forward-looking term Secured Overnight Financing Rate (SOFR) (or a successor administrator).</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Commitment</w:t>
      </w:r>
      <w:r>
        <w:rPr>
          <w:rFonts w:ascii="Arial" w:cs="Arial" w:eastAsia="Arial" w:hAnsi="Arial"/>
          <w:sz w:val="22"/>
          <w:szCs w:val="22"/>
          <w:color w:val="auto"/>
        </w:rPr>
        <w:t xml:space="preserve">” means, with respect to each Lender, the commitment of such Lender to make Revolving Loans and to acquire participations in Swingline Loans hereunder, expressed as an amount representing the maximum aggregate amount of such Lender’s Revolving Credit Exposure hereunder, as such commitment may be (a) reduced from time to time pursuant to </w:t>
      </w:r>
      <w:r>
        <w:rPr>
          <w:rFonts w:ascii="Arial" w:cs="Arial" w:eastAsia="Arial" w:hAnsi="Arial"/>
          <w:sz w:val="22"/>
          <w:szCs w:val="22"/>
          <w:u w:val="single" w:color="auto"/>
          <w:color w:val="auto"/>
        </w:rPr>
        <w:t>Section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7" w:name="page208"/>
    <w:bookmarkEnd w:id="207"/>
    <w:p>
      <w:pPr>
        <w:jc w:val="both"/>
        <w:spacing w:after="0" w:line="238" w:lineRule="auto"/>
        <w:rPr>
          <w:sz w:val="20"/>
          <w:szCs w:val="20"/>
          <w:color w:val="auto"/>
        </w:rPr>
      </w:pPr>
      <w:r>
        <w:rPr>
          <w:rFonts w:ascii="Arial" w:cs="Arial" w:eastAsia="Arial" w:hAnsi="Arial"/>
          <w:sz w:val="22"/>
          <w:szCs w:val="22"/>
          <w:u w:val="single" w:color="auto"/>
          <w:color w:val="auto"/>
        </w:rPr>
        <w:t>2.09</w:t>
      </w:r>
      <w:r>
        <w:rPr>
          <w:rFonts w:ascii="Arial" w:cs="Arial" w:eastAsia="Arial" w:hAnsi="Arial"/>
          <w:sz w:val="22"/>
          <w:szCs w:val="22"/>
          <w:color w:val="auto"/>
        </w:rPr>
        <w:t xml:space="preserve"> and (b) reduced or increased from time to time pursuant to assignments by or to such Lender pursuant to </w:t>
      </w:r>
      <w:r>
        <w:rPr>
          <w:rFonts w:ascii="Arial" w:cs="Arial" w:eastAsia="Arial" w:hAnsi="Arial"/>
          <w:sz w:val="22"/>
          <w:szCs w:val="22"/>
          <w:u w:val="single" w:color="auto"/>
          <w:color w:val="auto"/>
        </w:rPr>
        <w:t>Section 10.04</w:t>
      </w:r>
      <w:r>
        <w:rPr>
          <w:rFonts w:ascii="Arial" w:cs="Arial" w:eastAsia="Arial" w:hAnsi="Arial"/>
          <w:sz w:val="22"/>
          <w:szCs w:val="22"/>
          <w:color w:val="auto"/>
        </w:rPr>
        <w:t xml:space="preserve">. The initial amount of each Lender’s Commitment is set forth on </w:t>
      </w:r>
      <w:r>
        <w:rPr>
          <w:rFonts w:ascii="Arial" w:cs="Arial" w:eastAsia="Arial" w:hAnsi="Arial"/>
          <w:sz w:val="22"/>
          <w:szCs w:val="22"/>
          <w:u w:val="single" w:color="auto"/>
          <w:color w:val="auto"/>
        </w:rPr>
        <w:t>Schedule 2.01</w:t>
      </w:r>
      <w:r>
        <w:rPr>
          <w:rFonts w:ascii="Arial" w:cs="Arial" w:eastAsia="Arial" w:hAnsi="Arial"/>
          <w:sz w:val="22"/>
          <w:szCs w:val="22"/>
          <w:color w:val="auto"/>
        </w:rPr>
        <w:t>, or in the Assignment and Assumption pursuant to which such Lender shall have assumed its Commitment, as applicable. As of the Effective Date, the initial aggregate amount of the Lenders’ Commitments is €300,000,000.</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the meaning assigned to such term in the preamble.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Compliance Certificate</w:t>
      </w:r>
      <w:r>
        <w:rPr>
          <w:rFonts w:ascii="Arial" w:cs="Arial" w:eastAsia="Arial" w:hAnsi="Arial"/>
          <w:sz w:val="22"/>
          <w:szCs w:val="22"/>
          <w:color w:val="auto"/>
        </w:rPr>
        <w:t xml:space="preserve">” means a certificate substantially in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Computation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2.04</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Consolidated</w:t>
      </w:r>
      <w:r>
        <w:rPr>
          <w:rFonts w:ascii="Arial" w:cs="Arial" w:eastAsia="Arial" w:hAnsi="Arial"/>
          <w:sz w:val="22"/>
          <w:szCs w:val="22"/>
          <w:color w:val="auto"/>
        </w:rPr>
        <w:t>” or “</w:t>
      </w:r>
      <w:r>
        <w:rPr>
          <w:rFonts w:ascii="Arial" w:cs="Arial" w:eastAsia="Arial" w:hAnsi="Arial"/>
          <w:sz w:val="22"/>
          <w:szCs w:val="22"/>
          <w:b w:val="1"/>
          <w:bCs w:val="1"/>
          <w:i w:val="1"/>
          <w:iCs w:val="1"/>
          <w:color w:val="auto"/>
        </w:rPr>
        <w:t>consolidated</w:t>
      </w:r>
      <w:r>
        <w:rPr>
          <w:rFonts w:ascii="Arial" w:cs="Arial" w:eastAsia="Arial" w:hAnsi="Arial"/>
          <w:sz w:val="22"/>
          <w:szCs w:val="22"/>
          <w:color w:val="auto"/>
        </w:rPr>
        <w:t>” means, with reference to any term defined herein, that term as applied to the accounts of the Company and its Subsidiaries, consolidated in accordance with GAAP.</w:t>
      </w:r>
    </w:p>
    <w:p>
      <w:pPr>
        <w:spacing w:after="0" w:line="175"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Consolidated EBITDA</w:t>
      </w:r>
      <w:r>
        <w:rPr>
          <w:rFonts w:ascii="Arial" w:cs="Arial" w:eastAsia="Arial" w:hAnsi="Arial"/>
          <w:sz w:val="19"/>
          <w:szCs w:val="19"/>
          <w:color w:val="auto"/>
        </w:rPr>
        <w:t xml:space="preserve">” means, with reference to any period, Consolidated Net Income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 without duplication, to the extent deducted from revenues in determining such Consolidated Net Income, (i) interest expense (including capitalized interest, premium payments, debt discount, fees, charges and related expenses in connection with all Indebtedness, including for the deferred purchase price of assets and services, and fees and charges incurred under any Securitization Transactions), (ii) the provision for federal, state, local, foreign or other income taxes payable, (iii) depreciation expense, (iv) amortization expense, (v) non-cash stock-based compensation expense, (vi) any extraordinary, unusual or non-recurring expenses, losses and charges, including (A) impairment charges, (B) any restructuring charges or restructuring reversals, (C) any loss from the sales of assets outside the ordinary course of business, (D) costs related to acquisitions and dispositions, including transaction costs (whether or not the transaction is consummated), charges for the sale of inventories revalued at the date of acquisition and in-process research and development acquired, and the amortization of acquisition-related intangible assets, and</w:t>
      </w:r>
    </w:p>
    <w:p>
      <w:pPr>
        <w:spacing w:after="0" w:line="8" w:lineRule="exact"/>
        <w:rPr>
          <w:sz w:val="20"/>
          <w:szCs w:val="20"/>
          <w:color w:val="auto"/>
        </w:rPr>
      </w:pPr>
    </w:p>
    <w:p>
      <w:pPr>
        <w:jc w:val="both"/>
        <w:ind w:firstLine="8"/>
        <w:spacing w:after="0" w:line="271" w:lineRule="auto"/>
        <w:tabs>
          <w:tab w:leader="none" w:pos="35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amortization or write-off of debt discount and debt issuance costs and commissions, discounts, debt refinancing costs and commissions and other fees and charges associated with Indebtedness, and (vii) other non-cash charges and expenses,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to the extent included in such Consolidated Net Income, (i) all non-cash income or gains, (ii) interest income, (iii) any extraordinary, unusual or non-recurring income or gains (including any gain from the sales of assets outside of the ordinary course of business), and (iv) income tax credits (to the extent not netted from income tax expense), all calculated for the Company and its Subsidiaries in accordance with GAAP on a consolidated basis. For the purposes of calculating Consolidated EBITDA for any period, if during such period the Company or any Subsidiary shall have made a Permitted Acquisition or sale of any business or Subsidiary permitted hereunder, Consolidated EBITDA for such period shall be calculated after giving effect to such Permitted Acquisition (and all associated Indebtedness) or such sale of any business or Subsidiary on a Pro Forma Basis as if such Permitted Acquisition or sale of any business or Subsidiary occurred on the first day of such period.</w:t>
      </w:r>
    </w:p>
    <w:p>
      <w:pPr>
        <w:spacing w:after="0" w:line="161" w:lineRule="exact"/>
        <w:rPr>
          <w:sz w:val="20"/>
          <w:szCs w:val="20"/>
          <w:color w:val="auto"/>
        </w:rPr>
      </w:pPr>
    </w:p>
    <w:p>
      <w:pPr>
        <w:ind w:firstLine="749"/>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Consolidated Net Income</w:t>
      </w:r>
      <w:r>
        <w:rPr>
          <w:rFonts w:ascii="Arial" w:cs="Arial" w:eastAsia="Arial" w:hAnsi="Arial"/>
          <w:sz w:val="21"/>
          <w:szCs w:val="21"/>
          <w:color w:val="auto"/>
        </w:rPr>
        <w:t>” means, with reference to any period, the net income (or loss) of the Company and its Subsidiaries calculated in accordance with GAAP on a consolidated basis (without duplication) for such period.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8" w:name="page209"/>
    <w:bookmarkEnd w:id="208"/>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Consolidated Net Leverage Ratio</w:t>
      </w:r>
      <w:r>
        <w:rPr>
          <w:rFonts w:ascii="Arial" w:cs="Arial" w:eastAsia="Arial" w:hAnsi="Arial"/>
          <w:sz w:val="22"/>
          <w:szCs w:val="22"/>
          <w:color w:val="auto"/>
        </w:rPr>
        <w:t xml:space="preserve">” means, as of the last day of any fiscal quarter, the ratio of (a) (i) Consolidated Total Debt as of such date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Liquidity as of such date to (b) Consolidated EBITDA for the Reference Period ended on such date.</w:t>
      </w:r>
    </w:p>
    <w:p>
      <w:pPr>
        <w:spacing w:after="0" w:line="18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Consolidated Tangible Net Worth</w:t>
      </w:r>
      <w:r>
        <w:rPr>
          <w:rFonts w:ascii="Arial" w:cs="Arial" w:eastAsia="Arial" w:hAnsi="Arial"/>
          <w:sz w:val="22"/>
          <w:szCs w:val="22"/>
          <w:color w:val="auto"/>
        </w:rPr>
        <w:t xml:space="preserve">” means, as of any date, (i) the consolidated stockholders’ equity of the Company as of such date (calculated excluding adjustments to translate foreign assets and liabilities for changes in foreign exchange rates made in accordance with Financial Accounting Standards Board Statement Nos. 52 and 133),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to the extent reflected in determining such consolidated stockholders’ equity as of such date, the amount of Intangible Assets of the Company and its Subsidiaries on a consolidated basis.</w:t>
      </w:r>
    </w:p>
    <w:p>
      <w:pPr>
        <w:spacing w:after="0" w:line="18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Consolidated Total Debt</w:t>
      </w:r>
      <w:r>
        <w:rPr>
          <w:rFonts w:ascii="Arial" w:cs="Arial" w:eastAsia="Arial" w:hAnsi="Arial"/>
          <w:sz w:val="22"/>
          <w:szCs w:val="22"/>
          <w:color w:val="auto"/>
        </w:rPr>
        <w:t>” means, as of any date of determination, the outstanding principal amount as of such date of all Indebtedness of the Company and its Subsidiaries on a consolidated basis.</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Consolidated Total Tangible Assets</w:t>
      </w:r>
      <w:r>
        <w:rPr>
          <w:rFonts w:ascii="Arial" w:cs="Arial" w:eastAsia="Arial" w:hAnsi="Arial"/>
          <w:sz w:val="22"/>
          <w:szCs w:val="22"/>
          <w:color w:val="auto"/>
        </w:rPr>
        <w:t>” means the aggregate amount of all assets of the Company and its Subsidiaries on a consolidated basis other than Intangible Assets.</w:t>
      </w:r>
    </w:p>
    <w:p>
      <w:pPr>
        <w:spacing w:after="0" w:line="175"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Contractual Obligation</w:t>
      </w:r>
      <w:r>
        <w:rPr>
          <w:rFonts w:ascii="Arial" w:cs="Arial" w:eastAsia="Arial" w:hAnsi="Arial"/>
          <w:sz w:val="19"/>
          <w:szCs w:val="19"/>
          <w:color w:val="auto"/>
        </w:rPr>
        <w:t>” means, as to any Person, any provision of any security issued by such Person or of any agreement, instrument or other undertaking to which such Person is a party or by which it or any of its property is bound.</w:t>
      </w:r>
    </w:p>
    <w:p>
      <w:pPr>
        <w:spacing w:after="0" w:line="10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b w:val="1"/>
          <w:bCs w:val="1"/>
          <w:i w:val="1"/>
          <w:i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i w:val="1"/>
          <w:iCs w:val="1"/>
          <w:color w:val="auto"/>
        </w:rPr>
        <w:t>Controlled</w:t>
      </w:r>
      <w:r>
        <w:rPr>
          <w:rFonts w:ascii="Arial" w:cs="Arial" w:eastAsia="Arial" w:hAnsi="Arial"/>
          <w:sz w:val="22"/>
          <w:szCs w:val="22"/>
          <w:color w:val="auto"/>
        </w:rPr>
        <w:t>” have meanings correlative thereto.</w:t>
      </w:r>
    </w:p>
    <w:p>
      <w:pPr>
        <w:spacing w:after="0" w:line="186"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Credit Party</w:t>
      </w:r>
      <w:r>
        <w:rPr>
          <w:rFonts w:ascii="Arial" w:cs="Arial" w:eastAsia="Arial" w:hAnsi="Arial"/>
          <w:sz w:val="22"/>
          <w:szCs w:val="22"/>
          <w:color w:val="auto"/>
        </w:rPr>
        <w:t>” means the Administrative Agent, the Swingline Lenders or any other Lender.</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CTA</w:t>
      </w:r>
      <w:r>
        <w:rPr>
          <w:rFonts w:ascii="Arial" w:cs="Arial" w:eastAsia="Arial" w:hAnsi="Arial"/>
          <w:sz w:val="22"/>
          <w:szCs w:val="22"/>
          <w:color w:val="auto"/>
        </w:rPr>
        <w:t>” means the Corporation Tax Act 2009.</w:t>
      </w:r>
    </w:p>
    <w:p>
      <w:pPr>
        <w:spacing w:after="0" w:line="22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Daily Simple RFR</w:t>
      </w:r>
      <w:r>
        <w:rPr>
          <w:rFonts w:ascii="Arial" w:cs="Arial" w:eastAsia="Arial" w:hAnsi="Arial"/>
          <w:sz w:val="21"/>
          <w:szCs w:val="21"/>
          <w:color w:val="auto"/>
        </w:rPr>
        <w:t>” means, for any day (an “</w:t>
      </w:r>
      <w:r>
        <w:rPr>
          <w:rFonts w:ascii="Arial" w:cs="Arial" w:eastAsia="Arial" w:hAnsi="Arial"/>
          <w:sz w:val="21"/>
          <w:szCs w:val="21"/>
          <w:b w:val="1"/>
          <w:bCs w:val="1"/>
          <w:i w:val="1"/>
          <w:iCs w:val="1"/>
          <w:color w:val="auto"/>
        </w:rPr>
        <w:t>RFR Interest Day</w:t>
      </w:r>
      <w:r>
        <w:rPr>
          <w:rFonts w:ascii="Arial" w:cs="Arial" w:eastAsia="Arial" w:hAnsi="Arial"/>
          <w:sz w:val="21"/>
          <w:szCs w:val="21"/>
          <w:color w:val="auto"/>
        </w:rPr>
        <w:t>”), an interest rate per annum equal to the greater of (a) for any RFR Loan denominated in (i) Pounds Sterling, SONIA for the day that is five (5) RFR Business Days prior to (A) if such RFR Interest Day is an RFR Business Day, such RFR Interest Day or (B) if such RFR Interest Day is not an RFR Business Day, the RFR Business Day immediately preceding such RFR Interest Day, (ii) Swiss Francs, SARON for the day that is five (5) RFR Business Days prior to (A) if such RFR Interest Day is an RFR Business Day, such RFR Interest Day or (B) if such RFR Interest Day is not an RFR Business Day, the RFR Business Day immediately preceding such RFR Interest Day, and (iii) U.S. Dollars, Daily Simple SOFR and (b) 0%.</w:t>
      </w:r>
    </w:p>
    <w:p>
      <w:pPr>
        <w:spacing w:after="0" w:line="18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Daily Simple SOFR</w:t>
      </w:r>
      <w:r>
        <w:rPr>
          <w:rFonts w:ascii="Arial" w:cs="Arial" w:eastAsia="Arial" w:hAnsi="Arial"/>
          <w:sz w:val="22"/>
          <w:szCs w:val="22"/>
          <w:color w:val="auto"/>
        </w:rPr>
        <w:t>” means, for any day (a “</w:t>
      </w:r>
      <w:r>
        <w:rPr>
          <w:rFonts w:ascii="Arial" w:cs="Arial" w:eastAsia="Arial" w:hAnsi="Arial"/>
          <w:sz w:val="22"/>
          <w:szCs w:val="22"/>
          <w:b w:val="1"/>
          <w:bCs w:val="1"/>
          <w:i w:val="1"/>
          <w:iCs w:val="1"/>
          <w:color w:val="auto"/>
        </w:rPr>
        <w:t>SOFR Rate Day</w:t>
      </w:r>
      <w:r>
        <w:rPr>
          <w:rFonts w:ascii="Arial" w:cs="Arial" w:eastAsia="Arial" w:hAnsi="Arial"/>
          <w:sz w:val="22"/>
          <w:szCs w:val="22"/>
          <w:color w:val="auto"/>
        </w:rPr>
        <w:t>”), a rate per annum equal to SOFR for the day that is five (5) RFR Business Days prior to (i) if such SOFR Rate Day is 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9" w:name="page210"/>
    <w:bookmarkEnd w:id="209"/>
    <w:p>
      <w:pPr>
        <w:jc w:val="both"/>
        <w:spacing w:after="0" w:line="252" w:lineRule="auto"/>
        <w:rPr>
          <w:sz w:val="20"/>
          <w:szCs w:val="20"/>
          <w:color w:val="auto"/>
        </w:rPr>
      </w:pPr>
      <w:r>
        <w:rPr>
          <w:rFonts w:ascii="Arial" w:cs="Arial" w:eastAsia="Arial" w:hAnsi="Arial"/>
          <w:sz w:val="21"/>
          <w:szCs w:val="21"/>
          <w:color w:val="auto"/>
        </w:rPr>
        <w:t>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w:t>
      </w:r>
    </w:p>
    <w:p>
      <w:pPr>
        <w:spacing w:after="0" w:line="174"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Debtor Relief Laws</w:t>
      </w:r>
      <w:r>
        <w:rPr>
          <w:rFonts w:ascii="Arial" w:cs="Arial" w:eastAsia="Arial" w:hAnsi="Arial"/>
          <w:sz w:val="19"/>
          <w:szCs w:val="19"/>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3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Default</w:t>
      </w:r>
      <w:r>
        <w:rPr>
          <w:rFonts w:ascii="Arial" w:cs="Arial" w:eastAsia="Arial" w:hAnsi="Arial"/>
          <w:sz w:val="22"/>
          <w:szCs w:val="22"/>
          <w:color w:val="auto"/>
        </w:rPr>
        <w:t>” means any event or condition which constitutes an Event of Default or which upon notice, lapse of time or both would, unless cured or waived, become an Event of Default.</w:t>
      </w:r>
    </w:p>
    <w:p>
      <w:pPr>
        <w:spacing w:after="0" w:line="17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Defaulting Lender</w:t>
      </w:r>
      <w:r>
        <w:rPr>
          <w:rFonts w:ascii="Arial" w:cs="Arial" w:eastAsia="Arial" w:hAnsi="Arial"/>
          <w:sz w:val="19"/>
          <w:szCs w:val="19"/>
          <w:color w:val="auto"/>
        </w:rPr>
        <w:t xml:space="preserve">” means any Lender that (a) has failed, within two (2) Business Days after the date required to be funded or paid, to (i) fund any portion of its Loans, (ii) fund any portion of its participations in Swingline Loans or (iii) pay over to any Credit Party any other amount required to be paid by it hereunder, unless, in the case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Loan Party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Swingline Loans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such Credit Party’s receipt of such certification in form and substance satisfactory to it and the Administrative Agent, or (d) has, or has a Lender Parent that has, become the subject of a (A) Bankruptcy Event or (B) a Bail-In Action.</w:t>
      </w:r>
    </w:p>
    <w:p>
      <w:pPr>
        <w:spacing w:after="0" w:line="200" w:lineRule="exact"/>
        <w:rPr>
          <w:sz w:val="20"/>
          <w:szCs w:val="20"/>
          <w:color w:val="auto"/>
        </w:rPr>
      </w:pPr>
    </w:p>
    <w:p>
      <w:pPr>
        <w:spacing w:after="0" w:line="20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Designated Borrower</w:t>
      </w:r>
      <w:r>
        <w:rPr>
          <w:rFonts w:ascii="Arial" w:cs="Arial" w:eastAsia="Arial" w:hAnsi="Arial"/>
          <w:sz w:val="22"/>
          <w:szCs w:val="22"/>
          <w:color w:val="auto"/>
        </w:rPr>
        <w:t>” has the meaning assigned to such term in the preamble.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Designated Borrower Notice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2.23(b)</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Designated Borrower Request and Assumption Agreement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2.23(b)</w:t>
      </w:r>
      <w:r>
        <w:rPr>
          <w:rFonts w:ascii="Arial" w:cs="Arial" w:eastAsia="Arial" w:hAnsi="Arial"/>
          <w:sz w:val="19"/>
          <w:szCs w:val="19"/>
          <w:color w:val="auto"/>
        </w:rPr>
        <w:t>.</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Disclosed Litigation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3.05(a)</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Domestic Subsidiary</w:t>
      </w:r>
      <w:r>
        <w:rPr>
          <w:rFonts w:ascii="Arial" w:cs="Arial" w:eastAsia="Arial" w:hAnsi="Arial"/>
          <w:sz w:val="22"/>
          <w:szCs w:val="22"/>
          <w:color w:val="auto"/>
        </w:rPr>
        <w:t>” means any Subsidiary that is organized under the laws of any political subdivision of the United States of America.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0" w:name="page211"/>
    <w:bookmarkEnd w:id="210"/>
    <w:p>
      <w:pPr>
        <w:jc w:val="both"/>
        <w:ind w:firstLine="74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Dollar Amount</w:t>
      </w:r>
      <w:r>
        <w:rPr>
          <w:rFonts w:ascii="Arial" w:cs="Arial" w:eastAsia="Arial" w:hAnsi="Arial"/>
          <w:sz w:val="19"/>
          <w:szCs w:val="19"/>
          <w:color w:val="auto"/>
        </w:rPr>
        <w:t>” of any amount of any currency means, at the time of determination thereof, (a) if such amount is expressed in U.S. Dollars, such amount, (b) if such amount is expressed in a Foreign Currency, the equivalent of such amount in U.S. Dollars determined by using the rate of exchange for the purchase of U.S. Dollars with such Foreign Currency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U.S. Dollars with such Foreign Currency, as provided by such other publicly available information service which provides that rate of exchange at such time in place of Reuters chosen by the Administrative Agent in its reasonable discretion (or if such service ceases to be available or ceases to provide such rate of exchange, the equivalent of such amount in U.S. Dollars as reasonably determined by the Administrative Agent, in consultation with the Company, using any reasonable method of determination it deems reasonably appropriate) and (c) if such amount is denominated in any other currency, the equivalent of such amount in U.S. Dollars as reasonably determined by the Administrative Agent, in consultation with the Company, using any reasonable method of determination it deems reasonably appropriate.</w:t>
      </w:r>
    </w:p>
    <w:p>
      <w:pPr>
        <w:spacing w:after="0" w:line="16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EEA Financial Institution</w:t>
      </w:r>
      <w:r>
        <w:rPr>
          <w:rFonts w:ascii="Arial" w:cs="Arial" w:eastAsia="Arial" w:hAnsi="Arial"/>
          <w:sz w:val="22"/>
          <w:szCs w:val="22"/>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this definition, or (c) any financial institution established in an EEA Member Country which is a subsidiary of an institution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definition and is subject to consolidated supervision with its parent.</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41"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xml:space="preserve">” means the date on which the conditions specified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are satisfied (or waived in accordance with </w:t>
      </w:r>
      <w:r>
        <w:rPr>
          <w:rFonts w:ascii="Arial" w:cs="Arial" w:eastAsia="Arial" w:hAnsi="Arial"/>
          <w:sz w:val="22"/>
          <w:szCs w:val="22"/>
          <w:u w:val="single" w:color="auto"/>
          <w:color w:val="auto"/>
        </w:rPr>
        <w:t>Section 10.02</w:t>
      </w:r>
      <w:r>
        <w:rPr>
          <w:rFonts w:ascii="Arial" w:cs="Arial" w:eastAsia="Arial" w:hAnsi="Arial"/>
          <w:sz w:val="22"/>
          <w:szCs w:val="22"/>
          <w:color w:val="auto"/>
        </w:rPr>
        <w:t>).</w:t>
      </w:r>
    </w:p>
    <w:p>
      <w:pPr>
        <w:spacing w:after="0" w:line="17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51"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i w:val="1"/>
          <w:iCs w:val="1"/>
          <w:color w:val="auto"/>
        </w:rPr>
        <w:t>“Environmental Laws</w:t>
      </w:r>
      <w:r>
        <w:rPr>
          <w:rFonts w:ascii="Arial" w:cs="Arial" w:eastAsia="Arial" w:hAnsi="Arial"/>
          <w:sz w:val="22"/>
          <w:szCs w:val="22"/>
          <w:color w:val="auto"/>
        </w:rPr>
        <w:t>” means all laws, rules, regulations, codes, ordinances, orders, decrees, judgments, injunctions,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notices or binding agreements issued, promulgated or entered into by any Governmental Authority, relating to pollution and the protection of the environment, or the release of any Hazardous Material.</w:t>
      </w:r>
    </w:p>
    <w:p>
      <w:pPr>
        <w:spacing w:after="0" w:line="18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Liability</w:t>
      </w:r>
      <w:r>
        <w:rPr>
          <w:rFonts w:ascii="Arial" w:cs="Arial" w:eastAsia="Arial" w:hAnsi="Arial"/>
          <w:sz w:val="22"/>
          <w:szCs w:val="22"/>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1" w:name="page212"/>
    <w:bookmarkEnd w:id="211"/>
    <w:p>
      <w:pPr>
        <w:jc w:val="both"/>
        <w:spacing w:after="0"/>
        <w:rPr>
          <w:sz w:val="20"/>
          <w:szCs w:val="20"/>
          <w:color w:val="auto"/>
        </w:rPr>
      </w:pPr>
      <w:r>
        <w:rPr>
          <w:rFonts w:ascii="Arial" w:cs="Arial" w:eastAsia="Arial" w:hAnsi="Arial"/>
          <w:sz w:val="22"/>
          <w:szCs w:val="22"/>
          <w:color w:val="auto"/>
        </w:rPr>
        <w:t>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Equity Interests</w:t>
      </w:r>
      <w:r>
        <w:rPr>
          <w:rFonts w:ascii="Arial" w:cs="Arial" w:eastAsia="Arial" w:hAnsi="Arial"/>
          <w:sz w:val="22"/>
          <w:szCs w:val="2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Equivalent Amount</w:t>
      </w:r>
      <w:r>
        <w:rPr>
          <w:rFonts w:ascii="Arial" w:cs="Arial" w:eastAsia="Arial" w:hAnsi="Arial"/>
          <w:sz w:val="22"/>
          <w:szCs w:val="22"/>
          <w:color w:val="auto"/>
        </w:rPr>
        <w:t>” of any currency with respect to any amount of U.S. Dollars at any date means the equivalent in such currency of such amount of U.S. Dollars, calculated on the basis of the Exchange Rate for such other currency at 11:00 a.m. London time on the date on or as of which such amount is to be determined.</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w:t>
      </w:r>
      <w:r>
        <w:rPr>
          <w:rFonts w:ascii="Arial" w:cs="Arial" w:eastAsia="Arial" w:hAnsi="Arial"/>
          <w:sz w:val="22"/>
          <w:szCs w:val="22"/>
          <w:color w:val="auto"/>
        </w:rPr>
        <w:t>” means the Employee Retirement Income Security Act of 1974, as amended from time to time, and the rules and regulations promulgated thereunder.</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 Affiliate</w:t>
      </w:r>
      <w:r>
        <w:rPr>
          <w:rFonts w:ascii="Arial" w:cs="Arial" w:eastAsia="Arial" w:hAnsi="Arial"/>
          <w:sz w:val="22"/>
          <w:szCs w:val="22"/>
          <w:color w:val="auto"/>
        </w:rPr>
        <w:t>” means any trade or business (whether or not incorporated) that, together with any Loan Party, is treated as a single employer under subsections (b) and (c) of Section 414 of the Code (and, solely for the purposes of Section 412 of the Code, including subsections (m) and (o) of Section 414 of the Code).</w:t>
      </w:r>
    </w:p>
    <w:p>
      <w:pPr>
        <w:spacing w:after="0" w:line="18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ERISA Event</w:t>
      </w:r>
      <w:r>
        <w:rPr>
          <w:rFonts w:ascii="Arial" w:cs="Arial" w:eastAsia="Arial" w:hAnsi="Arial"/>
          <w:sz w:val="21"/>
          <w:szCs w:val="21"/>
          <w:color w:val="auto"/>
        </w:rPr>
        <w:t>” means (a) any “reportable event”, as defined in Section 4043 of ERISA or the regulations issued thereunder with respect to a Plan (other than an event for which the 30-day notice period is waived); (b) the existence with respect to any Multiemployer Plan of an “accumulated funding deficiency” (as defined in Sections 412 and 431 of the Code or Sections 302 and 304 of ERISA), whether or not waived, or the determination that any Multiemployer Plan is in either “endangered status” or “critical status” (as defined in Section 432 of the Code or Section 305 of ERISA), or the failure of any Plan that is not a Multiemployer Plan to satisfy the minimum funding standards of Sections 412 and 430 of the Code or Sections 302 and 303 of ERISA, or the determination that any Plan that is not a Multiemployer Plan is in “at-risk” status (as defined in Section 430(i) of the Code or Section 303(i) of ERISA) or the imposition of any lien on any Loan Party or any of its ERISA Affiliates pursuant to Section 430(k) of the Code or Section 303(k) of ERISA; (c) the filing pursuant to Section 412(c) of the Code or Section 303(c) of ERISA of an application for a waiver of the minimum funding standard with respect to any Plan; (d) the incurrence by any Loan Party or any of its ERISA Affiliates of any liability under Title IV of ERISA with respect to the termination of any Plan; (e) the receipt by any Loan Party or any ERISA Affiliate from the PBGC or a plan administrator of any notice relating to an intention to terminate any Plan or Plans or to appoint a trustee to administer any Plan; (f) the incurrence by any Loan Party or any of its ERISA Affiliates of any liability with respect to the withdrawal or partial withdrawal from any Multiemployer Plan; (g) the receipt by any Loan Party or any ERISA Affiliate of any notice, or the receipt by any Multiemployer Plan from any Loan Party or any ERISA Affiliate of any notice, concerning the imposition of Withdrawal Liability or a determination that a Multiemployer Plan is, or is expected to be, insolvent or in reorganization, within the meaning of Title IV of ERISA; (h) the withdrawal by any Loan Party or any ERISA Affiliate from a Plan subject to Section 4063 of ERISA during a plan year in which it was 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2" w:name="page213"/>
    <w:bookmarkEnd w:id="212"/>
    <w:p>
      <w:pPr>
        <w:jc w:val="both"/>
        <w:spacing w:after="0" w:line="274" w:lineRule="auto"/>
        <w:rPr>
          <w:sz w:val="20"/>
          <w:szCs w:val="20"/>
          <w:color w:val="auto"/>
        </w:rPr>
      </w:pPr>
      <w:r>
        <w:rPr>
          <w:rFonts w:ascii="Arial" w:cs="Arial" w:eastAsia="Arial" w:hAnsi="Arial"/>
          <w:sz w:val="19"/>
          <w:szCs w:val="19"/>
          <w:color w:val="auto"/>
        </w:rPr>
        <w:t>“substantial employer” (as defined in Section 4001(a)(2) of ERISA); (i) the engagement by any Loan Party or any ERISA Affiliate in a transaction that could reasonably be expected to be subject to Section 4069 or Section 4212(c) of ERISA; (j) the engagement by any Loan Party in a non-exempt “prohibited transaction” (as defined under Section 406 of ERISA or Section 4975 of the Code) or a breach of a fiduciary duty under ERISA that could reasonably be expected to result in liability to the Company or any Subsidiary; (k) notification by the IRS of the failure of any Plan (and any related trust) that is intended to be qualified under Sections 401 and 501 of the Code to be so qualified; (l) the commencement, existence or threatening of a claim, action, suit or audit or other regulatory examination with respect to any Plan, other than a routine claim for benefits; or (m) the occurrence of an event with respect to any employee benefit plan described in Section 3(2) of ERISA that results in the imposition of an excise tax or any other liability on any Loan Party or of the imposition of a Lien on the assets of any Loan Party.</w:t>
      </w:r>
    </w:p>
    <w:p>
      <w:pPr>
        <w:spacing w:after="0" w:line="15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EURIBO Rate</w:t>
      </w:r>
      <w:r>
        <w:rPr>
          <w:rFonts w:ascii="Arial" w:cs="Arial" w:eastAsia="Arial" w:hAnsi="Arial"/>
          <w:sz w:val="22"/>
          <w:szCs w:val="22"/>
          <w:color w:val="auto"/>
        </w:rPr>
        <w:t>” means, with respect to any Term Benchmark Borrowing denominated in Euro and for any Interest Period, the EURIBO Screen Rate at approximately 11:00 a.m., Brussels time, two (2) TARGET Days prior to the commencement of such Interest Period.</w:t>
      </w:r>
    </w:p>
    <w:p>
      <w:pPr>
        <w:spacing w:after="0" w:line="18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EURIBO Screen Rate</w:t>
      </w:r>
      <w:r>
        <w:rPr>
          <w:rFonts w:ascii="Arial" w:cs="Arial" w:eastAsia="Arial" w:hAnsi="Arial"/>
          <w:sz w:val="19"/>
          <w:szCs w:val="19"/>
          <w:color w:val="auto"/>
        </w:rPr>
        <w:t>” means, for any day and time, with respect to any Term Benchmark Borrowing denominated in Euro and for any Interest Period, the Euro interbank offered rate administered by the European Money Markets Institute (or any other person which takes over the administration of such rate) for Euro for the relevant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as published at approximately 11:00 a.m. Brussels time two TARGET Days prior to the commencement of such Interest Period. If such page or service ceases to be available, the Administrative Agent may specify another page or service displaying the relevant rate after consultation with the Borrower. If the EURIBO Screen Rate as so determined would be less than zero, such rate shall be deemed to be zero for the purposes of this Agreement.</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Euro</w:t>
      </w:r>
      <w:r>
        <w:rPr>
          <w:rFonts w:ascii="Arial" w:cs="Arial" w:eastAsia="Arial" w:hAnsi="Arial"/>
          <w:sz w:val="22"/>
          <w:szCs w:val="22"/>
          <w:color w:val="auto"/>
        </w:rPr>
        <w:t>” or “</w:t>
      </w:r>
      <w:r>
        <w:rPr>
          <w:rFonts w:ascii="Arial" w:cs="Arial" w:eastAsia="Arial" w:hAnsi="Arial"/>
          <w:sz w:val="22"/>
          <w:szCs w:val="22"/>
          <w:b w:val="1"/>
          <w:bCs w:val="1"/>
          <w:i w:val="1"/>
          <w:iCs w:val="1"/>
          <w:color w:val="auto"/>
        </w:rPr>
        <w:t>€</w:t>
      </w:r>
      <w:r>
        <w:rPr>
          <w:rFonts w:ascii="Arial" w:cs="Arial" w:eastAsia="Arial" w:hAnsi="Arial"/>
          <w:sz w:val="22"/>
          <w:szCs w:val="22"/>
          <w:color w:val="auto"/>
        </w:rPr>
        <w:t>” means the single currency of the participating member states of the European Union.</w:t>
      </w:r>
    </w:p>
    <w:p>
      <w:pPr>
        <w:spacing w:after="0" w:line="20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Euro Amount</w:t>
      </w:r>
      <w:r>
        <w:rPr>
          <w:rFonts w:ascii="Arial" w:cs="Arial" w:eastAsia="Arial" w:hAnsi="Arial"/>
          <w:sz w:val="21"/>
          <w:szCs w:val="21"/>
          <w:color w:val="auto"/>
        </w:rPr>
        <w:t xml:space="preserve">” of any currency at any date means (a) if such currency is Euro, the amount of such currency, or (b) with respect to any amount in any currency other than Euro, the equivalent in Euro of such amount, calculated on the basis of the Exchange Rate for such currency on or as of the most recent Computation Date provided for in </w:t>
      </w:r>
      <w:r>
        <w:rPr>
          <w:rFonts w:ascii="Arial" w:cs="Arial" w:eastAsia="Arial" w:hAnsi="Arial"/>
          <w:sz w:val="21"/>
          <w:szCs w:val="21"/>
          <w:u w:val="single" w:color="auto"/>
          <w:color w:val="auto"/>
        </w:rPr>
        <w:t>Section 2.04</w:t>
      </w:r>
      <w:r>
        <w:rPr>
          <w:rFonts w:ascii="Arial" w:cs="Arial" w:eastAsia="Arial" w:hAnsi="Arial"/>
          <w:sz w:val="21"/>
          <w:szCs w:val="21"/>
          <w:color w:val="auto"/>
        </w:rPr>
        <w: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 of Default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Rate</w:t>
      </w:r>
      <w:r>
        <w:rPr>
          <w:rFonts w:ascii="Arial" w:cs="Arial" w:eastAsia="Arial" w:hAnsi="Arial"/>
          <w:sz w:val="22"/>
          <w:szCs w:val="22"/>
          <w:color w:val="auto"/>
        </w:rPr>
        <w:t>” means on any day, for purposes of determining the Equivalent Amount or Euro Amount of any currency, the rate at which such currency may be exchanged into U.S. Dollars or Euro, respectively, as set forth at approximately 11:00 a.m., Local Time, on such date on the Reuters World Currency Page for such currency. In the event that such rate does not appear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3" w:name="page214"/>
    <w:bookmarkEnd w:id="213"/>
    <w:p>
      <w:pPr>
        <w:jc w:val="both"/>
        <w:spacing w:after="0" w:line="277" w:lineRule="auto"/>
        <w:rPr>
          <w:sz w:val="20"/>
          <w:szCs w:val="20"/>
          <w:color w:val="auto"/>
        </w:rPr>
      </w:pPr>
      <w:r>
        <w:rPr>
          <w:rFonts w:ascii="Arial" w:cs="Arial" w:eastAsia="Arial" w:hAnsi="Arial"/>
          <w:sz w:val="19"/>
          <w:szCs w:val="19"/>
          <w:color w:val="auto"/>
        </w:rPr>
        <w:t xml:space="preserve">on any Reuters World Currency Page, the Exchange Rate with respect to such currency shall be determined by reference to such other publicly available service for displaying exchange rates as may be reasonably selected by the Administrative Agent or, in the event no such service is selected, such Exchange Rate shall instead be calculated on the basis of the arithmetical average of the spot rates of exchange of the Administrative Agent for such currency on the London market at 11:00 a.m., Local Time, on such date for the purchase of U.S. Dollars or Euro with such currency, for delivery two (2) Business Days later; </w:t>
      </w:r>
      <w:r>
        <w:rPr>
          <w:rFonts w:ascii="Arial" w:cs="Arial" w:eastAsia="Arial" w:hAnsi="Arial"/>
          <w:sz w:val="19"/>
          <w:szCs w:val="19"/>
          <w:u w:val="single" w:color="auto"/>
          <w:color w:val="auto"/>
        </w:rPr>
        <w:t>provided</w:t>
      </w:r>
      <w:r>
        <w:rPr>
          <w:rFonts w:ascii="Arial" w:cs="Arial" w:eastAsia="Arial" w:hAnsi="Arial"/>
          <w:sz w:val="19"/>
          <w:szCs w:val="19"/>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5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Excluded Taxes</w:t>
      </w:r>
      <w:r>
        <w:rPr>
          <w:rFonts w:ascii="Arial" w:cs="Arial" w:eastAsia="Arial" w:hAnsi="Arial"/>
          <w:sz w:val="19"/>
          <w:szCs w:val="19"/>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by the United States of America, (ii) imposed as a result of such Recipient being organized under the laws of, or having its principal office, or having a permanent establishment for Tax purposes (other than any permanent establishment that arises solely as a result of the actions contemplated by this Agreement), or in the case of any Lender, its applicable lending office located in, the jurisdiction imposing such Tax (or any political subdivision thereof) or (iii) that are Other Connection Taxes, (b) in the case of a Lender, U.S. Federal and, if the payment is a payment of interest by a UK Borrower, United Kingdom withholding Taxes (excluding, in the case of United Kingdom withholding Taxes,</w:t>
      </w:r>
    </w:p>
    <w:p>
      <w:pPr>
        <w:spacing w:after="0" w:line="3" w:lineRule="exact"/>
        <w:rPr>
          <w:sz w:val="20"/>
          <w:szCs w:val="20"/>
          <w:color w:val="auto"/>
        </w:rPr>
      </w:pPr>
    </w:p>
    <w:p>
      <w:pPr>
        <w:jc w:val="both"/>
        <w:ind w:firstLine="8"/>
        <w:spacing w:after="0" w:line="269" w:lineRule="auto"/>
        <w:tabs>
          <w:tab w:leader="none" w:pos="329"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United Kingdom withholding Taxes with respect to which the applicable Lender as at the date of this Agreement is a UK Treaty Lender, and (y) United Kingdom withholding Taxes on payments made by any guarantor under any guarantee of the obligations) that are or would be required to be withheld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Borrowers under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w:t>
      </w:r>
      <w:r>
        <w:rPr>
          <w:rFonts w:ascii="Arial" w:cs="Arial" w:eastAsia="Arial" w:hAnsi="Arial"/>
          <w:sz w:val="19"/>
          <w:szCs w:val="19"/>
          <w:u w:val="single" w:color="auto"/>
          <w:color w:val="auto"/>
        </w:rPr>
        <w:t>Section 2.17(f)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xml:space="preserve">, (d) any U.S. federal withholding Taxes imposed under FATCA, (e) any cost, loss or liability incurred in Luxembourg as a result of a voluntary registration or in accordance with a contractual obligation, or other action by a Credit Party with the Luxembourg </w:t>
      </w:r>
      <w:r>
        <w:rPr>
          <w:rFonts w:ascii="Arial" w:cs="Arial" w:eastAsia="Arial" w:hAnsi="Arial"/>
          <w:sz w:val="19"/>
          <w:szCs w:val="19"/>
          <w:i w:val="1"/>
          <w:iCs w:val="1"/>
          <w:color w:val="auto"/>
        </w:rPr>
        <w:t>Administration de l’Enregistrement, des Domaines et de la TVA</w:t>
      </w:r>
      <w:r>
        <w:rPr>
          <w:rFonts w:ascii="Arial" w:cs="Arial" w:eastAsia="Arial" w:hAnsi="Arial"/>
          <w:sz w:val="19"/>
          <w:szCs w:val="19"/>
          <w:color w:val="auto"/>
        </w:rPr>
        <w:t xml:space="preserve">, where such registration or action is not necessary to enforce, maintain, perfect or protect the rights of any Credit Party under the Loan Documents, (f) any part of any cost, expense or liability which represents Recoverable VAT and (g) Swiss Withholding Tax imposed as a result of a Recipient (i) making an incorrect declaration of its status as to whether or not it is a Swiss Qualifying Bank or (ii) failing to comply with its obligations under </w:t>
      </w:r>
      <w:r>
        <w:rPr>
          <w:rFonts w:ascii="Arial" w:cs="Arial" w:eastAsia="Arial" w:hAnsi="Arial"/>
          <w:sz w:val="19"/>
          <w:szCs w:val="19"/>
          <w:u w:val="single" w:color="auto"/>
          <w:color w:val="auto"/>
        </w:rPr>
        <w:t>Section 10.04(e)</w:t>
      </w:r>
      <w:r>
        <w:rPr>
          <w:rFonts w:ascii="Arial" w:cs="Arial" w:eastAsia="Arial" w:hAnsi="Arial"/>
          <w:sz w:val="19"/>
          <w:szCs w:val="19"/>
          <w:color w:val="auto"/>
        </w:rPr>
        <w:t>.</w:t>
      </w:r>
    </w:p>
    <w:p>
      <w:pPr>
        <w:spacing w:after="0" w:line="170"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Existing Credit Agreement</w:t>
      </w:r>
      <w:r>
        <w:rPr>
          <w:rFonts w:ascii="Arial" w:cs="Arial" w:eastAsia="Arial" w:hAnsi="Arial"/>
          <w:sz w:val="22"/>
          <w:szCs w:val="22"/>
          <w:color w:val="auto"/>
        </w:rPr>
        <w:t>” means that certain Credit Agreement dated as of October 19, 2021, by and among the Company, the borrowers party thereto, the lenders party thereto and Wells Fargo Bank, National Association, as administrative agent.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Existing Obligations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10.18</w:t>
      </w:r>
      <w:r>
        <w:rPr>
          <w:rFonts w:ascii="Arial" w:cs="Arial" w:eastAsia="Arial" w:hAnsi="Arial"/>
          <w:sz w:val="22"/>
          <w:szCs w:val="22"/>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4" w:name="page215"/>
    <w:bookmarkEnd w:id="214"/>
    <w:p>
      <w:pPr>
        <w:jc w:val="both"/>
        <w:ind w:firstLine="749"/>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FATCA</w:t>
      </w:r>
      <w:r>
        <w:rPr>
          <w:rFonts w:ascii="Arial" w:cs="Arial" w:eastAsia="Arial" w:hAnsi="Arial"/>
          <w:sz w:val="22"/>
          <w:szCs w:val="22"/>
          <w:color w:val="auto"/>
        </w:rPr>
        <w:t xml:space="preserve">” means (a) Sections 1471 through 1474 of the Code, as of the date of this Agreement (or any amended or successor version that is substantively comparable and not materially more onerous to comply with), any current or future regulations or official interpretations thereof, (b) any treaty, law, regulation or other official guidance enacted in any other jurisdiction, or relating to an intergovernmental agreement between the United States and any other jurisdiction with the purpose (in either case) of facilitating the implementation of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above, or (c) any agreement pursuant to the implementation of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 with the IRS, the United States government or any governmental or taxation authority in the United States.</w:t>
      </w:r>
    </w:p>
    <w:p>
      <w:pPr>
        <w:spacing w:after="0" w:line="19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Federal Funds Effective Rate</w:t>
      </w:r>
      <w:r>
        <w:rPr>
          <w:rFonts w:ascii="Arial" w:cs="Arial" w:eastAsia="Arial" w:hAnsi="Arial"/>
          <w:sz w:val="22"/>
          <w:szCs w:val="22"/>
          <w:color w:val="auto"/>
        </w:rPr>
        <w:t xml:space="preserve">”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Federal Funds Effective Rate as so determined would be less than zero, such rate shall be deemed to be zero for the purposes of this Agreement.</w:t>
      </w:r>
    </w:p>
    <w:p>
      <w:pPr>
        <w:spacing w:after="0" w:line="17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Financial Officer</w:t>
      </w:r>
      <w:r>
        <w:rPr>
          <w:rFonts w:ascii="Arial" w:cs="Arial" w:eastAsia="Arial" w:hAnsi="Arial"/>
          <w:sz w:val="22"/>
          <w:szCs w:val="22"/>
          <w:color w:val="auto"/>
        </w:rPr>
        <w:t>” means, with respect to any Loan Party, the chief financial officer, principal accounting officer, treasurer or controller of such Loan Party.</w:t>
      </w:r>
    </w:p>
    <w:p>
      <w:pPr>
        <w:spacing w:after="0" w:line="17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Floor</w:t>
      </w:r>
      <w:r>
        <w:rPr>
          <w:rFonts w:ascii="Arial" w:cs="Arial" w:eastAsia="Arial" w:hAnsi="Arial"/>
          <w:sz w:val="22"/>
          <w:szCs w:val="22"/>
          <w:color w:val="auto"/>
        </w:rPr>
        <w:t>” means the benchmark rate floor, if any, provided in this Agreement initially (as of the execution of this Agreement, the modification, amendment or renewal of this Agreement or otherwise) with respect to the Adjusted Term SOFR Rate, the Adjusted EURIBO Rate, each Adjusted Daily Simple RFR or the Central Bank Rate, as applicable. For the avoidance of doubt, the initial Floor for each of the Adjusted Term SOFR Rate, the Adjusted EURIBO Rate, each Adjusted Daily Simple RFR or the Central Bank Rate shall be 0%.</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Foreign Currencies</w:t>
      </w:r>
      <w:r>
        <w:rPr>
          <w:rFonts w:ascii="Arial" w:cs="Arial" w:eastAsia="Arial" w:hAnsi="Arial"/>
          <w:sz w:val="22"/>
          <w:szCs w:val="22"/>
          <w:color w:val="auto"/>
        </w:rPr>
        <w:t>” means Agreed Currencies other than U.S. Dollars.</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Foreign Currency Payment Office</w:t>
      </w:r>
      <w:r>
        <w:rPr>
          <w:rFonts w:ascii="Arial" w:cs="Arial" w:eastAsia="Arial" w:hAnsi="Arial"/>
          <w:sz w:val="22"/>
          <w:szCs w:val="22"/>
          <w:color w:val="auto"/>
        </w:rPr>
        <w:t>” of the Administrative Agent shall mean, for each Foreign Currency, the office, branch, affiliate or correspondent bank of the Administrative Agent for such currency as specified from time to time by the Administrative Agent to each Borrower and each Lender.</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Foreign Lender</w:t>
      </w:r>
      <w:r>
        <w:rPr>
          <w:rFonts w:ascii="Arial" w:cs="Arial" w:eastAsia="Arial" w:hAnsi="Arial"/>
          <w:sz w:val="22"/>
          <w:szCs w:val="22"/>
          <w:color w:val="auto"/>
        </w:rPr>
        <w:t>” means a Lender that is not a U.S. Person.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Foreign Obligor</w:t>
      </w:r>
      <w:r>
        <w:rPr>
          <w:rFonts w:ascii="Arial" w:cs="Arial" w:eastAsia="Arial" w:hAnsi="Arial"/>
          <w:sz w:val="22"/>
          <w:szCs w:val="22"/>
          <w:color w:val="auto"/>
        </w:rPr>
        <w:t>” means a Loan Party that is a Foreign Subsidiary.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Foreign Subsidiary</w:t>
      </w:r>
      <w:r>
        <w:rPr>
          <w:rFonts w:ascii="Arial" w:cs="Arial" w:eastAsia="Arial" w:hAnsi="Arial"/>
          <w:sz w:val="22"/>
          <w:szCs w:val="22"/>
          <w:color w:val="auto"/>
        </w:rPr>
        <w:t>” means any Subsidiary that is not a Domestic Subsidiary.</w:t>
      </w:r>
    </w:p>
    <w:p>
      <w:pPr>
        <w:spacing w:after="0" w:line="20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GAAP</w:t>
      </w:r>
      <w:r>
        <w:rPr>
          <w:rFonts w:ascii="Arial" w:cs="Arial" w:eastAsia="Arial" w:hAnsi="Arial"/>
          <w:sz w:val="22"/>
          <w:szCs w:val="22"/>
          <w:color w:val="auto"/>
        </w:rPr>
        <w:t>” means generally accepted accounting principles in the United States of America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of America, that are applicable to the circumstances as of the date of determination, consistently applied, or if the Company adopts the International Financial Reporting Standards (“</w:t>
      </w:r>
      <w:r>
        <w:rPr>
          <w:rFonts w:ascii="Arial" w:cs="Arial" w:eastAsia="Arial" w:hAnsi="Arial"/>
          <w:sz w:val="22"/>
          <w:szCs w:val="22"/>
          <w:b w:val="1"/>
          <w:bCs w:val="1"/>
          <w:i w:val="1"/>
          <w:iCs w:val="1"/>
          <w:color w:val="auto"/>
        </w:rPr>
        <w:t>IFRS</w:t>
      </w:r>
      <w:r>
        <w:rPr>
          <w:rFonts w:ascii="Arial" w:cs="Arial" w:eastAsia="Arial" w:hAnsi="Arial"/>
          <w:sz w:val="22"/>
          <w:szCs w:val="22"/>
          <w:color w:val="auto"/>
        </w:rPr>
        <w:t>”), IFRS, consistently applied.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5" w:name="page216"/>
    <w:bookmarkEnd w:id="215"/>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Governmental Authority</w:t>
      </w:r>
      <w:r>
        <w:rPr>
          <w:rFonts w:ascii="Arial" w:cs="Arial" w:eastAsia="Arial" w:hAnsi="Arial"/>
          <w:sz w:val="22"/>
          <w:szCs w:val="22"/>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Guarantee</w:t>
      </w:r>
      <w:r>
        <w:rPr>
          <w:rFonts w:ascii="Arial" w:cs="Arial" w:eastAsia="Arial" w:hAnsi="Arial"/>
          <w:sz w:val="19"/>
          <w:szCs w:val="19"/>
          <w:color w:val="auto"/>
        </w:rPr>
        <w:t>” of or by any Person (the “</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of any other Person (the “</w:t>
      </w:r>
      <w:r>
        <w:rPr>
          <w:rFonts w:ascii="Arial" w:cs="Arial" w:eastAsia="Arial" w:hAnsi="Arial"/>
          <w:sz w:val="19"/>
          <w:szCs w:val="19"/>
          <w:b w:val="1"/>
          <w:bCs w:val="1"/>
          <w:i w:val="1"/>
          <w:iCs w:val="1"/>
          <w:color w:val="auto"/>
        </w:rPr>
        <w:t>primary obligor</w:t>
      </w:r>
      <w:r>
        <w:rPr>
          <w:rFonts w:ascii="Arial" w:cs="Arial" w:eastAsia="Arial" w:hAnsi="Arial"/>
          <w:sz w:val="19"/>
          <w:szCs w:val="19"/>
          <w:color w:val="auto"/>
        </w:rPr>
        <w:t xml:space="preserve">”) in any manner, whether directly or indirectly, and including any obligation of the guarantor, direct or indirect, (a) to purchase or pay (or advance or supply funds for the purchase or payment of) such Indebtedness or any security for the payment thereof, (b) to purchase or lease property, securities or services for the purpose of assuring the holder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spacing w:after="0" w:line="200" w:lineRule="exact"/>
        <w:rPr>
          <w:sz w:val="20"/>
          <w:szCs w:val="20"/>
          <w:color w:val="auto"/>
        </w:rPr>
      </w:pPr>
    </w:p>
    <w:p>
      <w:pPr>
        <w:spacing w:after="0" w:line="20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Guaranteed Obligations</w:t>
      </w:r>
      <w:r>
        <w:rPr>
          <w:rFonts w:ascii="Arial" w:cs="Arial" w:eastAsia="Arial" w:hAnsi="Arial"/>
          <w:sz w:val="22"/>
          <w:szCs w:val="22"/>
          <w:color w:val="auto"/>
        </w:rPr>
        <w:t xml:space="preserve">” has the meaning assigned thereto in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Guarantor</w:t>
      </w:r>
      <w:r>
        <w:rPr>
          <w:rFonts w:ascii="Arial" w:cs="Arial" w:eastAsia="Arial" w:hAnsi="Arial"/>
          <w:sz w:val="22"/>
          <w:szCs w:val="22"/>
          <w:color w:val="auto"/>
        </w:rPr>
        <w:t>” means the Company.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Guaranty</w:t>
      </w:r>
      <w:r>
        <w:rPr>
          <w:rFonts w:ascii="Arial" w:cs="Arial" w:eastAsia="Arial" w:hAnsi="Arial"/>
          <w:sz w:val="22"/>
          <w:szCs w:val="22"/>
          <w:color w:val="auto"/>
        </w:rPr>
        <w:t xml:space="preserve">” means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of this Agreement.</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Hazardous Materials</w:t>
      </w:r>
      <w:r>
        <w:rPr>
          <w:rFonts w:ascii="Arial" w:cs="Arial" w:eastAsia="Arial" w:hAnsi="Arial"/>
          <w:sz w:val="22"/>
          <w:szCs w:val="22"/>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HMRC DT Treaty Passport Scheme</w:t>
      </w:r>
      <w:r>
        <w:rPr>
          <w:rFonts w:ascii="Arial" w:cs="Arial" w:eastAsia="Arial" w:hAnsi="Arial"/>
          <w:sz w:val="22"/>
          <w:szCs w:val="22"/>
          <w:color w:val="auto"/>
        </w:rPr>
        <w:t>” means the administrative simplification scheme designed to assist certain non-UK lenders in accessing reduced withholding tax rates on interest that are available within the UK’s tax treaties with other territories and which is administered by HM Revenue and Customs.</w:t>
      </w:r>
    </w:p>
    <w:p>
      <w:pPr>
        <w:spacing w:after="0" w:line="18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Indebtedness</w:t>
      </w:r>
      <w:r>
        <w:rPr>
          <w:rFonts w:ascii="Arial" w:cs="Arial" w:eastAsia="Arial" w:hAnsi="Arial"/>
          <w:sz w:val="22"/>
          <w:szCs w:val="22"/>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trade accounts payable in the ordinary course of business and payable in accordance with customary practices), (e) all Indebtedness (excluding prepaid interest thereon) of another Person secured by (or for which the holder of such Indebtedness has an existing right, contingent or otherwise, to be secured by)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6" w:name="page217"/>
    <w:bookmarkEnd w:id="216"/>
    <w:p>
      <w:pPr>
        <w:jc w:val="both"/>
        <w:spacing w:after="0" w:line="272" w:lineRule="auto"/>
        <w:rPr>
          <w:sz w:val="20"/>
          <w:szCs w:val="20"/>
          <w:color w:val="auto"/>
        </w:rPr>
      </w:pPr>
      <w:r>
        <w:rPr>
          <w:rFonts w:ascii="Arial" w:cs="Arial" w:eastAsia="Arial" w:hAnsi="Arial"/>
          <w:sz w:val="19"/>
          <w:szCs w:val="19"/>
          <w:color w:val="auto"/>
        </w:rPr>
        <w:t>any Lien on property owned or acquired by such Person, whether or not the Indebtedness secured thereby has been assumed or is limited in recourse, (f) all Guarantees by such Person of Indebtedness of another Person, (g) all Capital Lease Obligations of such Person, (h) all obligations, contingent or otherwise, of such Person arising under letters of credit, letters of guaranty, bankers’ acceptances and similar instruments (other than (i) commercial letters of credit issued in the ordinary course of business to the extent there is no overdue reimbursement obligation in respect thereof, (ii) solely for purposes of calculating the Consolidated Net Leverage Ratio, standby letters of credit and letters of guaranty issued in the ordinary course of business to the extent there is no overdue reimbursement obligation in respect thereof, and (iii) endorser liability with respect to bankers’ acceptances received by such Person as payment for goods or services in the ordinary course of business, so long as such Person is not the account party or drawer of the underlying draft), and (i) the outstanding principal amount of any Securitization Transaction of such Person, after taking into account reserve accounts. The Indebtedness of any Person shall include the Indebtedness of any other Person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5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Taxes</w:t>
      </w:r>
      <w:r>
        <w:rPr>
          <w:rFonts w:ascii="Arial" w:cs="Arial" w:eastAsia="Arial" w:hAnsi="Arial"/>
          <w:sz w:val="22"/>
          <w:szCs w:val="22"/>
          <w:color w:val="auto"/>
        </w:rPr>
        <w:t xml:space="preserve">” means (a) Taxes, other than Excluded Taxes, imposed on or with respect to any payment made by or on account of any obligation of any Loan Party under any Loan Document and (b) to the extent not otherwise described in the foregoing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hereof, Other Taxes.</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Index Debt</w:t>
      </w:r>
      <w:r>
        <w:rPr>
          <w:rFonts w:ascii="Arial" w:cs="Arial" w:eastAsia="Arial" w:hAnsi="Arial"/>
          <w:sz w:val="22"/>
          <w:szCs w:val="22"/>
          <w:color w:val="auto"/>
        </w:rPr>
        <w:t>” means senior, unsecured, long-term indebtedness for borrowed money of the Company that is not guaranteed by any other Person (other than a Subsidiary that is a Borrower or guarantor of the obligations under the JPM Credit Agreement) or subject to any other credit enhancement.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Indonesian Borrower</w:t>
      </w:r>
      <w:r>
        <w:rPr>
          <w:rFonts w:ascii="Arial" w:cs="Arial" w:eastAsia="Arial" w:hAnsi="Arial"/>
          <w:sz w:val="19"/>
          <w:szCs w:val="19"/>
          <w:color w:val="auto"/>
        </w:rPr>
        <w:t>” means (i) Cabot Indonesia and (ii) any other Borrower which is incorporated in Indonesia.</w:t>
      </w:r>
    </w:p>
    <w:p>
      <w:pPr>
        <w:spacing w:after="0" w:line="24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Ineligible Assignee</w:t>
      </w:r>
      <w:r>
        <w:rPr>
          <w:rFonts w:ascii="Arial" w:cs="Arial" w:eastAsia="Arial" w:hAnsi="Arial"/>
          <w:sz w:val="19"/>
          <w:szCs w:val="19"/>
          <w:color w:val="auto"/>
        </w:rPr>
        <w:t xml:space="preserve">” means (a) a natural person, (b) a Defaulting Lender or its Lender Parent, (c) any Loan Party or any Affiliate or Subsidiary of a Loan Party, or (d) a company, investment vehicle or trust for, or owned and operated for the primary benefit of, a natural person or a relative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company, investment vehicle or trust shall not constitute an Ineligible Assignee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w:t>
      </w:r>
    </w:p>
    <w:p>
      <w:pPr>
        <w:spacing w:after="0" w:line="152"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Intangible Assets</w:t>
      </w:r>
      <w:r>
        <w:rPr>
          <w:rFonts w:ascii="Arial" w:cs="Arial" w:eastAsia="Arial" w:hAnsi="Arial"/>
          <w:sz w:val="19"/>
          <w:szCs w:val="19"/>
          <w:color w:val="auto"/>
        </w:rPr>
        <w:t>” means the amount of all unamortized debt discount and expense, goodwill, patents, trademarks, service marks, trade names, anticipated future benefit of tax loss carry-forwards, copyrights, organization or developmental expenses and other assets treated as intangible assets under GAAP (but not in any event including deferred taxes).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7" w:name="page218"/>
    <w:bookmarkEnd w:id="217"/>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Interest Election Request</w:t>
      </w:r>
      <w:r>
        <w:rPr>
          <w:rFonts w:ascii="Arial" w:cs="Arial" w:eastAsia="Arial" w:hAnsi="Arial"/>
          <w:sz w:val="22"/>
          <w:szCs w:val="22"/>
          <w:color w:val="auto"/>
        </w:rPr>
        <w:t xml:space="preserve">” means a request by the Borrowers or the Company, on behalf of the Borrowers, to convert or continue a Revolving Borrowing in accordance with </w:t>
      </w:r>
      <w:r>
        <w:rPr>
          <w:rFonts w:ascii="Arial" w:cs="Arial" w:eastAsia="Arial" w:hAnsi="Arial"/>
          <w:sz w:val="22"/>
          <w:szCs w:val="22"/>
          <w:u w:val="single" w:color="auto"/>
          <w:color w:val="auto"/>
        </w:rPr>
        <w:t>Section 2.08</w:t>
      </w:r>
      <w:r>
        <w:rPr>
          <w:rFonts w:ascii="Arial" w:cs="Arial" w:eastAsia="Arial" w:hAnsi="Arial"/>
          <w:sz w:val="22"/>
          <w:szCs w:val="22"/>
          <w:color w:val="auto"/>
        </w:rPr>
        <w:t>.</w:t>
      </w:r>
    </w:p>
    <w:p>
      <w:pPr>
        <w:spacing w:after="0" w:line="17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Interest Payment Date</w:t>
      </w:r>
      <w:r>
        <w:rPr>
          <w:rFonts w:ascii="Arial" w:cs="Arial" w:eastAsia="Arial" w:hAnsi="Arial"/>
          <w:sz w:val="19"/>
          <w:szCs w:val="19"/>
          <w:color w:val="auto"/>
        </w:rPr>
        <w:t>” means (a) with respect to any ABR Loan (other than a Swingline Loan) or any CBR Loan, the last day of each March, June, September and December and the Maturity Date, (b) with respect to any RFR Loan, the first Business Day of each calendar month and the Maturity Date, (c) with respect to any Term Benchmark Loan, the last day of each Interest Period applicable to the Term Benchmark Borrowing of which such Loan is a part and, in the case of a Borrowing with an Interest Period of more than three (3) months’ duration, each day prior to the last day of such Interest Period that occurs at intervals of three (3) months’ duration after the first day of such Interest Period and the Maturity Date and (d) with respect to any Swingline Loan, the first Business Day of each calendar month and the Maturity Date.</w:t>
      </w:r>
    </w:p>
    <w:p>
      <w:pPr>
        <w:spacing w:after="0" w:line="15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Interest Period</w:t>
      </w:r>
      <w:r>
        <w:rPr>
          <w:rFonts w:ascii="Arial" w:cs="Arial" w:eastAsia="Arial" w:hAnsi="Arial"/>
          <w:sz w:val="19"/>
          <w:szCs w:val="19"/>
          <w:color w:val="auto"/>
        </w:rPr>
        <w:t xml:space="preserve">” means, with respect to any Term Benchmark Borrowing, the period commencing on the date of such Borrowing and ending on the numerically corresponding day in the calendar month that is one (1), three (3) or six (6) months thereafter (in each case, subject to the availability for the Benchmark applicable to the relevant Loan or Commitment for any Agreed Currency), as the Borrowers or the Company, on behalf of the Borrowers, may elect;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Arial" w:cs="Arial" w:eastAsia="Arial" w:hAnsi="Arial"/>
          <w:sz w:val="19"/>
          <w:szCs w:val="19"/>
          <w:u w:val="single" w:color="auto"/>
          <w:color w:val="auto"/>
        </w:rPr>
        <w:t>Section 2.14(e)</w:t>
      </w:r>
      <w:r>
        <w:rPr>
          <w:rFonts w:ascii="Arial" w:cs="Arial" w:eastAsia="Arial" w:hAnsi="Arial"/>
          <w:sz w:val="19"/>
          <w:szCs w:val="19"/>
          <w:color w:val="auto"/>
        </w:rPr>
        <w:t xml:space="preserve"> shall be available for specification in such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16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Investment</w:t>
      </w:r>
      <w:r>
        <w:rPr>
          <w:rFonts w:ascii="Arial" w:cs="Arial" w:eastAsia="Arial" w:hAnsi="Arial"/>
          <w:sz w:val="19"/>
          <w:szCs w:val="19"/>
          <w:color w:val="auto"/>
        </w:rPr>
        <w:t>” means, as to any Person, any direct or indirect acquisition or investment by such Person, whether by means of (a) the purchase or other acquisition of capital stock or other Equity Interests of another Person, (b) a loan, advance or capital contribution to, Guarantee or guaranty of any obligation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IRS</w:t>
      </w:r>
      <w:r>
        <w:rPr>
          <w:rFonts w:ascii="Arial" w:cs="Arial" w:eastAsia="Arial" w:hAnsi="Arial"/>
          <w:sz w:val="22"/>
          <w:szCs w:val="22"/>
          <w:color w:val="auto"/>
        </w:rPr>
        <w:t>” means the United States Internal Revenue Service.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ITA</w:t>
      </w:r>
      <w:r>
        <w:rPr>
          <w:rFonts w:ascii="Arial" w:cs="Arial" w:eastAsia="Arial" w:hAnsi="Arial"/>
          <w:sz w:val="22"/>
          <w:szCs w:val="22"/>
          <w:color w:val="auto"/>
        </w:rPr>
        <w:t>” means the Income Tax Act 2007.</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JPM Credit Agreement</w:t>
      </w:r>
      <w:r>
        <w:rPr>
          <w:rFonts w:ascii="Arial" w:cs="Arial" w:eastAsia="Arial" w:hAnsi="Arial"/>
          <w:sz w:val="22"/>
          <w:szCs w:val="22"/>
          <w:color w:val="auto"/>
        </w:rPr>
        <w:t>” means that certain Credit Agreement dated as of August 6, 2021, by and among the Company, the other borrowers party thereto, the lenders party thereto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8" w:name="page219"/>
    <w:bookmarkEnd w:id="218"/>
    <w:p>
      <w:pPr>
        <w:jc w:val="both"/>
        <w:spacing w:after="0"/>
        <w:rPr>
          <w:sz w:val="20"/>
          <w:szCs w:val="20"/>
          <w:color w:val="auto"/>
        </w:rPr>
      </w:pPr>
      <w:r>
        <w:rPr>
          <w:rFonts w:ascii="Arial" w:cs="Arial" w:eastAsia="Arial" w:hAnsi="Arial"/>
          <w:sz w:val="22"/>
          <w:szCs w:val="22"/>
          <w:color w:val="auto"/>
        </w:rPr>
        <w:t>JPMorgan Chase Bank, N.A., as administrative agent, as amended, amended and restated, extended, modified or supplemented from time to time, or replaced or refinanced, in each case, with JPMorgan Chase Bank, N.A., as administrative agent, from time to time.</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Lender Parent</w:t>
      </w:r>
      <w:r>
        <w:rPr>
          <w:rFonts w:ascii="Arial" w:cs="Arial" w:eastAsia="Arial" w:hAnsi="Arial"/>
          <w:sz w:val="22"/>
          <w:szCs w:val="22"/>
          <w:color w:val="auto"/>
        </w:rPr>
        <w:t>” means, with respect to any Lender, any Person as to which such Lender is, directly or indirectly, a subsidiary.</w:t>
      </w:r>
    </w:p>
    <w:p>
      <w:pPr>
        <w:spacing w:after="0" w:line="175"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Lenders</w:t>
      </w:r>
      <w:r>
        <w:rPr>
          <w:rFonts w:ascii="Arial" w:cs="Arial" w:eastAsia="Arial" w:hAnsi="Arial"/>
          <w:sz w:val="19"/>
          <w:szCs w:val="19"/>
          <w:color w:val="auto"/>
        </w:rPr>
        <w:t xml:space="preserve">” means the Persons listed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and any other Person that shall have become a party hereto pursuant to an Assignment and Assumption, other than any such Person that ceases to be a party hereto pursuant to an Assignment and Assumption. Unless the context otherwise requires, the term “Lenders” includes the Swingline Lenders.</w:t>
      </w:r>
    </w:p>
    <w:p>
      <w:pPr>
        <w:spacing w:after="0" w:line="13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Lien</w:t>
      </w:r>
      <w:r>
        <w:rPr>
          <w:rFonts w:ascii="Arial" w:cs="Arial" w:eastAsia="Arial" w:hAnsi="Arial"/>
          <w:sz w:val="22"/>
          <w:szCs w:val="22"/>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7"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Liquidity</w:t>
      </w:r>
      <w:r>
        <w:rPr>
          <w:rFonts w:ascii="Arial" w:cs="Arial" w:eastAsia="Arial" w:hAnsi="Arial"/>
          <w:sz w:val="19"/>
          <w:szCs w:val="19"/>
          <w:color w:val="auto"/>
        </w:rPr>
        <w:t>” means at any time, the lesser of (i) the amount of unrestricted and unencumbered (other than Permitted Encumbrances) cash and Cash Equivalents of the Company and its Subsidiaries at such time and (ii) $150,000,000.</w:t>
      </w:r>
    </w:p>
    <w:p>
      <w:pPr>
        <w:spacing w:after="0" w:line="10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Loan Documents</w:t>
      </w:r>
      <w:r>
        <w:rPr>
          <w:rFonts w:ascii="Arial" w:cs="Arial" w:eastAsia="Arial" w:hAnsi="Arial"/>
          <w:sz w:val="22"/>
          <w:szCs w:val="22"/>
          <w:color w:val="auto"/>
        </w:rPr>
        <w:t>” means, collectively, this Agreement, each Note delivered pursuant to this Agreement, and any other agreements, instruments, documents and certificates executed by or on behalf of any Loan Party and delivered to or in favor of the Credit Parties concurrently herewith or hereafter in connection with the Transactions hereunder, including any amendments, modifications or supplements thereto or waivers thereof.</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Loan Parties</w:t>
      </w:r>
      <w:r>
        <w:rPr>
          <w:rFonts w:ascii="Arial" w:cs="Arial" w:eastAsia="Arial" w:hAnsi="Arial"/>
          <w:sz w:val="22"/>
          <w:szCs w:val="22"/>
          <w:color w:val="auto"/>
        </w:rPr>
        <w:t>” means, collectively, the Borrowers and the Guarantor, and the term “Loan Party” shall mean any one of them or all of them individually, as the context may require.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Loans</w:t>
      </w:r>
      <w:r>
        <w:rPr>
          <w:rFonts w:ascii="Arial" w:cs="Arial" w:eastAsia="Arial" w:hAnsi="Arial"/>
          <w:sz w:val="22"/>
          <w:szCs w:val="22"/>
          <w:color w:val="auto"/>
        </w:rPr>
        <w:t>” means the loans made by the Lenders to the Borrowers pursuant to this Agreement.</w:t>
      </w:r>
    </w:p>
    <w:p>
      <w:pPr>
        <w:spacing w:after="0" w:line="20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Local Time</w:t>
      </w:r>
      <w:r>
        <w:rPr>
          <w:rFonts w:ascii="Arial" w:cs="Arial" w:eastAsia="Arial" w:hAnsi="Arial"/>
          <w:sz w:val="19"/>
          <w:szCs w:val="19"/>
          <w:color w:val="auto"/>
        </w:rPr>
        <w:t xml:space="preserve">” means (i) in the case of a Loan or Borrowing denominated in U.S. Dollars, New York City time, and (ii) in the case of a Loan or Borrowing denominated in a Foreign Currency, local time (it being understood that such local time shall mean (a) London, England time with respect to any Foreign Currency (other than Euro) and (b) Brussels, Belgium time with respect to Euro, in each case of the foregoing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unless otherwise notified by the Administrative Agent).</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Luxembourg Loan Party</w:t>
      </w:r>
      <w:r>
        <w:rPr>
          <w:rFonts w:ascii="Arial" w:cs="Arial" w:eastAsia="Arial" w:hAnsi="Arial"/>
          <w:sz w:val="19"/>
          <w:szCs w:val="19"/>
          <w:color w:val="auto"/>
        </w:rPr>
        <w:t>” means each Loan Party incorporated under the laws of the Grand Duchy of Luxembourg.</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 Acquisition</w:t>
      </w:r>
      <w:r>
        <w:rPr>
          <w:rFonts w:ascii="Arial" w:cs="Arial" w:eastAsia="Arial" w:hAnsi="Arial"/>
          <w:sz w:val="19"/>
          <w:szCs w:val="19"/>
          <w:color w:val="auto"/>
        </w:rPr>
        <w:t>” means any Permitted Acquisition where the aggregate cash consideration exceeds $500,000,000.</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9" w:name="page220"/>
    <w:bookmarkEnd w:id="219"/>
    <w:p>
      <w:pPr>
        <w:jc w:val="both"/>
        <w:ind w:firstLine="80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Adverse Effect</w:t>
      </w:r>
      <w:r>
        <w:rPr>
          <w:rFonts w:ascii="Arial" w:cs="Arial" w:eastAsia="Arial" w:hAnsi="Arial"/>
          <w:sz w:val="22"/>
          <w:szCs w:val="22"/>
          <w:color w:val="auto"/>
        </w:rPr>
        <w:t>” means a material adverse effect on (a) the business, assets, property or financial condition of the Company and its Subsidiaries taken as a whole, or (b) the validity or enforceability of any material provision of any Loan Document or the rights or remedies of the Credit Parties thereunder.</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Maturity Date</w:t>
      </w:r>
      <w:r>
        <w:rPr>
          <w:rFonts w:ascii="Arial" w:cs="Arial" w:eastAsia="Arial" w:hAnsi="Arial"/>
          <w:sz w:val="22"/>
          <w:szCs w:val="22"/>
          <w:color w:val="auto"/>
        </w:rPr>
        <w:t>” means August 6, 2027.</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Maximum Rate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10.13</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Moody’s</w:t>
      </w:r>
      <w:r>
        <w:rPr>
          <w:rFonts w:ascii="Arial" w:cs="Arial" w:eastAsia="Arial" w:hAnsi="Arial"/>
          <w:sz w:val="22"/>
          <w:szCs w:val="22"/>
          <w:color w:val="auto"/>
        </w:rPr>
        <w:t>” means Moody’s Investors Service, Inc.</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Multiemployer Plan</w:t>
      </w:r>
      <w:r>
        <w:rPr>
          <w:rFonts w:ascii="Arial" w:cs="Arial" w:eastAsia="Arial" w:hAnsi="Arial"/>
          <w:sz w:val="22"/>
          <w:szCs w:val="22"/>
          <w:color w:val="auto"/>
        </w:rPr>
        <w:t>” means a multiemployer plan as defined in Section 4001(a)(3) of ERISA.</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w:t>
      </w:r>
      <w:r>
        <w:rPr>
          <w:rFonts w:ascii="Arial" w:cs="Arial" w:eastAsia="Arial" w:hAnsi="Arial"/>
          <w:sz w:val="22"/>
          <w:szCs w:val="22"/>
          <w:color w:val="auto"/>
        </w:rPr>
        <w:t>” means the collective reference to the Revolving Credit Notes and the Swingline Note.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Notice of Account Designation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2.07</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NYFRB</w:t>
      </w:r>
      <w:r>
        <w:rPr>
          <w:rFonts w:ascii="Arial" w:cs="Arial" w:eastAsia="Arial" w:hAnsi="Arial"/>
          <w:sz w:val="22"/>
          <w:szCs w:val="22"/>
          <w:color w:val="auto"/>
        </w:rPr>
        <w:t>” means the Federal Reserve Bank of New York.</w:t>
      </w:r>
    </w:p>
    <w:p>
      <w:pPr>
        <w:spacing w:after="0" w:line="19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NYFRB Rate</w:t>
      </w:r>
      <w:r>
        <w:rPr>
          <w:rFonts w:ascii="Arial" w:cs="Arial" w:eastAsia="Arial" w:hAnsi="Arial"/>
          <w:sz w:val="19"/>
          <w:szCs w:val="19"/>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if any of the aforesaid rates as so determined would be less than zero, such rate shall be deemed to be zero for purposes of this Agreement.</w:t>
      </w:r>
    </w:p>
    <w:p>
      <w:pPr>
        <w:spacing w:after="0" w:line="12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Obligations</w:t>
      </w:r>
      <w:r>
        <w:rPr>
          <w:rFonts w:ascii="Arial" w:cs="Arial" w:eastAsia="Arial" w:hAnsi="Arial"/>
          <w:sz w:val="19"/>
          <w:szCs w:val="19"/>
          <w:color w:val="auto"/>
        </w:rPr>
        <w:t>” means all advances to, and debts, liabilities, obligations, covenants and duties of, any Loan Party arising under any Loan Document or otherwise with respect to any Loan, whether direct or indirect,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OFAC</w:t>
      </w:r>
      <w:r>
        <w:rPr>
          <w:rFonts w:ascii="Arial" w:cs="Arial" w:eastAsia="Arial" w:hAnsi="Arial"/>
          <w:sz w:val="22"/>
          <w:szCs w:val="22"/>
          <w:color w:val="auto"/>
        </w:rPr>
        <w:t>” means the U.S. Department of the Treasury’s Office of Foreign Assets Control.</w:t>
      </w:r>
    </w:p>
    <w:p>
      <w:pPr>
        <w:spacing w:after="0" w:line="20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Organization Documents</w:t>
      </w:r>
      <w:r>
        <w:rPr>
          <w:rFonts w:ascii="Arial" w:cs="Arial" w:eastAsia="Arial" w:hAnsi="Arial"/>
          <w:sz w:val="21"/>
          <w:szCs w:val="21"/>
          <w:color w:val="auto"/>
        </w:rPr>
        <w:t>” means, (a) with respect to any corporation, the certificate or articles of incorporation and the bylaws (or equivalent or comparable constitutive documents with respect to any non-United States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0" w:name="page221"/>
    <w:bookmarkEnd w:id="220"/>
    <w:p>
      <w:pPr>
        <w:jc w:val="both"/>
        <w:spacing w:after="0" w:line="250" w:lineRule="auto"/>
        <w:rPr>
          <w:sz w:val="20"/>
          <w:szCs w:val="20"/>
          <w:color w:val="auto"/>
        </w:rPr>
      </w:pPr>
      <w:r>
        <w:rPr>
          <w:rFonts w:ascii="Arial" w:cs="Arial" w:eastAsia="Arial" w:hAnsi="Arial"/>
          <w:sz w:val="22"/>
          <w:szCs w:val="22"/>
          <w:color w:val="auto"/>
        </w:rPr>
        <w:t>applicable Governmental Authority in the jurisdiction of its formation or organization and, if applicable, any certificate or articles of formation or organization of such entity.</w:t>
      </w:r>
    </w:p>
    <w:p>
      <w:pPr>
        <w:spacing w:after="0" w:line="17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Connection Taxes</w:t>
      </w:r>
      <w:r>
        <w:rPr>
          <w:rFonts w:ascii="Arial" w:cs="Arial" w:eastAsia="Arial" w:hAnsi="Arial"/>
          <w:sz w:val="22"/>
          <w:szCs w:val="22"/>
          <w:color w:val="auto"/>
        </w:rPr>
        <w:t>” means, with respect to any Recipient, Taxes imposed as a result of a present or former connection between such Recipient and the jurisdiction imposing such Taxes (other than a connection arising solely from such Recipient having executed, delivered, enforced, become a party to, performed its obligations under, received payments under, received or perfected a security interest under, or engaged in any other transaction pursuant to, or enforced, any Loan Document, or sold or assigned an interest in any Loan or Loan Document) and which shall, for the avoidance of doubt, be treated as Excluded Taxes.</w:t>
      </w:r>
    </w:p>
    <w:p>
      <w:pPr>
        <w:spacing w:after="0" w:line="188"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Other Taxes</w:t>
      </w:r>
      <w:r>
        <w:rPr>
          <w:rFonts w:ascii="Arial" w:cs="Arial" w:eastAsia="Arial" w:hAnsi="Arial"/>
          <w:sz w:val="19"/>
          <w:szCs w:val="19"/>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w:t>
      </w:r>
    </w:p>
    <w:p>
      <w:pPr>
        <w:spacing w:after="0" w:line="14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Overnight Bank Funding Rate</w:t>
      </w:r>
      <w:r>
        <w:rPr>
          <w:rFonts w:ascii="Arial" w:cs="Arial" w:eastAsia="Arial" w:hAnsi="Arial"/>
          <w:sz w:val="22"/>
          <w:szCs w:val="22"/>
          <w:color w:val="auto"/>
        </w:rPr>
        <w:t>” means, for any day, the rate comprised of both overnight federal funds and overnight eurodollar transactions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Overnight Rate</w:t>
      </w:r>
      <w:r>
        <w:rPr>
          <w:rFonts w:ascii="Arial" w:cs="Arial" w:eastAsia="Arial" w:hAnsi="Arial"/>
          <w:sz w:val="19"/>
          <w:szCs w:val="19"/>
          <w:color w:val="auto"/>
        </w:rPr>
        <w:t>” means, for any day, (a) with respect to any amount denominated in U.S. Dollars, the NYFRB Rate and</w:t>
      </w:r>
    </w:p>
    <w:p>
      <w:pPr>
        <w:spacing w:after="0" w:line="43" w:lineRule="exact"/>
        <w:rPr>
          <w:sz w:val="20"/>
          <w:szCs w:val="20"/>
          <w:color w:val="auto"/>
        </w:rPr>
      </w:pPr>
    </w:p>
    <w:p>
      <w:pPr>
        <w:ind w:firstLine="8"/>
        <w:spacing w:after="0" w:line="236" w:lineRule="auto"/>
        <w:tabs>
          <w:tab w:leader="none" w:pos="314" w:val="left"/>
        </w:tabs>
        <w:numPr>
          <w:ilvl w:val="0"/>
          <w:numId w:val="198"/>
        </w:numPr>
        <w:rPr>
          <w:rFonts w:ascii="Arial" w:cs="Arial" w:eastAsia="Arial" w:hAnsi="Arial"/>
          <w:sz w:val="22"/>
          <w:szCs w:val="22"/>
          <w:color w:val="auto"/>
        </w:rPr>
      </w:pPr>
      <w:r>
        <w:rPr>
          <w:rFonts w:ascii="Arial" w:cs="Arial" w:eastAsia="Arial" w:hAnsi="Arial"/>
          <w:sz w:val="22"/>
          <w:szCs w:val="22"/>
          <w:color w:val="auto"/>
        </w:rPr>
        <w:t>with respect to any amount denominated in a Foreign Currency, an overnight rate as determined by the Administrative Agent in accordance with banking industry rules on interbank compensation.</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10.04(c)</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 Register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10.04(c)</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10.17(a)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Payment Notice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10.17(b)</w:t>
      </w:r>
      <w:r>
        <w:rPr>
          <w:rFonts w:ascii="Arial" w:cs="Arial" w:eastAsia="Arial" w:hAnsi="Arial"/>
          <w:sz w:val="22"/>
          <w:szCs w:val="22"/>
          <w:color w:val="auto"/>
        </w:rPr>
        <w:t>.</w:t>
      </w:r>
    </w:p>
    <w:p>
      <w:pPr>
        <w:spacing w:after="0" w:line="20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7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Acquisition</w:t>
      </w:r>
      <w:r>
        <w:rPr>
          <w:rFonts w:ascii="Arial" w:cs="Arial" w:eastAsia="Arial" w:hAnsi="Arial"/>
          <w:sz w:val="22"/>
          <w:szCs w:val="22"/>
          <w:color w:val="auto"/>
        </w:rPr>
        <w:t>” means any Acquisition by the Company or any Subsidiary that satisfies the following conditions:</w:t>
      </w:r>
    </w:p>
    <w:p>
      <w:pPr>
        <w:spacing w:after="0" w:line="175" w:lineRule="exact"/>
        <w:rPr>
          <w:sz w:val="20"/>
          <w:szCs w:val="20"/>
          <w:color w:val="auto"/>
        </w:rPr>
      </w:pPr>
    </w:p>
    <w:p>
      <w:pPr>
        <w:ind w:firstLine="757"/>
        <w:spacing w:after="0" w:line="250" w:lineRule="auto"/>
        <w:tabs>
          <w:tab w:leader="none" w:pos="1318" w:val="left"/>
        </w:tabs>
        <w:numPr>
          <w:ilvl w:val="0"/>
          <w:numId w:val="199"/>
        </w:numPr>
        <w:rPr>
          <w:rFonts w:ascii="Arial" w:cs="Arial" w:eastAsia="Arial" w:hAnsi="Arial"/>
          <w:sz w:val="22"/>
          <w:szCs w:val="22"/>
          <w:color w:val="auto"/>
        </w:rPr>
      </w:pPr>
      <w:r>
        <w:rPr>
          <w:rFonts w:ascii="Arial" w:cs="Arial" w:eastAsia="Arial" w:hAnsi="Arial"/>
          <w:sz w:val="22"/>
          <w:szCs w:val="22"/>
          <w:color w:val="auto"/>
        </w:rPr>
        <w:t>in the case of an Acquisition of the Equity Interests of any Person, the board of directors (or other comparable governing body) of such other Person shall have approved the Acquisition;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1" w:name="page222"/>
    <w:bookmarkEnd w:id="221"/>
    <w:p>
      <w:pPr>
        <w:jc w:val="both"/>
        <w:ind w:firstLine="757"/>
        <w:spacing w:after="0" w:line="245" w:lineRule="auto"/>
        <w:tabs>
          <w:tab w:leader="none" w:pos="1307" w:val="left"/>
        </w:tabs>
        <w:numPr>
          <w:ilvl w:val="0"/>
          <w:numId w:val="200"/>
        </w:numPr>
        <w:rPr>
          <w:rFonts w:ascii="Arial" w:cs="Arial" w:eastAsia="Arial" w:hAnsi="Arial"/>
          <w:sz w:val="21"/>
          <w:szCs w:val="21"/>
          <w:color w:val="auto"/>
        </w:rPr>
      </w:pPr>
      <w:r>
        <w:rPr>
          <w:rFonts w:ascii="Arial" w:cs="Arial" w:eastAsia="Arial" w:hAnsi="Arial"/>
          <w:sz w:val="21"/>
          <w:szCs w:val="21"/>
          <w:color w:val="auto"/>
        </w:rPr>
        <w:t xml:space="preserve">(i) no Default shall exist and be continuing immediately before or immediately after giving effect thereto, (ii) the representations and warranties made by the Loan Parties in any Loan Document (other than the representations and warranties contained in </w:t>
      </w:r>
      <w:r>
        <w:rPr>
          <w:rFonts w:ascii="Arial" w:cs="Arial" w:eastAsia="Arial" w:hAnsi="Arial"/>
          <w:sz w:val="21"/>
          <w:szCs w:val="21"/>
          <w:u w:val="single" w:color="auto"/>
          <w:color w:val="auto"/>
        </w:rPr>
        <w:t>Sections 3.04(b)</w:t>
      </w:r>
      <w:r>
        <w:rPr>
          <w:rFonts w:ascii="Arial" w:cs="Arial" w:eastAsia="Arial" w:hAnsi="Arial"/>
          <w:sz w:val="21"/>
          <w:szCs w:val="21"/>
          <w:color w:val="auto"/>
        </w:rPr>
        <w:t xml:space="preserve">, </w:t>
      </w:r>
      <w:r>
        <w:rPr>
          <w:rFonts w:ascii="Arial" w:cs="Arial" w:eastAsia="Arial" w:hAnsi="Arial"/>
          <w:sz w:val="21"/>
          <w:szCs w:val="21"/>
          <w:u w:val="single" w:color="auto"/>
          <w:color w:val="auto"/>
        </w:rPr>
        <w:t>3.05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3.09</w:t>
      </w:r>
      <w:r>
        <w:rPr>
          <w:rFonts w:ascii="Arial" w:cs="Arial" w:eastAsia="Arial" w:hAnsi="Arial"/>
          <w:sz w:val="21"/>
          <w:szCs w:val="21"/>
          <w:color w:val="auto"/>
        </w:rPr>
        <w:t xml:space="preserve">) shall be true and correct in all material respects (or in all respects if the applicable representation or warranty is already qualified by concepts of materiality) on and as of the date of such Acquisition (after giving effect thereto), and (iii) in the case of an Acquisition of any Person where the aggregate cash consideration exceeds $200,000,000, the Company shall have delivered to the Administrative Agent a certificate demonstrating that, upon giving effect to such Acquisition on a Pro Forma Basis, the Loan Parties would be in compliance with the Consolidated Net Leverage Ratio covenant set forth in </w:t>
      </w:r>
      <w:r>
        <w:rPr>
          <w:rFonts w:ascii="Arial" w:cs="Arial" w:eastAsia="Arial" w:hAnsi="Arial"/>
          <w:sz w:val="21"/>
          <w:szCs w:val="21"/>
          <w:u w:val="single" w:color="auto"/>
          <w:color w:val="auto"/>
        </w:rPr>
        <w:t>Section 6.05</w:t>
      </w:r>
      <w:r>
        <w:rPr>
          <w:rFonts w:ascii="Arial" w:cs="Arial" w:eastAsia="Arial" w:hAnsi="Arial"/>
          <w:sz w:val="21"/>
          <w:szCs w:val="21"/>
          <w:color w:val="auto"/>
        </w:rPr>
        <w:t xml:space="preserve"> as of the most recent fiscal quarter for which the Loan Parties have delivered financial statements pursuant to </w:t>
      </w:r>
      <w:r>
        <w:rPr>
          <w:rFonts w:ascii="Arial" w:cs="Arial" w:eastAsia="Arial" w:hAnsi="Arial"/>
          <w:sz w:val="21"/>
          <w:szCs w:val="21"/>
          <w:u w:val="single" w:color="auto"/>
          <w:color w:val="auto"/>
        </w:rPr>
        <w:t>Section 5.01(a)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Encumbrances</w:t>
      </w:r>
      <w:r>
        <w:rPr>
          <w:rFonts w:ascii="Arial" w:cs="Arial" w:eastAsia="Arial" w:hAnsi="Arial"/>
          <w:sz w:val="22"/>
          <w:szCs w:val="22"/>
          <w:color w:val="auto"/>
        </w:rPr>
        <w:t>” means:</w:t>
      </w:r>
    </w:p>
    <w:p>
      <w:pPr>
        <w:spacing w:after="0" w:line="206" w:lineRule="exact"/>
        <w:rPr>
          <w:sz w:val="20"/>
          <w:szCs w:val="20"/>
          <w:color w:val="auto"/>
        </w:rPr>
      </w:pPr>
    </w:p>
    <w:p>
      <w:pPr>
        <w:ind w:firstLine="757"/>
        <w:spacing w:after="0" w:line="250" w:lineRule="auto"/>
        <w:tabs>
          <w:tab w:leader="none" w:pos="137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Liens imposed by law (other than Liens imposed under ERISA) for Taxes that are not yet due or are being contested in compliance with </w:t>
      </w:r>
      <w:r>
        <w:rPr>
          <w:rFonts w:ascii="Arial" w:cs="Arial" w:eastAsia="Arial" w:hAnsi="Arial"/>
          <w:sz w:val="22"/>
          <w:szCs w:val="22"/>
          <w:u w:val="single" w:color="auto"/>
          <w:color w:val="auto"/>
        </w:rPr>
        <w:t>Section 5.04(a)</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757"/>
        <w:spacing w:after="0"/>
        <w:tabs>
          <w:tab w:leader="none" w:pos="1355"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carriers’, warehousemen’s, mechanics’, materialmen’s, repairmen’s, lessors’ and other like Liens arising in the ordinary course of business and securing obligations that are not overdue by more than thirty (30) days or are being contested in compliance with </w:t>
      </w:r>
      <w:r>
        <w:rPr>
          <w:rFonts w:ascii="Arial" w:cs="Arial" w:eastAsia="Arial" w:hAnsi="Arial"/>
          <w:sz w:val="22"/>
          <w:szCs w:val="22"/>
          <w:u w:val="single" w:color="auto"/>
          <w:color w:val="auto"/>
        </w:rPr>
        <w:t>Section 5.04(a)</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firstLine="757"/>
        <w:spacing w:after="0" w:line="274" w:lineRule="auto"/>
        <w:tabs>
          <w:tab w:leader="none" w:pos="1407" w:val="left"/>
        </w:tabs>
        <w:numPr>
          <w:ilvl w:val="0"/>
          <w:numId w:val="201"/>
        </w:numPr>
        <w:rPr>
          <w:rFonts w:ascii="Arial" w:cs="Arial" w:eastAsia="Arial" w:hAnsi="Arial"/>
          <w:sz w:val="21"/>
          <w:szCs w:val="21"/>
          <w:color w:val="auto"/>
        </w:rPr>
      </w:pPr>
      <w:r>
        <w:rPr>
          <w:rFonts w:ascii="Arial" w:cs="Arial" w:eastAsia="Arial" w:hAnsi="Arial"/>
          <w:sz w:val="21"/>
          <w:szCs w:val="21"/>
          <w:color w:val="auto"/>
        </w:rPr>
        <w:t>pledges and deposits made in the ordinary course of business in connection with workers’ compensation, unemployment insurance and other social security laws or regulations (other than any Lien imposed under ERISA);</w:t>
      </w:r>
    </w:p>
    <w:p>
      <w:pPr>
        <w:spacing w:after="0" w:line="150" w:lineRule="exact"/>
        <w:rPr>
          <w:rFonts w:ascii="Arial" w:cs="Arial" w:eastAsia="Arial" w:hAnsi="Arial"/>
          <w:sz w:val="21"/>
          <w:szCs w:val="21"/>
          <w:color w:val="auto"/>
        </w:rPr>
      </w:pPr>
    </w:p>
    <w:p>
      <w:pPr>
        <w:ind w:firstLine="757"/>
        <w:spacing w:after="0" w:line="274" w:lineRule="auto"/>
        <w:tabs>
          <w:tab w:leader="none" w:pos="1316" w:val="left"/>
        </w:tabs>
        <w:numPr>
          <w:ilvl w:val="0"/>
          <w:numId w:val="201"/>
        </w:numPr>
        <w:rPr>
          <w:rFonts w:ascii="Arial" w:cs="Arial" w:eastAsia="Arial" w:hAnsi="Arial"/>
          <w:sz w:val="21"/>
          <w:szCs w:val="21"/>
          <w:color w:val="auto"/>
        </w:rPr>
      </w:pPr>
      <w:r>
        <w:rPr>
          <w:rFonts w:ascii="Arial" w:cs="Arial" w:eastAsia="Arial" w:hAnsi="Arial"/>
          <w:sz w:val="21"/>
          <w:szCs w:val="21"/>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50" w:lineRule="exact"/>
        <w:rPr>
          <w:rFonts w:ascii="Arial" w:cs="Arial" w:eastAsia="Arial" w:hAnsi="Arial"/>
          <w:sz w:val="21"/>
          <w:szCs w:val="21"/>
          <w:color w:val="auto"/>
        </w:rPr>
      </w:pPr>
    </w:p>
    <w:p>
      <w:pPr>
        <w:ind w:firstLine="757"/>
        <w:spacing w:after="0" w:line="250" w:lineRule="auto"/>
        <w:tabs>
          <w:tab w:leader="none" w:pos="1331"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Liens securing judgments for the payment of money not constituting an Event of Default under </w:t>
      </w:r>
      <w:r>
        <w:rPr>
          <w:rFonts w:ascii="Arial" w:cs="Arial" w:eastAsia="Arial" w:hAnsi="Arial"/>
          <w:sz w:val="22"/>
          <w:szCs w:val="22"/>
          <w:u w:val="single" w:color="auto"/>
          <w:color w:val="auto"/>
        </w:rPr>
        <w:t>clause (j)</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Article VII</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jc w:val="both"/>
        <w:ind w:firstLine="757"/>
        <w:spacing w:after="0"/>
        <w:tabs>
          <w:tab w:leader="none" w:pos="132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easements, zoning restrictions, rights-of-way and similar encumbrances affecting real property that do not secure any substantial amount and do not materially detract from the value of the affected property or materially interfere with the ordinary conduct of business of the applicable Person;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term “</w:t>
      </w:r>
      <w:r>
        <w:rPr>
          <w:rFonts w:ascii="Arial" w:cs="Arial" w:eastAsia="Arial" w:hAnsi="Arial"/>
          <w:sz w:val="22"/>
          <w:szCs w:val="22"/>
          <w:b w:val="1"/>
          <w:bCs w:val="1"/>
          <w:i w:val="1"/>
          <w:iCs w:val="1"/>
          <w:color w:val="auto"/>
        </w:rPr>
        <w:t>Permitted Encumbrances</w:t>
      </w:r>
      <w:r>
        <w:rPr>
          <w:rFonts w:ascii="Arial" w:cs="Arial" w:eastAsia="Arial" w:hAnsi="Arial"/>
          <w:sz w:val="22"/>
          <w:szCs w:val="22"/>
          <w:color w:val="auto"/>
        </w:rPr>
        <w:t>” shall not include any Lien securing Indebtedness.</w:t>
      </w:r>
    </w:p>
    <w:p>
      <w:pPr>
        <w:spacing w:after="0" w:line="20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Investments</w:t>
      </w:r>
      <w:r>
        <w:rPr>
          <w:rFonts w:ascii="Arial" w:cs="Arial" w:eastAsia="Arial" w:hAnsi="Arial"/>
          <w:sz w:val="19"/>
          <w:szCs w:val="19"/>
          <w:color w:val="auto"/>
        </w:rPr>
        <w:t xml:space="preserve">” means (i) cash and Cash Equivalents and (ii) any Investment by the Company or any Subsidiary that satisfies the following conditions: (a) no Default shall exist and be continuing immediately before or immediately after giving effect thereto, (b) the representations and warranties made by the Loan Parties in any Loan Document (other than the representations and warranties contained in </w:t>
      </w:r>
      <w:r>
        <w:rPr>
          <w:rFonts w:ascii="Arial" w:cs="Arial" w:eastAsia="Arial" w:hAnsi="Arial"/>
          <w:sz w:val="19"/>
          <w:szCs w:val="19"/>
          <w:u w:val="single" w:color="auto"/>
          <w:color w:val="auto"/>
        </w:rPr>
        <w:t>Sections 3.04(b)</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3.09</w:t>
      </w:r>
      <w:r>
        <w:rPr>
          <w:rFonts w:ascii="Arial" w:cs="Arial" w:eastAsia="Arial" w:hAnsi="Arial"/>
          <w:sz w:val="19"/>
          <w:szCs w:val="19"/>
          <w:color w:val="auto"/>
        </w:rPr>
        <w:t>) shall be true and correct in all material respects (or in all respects if the applicable representation or warranty is already qualified by concepts of materiality) on and as of the date of such Investment (after giving effect thereto), and (c) in the case of an Investment in any Person (other than the Company or 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2" w:name="page223"/>
    <w:bookmarkEnd w:id="222"/>
    <w:p>
      <w:pPr>
        <w:spacing w:after="0"/>
        <w:rPr>
          <w:sz w:val="20"/>
          <w:szCs w:val="20"/>
          <w:color w:val="auto"/>
        </w:rPr>
      </w:pPr>
      <w:r>
        <w:rPr>
          <w:rFonts w:ascii="Arial" w:cs="Arial" w:eastAsia="Arial" w:hAnsi="Arial"/>
          <w:sz w:val="19"/>
          <w:szCs w:val="19"/>
          <w:color w:val="auto"/>
        </w:rPr>
        <w:t>of its Subsidiaries) where the aggregate amount of such Investment exceeds $200,000,000, the Company shall have delivered to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Administrative Agent a certificate demonstrating that, upon giving effect to such Investment on a Pro Forma Basis,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Company and its Subsidiaries would be in compliance with the Consolidated Net Leverage Ratio covenant set forth in </w:t>
      </w:r>
      <w:r>
        <w:rPr>
          <w:rFonts w:ascii="Arial" w:cs="Arial" w:eastAsia="Arial" w:hAnsi="Arial"/>
          <w:sz w:val="19"/>
          <w:szCs w:val="19"/>
          <w:u w:val="single" w:color="auto"/>
          <w:color w:val="auto"/>
        </w:rPr>
        <w:t>Section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6.05</w:t>
      </w:r>
      <w:r>
        <w:rPr>
          <w:rFonts w:ascii="Arial" w:cs="Arial" w:eastAsia="Arial" w:hAnsi="Arial"/>
          <w:sz w:val="19"/>
          <w:szCs w:val="19"/>
          <w:color w:val="auto"/>
        </w:rPr>
        <w:t xml:space="preserve"> as of the most recent fiscal quarter for which the Loan Parties have delivered financial statements pursuant to </w:t>
      </w:r>
      <w:r>
        <w:rPr>
          <w:rFonts w:ascii="Arial" w:cs="Arial" w:eastAsia="Arial" w:hAnsi="Arial"/>
          <w:sz w:val="19"/>
          <w:szCs w:val="19"/>
          <w:u w:val="single" w:color="auto"/>
          <w:color w:val="auto"/>
        </w:rPr>
        <w:t>Section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18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any employee pension benefit plan (other than a Multiemployer Plan) subject to the provisions of Title IV of ERISA or Section 412 of the Code or Section 302 of ERISA, and in respect of which any Loan Party or any of its ERISA Affiliates is (or, if such plan were terminated, would under Section 4069 of ERISA be deemed to be) an “employer” as defined in Section 3(5) of ERISA.</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Asset Regulations</w:t>
      </w:r>
      <w:r>
        <w:rPr>
          <w:rFonts w:ascii="Arial" w:cs="Arial" w:eastAsia="Arial" w:hAnsi="Arial"/>
          <w:sz w:val="22"/>
          <w:szCs w:val="22"/>
          <w:color w:val="auto"/>
        </w:rPr>
        <w:t>” means 29 CFR § 2510.3-101 et seq., as modified by Section 3(42) of ERISA, as amended from time to time.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Platform</w:t>
      </w:r>
      <w:r>
        <w:rPr>
          <w:rFonts w:ascii="Arial" w:cs="Arial" w:eastAsia="Arial" w:hAnsi="Arial"/>
          <w:sz w:val="21"/>
          <w:szCs w:val="21"/>
          <w:color w:val="auto"/>
        </w:rPr>
        <w:t>” means Debt Domain, Intralinks, Syndtrak or a substantially similar electronic transmission system.</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Pounds Sterling</w:t>
      </w:r>
      <w:r>
        <w:rPr>
          <w:rFonts w:ascii="Arial" w:cs="Arial" w:eastAsia="Arial" w:hAnsi="Arial"/>
          <w:sz w:val="22"/>
          <w:szCs w:val="22"/>
          <w:color w:val="auto"/>
        </w:rPr>
        <w:t>” or “</w:t>
      </w:r>
      <w:r>
        <w:rPr>
          <w:rFonts w:ascii="Arial" w:cs="Arial" w:eastAsia="Arial" w:hAnsi="Arial"/>
          <w:sz w:val="22"/>
          <w:szCs w:val="22"/>
          <w:b w:val="1"/>
          <w:bCs w:val="1"/>
          <w:i w:val="1"/>
          <w:iCs w:val="1"/>
          <w:color w:val="auto"/>
        </w:rPr>
        <w:t>£</w:t>
      </w:r>
      <w:r>
        <w:rPr>
          <w:rFonts w:ascii="Arial" w:cs="Arial" w:eastAsia="Arial" w:hAnsi="Arial"/>
          <w:sz w:val="22"/>
          <w:szCs w:val="22"/>
          <w:color w:val="auto"/>
        </w:rPr>
        <w:t>” means the lawful currency of the United Kingdom.</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Prime Rate</w:t>
      </w:r>
      <w:r>
        <w:rPr>
          <w:rFonts w:ascii="Arial" w:cs="Arial" w:eastAsia="Arial" w:hAnsi="Arial"/>
          <w:sz w:val="22"/>
          <w:szCs w:val="22"/>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8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 Forma Basis</w:t>
      </w:r>
      <w:r>
        <w:rPr>
          <w:rFonts w:ascii="Arial" w:cs="Arial" w:eastAsia="Arial" w:hAnsi="Arial"/>
          <w:sz w:val="19"/>
          <w:szCs w:val="19"/>
          <w:color w:val="auto"/>
        </w:rPr>
        <w:t xml:space="preserve">” means, for purposes of calculating the Consolidated Net Leverage Ratio covenant set forth in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 that any Acquisition, Investment or any sale of any business or Subsidiary shall be deemed to have occurred as of the first day of the most recent four (4) fiscal quarter period preceding the date of such transaction for which the Company has delivered financial statements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In connection with the foregoing, (a) income statement items (whether positive or negative) attributable to the Person or property acquired, or business or Subsidiary sold, shall be included to the extent relating to any period applicable in such calculations to the extent (i) such items are not otherwise included in such income statement items for the Company and its Subsidiaries in accordance with GAAP or in accordance with any defined terms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and (ii) such items are supported by audited financial statements or other information reasonably satisfactory to the Administrative Agent and (b) any Indebtedness incurred or assumed by the Company or any Subsidiary (including the Person or property acquired) in connection with such transaction and any Indebtedness of the Person or property acquired which is not retired in connection with such transaction shall be deemed to have been incurred as of the first day of the applicable period.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3" w:name="page224"/>
    <w:bookmarkEnd w:id="223"/>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Recipient</w:t>
      </w:r>
      <w:r>
        <w:rPr>
          <w:rFonts w:ascii="Arial" w:cs="Arial" w:eastAsia="Arial" w:hAnsi="Arial"/>
          <w:sz w:val="22"/>
          <w:szCs w:val="22"/>
          <w:color w:val="auto"/>
        </w:rPr>
        <w:t>” means, as applicable, (a) the Administrative Agent and (b) any Lender.</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Recoverable VAT</w:t>
      </w:r>
      <w:r>
        <w:rPr>
          <w:rFonts w:ascii="Arial" w:cs="Arial" w:eastAsia="Arial" w:hAnsi="Arial"/>
          <w:sz w:val="22"/>
          <w:szCs w:val="22"/>
          <w:color w:val="auto"/>
        </w:rPr>
        <w:t>” means any amount of VAT in respect of which the relevant Recipient is entitled to credit or repayment in the relevant jurisdiction.</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Reference Period</w:t>
      </w:r>
      <w:r>
        <w:rPr>
          <w:rFonts w:ascii="Arial" w:cs="Arial" w:eastAsia="Arial" w:hAnsi="Arial"/>
          <w:sz w:val="22"/>
          <w:szCs w:val="22"/>
          <w:color w:val="auto"/>
        </w:rPr>
        <w:t>” means, as of the last day of any fiscal quarter, the period of four (4) consecutive fiscal quarters of the Company and its Subsidiaries ending on such date.</w:t>
      </w:r>
    </w:p>
    <w:p>
      <w:pPr>
        <w:spacing w:after="0" w:line="17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Reference Time</w:t>
      </w:r>
      <w:r>
        <w:rPr>
          <w:rFonts w:ascii="Arial" w:cs="Arial" w:eastAsia="Arial" w:hAnsi="Arial"/>
          <w:sz w:val="19"/>
          <w:szCs w:val="19"/>
          <w:color w:val="auto"/>
        </w:rPr>
        <w:t>” with respect to any setting of the then-current Benchmark means (i) if such Benchmark is the Term SOFR Rate, 5:00 a.m., Chicago time, on the day that is two (2) U.S. Government Securities Business Days preceding the date of such setting, (ii) if such Benchmark is the EURIBO Rate, 11:00 a.m., Brussels time, two (2) TARGET Days preceding the date of such setting, (iii) if the RFR for such Benchmark is SONIA, then four (4) RFR Business Days prior to such setting, (iv) if the RFR for such Benchmark is SARON, then five (5) RFR Business Days prior to such setting, (v) if the RFR for such Benchmark is Daily Simple SOFR, then four (4) RFR Business Days prior to such setting or (vi) if such Benchmark is none of the Term SOFR Rate, Daily Simple SOFR, the EURIBO Rate, SONIA or SARON, the time determined by the Administrative Agent in its reasonable discretion after consultation with the Company.</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10.04(b)</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Related Parties</w:t>
      </w:r>
      <w:r>
        <w:rPr>
          <w:rFonts w:ascii="Arial" w:cs="Arial" w:eastAsia="Arial" w:hAnsi="Arial"/>
          <w:sz w:val="22"/>
          <w:szCs w:val="22"/>
          <w:color w:val="auto"/>
        </w:rPr>
        <w:t>” means, with respect to any specified Person, such Person’s Affiliates and the respective partners, directors, officers, employees, agents and advisors of such Person and such Person’s Affiliates.</w:t>
      </w:r>
    </w:p>
    <w:p>
      <w:pPr>
        <w:spacing w:after="0" w:line="17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Relevant Adjusted Rate</w:t>
      </w:r>
      <w:r>
        <w:rPr>
          <w:rFonts w:ascii="Arial" w:cs="Arial" w:eastAsia="Arial" w:hAnsi="Arial"/>
          <w:sz w:val="22"/>
          <w:szCs w:val="22"/>
          <w:color w:val="auto"/>
        </w:rPr>
        <w:t>” means (i) with respect to any Term Benchmark Borrowing denominated in U.S. Dollars, the Adjusted Term SOFR Rate, (ii) with respect to any Term Benchmark Borrowing denominated in Euro, the Adjusted EURIBO Rate or (iii) with respect to any RFR Borrowing denominated in Pounds Sterling, Swiss Francs or U.S. Dollars, the applicable Adjusted Daily Simple RFR, as applicable.</w:t>
      </w:r>
    </w:p>
    <w:p>
      <w:pPr>
        <w:spacing w:after="0" w:line="18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Relevant Governmental Body</w:t>
      </w:r>
      <w:r>
        <w:rPr>
          <w:rFonts w:ascii="Arial" w:cs="Arial" w:eastAsia="Arial" w:hAnsi="Arial"/>
          <w:sz w:val="19"/>
          <w:szCs w:val="19"/>
          <w:color w:val="auto"/>
        </w:rPr>
        <w:t>” means (i) with respect to a Benchmark Replacement in respect of Loans denominated in U.S. Dollars, the Board and/or the NYFRB, or a committee officially endorsed or convened by the Board and/or the NYFRB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 the European Central Bank, or a committee officially endorsed or convened by the European Central Bank or, in each case, any successor thereto, (iv) with respect to a Benchmark Replacement in respect of Loans denominated in Swiss Francs, the Swiss National Bank, or a committee officially endorsed or convened by the Swiss National Bank or, in each case, any successor thereto and (v)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4" w:name="page225"/>
    <w:bookmarkEnd w:id="224"/>
    <w:p>
      <w:pPr>
        <w:jc w:val="both"/>
        <w:spacing w:after="0" w:line="287" w:lineRule="auto"/>
        <w:rPr>
          <w:sz w:val="20"/>
          <w:szCs w:val="20"/>
          <w:color w:val="auto"/>
        </w:rPr>
      </w:pPr>
      <w:r>
        <w:rPr>
          <w:rFonts w:ascii="Arial" w:cs="Arial" w:eastAsia="Arial" w:hAnsi="Arial"/>
          <w:sz w:val="19"/>
          <w:szCs w:val="19"/>
          <w:color w:val="auto"/>
        </w:rPr>
        <w:t>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43"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Relevant Rate</w:t>
      </w:r>
      <w:r>
        <w:rPr>
          <w:rFonts w:ascii="Arial" w:cs="Arial" w:eastAsia="Arial" w:hAnsi="Arial"/>
          <w:sz w:val="19"/>
          <w:szCs w:val="19"/>
          <w:color w:val="auto"/>
        </w:rPr>
        <w:t>” means (i) with respect to any Term Benchmark Borrowing denominated in U.S. Dollars, the Term SOFR Rate or (ii) with respect to any Term Benchmark Borrowing denominated in Euro, the EURIBO Rate, as applicable.</w:t>
      </w:r>
    </w:p>
    <w:p>
      <w:pPr>
        <w:spacing w:after="0" w:line="10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Relevant Screen Rate</w:t>
      </w:r>
      <w:r>
        <w:rPr>
          <w:rFonts w:ascii="Arial" w:cs="Arial" w:eastAsia="Arial" w:hAnsi="Arial"/>
          <w:sz w:val="22"/>
          <w:szCs w:val="22"/>
          <w:color w:val="auto"/>
        </w:rPr>
        <w:t>” means (i) with respect to any Term Benchmark Borrowing denominated in U.S. Dollars, the Term SOFR Rate or (ii) with respect to any Term Benchmark Borrowing denominated in Euro, the EURIBO Screen Rate, as applicable.</w:t>
      </w:r>
    </w:p>
    <w:p>
      <w:pPr>
        <w:spacing w:after="0" w:line="18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Required Lenders</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at any time, Lenders having Revolving Credit Exposures and unused Commitments representing more than fifty percent (50%) of the sum of the Total Revolving Credit Exposures and unused Commitments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there are only two or three Lenders at such time (Lenders that are Affiliates of one another being considered as one Lender for the purposes of this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Required Lenders shall mean at least two Lenders holding such minimum percentage, (ii) for purposes of declaring the Loans to be due and payable pursuant to Article VII, and for all purposes after the Loans become due and payable pursuant to Article VII or the Commitments expire or terminate, then, as to each Lender,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Swingline Exposure shall only be applicable for purposes of determining its Revolving Credit Exposure to the extent such Lender shall have funded its participation in the outstanding Swingline Loans, and</w:t>
      </w:r>
    </w:p>
    <w:p>
      <w:pPr>
        <w:spacing w:after="0" w:line="3" w:lineRule="exact"/>
        <w:rPr>
          <w:sz w:val="20"/>
          <w:szCs w:val="20"/>
          <w:color w:val="auto"/>
        </w:rPr>
      </w:pPr>
    </w:p>
    <w:p>
      <w:pPr>
        <w:jc w:val="both"/>
        <w:ind w:firstLine="8"/>
        <w:spacing w:after="0" w:line="287" w:lineRule="auto"/>
        <w:tabs>
          <w:tab w:leader="none" w:pos="415"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for the purpose of determining the Required Lenders needed for any waiver, amendment, modification or consent, any Lender that is a Borrower, or any Affiliate of a Borrower shall be disregarded. For the avoidance of doubt, assignments to any Borrower, or any Affiliate or Subsidiary of any Borrower shall not be permitted hereunder in accordance with </w:t>
      </w:r>
      <w:r>
        <w:rPr>
          <w:rFonts w:ascii="Arial" w:cs="Arial" w:eastAsia="Arial" w:hAnsi="Arial"/>
          <w:sz w:val="19"/>
          <w:szCs w:val="19"/>
          <w:u w:val="single" w:color="auto"/>
          <w:color w:val="auto"/>
        </w:rPr>
        <w:t>Section 10.04(b)</w:t>
      </w:r>
      <w:r>
        <w:rPr>
          <w:rFonts w:ascii="Arial" w:cs="Arial" w:eastAsia="Arial" w:hAnsi="Arial"/>
          <w:sz w:val="19"/>
          <w:szCs w:val="19"/>
          <w:color w:val="auto"/>
        </w:rPr>
        <w:t>.</w:t>
      </w:r>
    </w:p>
    <w:p>
      <w:pPr>
        <w:spacing w:after="0" w:line="14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Reuters</w:t>
      </w:r>
      <w:r>
        <w:rPr>
          <w:rFonts w:ascii="Arial" w:cs="Arial" w:eastAsia="Arial" w:hAnsi="Arial"/>
          <w:sz w:val="22"/>
          <w:szCs w:val="22"/>
          <w:color w:val="auto"/>
        </w:rPr>
        <w:t>” means, as applicable, Thomson Reuters Corp., Refinitiv, or any successor thereto.</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Revolving Credit Exposure</w:t>
      </w:r>
      <w:r>
        <w:rPr>
          <w:rFonts w:ascii="Arial" w:cs="Arial" w:eastAsia="Arial" w:hAnsi="Arial"/>
          <w:sz w:val="22"/>
          <w:szCs w:val="22"/>
          <w:color w:val="auto"/>
        </w:rPr>
        <w:t>” means, with respect to any Lender at any time, the sum of the outstanding principal amount of such Lender’s Revolving Loans and its Swingline Exposure at such time.</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Revolving Credit Note</w:t>
      </w:r>
      <w:r>
        <w:rPr>
          <w:rFonts w:ascii="Arial" w:cs="Arial" w:eastAsia="Arial" w:hAnsi="Arial"/>
          <w:sz w:val="22"/>
          <w:szCs w:val="22"/>
          <w:color w:val="auto"/>
        </w:rPr>
        <w:t xml:space="preserve">” means a promissory note made by the Borrowers in favor of a Lender evidencing the Revolving Loans made by such Lender, substantially in the form attached as </w:t>
      </w:r>
      <w:r>
        <w:rPr>
          <w:rFonts w:ascii="Arial" w:cs="Arial" w:eastAsia="Arial" w:hAnsi="Arial"/>
          <w:sz w:val="22"/>
          <w:szCs w:val="22"/>
          <w:b w:val="1"/>
          <w:bCs w:val="1"/>
          <w:i w:val="1"/>
          <w:iCs w:val="1"/>
          <w:color w:val="auto"/>
        </w:rPr>
        <w:t>Exhibit F-1</w:t>
      </w:r>
      <w:r>
        <w:rPr>
          <w:rFonts w:ascii="Arial" w:cs="Arial" w:eastAsia="Arial" w:hAnsi="Arial"/>
          <w:sz w:val="22"/>
          <w:szCs w:val="22"/>
          <w:color w:val="auto"/>
        </w:rPr>
        <w:t>, and any substitutes therefor, and any replacements, restatements, renewals or extension thereof, in whole or in part.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Revolving Loan</w:t>
      </w:r>
      <w:r>
        <w:rPr>
          <w:rFonts w:ascii="Arial" w:cs="Arial" w:eastAsia="Arial" w:hAnsi="Arial"/>
          <w:sz w:val="22"/>
          <w:szCs w:val="22"/>
          <w:color w:val="auto"/>
        </w:rPr>
        <w:t xml:space="preserve">” means a Loan made pursuant to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5" w:name="page226"/>
    <w:bookmarkEnd w:id="225"/>
    <w:p>
      <w:pPr>
        <w:jc w:val="both"/>
        <w:ind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RFR</w:t>
      </w:r>
      <w:r>
        <w:rPr>
          <w:rFonts w:ascii="Arial" w:cs="Arial" w:eastAsia="Arial" w:hAnsi="Arial"/>
          <w:sz w:val="19"/>
          <w:szCs w:val="19"/>
          <w:color w:val="auto"/>
        </w:rPr>
        <w:t>” means, for any RFR Loan denominated in (a) Pounds Sterling, SONIA, (b) Swiss Francs, SARON and (c) U.S. Dollars, Daily Simple SOFR, and when used in reference to any Loan or Borrowing, means that such Loan, or the Loans comprising such Borrowing, bears interest at a rate determined by reference to the applicable Adjusted Daily Simple RFR.</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RFR Borrowing</w:t>
      </w:r>
      <w:r>
        <w:rPr>
          <w:rFonts w:ascii="Arial" w:cs="Arial" w:eastAsia="Arial" w:hAnsi="Arial"/>
          <w:sz w:val="22"/>
          <w:szCs w:val="22"/>
          <w:color w:val="auto"/>
        </w:rPr>
        <w:t>” means, as to any Borrowing, the RFR Loans comprising such Borrowing.</w:t>
      </w:r>
    </w:p>
    <w:p>
      <w:pPr>
        <w:spacing w:after="0" w:line="20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RFR Business Day</w:t>
      </w:r>
      <w:r>
        <w:rPr>
          <w:rFonts w:ascii="Arial" w:cs="Arial" w:eastAsia="Arial" w:hAnsi="Arial"/>
          <w:sz w:val="21"/>
          <w:szCs w:val="21"/>
          <w:color w:val="auto"/>
        </w:rPr>
        <w:t>” means, for any Loan denominated in (a) Pounds Sterling, any day except for (i) a Saturday, (ii) a Sunday or (iii) a day on which banks are closed for general business in London, (b) Swiss Francs, any day except for (i) a Saturday, (ii) a Sunday or (iii) a day on which banks are closed for the settlement of payments and foreign exchange transactions in Zurich and (c) U.S. Dollars, a U.S. Government Securities Business Day.</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RFR Interest Day</w:t>
      </w:r>
      <w:r>
        <w:rPr>
          <w:rFonts w:ascii="Arial" w:cs="Arial" w:eastAsia="Arial" w:hAnsi="Arial"/>
          <w:sz w:val="22"/>
          <w:szCs w:val="22"/>
          <w:color w:val="auto"/>
        </w:rPr>
        <w:t>” has the meaning specified in the definition of “Daily Simple RFR”.</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RFR Loan</w:t>
      </w:r>
      <w:r>
        <w:rPr>
          <w:rFonts w:ascii="Arial" w:cs="Arial" w:eastAsia="Arial" w:hAnsi="Arial"/>
          <w:sz w:val="22"/>
          <w:szCs w:val="22"/>
          <w:color w:val="auto"/>
        </w:rPr>
        <w:t>” means a Loan that bears interest at a rate based on the Adjusted Daily Simple RFR.</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S&amp;P</w:t>
      </w:r>
      <w:r>
        <w:rPr>
          <w:rFonts w:ascii="Arial" w:cs="Arial" w:eastAsia="Arial" w:hAnsi="Arial"/>
          <w:sz w:val="22"/>
          <w:szCs w:val="22"/>
          <w:color w:val="auto"/>
        </w:rPr>
        <w:t>” means Standard &amp; Poor’s.</w:t>
      </w:r>
    </w:p>
    <w:p>
      <w:pPr>
        <w:spacing w:after="0" w:line="20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Sanctioned Country</w:t>
      </w:r>
      <w:r>
        <w:rPr>
          <w:rFonts w:ascii="Arial" w:cs="Arial" w:eastAsia="Arial" w:hAnsi="Arial"/>
          <w:sz w:val="19"/>
          <w:szCs w:val="19"/>
          <w:color w:val="auto"/>
        </w:rPr>
        <w:t>” means at any time, a country, region or territory which is itself (or whose government is) the subject or target of any comprehensive Sanctions (as of the Effective Date, the so-called Donetsk People’s Republic, the so-called Luhansk People’s Republic, the Crimea, Zaporizhzhia and Kherson Regions of Ukraine, Cuba, Iran, North Korea and Syria).</w:t>
      </w:r>
    </w:p>
    <w:p>
      <w:pPr>
        <w:spacing w:after="0" w:line="134"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Sanctioned Person</w:t>
      </w:r>
      <w:r>
        <w:rPr>
          <w:rFonts w:ascii="Arial" w:cs="Arial" w:eastAsia="Arial" w:hAnsi="Arial"/>
          <w:sz w:val="22"/>
          <w:szCs w:val="22"/>
          <w:color w:val="auto"/>
        </w:rPr>
        <w:t xml:space="preserve">” 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His Majesty’s Treasury, Switzerland (including the State Secretariat for Economic Affairs of Switzerland (SECO) and/or the Swiss Directorate of International Law (DIL)), or other relevant sanctions authority, (b) any Person operating, organized or resident in a Sanctioned Country, or (c) any Person owned or controlled by any such Person or Persons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19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SARON</w:t>
      </w:r>
      <w:r>
        <w:rPr>
          <w:rFonts w:ascii="Arial" w:cs="Arial" w:eastAsia="Arial" w:hAnsi="Arial"/>
          <w:sz w:val="22"/>
          <w:szCs w:val="22"/>
          <w:color w:val="auto"/>
        </w:rPr>
        <w:t>” means, with respect to any Business Day, a rate per annum equal to the Swiss Average Rate Overnight for such Business Day published by the SARON Administrator on the SARON Administrator’s Website.</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SARON Administrator</w:t>
      </w:r>
      <w:r>
        <w:rPr>
          <w:rFonts w:ascii="Arial" w:cs="Arial" w:eastAsia="Arial" w:hAnsi="Arial"/>
          <w:sz w:val="22"/>
          <w:szCs w:val="22"/>
          <w:color w:val="auto"/>
        </w:rPr>
        <w:t>” means the SIX Swiss Exchange AG (or any successor administrator of the Swiss Average Rate Overnight).</w:t>
      </w:r>
    </w:p>
    <w:p>
      <w:pPr>
        <w:spacing w:after="0" w:line="175"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SARON Administrator’s Website</w:t>
      </w:r>
      <w:r>
        <w:rPr>
          <w:rFonts w:ascii="Arial" w:cs="Arial" w:eastAsia="Arial" w:hAnsi="Arial"/>
          <w:sz w:val="19"/>
          <w:szCs w:val="19"/>
          <w:color w:val="auto"/>
        </w:rPr>
        <w:t>” means SIX Swiss Exchange AG’s website, currently at https://www.six-group.com, or any successor source for the Swiss Average Rate Overnight identified as such by the SARON Administrator from time to time.</w:t>
      </w:r>
    </w:p>
    <w:p>
      <w:pPr>
        <w:spacing w:after="0" w:line="10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Sanctions</w:t>
      </w:r>
      <w:r>
        <w:rPr>
          <w:rFonts w:ascii="Arial" w:cs="Arial" w:eastAsia="Arial" w:hAnsi="Arial"/>
          <w:sz w:val="22"/>
          <w:szCs w:val="22"/>
          <w:color w:val="auto"/>
        </w:rPr>
        <w:t>” means any and all economic or financial sanctions, trade embargoes and anti-terrorism laws imposed, administered or enforced from time to time by the U.S. government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6" w:name="page227"/>
    <w:bookmarkEnd w:id="226"/>
    <w:p>
      <w:pPr>
        <w:jc w:val="both"/>
        <w:spacing w:after="0" w:line="238" w:lineRule="auto"/>
        <w:rPr>
          <w:sz w:val="20"/>
          <w:szCs w:val="20"/>
          <w:color w:val="auto"/>
        </w:rPr>
      </w:pPr>
      <w:r>
        <w:rPr>
          <w:rFonts w:ascii="Arial" w:cs="Arial" w:eastAsia="Arial" w:hAnsi="Arial"/>
          <w:sz w:val="22"/>
          <w:szCs w:val="22"/>
          <w:color w:val="auto"/>
        </w:rPr>
        <w:t>(including those administered by OFAC or the U.S. Department of State), the United Nations Security Council, the European Union, any European Union member state, His Majesty’s Treasury, Switzerland (including the State Secretariat for Economic Affairs of Switzerland (SECO) and/or the Swiss Directorate of International Law (DIL)) or other relevant sanctions authority in any jurisdiction.</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w:t>
      </w:r>
      <w:r>
        <w:rPr>
          <w:rFonts w:ascii="Arial" w:cs="Arial" w:eastAsia="Arial" w:hAnsi="Arial"/>
          <w:sz w:val="22"/>
          <w:szCs w:val="22"/>
          <w:color w:val="auto"/>
        </w:rPr>
        <w:t>” means the Securities and Exchange Commission, or any Governmental Authority succeeding to any or all of the functions of said Commission.</w:t>
      </w:r>
    </w:p>
    <w:p>
      <w:pPr>
        <w:spacing w:after="0" w:line="17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Securitization Transaction</w:t>
      </w:r>
      <w:r>
        <w:rPr>
          <w:rFonts w:ascii="Arial" w:cs="Arial" w:eastAsia="Arial" w:hAnsi="Arial"/>
          <w:sz w:val="22"/>
          <w:szCs w:val="22"/>
          <w:color w:val="auto"/>
        </w:rPr>
        <w:t>” means any financing transaction or series of financing transactions (including factoring arrangements) pursuant to which the Company or any Subsidiary may sell, convey or otherwise transfer, or grant a security interest in, accounts, payments, receivables, rights to future lease payments or residuals or similar rights to payment to a special purpose subsidiary or affiliate of the Company.</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Significant Subsidiary</w:t>
      </w:r>
      <w:r>
        <w:rPr>
          <w:rFonts w:ascii="Arial" w:cs="Arial" w:eastAsia="Arial" w:hAnsi="Arial"/>
          <w:sz w:val="22"/>
          <w:szCs w:val="22"/>
          <w:color w:val="auto"/>
        </w:rPr>
        <w:t xml:space="preserve">” means each Domestic Subsidiary of the Company now existing or hereafter acquired or formed, and each successor thereto, with respect to which, after giving </w:t>
      </w:r>
      <w:r>
        <w:rPr>
          <w:rFonts w:ascii="Arial" w:cs="Arial" w:eastAsia="Arial" w:hAnsi="Arial"/>
          <w:sz w:val="22"/>
          <w:szCs w:val="22"/>
          <w:u w:val="single" w:color="auto"/>
          <w:color w:val="auto"/>
        </w:rPr>
        <w:t>pro forma</w:t>
      </w:r>
      <w:r>
        <w:rPr>
          <w:rFonts w:ascii="Arial" w:cs="Arial" w:eastAsia="Arial" w:hAnsi="Arial"/>
          <w:sz w:val="22"/>
          <w:szCs w:val="22"/>
          <w:color w:val="auto"/>
        </w:rPr>
        <w:t xml:space="preserve"> effect to such acquisition or formation, or at any other time thereafter:</w:t>
      </w:r>
    </w:p>
    <w:p>
      <w:pPr>
        <w:spacing w:after="0" w:line="186" w:lineRule="exact"/>
        <w:rPr>
          <w:sz w:val="20"/>
          <w:szCs w:val="20"/>
          <w:color w:val="auto"/>
        </w:rPr>
      </w:pPr>
    </w:p>
    <w:p>
      <w:pPr>
        <w:ind w:firstLine="757"/>
        <w:spacing w:after="0" w:line="250" w:lineRule="auto"/>
        <w:tabs>
          <w:tab w:leader="none" w:pos="131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Company’s and its other Subsidiaries’ Investments in such Domestic Subsidiary exceed ten percent (10%) of the total assets of the Company and its Subsidiaries on a consolidated basis;</w:t>
      </w:r>
    </w:p>
    <w:p>
      <w:pPr>
        <w:spacing w:after="0" w:line="174" w:lineRule="exact"/>
        <w:rPr>
          <w:rFonts w:ascii="Arial" w:cs="Arial" w:eastAsia="Arial" w:hAnsi="Arial"/>
          <w:sz w:val="22"/>
          <w:szCs w:val="22"/>
          <w:color w:val="auto"/>
        </w:rPr>
      </w:pPr>
    </w:p>
    <w:p>
      <w:pPr>
        <w:jc w:val="both"/>
        <w:ind w:firstLine="757"/>
        <w:spacing w:after="0"/>
        <w:tabs>
          <w:tab w:leader="none" w:pos="1304"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Company’s and its other Subsidiaries’ proportionate share of the total assets (after intercompany eliminations) of such Domestic Subsidiary exceeds ten percent (10%) of the total assets of the Company and its Subsidiaries on a consolidated basis; or</w:t>
      </w:r>
    </w:p>
    <w:p>
      <w:pPr>
        <w:spacing w:after="0" w:line="186" w:lineRule="exact"/>
        <w:rPr>
          <w:rFonts w:ascii="Arial" w:cs="Arial" w:eastAsia="Arial" w:hAnsi="Arial"/>
          <w:sz w:val="22"/>
          <w:szCs w:val="22"/>
          <w:color w:val="auto"/>
        </w:rPr>
      </w:pPr>
    </w:p>
    <w:p>
      <w:pPr>
        <w:jc w:val="both"/>
        <w:ind w:firstLine="757"/>
        <w:spacing w:after="0" w:line="257" w:lineRule="auto"/>
        <w:tabs>
          <w:tab w:leader="none" w:pos="1313" w:val="left"/>
        </w:tabs>
        <w:numPr>
          <w:ilvl w:val="0"/>
          <w:numId w:val="203"/>
        </w:numPr>
        <w:rPr>
          <w:rFonts w:ascii="Arial" w:cs="Arial" w:eastAsia="Arial" w:hAnsi="Arial"/>
          <w:sz w:val="21"/>
          <w:szCs w:val="21"/>
          <w:color w:val="auto"/>
        </w:rPr>
      </w:pPr>
      <w:r>
        <w:rPr>
          <w:rFonts w:ascii="Arial" w:cs="Arial" w:eastAsia="Arial" w:hAnsi="Arial"/>
          <w:sz w:val="21"/>
          <w:szCs w:val="21"/>
          <w:color w:val="auto"/>
        </w:rPr>
        <w:t>the Company’s and its other Subsidiaries’ equity in the income from continuing operations before income taxes, extraordinary items and cumulative effect of a change in accounting principle of such Domestic Subsidiary exceeds ten percent (10%) of such income of the Company and its Subsidiaries on a consolidated basis.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SOFR</w:t>
      </w:r>
      <w:r>
        <w:rPr>
          <w:rFonts w:ascii="Arial" w:cs="Arial" w:eastAsia="Arial" w:hAnsi="Arial"/>
          <w:sz w:val="21"/>
          <w:szCs w:val="21"/>
          <w:color w:val="auto"/>
        </w:rPr>
        <w:t>” means a rate equal to the secured overnight financing rate as administered by the SOFR Administrator.</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SOFR Administrator</w:t>
      </w:r>
      <w:r>
        <w:rPr>
          <w:rFonts w:ascii="Arial" w:cs="Arial" w:eastAsia="Arial" w:hAnsi="Arial"/>
          <w:sz w:val="19"/>
          <w:szCs w:val="19"/>
          <w:color w:val="auto"/>
        </w:rPr>
        <w:t>” means the NYFRB (or a successor administrator of the secured overnight financing rate).</w:t>
      </w:r>
    </w:p>
    <w:p>
      <w:pPr>
        <w:spacing w:after="0" w:line="241"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SOFR Administrator’s Website</w:t>
      </w:r>
      <w:r>
        <w:rPr>
          <w:rFonts w:ascii="Arial" w:cs="Arial" w:eastAsia="Arial" w:hAnsi="Arial"/>
          <w:sz w:val="22"/>
          <w:szCs w:val="22"/>
          <w:color w:val="auto"/>
        </w:rPr>
        <w:t>” means the Federal Reserve Bank of New York’s Website, currently at http://www.newyorkfed.org, or any successor source for the secured overnight financing rate identified as such by the SOFR Administrator from time to time.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SOFR Rate Day</w:t>
      </w:r>
      <w:r>
        <w:rPr>
          <w:rFonts w:ascii="Arial" w:cs="Arial" w:eastAsia="Arial" w:hAnsi="Arial"/>
          <w:sz w:val="22"/>
          <w:szCs w:val="22"/>
          <w:color w:val="auto"/>
        </w:rPr>
        <w:t>” has the meaning specified in the definition of “Daily Simple SOFR”.</w:t>
      </w:r>
    </w:p>
    <w:p>
      <w:pPr>
        <w:spacing w:after="0" w:line="20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Solvent</w:t>
      </w:r>
      <w:r>
        <w:rPr>
          <w:rFonts w:ascii="Arial" w:cs="Arial" w:eastAsia="Arial" w:hAnsi="Arial"/>
          <w:sz w:val="19"/>
          <w:szCs w:val="19"/>
          <w:color w:val="auto"/>
        </w:rPr>
        <w:t>” and “</w:t>
      </w:r>
      <w:r>
        <w:rPr>
          <w:rFonts w:ascii="Arial" w:cs="Arial" w:eastAsia="Arial" w:hAnsi="Arial"/>
          <w:sz w:val="19"/>
          <w:szCs w:val="19"/>
          <w:b w:val="1"/>
          <w:bCs w:val="1"/>
          <w:i w:val="1"/>
          <w:iCs w:val="1"/>
          <w:color w:val="auto"/>
        </w:rPr>
        <w:t>Solvency</w:t>
      </w:r>
      <w:r>
        <w:rPr>
          <w:rFonts w:ascii="Arial" w:cs="Arial" w:eastAsia="Arial" w:hAnsi="Arial"/>
          <w:sz w:val="19"/>
          <w:szCs w:val="19"/>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7" w:name="page228"/>
    <w:bookmarkEnd w:id="227"/>
    <w:p>
      <w:pPr>
        <w:jc w:val="both"/>
        <w:spacing w:after="0" w:line="277" w:lineRule="auto"/>
        <w:rPr>
          <w:sz w:val="20"/>
          <w:szCs w:val="20"/>
          <w:color w:val="auto"/>
        </w:rPr>
      </w:pPr>
      <w:r>
        <w:rPr>
          <w:rFonts w:ascii="Arial" w:cs="Arial" w:eastAsia="Arial" w:hAnsi="Arial"/>
          <w:sz w:val="19"/>
          <w:szCs w:val="19"/>
          <w:color w:val="auto"/>
        </w:rPr>
        <w:t>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5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SONIA</w:t>
      </w:r>
      <w:r>
        <w:rPr>
          <w:rFonts w:ascii="Arial" w:cs="Arial" w:eastAsia="Arial" w:hAnsi="Arial"/>
          <w:sz w:val="22"/>
          <w:szCs w:val="22"/>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SONIA Administrator</w:t>
      </w:r>
      <w:r>
        <w:rPr>
          <w:rFonts w:ascii="Arial" w:cs="Arial" w:eastAsia="Arial" w:hAnsi="Arial"/>
          <w:sz w:val="22"/>
          <w:szCs w:val="22"/>
          <w:color w:val="auto"/>
        </w:rPr>
        <w:t>” means the Bank of England (or any successor administrator of the Sterling Overnight Index Average).</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SONIA Administrator’s Website</w:t>
      </w:r>
      <w:r>
        <w:rPr>
          <w:rFonts w:ascii="Arial" w:cs="Arial" w:eastAsia="Arial" w:hAnsi="Arial"/>
          <w:sz w:val="22"/>
          <w:szCs w:val="22"/>
          <w:color w:val="auto"/>
        </w:rPr>
        <w:t>” means the Bank of England’s website, currently at http://www.bankofengland.co.uk, or any successor source for the Sterling Overnight Index Average identified as such by the SONIA Administrator from time to time.</w:t>
      </w:r>
    </w:p>
    <w:p>
      <w:pPr>
        <w:spacing w:after="0" w:line="18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Statutory Reserve Rate</w:t>
      </w:r>
      <w:r>
        <w:rPr>
          <w:rFonts w:ascii="Arial" w:cs="Arial" w:eastAsia="Arial" w:hAnsi="Arial"/>
          <w:sz w:val="21"/>
          <w:szCs w:val="21"/>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applicable Relevant Adjusted Rate for eurocurrency funding (currently referred to as “Eurocurrency liabilities” in Regulation D of the Board) or any other reserve ratio or analogous requirement of any central banking or financial regulatory authority imposed in respect of the maintenance of the Commitments or the funding of the Loans. Such reserve percentage shall include those imposed pursuant to Regulation D of the Board.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of the Board or any comparable regulation. The Statutory Reserve Rate shall be adjusted automatically on and as of the effective date of any change in any reserve percentage.</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subsidiary</w:t>
      </w:r>
      <w:r>
        <w:rPr>
          <w:rFonts w:ascii="Arial" w:cs="Arial" w:eastAsia="Arial" w:hAnsi="Arial"/>
          <w:sz w:val="21"/>
          <w:szCs w:val="21"/>
          <w:color w:val="auto"/>
        </w:rPr>
        <w:t xml:space="preserve">” means, with respect to any Person (the “ </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8" w:name="page229"/>
    <w:bookmarkEnd w:id="228"/>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any subsidiary of the Company.</w:t>
      </w:r>
    </w:p>
    <w:p>
      <w:pPr>
        <w:spacing w:after="0" w:line="20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Swap Agreement</w:t>
      </w:r>
      <w:r>
        <w:rPr>
          <w:rFonts w:ascii="Arial" w:cs="Arial" w:eastAsia="Arial" w:hAnsi="Arial"/>
          <w:sz w:val="21"/>
          <w:szCs w:val="21"/>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phantom stock or similar plan providing for payments only on account of services provided by current or former directors, officers, employees or consultants of the Company or its Subsidiaries shall be a Swap Agreement.</w:t>
      </w:r>
    </w:p>
    <w:p>
      <w:pPr>
        <w:spacing w:after="0" w:line="17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Swingline Commitment</w:t>
      </w:r>
      <w:r>
        <w:rPr>
          <w:rFonts w:ascii="Arial" w:cs="Arial" w:eastAsia="Arial" w:hAnsi="Arial"/>
          <w:sz w:val="22"/>
          <w:szCs w:val="22"/>
          <w:color w:val="auto"/>
        </w:rPr>
        <w:t xml:space="preserve">” means, as to any Lender, (a) the applicable amount set forth opposite such Lender’s name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or (b) if such Lender has entered into an Assignment and Assumption, the amount set forth for such Lender as its Swingline Commitment in the Register.</w:t>
      </w:r>
    </w:p>
    <w:p>
      <w:pPr>
        <w:spacing w:after="0" w:line="18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Swingline Exposure</w:t>
      </w:r>
      <w:r>
        <w:rPr>
          <w:rFonts w:ascii="Arial" w:cs="Arial" w:eastAsia="Arial" w:hAnsi="Arial"/>
          <w:sz w:val="19"/>
          <w:szCs w:val="19"/>
          <w:color w:val="auto"/>
        </w:rPr>
        <w:t>” means, at any time, the aggregate principal amount of all Swingline Loans outstanding at such time. The Swingline Exposure of any Lender at any time shall be the sum of (a) its Applicable Percentage of the total Swingline Exposure at such time other than with respect to any Swingline Loans made by such Lender in its capacity as a Swingline Lender and (b) the aggregate principal amount of all Swingline Loans made by such Lender as a Swingline Lender outstanding at such time (less the amount of participations funded by the other Lenders in such Swingline Loans).</w:t>
      </w:r>
    </w:p>
    <w:p>
      <w:pPr>
        <w:spacing w:after="0" w:line="14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Swingline Lenders</w:t>
      </w:r>
      <w:r>
        <w:rPr>
          <w:rFonts w:ascii="Arial" w:cs="Arial" w:eastAsia="Arial" w:hAnsi="Arial"/>
          <w:sz w:val="22"/>
          <w:szCs w:val="22"/>
          <w:color w:val="auto"/>
        </w:rPr>
        <w:t xml:space="preserve">” means, collectively, PNC Bank, National Association, and any Lender that assumes all or any portion of another Lender’s Swingline Commitment in accordance with </w:t>
      </w:r>
      <w:r>
        <w:rPr>
          <w:rFonts w:ascii="Arial" w:cs="Arial" w:eastAsia="Arial" w:hAnsi="Arial"/>
          <w:sz w:val="22"/>
          <w:szCs w:val="22"/>
          <w:u w:val="single" w:color="auto"/>
          <w:color w:val="auto"/>
        </w:rPr>
        <w:t>Section 2.05(a)(ii)</w:t>
      </w:r>
      <w:r>
        <w:rPr>
          <w:rFonts w:ascii="Arial" w:cs="Arial" w:eastAsia="Arial" w:hAnsi="Arial"/>
          <w:sz w:val="22"/>
          <w:szCs w:val="22"/>
          <w:color w:val="auto"/>
        </w:rPr>
        <w:t>, each in its capacity as a lender of Swingline Loans hereunder.</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Swingline Loan</w:t>
      </w:r>
      <w:r>
        <w:rPr>
          <w:rFonts w:ascii="Arial" w:cs="Arial" w:eastAsia="Arial" w:hAnsi="Arial"/>
          <w:sz w:val="22"/>
          <w:szCs w:val="22"/>
          <w:color w:val="auto"/>
        </w:rPr>
        <w:t xml:space="preserve">” means a Loan made pursuant to </w:t>
      </w:r>
      <w:r>
        <w:rPr>
          <w:rFonts w:ascii="Arial" w:cs="Arial" w:eastAsia="Arial" w:hAnsi="Arial"/>
          <w:sz w:val="22"/>
          <w:szCs w:val="22"/>
          <w:u w:val="single" w:color="auto"/>
          <w:color w:val="auto"/>
        </w:rPr>
        <w:t>Section 2.05</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Swingline Note</w:t>
      </w:r>
      <w:r>
        <w:rPr>
          <w:rFonts w:ascii="Arial" w:cs="Arial" w:eastAsia="Arial" w:hAnsi="Arial"/>
          <w:sz w:val="21"/>
          <w:szCs w:val="21"/>
          <w:color w:val="auto"/>
        </w:rPr>
        <w:t xml:space="preserve">” means a promissory note made by the Borrowers in favor of the Swingline Lender evidencing the Swingline Loans made by the Swingline Lender, substantially in the form attached as </w:t>
      </w:r>
      <w:r>
        <w:rPr>
          <w:rFonts w:ascii="Arial" w:cs="Arial" w:eastAsia="Arial" w:hAnsi="Arial"/>
          <w:sz w:val="21"/>
          <w:szCs w:val="21"/>
          <w:b w:val="1"/>
          <w:bCs w:val="1"/>
          <w:i w:val="1"/>
          <w:iCs w:val="1"/>
          <w:color w:val="auto"/>
        </w:rPr>
        <w:t>Exhibit F-2</w:t>
      </w:r>
      <w:r>
        <w:rPr>
          <w:rFonts w:ascii="Arial" w:cs="Arial" w:eastAsia="Arial" w:hAnsi="Arial"/>
          <w:sz w:val="21"/>
          <w:szCs w:val="21"/>
          <w:color w:val="auto"/>
        </w:rPr>
        <w:t>, and any substitutes therefor, and any replacements, restatements, renewals or extension thereof, in whole or in part.</w:t>
      </w:r>
    </w:p>
    <w:p>
      <w:pPr>
        <w:spacing w:after="0" w:line="16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Swiss 10 Non-Bank Rule</w:t>
      </w:r>
      <w:r>
        <w:rPr>
          <w:rFonts w:ascii="Arial" w:cs="Arial" w:eastAsia="Arial" w:hAnsi="Arial"/>
          <w:sz w:val="21"/>
          <w:szCs w:val="21"/>
          <w:color w:val="auto"/>
        </w:rPr>
        <w:t>” means the rule that the aggregate number of Lenders under the Loan Documents which are not Swiss Qualifying Banks must not at any time exceed ten (10), all in accordance with the meaning of the Swiss Guidelines or legislation or explanatory notes addressing the same issues that are in force at such time.</w:t>
      </w:r>
    </w:p>
    <w:p>
      <w:pPr>
        <w:spacing w:after="0" w:line="169"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Swiss 20 Non-Bank Rule</w:t>
      </w:r>
      <w:r>
        <w:rPr>
          <w:rFonts w:ascii="Arial" w:cs="Arial" w:eastAsia="Arial" w:hAnsi="Arial"/>
          <w:sz w:val="19"/>
          <w:szCs w:val="19"/>
          <w:color w:val="auto"/>
        </w:rPr>
        <w:t>” means the rule that the aggregate number of creditors (including the Lenders under this Agreement), other than Swiss Qualifying Banks, of a Swiss Borrower under all its outstanding debts relevant for classification as debenture (</w:t>
      </w:r>
      <w:r>
        <w:rPr>
          <w:rFonts w:ascii="Arial" w:cs="Arial" w:eastAsia="Arial" w:hAnsi="Arial"/>
          <w:sz w:val="19"/>
          <w:szCs w:val="19"/>
          <w:i w:val="1"/>
          <w:iCs w:val="1"/>
          <w:color w:val="auto"/>
        </w:rPr>
        <w:t>Kassenobligation</w:t>
      </w:r>
      <w:r>
        <w:rPr>
          <w:rFonts w:ascii="Arial" w:cs="Arial" w:eastAsia="Arial" w:hAnsi="Arial"/>
          <w:sz w:val="19"/>
          <w:szCs w:val="19"/>
          <w:color w:val="auto"/>
        </w:rPr>
        <w:t>) must not at any time exceed twenty (20), all in accordance with the meaning of the Swiss Guidelines or legislation or explanatory notes addressing the same issues that are in force at such time.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9" w:name="page230"/>
    <w:bookmarkEnd w:id="229"/>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Swiss Borrower</w:t>
      </w:r>
      <w:r>
        <w:rPr>
          <w:rFonts w:ascii="Arial" w:cs="Arial" w:eastAsia="Arial" w:hAnsi="Arial"/>
          <w:sz w:val="22"/>
          <w:szCs w:val="22"/>
          <w:color w:val="auto"/>
        </w:rPr>
        <w:t>” means (i) Cabot Switzerland, (ii) Cabot Luxembourg (if acting via its Swiss branch), and (iii) any other Borrower incorporated in Switzerland and/or having its registered office in Switzerland and/or qualifying as a Swiss resident pursuant to article 9 of the Swiss Withholding Tax Act.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Swiss Federal Tax Administration</w:t>
      </w:r>
      <w:r>
        <w:rPr>
          <w:rFonts w:ascii="Arial" w:cs="Arial" w:eastAsia="Arial" w:hAnsi="Arial"/>
          <w:sz w:val="19"/>
          <w:szCs w:val="19"/>
          <w:color w:val="auto"/>
        </w:rPr>
        <w:t>” means the tax authorities referred to in article 34 of the Swiss Withholding Tax Act.</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Swiss Francs</w:t>
      </w:r>
      <w:r>
        <w:rPr>
          <w:rFonts w:ascii="Arial" w:cs="Arial" w:eastAsia="Arial" w:hAnsi="Arial"/>
          <w:sz w:val="22"/>
          <w:szCs w:val="22"/>
          <w:color w:val="auto"/>
        </w:rPr>
        <w:t>” means the lawful currency of Switzerland.</w:t>
      </w:r>
    </w:p>
    <w:p>
      <w:pPr>
        <w:spacing w:after="0" w:line="20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Swiss Guidelines</w:t>
      </w:r>
      <w:r>
        <w:rPr>
          <w:rFonts w:ascii="Arial" w:cs="Arial" w:eastAsia="Arial" w:hAnsi="Arial"/>
          <w:sz w:val="19"/>
          <w:szCs w:val="19"/>
          <w:color w:val="auto"/>
        </w:rPr>
        <w:t>” means, together the guidelines S-02.123 in relation to interbank loans of 22 September 1986 as issued by the Swiss Federal Tax Administration (Merkblatt S-02.123 vom 22 September 1986 betreffend Zinsen von Bankguthaben, deren Gläubiger Banken sind Interbankguthaben), S-02.130.1 in relation to money market instruments and accounts receivable of April 1999 (Merkblatt S-02.130.1 vom April 1999 “Geldmarktpapiere und Buchforderungen inländischer Schuldner”), the circular letter No. 15 (1-015-DVS-2017) of 3 October 2017 in relation to bonds and derivative financial instruments as subject matter of taxation of Swiss federal income tax, Swiss withholding tax and Swiss stamp taxes (Kreisschreiben Nr. 15 “Obligationen und derivative Finanzinstrumente als Gegenstand der direkten Bundessteuer, der Verrechnungssteuer und der Stempelabgaben” vom 3. Oktober 2017) and the circular letter No. 34 of 26 July 2011 (1-034-V-2011) in relation to customer credit balances (Kreisschreiben Nr. 34 “Kundenguthaben” vom 26. Juli 2011) and the practice note 010-DVS-2019 dated 5 February 2019 published by the Swiss Federal Tax Administration regarding Swiss Withholding Tax in the Group (Mitteilung-010-DVS-2019-d vom 5. Februar 2019 - Verrechnungssteuer: Guthaben im Konzern), the circular letter No. 46 of 24 July 2019 (1-046-VS-2019) in relation to syndicated credit facilities, promissory note loans, bills of exchange and subparticipations (Kreisschreiben Nr. 46 vom 24. Juli 2019 betreffend "Steuerliche Behandlung von Konsortialdarlehen, Schuldscheindarlehen, Wechseln und Unterbeteiligungen") and the circular letter No. 47 of 25 July 2019 (1-047-V-2019) in relation to bonds (Kreisschreiben Nr. 47 vom 25. Juli 2019 betreffend "Obligationen") as issued, and as amended or replaced from time to time by the Swiss Federal Tax Administration, or as applied in accordance with a tax ruling (if any) issued by the Swiss Federal Tax Administration.</w:t>
      </w:r>
    </w:p>
    <w:p>
      <w:pPr>
        <w:spacing w:after="0" w:line="200" w:lineRule="exact"/>
        <w:rPr>
          <w:sz w:val="20"/>
          <w:szCs w:val="20"/>
          <w:color w:val="auto"/>
        </w:rPr>
      </w:pP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Swiss Non-Bank Rules</w:t>
      </w:r>
      <w:r>
        <w:rPr>
          <w:rFonts w:ascii="Arial" w:cs="Arial" w:eastAsia="Arial" w:hAnsi="Arial"/>
          <w:sz w:val="22"/>
          <w:szCs w:val="22"/>
          <w:color w:val="auto"/>
        </w:rPr>
        <w:t>” means, together, the Swiss 10 Non-Bank Rule and the Swiss 20 Non-Bank Rule.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Swiss Permitted Non-Qualifying Bank</w:t>
      </w:r>
      <w:r>
        <w:rPr>
          <w:rFonts w:ascii="Arial" w:cs="Arial" w:eastAsia="Arial" w:hAnsi="Arial"/>
          <w:sz w:val="19"/>
          <w:szCs w:val="19"/>
          <w:color w:val="auto"/>
        </w:rPr>
        <w:t>” means a Lender under this Agreement which is not a Swiss Qualifying Bank.</w:t>
      </w:r>
    </w:p>
    <w:p>
      <w:pPr>
        <w:spacing w:after="0" w:line="241"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Swiss Qualifying Bank</w:t>
      </w:r>
      <w:r>
        <w:rPr>
          <w:rFonts w:ascii="Arial" w:cs="Arial" w:eastAsia="Arial" w:hAnsi="Arial"/>
          <w:sz w:val="22"/>
          <w:szCs w:val="22"/>
          <w:color w:val="auto"/>
        </w:rPr>
        <w:t>” means: (a) any bank as defined in the Swiss Federal Act for Banks and Savings Banks dated 8 November 1934 (Bundesgesetz über die Banken und Sparkassen); or (b) a person or entity which effectively conducts banking activities with its own infrastructure and staff as its principal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within the meaning of the Swiss Guidelines.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Swiss Withholding Tax</w:t>
      </w:r>
      <w:r>
        <w:rPr>
          <w:rFonts w:ascii="Arial" w:cs="Arial" w:eastAsia="Arial" w:hAnsi="Arial"/>
          <w:sz w:val="22"/>
          <w:szCs w:val="22"/>
          <w:color w:val="auto"/>
        </w:rPr>
        <w:t>” means taxes imposed under the Swiss Withholding Tax Act.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0" w:name="page231"/>
    <w:bookmarkEnd w:id="230"/>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Swiss Withholding Tax Act</w:t>
      </w:r>
      <w:r>
        <w:rPr>
          <w:rFonts w:ascii="Arial" w:cs="Arial" w:eastAsia="Arial" w:hAnsi="Arial"/>
          <w:sz w:val="22"/>
          <w:szCs w:val="22"/>
          <w:color w:val="auto"/>
        </w:rPr>
        <w:t>” means the Swiss Federal Act on the Withholding Tax of 13 October 1965 (Bundesgesetz über die Verrechnungssteuer).</w:t>
      </w:r>
    </w:p>
    <w:p>
      <w:pPr>
        <w:spacing w:after="0" w:line="17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TARGET2</w:t>
      </w:r>
      <w:r>
        <w:rPr>
          <w:rFonts w:ascii="Arial" w:cs="Arial" w:eastAsia="Arial" w:hAnsi="Arial"/>
          <w:sz w:val="21"/>
          <w:szCs w:val="21"/>
          <w:color w:val="auto"/>
        </w:rPr>
        <w:t>” means the Trans-European Automated Real-time Gross Settlement Express Transfer payment system that utilizes a single shared platform, which was launched on November 19, 2007, or any successor thereto.</w:t>
      </w:r>
    </w:p>
    <w:p>
      <w:pPr>
        <w:spacing w:after="0" w:line="151"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TARGET Day</w:t>
      </w:r>
      <w:r>
        <w:rPr>
          <w:rFonts w:ascii="Arial" w:cs="Arial" w:eastAsia="Arial" w:hAnsi="Arial"/>
          <w:sz w:val="22"/>
          <w:szCs w:val="22"/>
          <w:color w:val="auto"/>
        </w:rPr>
        <w:t>” means any day on which TARGET2 (or, if such payment system ceases to be operative, such other payment system (if any) reasonably determined by the Administrative Agent to be a suitable replacement) is open for the settlement of payments in Euro.</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 Benchmark</w:t>
      </w:r>
      <w:r>
        <w:rPr>
          <w:rFonts w:ascii="Arial" w:cs="Arial" w:eastAsia="Arial" w:hAnsi="Arial"/>
          <w:sz w:val="19"/>
          <w:szCs w:val="19"/>
          <w:color w:val="auto"/>
        </w:rPr>
        <w:t>”, when used in reference to any Loan or Borrowing, means that such Loan, or the Loans comprising such Borrowing, bears interest at a rate determined by reference to the Adjusted Term SOFR Rate or the Adjusted EURIBO Rate.</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 SOFR Determination Day</w:t>
      </w:r>
      <w:r>
        <w:rPr>
          <w:rFonts w:ascii="Arial" w:cs="Arial" w:eastAsia="Arial" w:hAnsi="Arial"/>
          <w:sz w:val="19"/>
          <w:szCs w:val="19"/>
          <w:color w:val="auto"/>
        </w:rPr>
        <w:t>” has the meaning assigned to it under the definition of Term SOFR Reference Rate.</w:t>
      </w:r>
    </w:p>
    <w:p>
      <w:pPr>
        <w:spacing w:after="0" w:line="24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 SOFR Rate</w:t>
      </w:r>
      <w:r>
        <w:rPr>
          <w:rFonts w:ascii="Arial" w:cs="Arial" w:eastAsia="Arial" w:hAnsi="Arial"/>
          <w:sz w:val="22"/>
          <w:szCs w:val="22"/>
          <w:color w:val="auto"/>
        </w:rPr>
        <w:t>” means, with respect to any Term Benchmark Borrowing denominated in U.S.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8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Term SOFR Reference Rate</w:t>
      </w:r>
      <w:r>
        <w:rPr>
          <w:rFonts w:ascii="Arial" w:cs="Arial" w:eastAsia="Arial" w:hAnsi="Arial"/>
          <w:sz w:val="21"/>
          <w:szCs w:val="21"/>
          <w:color w:val="auto"/>
        </w:rPr>
        <w:t>” means, for any day and time (such day, the “</w:t>
      </w:r>
      <w:r>
        <w:rPr>
          <w:rFonts w:ascii="Arial" w:cs="Arial" w:eastAsia="Arial" w:hAnsi="Arial"/>
          <w:sz w:val="21"/>
          <w:szCs w:val="21"/>
          <w:b w:val="1"/>
          <w:bCs w:val="1"/>
          <w:i w:val="1"/>
          <w:iCs w:val="1"/>
          <w:color w:val="auto"/>
        </w:rPr>
        <w:t>Term SOFR Determination Day</w:t>
      </w:r>
      <w:r>
        <w:rPr>
          <w:rFonts w:ascii="Arial" w:cs="Arial" w:eastAsia="Arial" w:hAnsi="Arial"/>
          <w:sz w:val="21"/>
          <w:szCs w:val="21"/>
          <w:color w:val="auto"/>
        </w:rPr>
        <w:t>”), with respect to any Term Benchmark Borrowing denominated in U.S.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8"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Capitalization</w:t>
      </w:r>
      <w:r>
        <w:rPr>
          <w:rFonts w:ascii="Arial" w:cs="Arial" w:eastAsia="Arial" w:hAnsi="Arial"/>
          <w:sz w:val="19"/>
          <w:szCs w:val="19"/>
          <w:color w:val="auto"/>
        </w:rPr>
        <w:t xml:space="preserve">” means, as of any date, Consolidated Total Debt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consolidated stockholders’ equity of the Company and its Subsidiaries (calculated excluding adjustments to translate foreign assets and liabilities for changes in foreign exchange rates made in accordance with Financial Accounting Standards Board Statement Nos. 52 and 133), all as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would be presented according to GAAP in a consolidated balance sheet of the Company as of such date.</w:t>
      </w:r>
    </w:p>
    <w:p>
      <w:pPr>
        <w:spacing w:after="0" w:line="20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Revolving Credit Exposure</w:t>
      </w:r>
      <w:r>
        <w:rPr>
          <w:rFonts w:ascii="Arial" w:cs="Arial" w:eastAsia="Arial" w:hAnsi="Arial"/>
          <w:sz w:val="19"/>
          <w:szCs w:val="19"/>
          <w:color w:val="auto"/>
        </w:rPr>
        <w:t xml:space="preserve">” means, the sum of the outstanding principal amount of all Lenders’ Revolving Loans and their Swingline Exposure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Swingline Exposure shall only be applicable to the extent Lenders shall have funded their respective participations in the outstanding Swingline Loans.</w:t>
      </w:r>
    </w:p>
    <w:p>
      <w:pPr>
        <w:spacing w:after="0" w:line="13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Transactions</w:t>
      </w:r>
      <w:r>
        <w:rPr>
          <w:rFonts w:ascii="Arial" w:cs="Arial" w:eastAsia="Arial" w:hAnsi="Arial"/>
          <w:sz w:val="22"/>
          <w:szCs w:val="22"/>
          <w:color w:val="auto"/>
        </w:rPr>
        <w:t>” means the execution, delivery and performance by each Loan Party of each Loan Document to which it is a party, the borrowing of Loans and the use of the proceeds thereof.</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Type</w:t>
      </w:r>
      <w:r>
        <w:rPr>
          <w:rFonts w:ascii="Arial" w:cs="Arial" w:eastAsia="Arial" w:hAnsi="Arial"/>
          <w:sz w:val="22"/>
          <w:szCs w:val="22"/>
          <w:color w:val="auto"/>
        </w:rPr>
        <w:t>”, when used in reference to any Loan or Borrowing, refers to whether the rate of interest on such Loan, or on the Loans comprising such Borrowing, is determined by reference to a Relevant Adjusted Rate, the Alternate Base Rate or the Central Bank Rate.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UK Borrower</w:t>
      </w:r>
      <w:r>
        <w:rPr>
          <w:rFonts w:ascii="Arial" w:cs="Arial" w:eastAsia="Arial" w:hAnsi="Arial"/>
          <w:sz w:val="22"/>
          <w:szCs w:val="22"/>
          <w:color w:val="auto"/>
        </w:rPr>
        <w:t>” means any Borrower that is organized or formed under the laws of the United Kingdom.</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i w:val="1"/>
          <w:iCs w:val="1"/>
          <w:color w:val="auto"/>
        </w:rPr>
        <w:t>“UK Financial Institutions</w:t>
      </w:r>
      <w:r>
        <w:rPr>
          <w:rFonts w:ascii="Arial" w:cs="Arial" w:eastAsia="Arial" w:hAnsi="Arial"/>
          <w:sz w:val="22"/>
          <w:szCs w:val="22"/>
          <w:color w:val="auto"/>
        </w:rPr>
        <w:t>” means any BRRD Undertaking (as such term is defined under the PRA Rulebook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UK Non-Bank Lender</w:t>
      </w:r>
      <w:r>
        <w:rPr>
          <w:rFonts w:ascii="Arial" w:cs="Arial" w:eastAsia="Arial" w:hAnsi="Arial"/>
          <w:sz w:val="22"/>
          <w:szCs w:val="22"/>
          <w:color w:val="auto"/>
        </w:rPr>
        <w:t>” means a Lender which is beneficially entitled to interest payable to that Lender by a UK Borrower in respect of an advance under this Agreement and is a Lender which is:</w:t>
      </w:r>
    </w:p>
    <w:p>
      <w:pPr>
        <w:spacing w:after="0" w:line="175" w:lineRule="exact"/>
        <w:rPr>
          <w:sz w:val="20"/>
          <w:szCs w:val="20"/>
          <w:color w:val="auto"/>
        </w:rPr>
      </w:pPr>
    </w:p>
    <w:p>
      <w:pPr>
        <w:ind w:left="1300" w:hanging="543"/>
        <w:spacing w:after="0"/>
        <w:tabs>
          <w:tab w:leader="none" w:pos="13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 company resident in the United Kingdom for United Kingdom tax purposes;</w:t>
      </w:r>
    </w:p>
    <w:p>
      <w:pPr>
        <w:spacing w:after="0" w:line="206" w:lineRule="exact"/>
        <w:rPr>
          <w:rFonts w:ascii="Arial" w:cs="Arial" w:eastAsia="Arial" w:hAnsi="Arial"/>
          <w:sz w:val="22"/>
          <w:szCs w:val="22"/>
          <w:color w:val="auto"/>
        </w:rPr>
      </w:pPr>
    </w:p>
    <w:p>
      <w:pPr>
        <w:jc w:val="both"/>
        <w:ind w:firstLine="757"/>
        <w:spacing w:after="0" w:line="252" w:lineRule="auto"/>
        <w:tabs>
          <w:tab w:leader="none" w:pos="1299" w:val="left"/>
        </w:tabs>
        <w:numPr>
          <w:ilvl w:val="0"/>
          <w:numId w:val="204"/>
        </w:numPr>
        <w:rPr>
          <w:rFonts w:ascii="Arial" w:cs="Arial" w:eastAsia="Arial" w:hAnsi="Arial"/>
          <w:sz w:val="21"/>
          <w:szCs w:val="21"/>
          <w:color w:val="auto"/>
        </w:rPr>
      </w:pPr>
      <w:r>
        <w:rPr>
          <w:rFonts w:ascii="Arial" w:cs="Arial" w:eastAsia="Arial" w:hAnsi="Arial"/>
          <w:sz w:val="21"/>
          <w:szCs w:val="21"/>
          <w:color w:val="auto"/>
        </w:rPr>
        <w:t>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173" w:lineRule="exact"/>
        <w:rPr>
          <w:rFonts w:ascii="Arial" w:cs="Arial" w:eastAsia="Arial" w:hAnsi="Arial"/>
          <w:sz w:val="21"/>
          <w:szCs w:val="21"/>
          <w:color w:val="auto"/>
        </w:rPr>
      </w:pPr>
    </w:p>
    <w:p>
      <w:pPr>
        <w:jc w:val="both"/>
        <w:ind w:firstLine="757"/>
        <w:spacing w:after="0"/>
        <w:tabs>
          <w:tab w:leader="none" w:pos="1325"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UK Qualifying Lender</w:t>
      </w:r>
      <w:r>
        <w:rPr>
          <w:rFonts w:ascii="Arial" w:cs="Arial" w:eastAsia="Arial" w:hAnsi="Arial"/>
          <w:sz w:val="22"/>
          <w:szCs w:val="22"/>
          <w:color w:val="auto"/>
        </w:rPr>
        <w:t>” means:</w:t>
      </w:r>
    </w:p>
    <w:p>
      <w:pPr>
        <w:spacing w:after="0" w:line="206" w:lineRule="exact"/>
        <w:rPr>
          <w:sz w:val="20"/>
          <w:szCs w:val="20"/>
          <w:color w:val="auto"/>
        </w:rPr>
      </w:pPr>
    </w:p>
    <w:p>
      <w:pPr>
        <w:ind w:firstLine="757"/>
        <w:spacing w:after="0" w:line="250" w:lineRule="auto"/>
        <w:tabs>
          <w:tab w:leader="none" w:pos="133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a Lender which is beneficially entitled to interest payable by a UK Borrower to that Lender in respect of an advance under this Agreement and is: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 a Lender: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2" w:name="page233"/>
    <w:bookmarkEnd w:id="232"/>
    <w:p>
      <w:pPr>
        <w:jc w:val="both"/>
        <w:ind w:left="2660" w:hanging="647"/>
        <w:spacing w:after="0" w:line="238" w:lineRule="auto"/>
        <w:tabs>
          <w:tab w:leader="none" w:pos="3115" w:val="left"/>
        </w:tabs>
        <w:numPr>
          <w:ilvl w:val="2"/>
          <w:numId w:val="206"/>
        </w:numPr>
        <w:rPr>
          <w:rFonts w:ascii="Arial" w:cs="Arial" w:eastAsia="Arial" w:hAnsi="Arial"/>
          <w:sz w:val="22"/>
          <w:szCs w:val="22"/>
          <w:color w:val="auto"/>
        </w:rPr>
      </w:pPr>
      <w:r>
        <w:rPr>
          <w:rFonts w:ascii="Arial" w:cs="Arial" w:eastAsia="Arial" w:hAnsi="Arial"/>
          <w:sz w:val="22"/>
          <w:szCs w:val="22"/>
          <w:color w:val="auto"/>
        </w:rPr>
        <w:t>which is a bank (as defined for the purpose of section 879 of the ITA) making an advance under this Agreement and is within the charge to United Kingdom corporation tax as respects any payments of interest made in respect of that advance or would be within such charge as respects such payments apart from section 18A of the CTA; or</w:t>
      </w:r>
    </w:p>
    <w:p>
      <w:pPr>
        <w:spacing w:after="0" w:line="184" w:lineRule="exact"/>
        <w:rPr>
          <w:rFonts w:ascii="Arial" w:cs="Arial" w:eastAsia="Arial" w:hAnsi="Arial"/>
          <w:sz w:val="22"/>
          <w:szCs w:val="22"/>
          <w:color w:val="auto"/>
        </w:rPr>
      </w:pPr>
    </w:p>
    <w:p>
      <w:pPr>
        <w:jc w:val="both"/>
        <w:ind w:left="2660" w:hanging="647"/>
        <w:spacing w:after="0" w:line="238" w:lineRule="auto"/>
        <w:tabs>
          <w:tab w:leader="none" w:pos="3102" w:val="left"/>
        </w:tabs>
        <w:numPr>
          <w:ilvl w:val="2"/>
          <w:numId w:val="206"/>
        </w:numPr>
        <w:rPr>
          <w:rFonts w:ascii="Arial" w:cs="Arial" w:eastAsia="Arial" w:hAnsi="Arial"/>
          <w:sz w:val="22"/>
          <w:szCs w:val="22"/>
          <w:color w:val="auto"/>
        </w:rPr>
      </w:pPr>
      <w:r>
        <w:rPr>
          <w:rFonts w:ascii="Arial" w:cs="Arial" w:eastAsia="Arial" w:hAnsi="Arial"/>
          <w:sz w:val="22"/>
          <w:szCs w:val="22"/>
          <w:color w:val="auto"/>
        </w:rPr>
        <w:t>in respect of an advance made under this Agreement by a person that was a bank (as defined for the purpose of section 879 of the ITA) at the time that that advance was made and within the charge to United Kingdom corporation tax as respects any payments of interest made in respect of that advance; or</w:t>
      </w:r>
    </w:p>
    <w:p>
      <w:pPr>
        <w:spacing w:after="0" w:line="184" w:lineRule="exact"/>
        <w:rPr>
          <w:rFonts w:ascii="Arial" w:cs="Arial" w:eastAsia="Arial" w:hAnsi="Arial"/>
          <w:sz w:val="22"/>
          <w:szCs w:val="22"/>
          <w:color w:val="auto"/>
        </w:rPr>
      </w:pPr>
    </w:p>
    <w:p>
      <w:pPr>
        <w:ind w:left="1920" w:hanging="1027"/>
        <w:spacing w:after="0"/>
        <w:tabs>
          <w:tab w:leader="none" w:pos="1920" w:val="left"/>
        </w:tabs>
        <w:numPr>
          <w:ilvl w:val="1"/>
          <w:numId w:val="207"/>
        </w:numPr>
        <w:rPr>
          <w:rFonts w:ascii="Arial" w:cs="Arial" w:eastAsia="Arial" w:hAnsi="Arial"/>
          <w:sz w:val="22"/>
          <w:szCs w:val="22"/>
          <w:color w:val="auto"/>
        </w:rPr>
      </w:pPr>
      <w:r>
        <w:rPr>
          <w:rFonts w:ascii="Arial" w:cs="Arial" w:eastAsia="Arial" w:hAnsi="Arial"/>
          <w:sz w:val="22"/>
          <w:szCs w:val="22"/>
          <w:color w:val="auto"/>
        </w:rPr>
        <w:t>a Lender which is:</w:t>
      </w:r>
    </w:p>
    <w:p>
      <w:pPr>
        <w:spacing w:after="0" w:line="206" w:lineRule="exact"/>
        <w:rPr>
          <w:rFonts w:ascii="Arial" w:cs="Arial" w:eastAsia="Arial" w:hAnsi="Arial"/>
          <w:sz w:val="22"/>
          <w:szCs w:val="22"/>
          <w:color w:val="auto"/>
        </w:rPr>
      </w:pPr>
    </w:p>
    <w:p>
      <w:pPr>
        <w:ind w:left="3100" w:hanging="1087"/>
        <w:spacing w:after="0"/>
        <w:tabs>
          <w:tab w:leader="none" w:pos="3100" w:val="left"/>
        </w:tabs>
        <w:numPr>
          <w:ilvl w:val="2"/>
          <w:numId w:val="207"/>
        </w:numPr>
        <w:rPr>
          <w:rFonts w:ascii="Arial" w:cs="Arial" w:eastAsia="Arial" w:hAnsi="Arial"/>
          <w:sz w:val="22"/>
          <w:szCs w:val="22"/>
          <w:color w:val="auto"/>
        </w:rPr>
      </w:pPr>
      <w:r>
        <w:rPr>
          <w:rFonts w:ascii="Arial" w:cs="Arial" w:eastAsia="Arial" w:hAnsi="Arial"/>
          <w:sz w:val="22"/>
          <w:szCs w:val="22"/>
          <w:color w:val="auto"/>
        </w:rPr>
        <w:t>a company resident in the United Kingdom for United Kingdom tax purposes;</w:t>
      </w:r>
    </w:p>
    <w:p>
      <w:pPr>
        <w:spacing w:after="0" w:line="165" w:lineRule="exact"/>
        <w:rPr>
          <w:rFonts w:ascii="Arial" w:cs="Arial" w:eastAsia="Arial" w:hAnsi="Arial"/>
          <w:sz w:val="22"/>
          <w:szCs w:val="22"/>
          <w:color w:val="auto"/>
        </w:rPr>
      </w:pPr>
    </w:p>
    <w:p>
      <w:pPr>
        <w:ind w:left="3100" w:hanging="1087"/>
        <w:spacing w:after="0"/>
        <w:tabs>
          <w:tab w:leader="none" w:pos="3100" w:val="left"/>
        </w:tabs>
        <w:numPr>
          <w:ilvl w:val="2"/>
          <w:numId w:val="207"/>
        </w:numPr>
        <w:rPr>
          <w:rFonts w:ascii="Arial" w:cs="Arial" w:eastAsia="Arial" w:hAnsi="Arial"/>
          <w:sz w:val="22"/>
          <w:szCs w:val="22"/>
          <w:color w:val="auto"/>
        </w:rPr>
      </w:pPr>
      <w:r>
        <w:rPr>
          <w:rFonts w:ascii="Arial" w:cs="Arial" w:eastAsia="Arial" w:hAnsi="Arial"/>
          <w:sz w:val="22"/>
          <w:szCs w:val="22"/>
          <w:color w:val="auto"/>
        </w:rPr>
        <w:t>a partnership each member of which is:</w:t>
      </w:r>
    </w:p>
    <w:p>
      <w:pPr>
        <w:spacing w:after="0" w:line="179" w:lineRule="exact"/>
        <w:rPr>
          <w:rFonts w:ascii="Arial" w:cs="Arial" w:eastAsia="Arial" w:hAnsi="Arial"/>
          <w:sz w:val="22"/>
          <w:szCs w:val="22"/>
          <w:color w:val="auto"/>
        </w:rPr>
      </w:pPr>
    </w:p>
    <w:p>
      <w:pPr>
        <w:ind w:left="3440" w:hanging="811"/>
        <w:spacing w:after="0"/>
        <w:tabs>
          <w:tab w:leader="none" w:pos="3440" w:val="left"/>
        </w:tabs>
        <w:numPr>
          <w:ilvl w:val="3"/>
          <w:numId w:val="207"/>
        </w:numPr>
        <w:rPr>
          <w:rFonts w:ascii="Arial" w:cs="Arial" w:eastAsia="Arial" w:hAnsi="Arial"/>
          <w:sz w:val="22"/>
          <w:szCs w:val="22"/>
          <w:color w:val="auto"/>
        </w:rPr>
      </w:pPr>
      <w:r>
        <w:rPr>
          <w:rFonts w:ascii="Arial" w:cs="Arial" w:eastAsia="Arial" w:hAnsi="Arial"/>
          <w:sz w:val="22"/>
          <w:szCs w:val="22"/>
          <w:color w:val="auto"/>
        </w:rPr>
        <w:t>a company so resident in the United Kingdom; or</w:t>
      </w:r>
    </w:p>
    <w:p>
      <w:pPr>
        <w:spacing w:after="0" w:line="206" w:lineRule="exact"/>
        <w:rPr>
          <w:rFonts w:ascii="Arial" w:cs="Arial" w:eastAsia="Arial" w:hAnsi="Arial"/>
          <w:sz w:val="22"/>
          <w:szCs w:val="22"/>
          <w:color w:val="auto"/>
        </w:rPr>
      </w:pPr>
    </w:p>
    <w:p>
      <w:pPr>
        <w:jc w:val="both"/>
        <w:ind w:left="3000" w:hanging="371"/>
        <w:spacing w:after="0" w:line="287" w:lineRule="auto"/>
        <w:tabs>
          <w:tab w:leader="none" w:pos="3444" w:val="left"/>
        </w:tabs>
        <w:numPr>
          <w:ilvl w:val="3"/>
          <w:numId w:val="207"/>
        </w:numPr>
        <w:rPr>
          <w:rFonts w:ascii="Arial" w:cs="Arial" w:eastAsia="Arial" w:hAnsi="Arial"/>
          <w:sz w:val="19"/>
          <w:szCs w:val="19"/>
          <w:color w:val="auto"/>
        </w:rPr>
      </w:pPr>
      <w:r>
        <w:rPr>
          <w:rFonts w:ascii="Arial" w:cs="Arial" w:eastAsia="Arial" w:hAnsi="Arial"/>
          <w:sz w:val="19"/>
          <w:szCs w:val="19"/>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142" w:lineRule="exact"/>
        <w:rPr>
          <w:rFonts w:ascii="Arial" w:cs="Arial" w:eastAsia="Arial" w:hAnsi="Arial"/>
          <w:sz w:val="19"/>
          <w:szCs w:val="19"/>
          <w:color w:val="auto"/>
        </w:rPr>
      </w:pPr>
    </w:p>
    <w:p>
      <w:pPr>
        <w:jc w:val="both"/>
        <w:ind w:left="2660" w:hanging="645"/>
        <w:spacing w:after="0" w:line="238" w:lineRule="auto"/>
        <w:tabs>
          <w:tab w:leader="none" w:pos="3124" w:val="left"/>
        </w:tabs>
        <w:numPr>
          <w:ilvl w:val="2"/>
          <w:numId w:val="207"/>
        </w:numPr>
        <w:rPr>
          <w:rFonts w:ascii="Arial" w:cs="Arial" w:eastAsia="Arial" w:hAnsi="Arial"/>
          <w:sz w:val="22"/>
          <w:szCs w:val="22"/>
          <w:color w:val="auto"/>
        </w:rPr>
      </w:pPr>
      <w:r>
        <w:rPr>
          <w:rFonts w:ascii="Arial" w:cs="Arial" w:eastAsia="Arial" w:hAnsi="Arial"/>
          <w:sz w:val="22"/>
          <w:szCs w:val="22"/>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144" w:lineRule="exact"/>
        <w:rPr>
          <w:rFonts w:ascii="Arial" w:cs="Arial" w:eastAsia="Arial" w:hAnsi="Arial"/>
          <w:sz w:val="22"/>
          <w:szCs w:val="22"/>
          <w:color w:val="auto"/>
        </w:rPr>
      </w:pPr>
    </w:p>
    <w:p>
      <w:pPr>
        <w:ind w:left="1300" w:hanging="543"/>
        <w:spacing w:after="0"/>
        <w:tabs>
          <w:tab w:leader="none" w:pos="130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a UK Treaty Lender; or</w:t>
      </w:r>
    </w:p>
    <w:p>
      <w:pPr>
        <w:spacing w:after="0" w:line="206" w:lineRule="exact"/>
        <w:rPr>
          <w:sz w:val="20"/>
          <w:szCs w:val="20"/>
          <w:color w:val="auto"/>
        </w:rPr>
      </w:pPr>
    </w:p>
    <w:p>
      <w:pPr>
        <w:ind w:firstLine="757"/>
        <w:spacing w:after="0" w:line="250" w:lineRule="auto"/>
        <w:tabs>
          <w:tab w:leader="none" w:pos="1316" w:val="left"/>
        </w:tabs>
        <w:numPr>
          <w:ilvl w:val="0"/>
          <w:numId w:val="209"/>
        </w:numPr>
        <w:rPr>
          <w:rFonts w:ascii="Arial" w:cs="Arial" w:eastAsia="Arial" w:hAnsi="Arial"/>
          <w:sz w:val="22"/>
          <w:szCs w:val="22"/>
          <w:color w:val="auto"/>
        </w:rPr>
      </w:pPr>
      <w:r>
        <w:rPr>
          <w:rFonts w:ascii="Arial" w:cs="Arial" w:eastAsia="Arial" w:hAnsi="Arial"/>
          <w:sz w:val="22"/>
          <w:szCs w:val="22"/>
          <w:color w:val="auto"/>
        </w:rPr>
        <w:t>a Lender which is a building society (as defined for the purpose of section 880 of the ITA) making an advance under this Agreement.</w:t>
      </w:r>
    </w:p>
    <w:p>
      <w:pPr>
        <w:spacing w:after="0" w:line="17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7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UK Tax Confirmation</w:t>
      </w:r>
      <w:r>
        <w:rPr>
          <w:rFonts w:ascii="Arial" w:cs="Arial" w:eastAsia="Arial" w:hAnsi="Arial"/>
          <w:sz w:val="22"/>
          <w:szCs w:val="22"/>
          <w:color w:val="auto"/>
        </w:rPr>
        <w:t>” means a confirmation by a Lender that the person beneficially entitled to interest payable to that Lender by a UK Borrower in respect of an advance under this Agreement is either:</w:t>
      </w:r>
    </w:p>
    <w:p>
      <w:pPr>
        <w:spacing w:after="0" w:line="175" w:lineRule="exact"/>
        <w:rPr>
          <w:sz w:val="20"/>
          <w:szCs w:val="20"/>
          <w:color w:val="auto"/>
        </w:rPr>
      </w:pPr>
    </w:p>
    <w:p>
      <w:pPr>
        <w:ind w:left="2060" w:hanging="555"/>
        <w:spacing w:after="0"/>
        <w:tabs>
          <w:tab w:leader="none" w:pos="206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a company resident in the United Kingdom for United Kingdom tax purposes;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3" w:name="page234"/>
    <w:bookmarkEnd w:id="233"/>
    <w:p>
      <w:pPr>
        <w:ind w:left="1820" w:hanging="315"/>
        <w:spacing w:after="0"/>
        <w:tabs>
          <w:tab w:leader="none" w:pos="182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a partnership each member of which is:</w:t>
      </w:r>
    </w:p>
    <w:p>
      <w:pPr>
        <w:spacing w:after="0" w:line="206" w:lineRule="exact"/>
        <w:rPr>
          <w:rFonts w:ascii="Arial" w:cs="Arial" w:eastAsia="Arial" w:hAnsi="Arial"/>
          <w:sz w:val="22"/>
          <w:szCs w:val="22"/>
          <w:color w:val="auto"/>
        </w:rPr>
      </w:pPr>
    </w:p>
    <w:p>
      <w:pPr>
        <w:ind w:left="3100" w:hanging="1087"/>
        <w:spacing w:after="0"/>
        <w:tabs>
          <w:tab w:leader="none" w:pos="3100" w:val="left"/>
        </w:tabs>
        <w:numPr>
          <w:ilvl w:val="1"/>
          <w:numId w:val="211"/>
        </w:numPr>
        <w:rPr>
          <w:rFonts w:ascii="Arial" w:cs="Arial" w:eastAsia="Arial" w:hAnsi="Arial"/>
          <w:sz w:val="22"/>
          <w:szCs w:val="22"/>
          <w:color w:val="auto"/>
        </w:rPr>
      </w:pPr>
      <w:r>
        <w:rPr>
          <w:rFonts w:ascii="Arial" w:cs="Arial" w:eastAsia="Arial" w:hAnsi="Arial"/>
          <w:sz w:val="22"/>
          <w:szCs w:val="22"/>
          <w:color w:val="auto"/>
        </w:rPr>
        <w:t>a company so resident in the United Kingdom; or</w:t>
      </w:r>
    </w:p>
    <w:p>
      <w:pPr>
        <w:spacing w:after="0" w:line="206" w:lineRule="exact"/>
        <w:rPr>
          <w:rFonts w:ascii="Arial" w:cs="Arial" w:eastAsia="Arial" w:hAnsi="Arial"/>
          <w:sz w:val="22"/>
          <w:szCs w:val="22"/>
          <w:color w:val="auto"/>
        </w:rPr>
      </w:pPr>
    </w:p>
    <w:p>
      <w:pPr>
        <w:jc w:val="both"/>
        <w:ind w:left="2660" w:hanging="647"/>
        <w:spacing w:after="0" w:line="252" w:lineRule="auto"/>
        <w:tabs>
          <w:tab w:leader="none" w:pos="3124" w:val="left"/>
        </w:tabs>
        <w:numPr>
          <w:ilvl w:val="1"/>
          <w:numId w:val="211"/>
        </w:numPr>
        <w:rPr>
          <w:rFonts w:ascii="Arial" w:cs="Arial" w:eastAsia="Arial" w:hAnsi="Arial"/>
          <w:sz w:val="21"/>
          <w:szCs w:val="21"/>
          <w:color w:val="auto"/>
        </w:rPr>
      </w:pPr>
      <w:r>
        <w:rPr>
          <w:rFonts w:ascii="Arial" w:cs="Arial" w:eastAsia="Arial" w:hAnsi="Arial"/>
          <w:sz w:val="21"/>
          <w:szCs w:val="21"/>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73" w:lineRule="exact"/>
        <w:rPr>
          <w:rFonts w:ascii="Arial" w:cs="Arial" w:eastAsia="Arial" w:hAnsi="Arial"/>
          <w:sz w:val="21"/>
          <w:szCs w:val="21"/>
          <w:color w:val="auto"/>
        </w:rPr>
      </w:pPr>
    </w:p>
    <w:p>
      <w:pPr>
        <w:jc w:val="both"/>
        <w:ind w:left="1500" w:firstLine="5"/>
        <w:spacing w:after="0" w:line="297" w:lineRule="auto"/>
        <w:tabs>
          <w:tab w:leader="none" w:pos="1878" w:val="left"/>
        </w:tabs>
        <w:numPr>
          <w:ilvl w:val="0"/>
          <w:numId w:val="211"/>
        </w:numPr>
        <w:rPr>
          <w:rFonts w:ascii="Arial" w:cs="Arial" w:eastAsia="Arial" w:hAnsi="Arial"/>
          <w:sz w:val="19"/>
          <w:szCs w:val="19"/>
          <w:color w:val="auto"/>
        </w:rPr>
      </w:pPr>
      <w:r>
        <w:rPr>
          <w:rFonts w:ascii="Arial" w:cs="Arial" w:eastAsia="Arial" w:hAnsi="Arial"/>
          <w:sz w:val="19"/>
          <w:szCs w:val="19"/>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UK Treaty Lender</w:t>
      </w:r>
      <w:r>
        <w:rPr>
          <w:rFonts w:ascii="Arial" w:cs="Arial" w:eastAsia="Arial" w:hAnsi="Arial"/>
          <w:sz w:val="22"/>
          <w:szCs w:val="22"/>
          <w:color w:val="auto"/>
        </w:rPr>
        <w:t>” means</w:t>
      </w:r>
    </w:p>
    <w:p>
      <w:pPr>
        <w:spacing w:after="0" w:line="206" w:lineRule="exact"/>
        <w:rPr>
          <w:sz w:val="20"/>
          <w:szCs w:val="20"/>
          <w:color w:val="auto"/>
        </w:rPr>
      </w:pPr>
    </w:p>
    <w:p>
      <w:pPr>
        <w:ind w:left="1500" w:hanging="690"/>
        <w:spacing w:after="0" w:line="250" w:lineRule="auto"/>
        <w:tabs>
          <w:tab w:leader="none" w:pos="1526" w:val="left"/>
        </w:tabs>
        <w:numPr>
          <w:ilvl w:val="0"/>
          <w:numId w:val="212"/>
        </w:numPr>
        <w:rPr>
          <w:rFonts w:ascii="Arial" w:cs="Arial" w:eastAsia="Arial" w:hAnsi="Arial"/>
          <w:sz w:val="22"/>
          <w:szCs w:val="22"/>
          <w:color w:val="auto"/>
        </w:rPr>
      </w:pPr>
      <w:r>
        <w:rPr>
          <w:rFonts w:ascii="Arial" w:cs="Arial" w:eastAsia="Arial" w:hAnsi="Arial"/>
          <w:sz w:val="22"/>
          <w:szCs w:val="22"/>
          <w:color w:val="auto"/>
        </w:rPr>
        <w:t>in respect of a payment by a UK Borrower under this Agreement, a Lender which is beneficially entitled to interest payable by that UK Borrower in respect of an advance under this Agreement and:</w:t>
      </w:r>
    </w:p>
    <w:p>
      <w:pPr>
        <w:spacing w:after="0" w:line="174" w:lineRule="exact"/>
        <w:rPr>
          <w:rFonts w:ascii="Arial" w:cs="Arial" w:eastAsia="Arial" w:hAnsi="Arial"/>
          <w:sz w:val="22"/>
          <w:szCs w:val="22"/>
          <w:color w:val="auto"/>
        </w:rPr>
      </w:pPr>
    </w:p>
    <w:p>
      <w:pPr>
        <w:ind w:left="2260" w:hanging="754"/>
        <w:spacing w:after="0"/>
        <w:tabs>
          <w:tab w:leader="none" w:pos="2260" w:val="left"/>
        </w:tabs>
        <w:numPr>
          <w:ilvl w:val="1"/>
          <w:numId w:val="212"/>
        </w:numPr>
        <w:rPr>
          <w:rFonts w:ascii="Arial" w:cs="Arial" w:eastAsia="Arial" w:hAnsi="Arial"/>
          <w:sz w:val="22"/>
          <w:szCs w:val="22"/>
          <w:color w:val="auto"/>
        </w:rPr>
      </w:pPr>
      <w:r>
        <w:rPr>
          <w:rFonts w:ascii="Arial" w:cs="Arial" w:eastAsia="Arial" w:hAnsi="Arial"/>
          <w:sz w:val="22"/>
          <w:szCs w:val="22"/>
          <w:color w:val="auto"/>
        </w:rPr>
        <w:t>is treated as a resident of a UK Treaty State for the purposes of the UK Treaty;</w:t>
      </w:r>
    </w:p>
    <w:p>
      <w:pPr>
        <w:spacing w:after="0" w:line="152" w:lineRule="exact"/>
        <w:rPr>
          <w:rFonts w:ascii="Arial" w:cs="Arial" w:eastAsia="Arial" w:hAnsi="Arial"/>
          <w:sz w:val="22"/>
          <w:szCs w:val="22"/>
          <w:color w:val="auto"/>
        </w:rPr>
      </w:pPr>
    </w:p>
    <w:p>
      <w:pPr>
        <w:ind w:left="2260" w:hanging="754"/>
        <w:spacing w:after="0" w:line="250" w:lineRule="auto"/>
        <w:tabs>
          <w:tab w:leader="none" w:pos="2262" w:val="left"/>
        </w:tabs>
        <w:numPr>
          <w:ilvl w:val="1"/>
          <w:numId w:val="212"/>
        </w:numPr>
        <w:rPr>
          <w:rFonts w:ascii="Arial" w:cs="Arial" w:eastAsia="Arial" w:hAnsi="Arial"/>
          <w:sz w:val="22"/>
          <w:szCs w:val="22"/>
          <w:color w:val="auto"/>
        </w:rPr>
      </w:pPr>
      <w:r>
        <w:rPr>
          <w:rFonts w:ascii="Arial" w:cs="Arial" w:eastAsia="Arial" w:hAnsi="Arial"/>
          <w:sz w:val="22"/>
          <w:szCs w:val="22"/>
          <w:color w:val="auto"/>
        </w:rPr>
        <w:t>does not carry on a business in the United Kingdom through a permanent establishment with which that Lender’s participation in the Loan is effectively connected; and</w:t>
      </w:r>
    </w:p>
    <w:p>
      <w:pPr>
        <w:spacing w:after="0" w:line="120" w:lineRule="exact"/>
        <w:rPr>
          <w:rFonts w:ascii="Arial" w:cs="Arial" w:eastAsia="Arial" w:hAnsi="Arial"/>
          <w:sz w:val="22"/>
          <w:szCs w:val="22"/>
          <w:color w:val="auto"/>
        </w:rPr>
      </w:pPr>
    </w:p>
    <w:p>
      <w:pPr>
        <w:jc w:val="both"/>
        <w:ind w:left="2260" w:hanging="754"/>
        <w:spacing w:after="0" w:line="235" w:lineRule="auto"/>
        <w:tabs>
          <w:tab w:leader="none" w:pos="2695" w:val="left"/>
        </w:tabs>
        <w:numPr>
          <w:ilvl w:val="1"/>
          <w:numId w:val="212"/>
        </w:numPr>
        <w:rPr>
          <w:rFonts w:ascii="Arial" w:cs="Arial" w:eastAsia="Arial" w:hAnsi="Arial"/>
          <w:sz w:val="22"/>
          <w:szCs w:val="22"/>
          <w:color w:val="auto"/>
        </w:rPr>
      </w:pPr>
      <w:r>
        <w:rPr>
          <w:rFonts w:ascii="Arial" w:cs="Arial" w:eastAsia="Arial" w:hAnsi="Arial"/>
          <w:sz w:val="22"/>
          <w:szCs w:val="22"/>
          <w:color w:val="auto"/>
        </w:rPr>
        <w:t xml:space="preserve">fulfils any other conditions which must be fulfilled by that Lender under the UK Treaty in order to benefit from full exemption from Tax imposed by the United Kingdom on interest payments such that any payment of interest may be made by the UK Borrower to that Lender without incurring a Tax Deduction, including the completion of any necessary procedural formalities (but such Lender will have completed all necessary procedural formalities for this purpose if it complies with </w:t>
      </w:r>
      <w:r>
        <w:rPr>
          <w:rFonts w:ascii="Arial" w:cs="Arial" w:eastAsia="Arial" w:hAnsi="Arial"/>
          <w:sz w:val="22"/>
          <w:szCs w:val="22"/>
          <w:u w:val="single" w:color="auto"/>
          <w:color w:val="auto"/>
        </w:rPr>
        <w:t>Section 2.17(g)</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w:t>
      </w:r>
    </w:p>
    <w:p>
      <w:pPr>
        <w:spacing w:after="0" w:line="134"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UK Treaty State</w:t>
      </w:r>
      <w:r>
        <w:rPr>
          <w:rFonts w:ascii="Arial" w:cs="Arial" w:eastAsia="Arial" w:hAnsi="Arial"/>
          <w:sz w:val="22"/>
          <w:szCs w:val="22"/>
          <w:color w:val="auto"/>
        </w:rPr>
        <w:t>” means a jurisdiction having a double taxation agreement (a “</w:t>
      </w:r>
      <w:r>
        <w:rPr>
          <w:rFonts w:ascii="Arial" w:cs="Arial" w:eastAsia="Arial" w:hAnsi="Arial"/>
          <w:sz w:val="22"/>
          <w:szCs w:val="22"/>
          <w:b w:val="1"/>
          <w:bCs w:val="1"/>
          <w:i w:val="1"/>
          <w:iCs w:val="1"/>
          <w:color w:val="auto"/>
        </w:rPr>
        <w:t>UK Treaty</w:t>
      </w:r>
      <w:r>
        <w:rPr>
          <w:rFonts w:ascii="Arial" w:cs="Arial" w:eastAsia="Arial" w:hAnsi="Arial"/>
          <w:sz w:val="22"/>
          <w:szCs w:val="22"/>
          <w:color w:val="auto"/>
        </w:rPr>
        <w:t>”) with the United Kingdom which makes provision for full exemption from tax imposed by the United Kingdom on interest.</w:t>
      </w:r>
    </w:p>
    <w:p>
      <w:pPr>
        <w:spacing w:after="0" w:line="17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 Dollars</w:t>
      </w:r>
      <w:r>
        <w:rPr>
          <w:rFonts w:ascii="Arial" w:cs="Arial" w:eastAsia="Arial" w:hAnsi="Arial"/>
          <w:sz w:val="22"/>
          <w:szCs w:val="22"/>
          <w:color w:val="auto"/>
        </w:rPr>
        <w:t>” or “</w:t>
      </w:r>
      <w:r>
        <w:rPr>
          <w:rFonts w:ascii="Arial" w:cs="Arial" w:eastAsia="Arial" w:hAnsi="Arial"/>
          <w:sz w:val="22"/>
          <w:szCs w:val="22"/>
          <w:b w:val="1"/>
          <w:bCs w:val="1"/>
          <w:i w:val="1"/>
          <w:iCs w:val="1"/>
          <w:color w:val="auto"/>
        </w:rPr>
        <w:t>$</w:t>
      </w:r>
      <w:r>
        <w:rPr>
          <w:rFonts w:ascii="Arial" w:cs="Arial" w:eastAsia="Arial" w:hAnsi="Arial"/>
          <w:sz w:val="22"/>
          <w:szCs w:val="22"/>
          <w:color w:val="auto"/>
        </w:rPr>
        <w:t>” means the lawful currency of the United States of America.</w:t>
      </w:r>
    </w:p>
    <w:p>
      <w:pPr>
        <w:spacing w:after="0" w:line="20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 Government Securities Business Day</w:t>
      </w:r>
      <w:r>
        <w:rPr>
          <w:rFonts w:ascii="Arial" w:cs="Arial" w:eastAsia="Arial" w:hAnsi="Arial"/>
          <w:sz w:val="22"/>
          <w:szCs w:val="22"/>
          <w:color w:val="auto"/>
        </w:rPr>
        <w:t>” means any day except for (i) a Saturday, (ii) a Sunday or (iii) a day on which the Securities Industry and Financial Markets Association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4" w:name="page235"/>
    <w:bookmarkEnd w:id="234"/>
    <w:p>
      <w:pPr>
        <w:jc w:val="both"/>
        <w:spacing w:after="0" w:line="250" w:lineRule="auto"/>
        <w:rPr>
          <w:sz w:val="20"/>
          <w:szCs w:val="20"/>
          <w:color w:val="auto"/>
        </w:rPr>
      </w:pPr>
      <w:r>
        <w:rPr>
          <w:rFonts w:ascii="Arial" w:cs="Arial" w:eastAsia="Arial" w:hAnsi="Arial"/>
          <w:sz w:val="22"/>
          <w:szCs w:val="22"/>
          <w:color w:val="auto"/>
        </w:rPr>
        <w:t>recommends that the fixed income departments of its members be closed for the entire day for purposes of trading in United States government securities.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 Person</w:t>
      </w:r>
      <w:r>
        <w:rPr>
          <w:rFonts w:ascii="Arial" w:cs="Arial" w:eastAsia="Arial" w:hAnsi="Arial"/>
          <w:sz w:val="22"/>
          <w:szCs w:val="22"/>
          <w:color w:val="auto"/>
        </w:rPr>
        <w:t>” means a “United States person” within the meaning of Section 7701(a)(30) of the Code.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 Tax Compliance Certificate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2.17(f)(ii)(B)(3)</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VAT</w:t>
      </w:r>
      <w:r>
        <w:rPr>
          <w:rFonts w:ascii="Arial" w:cs="Arial" w:eastAsia="Arial" w:hAnsi="Arial"/>
          <w:sz w:val="21"/>
          <w:szCs w:val="21"/>
          <w:color w:val="auto"/>
        </w:rPr>
        <w:t>” means any tax imposed in compliance with the Council Directive of 28 November 2006 on the common system of value added tax (EC Directive 2006/112) as amended; and any other tax of a similar nature, whether imposed in a member state of the European Union in substitution for, or levied in addition to, or imposed elsewhere.</w:t>
      </w:r>
    </w:p>
    <w:p>
      <w:pPr>
        <w:spacing w:after="0" w:line="16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175"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Write-Down and Conversion Powers</w:t>
      </w:r>
      <w:r>
        <w:rPr>
          <w:rFonts w:ascii="Arial" w:cs="Arial" w:eastAsia="Arial" w:hAnsi="Arial"/>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Classification of Loans and Borrowings</w:t>
      </w:r>
      <w:r>
        <w:rPr>
          <w:rFonts w:ascii="Arial" w:cs="Arial" w:eastAsia="Arial" w:hAnsi="Arial"/>
          <w:sz w:val="19"/>
          <w:szCs w:val="19"/>
          <w:color w:val="auto"/>
        </w:rPr>
        <w:t xml:space="preserve">. For purposes of this Agreement, Loans may be classified and referred to by Class ( </w:t>
      </w:r>
      <w:r>
        <w:rPr>
          <w:rFonts w:ascii="Arial" w:cs="Arial" w:eastAsia="Arial" w:hAnsi="Arial"/>
          <w:sz w:val="19"/>
          <w:szCs w:val="19"/>
          <w:u w:val="single" w:color="auto"/>
          <w:color w:val="auto"/>
        </w:rPr>
        <w:t>e</w:t>
      </w:r>
      <w:r>
        <w:rPr>
          <w:rFonts w:ascii="Arial" w:cs="Arial" w:eastAsia="Arial" w:hAnsi="Arial"/>
          <w:sz w:val="19"/>
          <w:szCs w:val="19"/>
          <w:color w:val="auto"/>
        </w:rPr>
        <w:t>.</w:t>
      </w:r>
      <w:r>
        <w:rPr>
          <w:rFonts w:ascii="Arial" w:cs="Arial" w:eastAsia="Arial" w:hAnsi="Arial"/>
          <w:sz w:val="19"/>
          <w:szCs w:val="19"/>
          <w:u w:val="single" w:color="auto"/>
          <w:color w:val="auto"/>
        </w:rPr>
        <w:t>g</w:t>
      </w:r>
      <w:r>
        <w:rPr>
          <w:rFonts w:ascii="Arial" w:cs="Arial" w:eastAsia="Arial" w:hAnsi="Arial"/>
          <w:sz w:val="19"/>
          <w:szCs w:val="19"/>
          <w:color w:val="auto"/>
        </w:rPr>
        <w:t>., a “</w:t>
      </w:r>
      <w:r>
        <w:rPr>
          <w:rFonts w:ascii="Arial" w:cs="Arial" w:eastAsia="Arial" w:hAnsi="Arial"/>
          <w:sz w:val="19"/>
          <w:szCs w:val="19"/>
          <w:b w:val="1"/>
          <w:bCs w:val="1"/>
          <w:i w:val="1"/>
          <w:iCs w:val="1"/>
          <w:color w:val="auto"/>
        </w:rPr>
        <w:t>Revolving Loan</w:t>
      </w:r>
      <w:r>
        <w:rPr>
          <w:rFonts w:ascii="Arial" w:cs="Arial" w:eastAsia="Arial" w:hAnsi="Arial"/>
          <w:sz w:val="19"/>
          <w:szCs w:val="19"/>
          <w:color w:val="auto"/>
        </w:rPr>
        <w:t xml:space="preserve"> ”) or by Type (</w:t>
      </w:r>
      <w:r>
        <w:rPr>
          <w:rFonts w:ascii="Arial" w:cs="Arial" w:eastAsia="Arial" w:hAnsi="Arial"/>
          <w:sz w:val="19"/>
          <w:szCs w:val="19"/>
          <w:u w:val="single" w:color="auto"/>
          <w:color w:val="auto"/>
        </w:rPr>
        <w:t>e</w:t>
      </w:r>
      <w:r>
        <w:rPr>
          <w:rFonts w:ascii="Arial" w:cs="Arial" w:eastAsia="Arial" w:hAnsi="Arial"/>
          <w:sz w:val="19"/>
          <w:szCs w:val="19"/>
          <w:color w:val="auto"/>
        </w:rPr>
        <w:t>.</w:t>
      </w:r>
      <w:r>
        <w:rPr>
          <w:rFonts w:ascii="Arial" w:cs="Arial" w:eastAsia="Arial" w:hAnsi="Arial"/>
          <w:sz w:val="19"/>
          <w:szCs w:val="19"/>
          <w:u w:val="single" w:color="auto"/>
          <w:color w:val="auto"/>
        </w:rPr>
        <w:t>g</w:t>
      </w:r>
      <w:r>
        <w:rPr>
          <w:rFonts w:ascii="Arial" w:cs="Arial" w:eastAsia="Arial" w:hAnsi="Arial"/>
          <w:sz w:val="19"/>
          <w:szCs w:val="19"/>
          <w:color w:val="auto"/>
        </w:rPr>
        <w:t>., a “</w:t>
      </w:r>
      <w:r>
        <w:rPr>
          <w:rFonts w:ascii="Arial" w:cs="Arial" w:eastAsia="Arial" w:hAnsi="Arial"/>
          <w:sz w:val="19"/>
          <w:szCs w:val="19"/>
          <w:b w:val="1"/>
          <w:bCs w:val="1"/>
          <w:i w:val="1"/>
          <w:iCs w:val="1"/>
          <w:color w:val="auto"/>
        </w:rPr>
        <w:t>Term Benchmark Loan</w:t>
      </w:r>
      <w:r>
        <w:rPr>
          <w:rFonts w:ascii="Arial" w:cs="Arial" w:eastAsia="Arial" w:hAnsi="Arial"/>
          <w:sz w:val="19"/>
          <w:szCs w:val="19"/>
          <w:color w:val="auto"/>
        </w:rPr>
        <w:t>” or an “</w:t>
      </w:r>
      <w:r>
        <w:rPr>
          <w:rFonts w:ascii="Arial" w:cs="Arial" w:eastAsia="Arial" w:hAnsi="Arial"/>
          <w:sz w:val="19"/>
          <w:szCs w:val="19"/>
          <w:b w:val="1"/>
          <w:bCs w:val="1"/>
          <w:i w:val="1"/>
          <w:iCs w:val="1"/>
          <w:color w:val="auto"/>
        </w:rPr>
        <w:t>RFR Loan</w:t>
      </w:r>
      <w:r>
        <w:rPr>
          <w:rFonts w:ascii="Arial" w:cs="Arial" w:eastAsia="Arial" w:hAnsi="Arial"/>
          <w:sz w:val="19"/>
          <w:szCs w:val="19"/>
          <w:color w:val="auto"/>
        </w:rPr>
        <w:t xml:space="preserve"> ”) or by Class and Type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Arial" w:cs="Arial" w:eastAsia="Arial" w:hAnsi="Arial"/>
          <w:sz w:val="19"/>
          <w:szCs w:val="19"/>
          <w:color w:val="auto"/>
        </w:rPr>
        <w:t>., a “</w:t>
      </w:r>
      <w:r>
        <w:rPr>
          <w:rFonts w:ascii="Arial" w:cs="Arial" w:eastAsia="Arial" w:hAnsi="Arial"/>
          <w:sz w:val="19"/>
          <w:szCs w:val="19"/>
          <w:b w:val="1"/>
          <w:bCs w:val="1"/>
          <w:i w:val="1"/>
          <w:iCs w:val="1"/>
          <w:color w:val="auto"/>
        </w:rPr>
        <w:t>Term Benchmark Revolving Loan</w:t>
      </w:r>
      <w:r>
        <w:rPr>
          <w:rFonts w:ascii="Arial" w:cs="Arial" w:eastAsia="Arial" w:hAnsi="Arial"/>
          <w:sz w:val="19"/>
          <w:szCs w:val="19"/>
          <w:color w:val="auto"/>
        </w:rPr>
        <w:t xml:space="preserve">” or an “ </w:t>
      </w:r>
      <w:r>
        <w:rPr>
          <w:rFonts w:ascii="Arial" w:cs="Arial" w:eastAsia="Arial" w:hAnsi="Arial"/>
          <w:sz w:val="19"/>
          <w:szCs w:val="19"/>
          <w:b w:val="1"/>
          <w:bCs w:val="1"/>
          <w:i w:val="1"/>
          <w:iCs w:val="1"/>
          <w:color w:val="auto"/>
        </w:rPr>
        <w:t>RFR Revolving Loan</w:t>
      </w:r>
      <w:r>
        <w:rPr>
          <w:rFonts w:ascii="Arial" w:cs="Arial" w:eastAsia="Arial" w:hAnsi="Arial"/>
          <w:sz w:val="19"/>
          <w:szCs w:val="19"/>
          <w:color w:val="auto"/>
        </w:rPr>
        <w:t>”). Borrowings also may be classified and referred to by Class (</w:t>
      </w:r>
      <w:r>
        <w:rPr>
          <w:rFonts w:ascii="Arial" w:cs="Arial" w:eastAsia="Arial" w:hAnsi="Arial"/>
          <w:sz w:val="19"/>
          <w:szCs w:val="19"/>
          <w:u w:val="single" w:color="auto"/>
          <w:color w:val="auto"/>
        </w:rPr>
        <w:t>e</w:t>
      </w:r>
      <w:r>
        <w:rPr>
          <w:rFonts w:ascii="Arial" w:cs="Arial" w:eastAsia="Arial" w:hAnsi="Arial"/>
          <w:sz w:val="19"/>
          <w:szCs w:val="19"/>
          <w:color w:val="auto"/>
        </w:rPr>
        <w:t>.</w:t>
      </w:r>
      <w:r>
        <w:rPr>
          <w:rFonts w:ascii="Arial" w:cs="Arial" w:eastAsia="Arial" w:hAnsi="Arial"/>
          <w:sz w:val="19"/>
          <w:szCs w:val="19"/>
          <w:u w:val="single" w:color="auto"/>
          <w:color w:val="auto"/>
        </w:rPr>
        <w:t>g</w:t>
      </w:r>
      <w:r>
        <w:rPr>
          <w:rFonts w:ascii="Arial" w:cs="Arial" w:eastAsia="Arial" w:hAnsi="Arial"/>
          <w:sz w:val="19"/>
          <w:szCs w:val="19"/>
          <w:color w:val="auto"/>
        </w:rPr>
        <w:t>., a “</w:t>
      </w:r>
      <w:r>
        <w:rPr>
          <w:rFonts w:ascii="Arial" w:cs="Arial" w:eastAsia="Arial" w:hAnsi="Arial"/>
          <w:sz w:val="19"/>
          <w:szCs w:val="19"/>
          <w:b w:val="1"/>
          <w:bCs w:val="1"/>
          <w:i w:val="1"/>
          <w:iCs w:val="1"/>
          <w:color w:val="auto"/>
        </w:rPr>
        <w:t>Revolving Borrowing</w:t>
      </w:r>
      <w:r>
        <w:rPr>
          <w:rFonts w:ascii="Arial" w:cs="Arial" w:eastAsia="Arial" w:hAnsi="Arial"/>
          <w:sz w:val="19"/>
          <w:szCs w:val="19"/>
          <w:color w:val="auto"/>
        </w:rPr>
        <w:t>”) or by Type (</w:t>
      </w:r>
      <w:r>
        <w:rPr>
          <w:rFonts w:ascii="Arial" w:cs="Arial" w:eastAsia="Arial" w:hAnsi="Arial"/>
          <w:sz w:val="19"/>
          <w:szCs w:val="19"/>
          <w:u w:val="single" w:color="auto"/>
          <w:color w:val="auto"/>
        </w:rPr>
        <w:t>e</w:t>
      </w:r>
      <w:r>
        <w:rPr>
          <w:rFonts w:ascii="Arial" w:cs="Arial" w:eastAsia="Arial" w:hAnsi="Arial"/>
          <w:sz w:val="19"/>
          <w:szCs w:val="19"/>
          <w:color w:val="auto"/>
        </w:rPr>
        <w:t>.</w:t>
      </w:r>
      <w:r>
        <w:rPr>
          <w:rFonts w:ascii="Arial" w:cs="Arial" w:eastAsia="Arial" w:hAnsi="Arial"/>
          <w:sz w:val="19"/>
          <w:szCs w:val="19"/>
          <w:u w:val="single" w:color="auto"/>
          <w:color w:val="auto"/>
        </w:rPr>
        <w:t>g</w:t>
      </w:r>
      <w:r>
        <w:rPr>
          <w:rFonts w:ascii="Arial" w:cs="Arial" w:eastAsia="Arial" w:hAnsi="Arial"/>
          <w:sz w:val="19"/>
          <w:szCs w:val="19"/>
          <w:color w:val="auto"/>
        </w:rPr>
        <w:t>., a “</w:t>
      </w:r>
      <w:r>
        <w:rPr>
          <w:rFonts w:ascii="Arial" w:cs="Arial" w:eastAsia="Arial" w:hAnsi="Arial"/>
          <w:sz w:val="19"/>
          <w:szCs w:val="19"/>
          <w:b w:val="1"/>
          <w:bCs w:val="1"/>
          <w:i w:val="1"/>
          <w:iCs w:val="1"/>
          <w:color w:val="auto"/>
        </w:rPr>
        <w:t>Term Benchmark Borrowing</w:t>
      </w:r>
      <w:r>
        <w:rPr>
          <w:rFonts w:ascii="Arial" w:cs="Arial" w:eastAsia="Arial" w:hAnsi="Arial"/>
          <w:sz w:val="19"/>
          <w:szCs w:val="19"/>
          <w:color w:val="auto"/>
        </w:rPr>
        <w:t>” or an “</w:t>
      </w:r>
      <w:r>
        <w:rPr>
          <w:rFonts w:ascii="Arial" w:cs="Arial" w:eastAsia="Arial" w:hAnsi="Arial"/>
          <w:sz w:val="19"/>
          <w:szCs w:val="19"/>
          <w:b w:val="1"/>
          <w:bCs w:val="1"/>
          <w:i w:val="1"/>
          <w:iCs w:val="1"/>
          <w:color w:val="auto"/>
        </w:rPr>
        <w:t>RFR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Borrowing</w:t>
      </w:r>
      <w:r>
        <w:rPr>
          <w:rFonts w:ascii="Arial" w:cs="Arial" w:eastAsia="Arial" w:hAnsi="Arial"/>
          <w:sz w:val="19"/>
          <w:szCs w:val="19"/>
          <w:color w:val="auto"/>
        </w:rPr>
        <w:t>”) or by Class and Type (</w:t>
      </w:r>
      <w:r>
        <w:rPr>
          <w:rFonts w:ascii="Arial" w:cs="Arial" w:eastAsia="Arial" w:hAnsi="Arial"/>
          <w:sz w:val="19"/>
          <w:szCs w:val="19"/>
          <w:u w:val="single" w:color="auto"/>
          <w:color w:val="auto"/>
        </w:rPr>
        <w:t>e</w:t>
      </w:r>
      <w:r>
        <w:rPr>
          <w:rFonts w:ascii="Arial" w:cs="Arial" w:eastAsia="Arial" w:hAnsi="Arial"/>
          <w:sz w:val="19"/>
          <w:szCs w:val="19"/>
          <w:color w:val="auto"/>
        </w:rPr>
        <w:t>.</w:t>
      </w:r>
      <w:r>
        <w:rPr>
          <w:rFonts w:ascii="Arial" w:cs="Arial" w:eastAsia="Arial" w:hAnsi="Arial"/>
          <w:sz w:val="19"/>
          <w:szCs w:val="19"/>
          <w:u w:val="single" w:color="auto"/>
          <w:color w:val="auto"/>
        </w:rPr>
        <w:t>g</w:t>
      </w:r>
      <w:r>
        <w:rPr>
          <w:rFonts w:ascii="Arial" w:cs="Arial" w:eastAsia="Arial" w:hAnsi="Arial"/>
          <w:sz w:val="19"/>
          <w:szCs w:val="19"/>
          <w:color w:val="auto"/>
        </w:rPr>
        <w:t>., a “</w:t>
      </w:r>
      <w:r>
        <w:rPr>
          <w:rFonts w:ascii="Arial" w:cs="Arial" w:eastAsia="Arial" w:hAnsi="Arial"/>
          <w:sz w:val="19"/>
          <w:szCs w:val="19"/>
          <w:b w:val="1"/>
          <w:bCs w:val="1"/>
          <w:i w:val="1"/>
          <w:iCs w:val="1"/>
          <w:color w:val="auto"/>
        </w:rPr>
        <w:t>Term Benchmark Revolving Borrowing</w:t>
      </w:r>
      <w:r>
        <w:rPr>
          <w:rFonts w:ascii="Arial" w:cs="Arial" w:eastAsia="Arial" w:hAnsi="Arial"/>
          <w:sz w:val="19"/>
          <w:szCs w:val="19"/>
          <w:color w:val="auto"/>
        </w:rPr>
        <w:t>” or an “</w:t>
      </w:r>
      <w:r>
        <w:rPr>
          <w:rFonts w:ascii="Arial" w:cs="Arial" w:eastAsia="Arial" w:hAnsi="Arial"/>
          <w:sz w:val="19"/>
          <w:szCs w:val="19"/>
          <w:b w:val="1"/>
          <w:bCs w:val="1"/>
          <w:i w:val="1"/>
          <w:iCs w:val="1"/>
          <w:color w:val="auto"/>
        </w:rPr>
        <w:t>RFR Revolving Borrowing</w:t>
      </w:r>
      <w:r>
        <w:rPr>
          <w:rFonts w:ascii="Arial" w:cs="Arial" w:eastAsia="Arial" w:hAnsi="Arial"/>
          <w:sz w:val="19"/>
          <w:szCs w:val="19"/>
          <w:color w:val="auto"/>
        </w:rPr>
        <w:t>”).</w:t>
      </w:r>
    </w:p>
    <w:p>
      <w:pPr>
        <w:spacing w:after="0" w:line="14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5" w:name="page236"/>
    <w:bookmarkEnd w:id="235"/>
    <w:p>
      <w:pPr>
        <w:jc w:val="both"/>
        <w:spacing w:after="0" w:line="277" w:lineRule="auto"/>
        <w:rPr>
          <w:sz w:val="20"/>
          <w:szCs w:val="20"/>
          <w:color w:val="auto"/>
        </w:rPr>
      </w:pPr>
      <w:r>
        <w:rPr>
          <w:rFonts w:ascii="Arial" w:cs="Arial" w:eastAsia="Arial" w:hAnsi="Arial"/>
          <w:sz w:val="19"/>
          <w:szCs w:val="19"/>
          <w:color w:val="auto"/>
        </w:rPr>
        <w:t>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rule or regulation herein shall, unless otherwise specified, refer to such law, rule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15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Such amendment, regardless of whether requested by the Company or the Required Lenders, shall be negotiated in good faith by the Company, the Administrative Agent and the Lenders.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the Company or any Subsidiary at “fair value”, as defined therein.</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Luxembourg Terms</w:t>
      </w:r>
      <w:r>
        <w:rPr>
          <w:rFonts w:ascii="Arial" w:cs="Arial" w:eastAsia="Arial" w:hAnsi="Arial"/>
          <w:sz w:val="19"/>
          <w:szCs w:val="19"/>
          <w:color w:val="auto"/>
        </w:rPr>
        <w:t>.  Notwithstanding any other provision of this Agreement to the contrary, in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 where it relates to any Luxembourg Loan Party, a reference to:</w:t>
      </w:r>
    </w:p>
    <w:p>
      <w:pPr>
        <w:spacing w:after="0" w:line="188" w:lineRule="exact"/>
        <w:rPr>
          <w:sz w:val="20"/>
          <w:szCs w:val="20"/>
          <w:color w:val="auto"/>
        </w:rPr>
      </w:pPr>
    </w:p>
    <w:p>
      <w:pPr>
        <w:jc w:val="both"/>
        <w:ind w:firstLine="1505"/>
        <w:spacing w:after="0" w:line="238" w:lineRule="auto"/>
        <w:tabs>
          <w:tab w:leader="none" w:pos="2206" w:val="left"/>
        </w:tabs>
        <w:numPr>
          <w:ilvl w:val="0"/>
          <w:numId w:val="213"/>
        </w:numPr>
        <w:rPr>
          <w:rFonts w:ascii="Arial" w:cs="Arial" w:eastAsia="Arial" w:hAnsi="Arial"/>
          <w:sz w:val="22"/>
          <w:szCs w:val="22"/>
          <w:color w:val="auto"/>
        </w:rPr>
      </w:pPr>
      <w:r>
        <w:rPr>
          <w:rFonts w:ascii="Arial" w:cs="Arial" w:eastAsia="Arial" w:hAnsi="Arial"/>
          <w:sz w:val="22"/>
          <w:szCs w:val="22"/>
          <w:color w:val="auto"/>
        </w:rPr>
        <w:t>a winding-up, administration, reorganisation, insolvency or dissolution includes, without limitation, bankruptcy (</w:t>
      </w:r>
      <w:r>
        <w:rPr>
          <w:rFonts w:ascii="Arial" w:cs="Arial" w:eastAsia="Arial" w:hAnsi="Arial"/>
          <w:sz w:val="22"/>
          <w:szCs w:val="22"/>
          <w:i w:val="1"/>
          <w:iCs w:val="1"/>
          <w:color w:val="auto"/>
        </w:rPr>
        <w:t>faillite</w:t>
      </w:r>
      <w:r>
        <w:rPr>
          <w:rFonts w:ascii="Arial" w:cs="Arial" w:eastAsia="Arial" w:hAnsi="Arial"/>
          <w:sz w:val="22"/>
          <w:szCs w:val="22"/>
          <w:color w:val="auto"/>
        </w:rPr>
        <w:t>), liquidation, composition with creditors (</w:t>
      </w:r>
      <w:r>
        <w:rPr>
          <w:rFonts w:ascii="Arial" w:cs="Arial" w:eastAsia="Arial" w:hAnsi="Arial"/>
          <w:sz w:val="22"/>
          <w:szCs w:val="22"/>
          <w:i w:val="1"/>
          <w:iCs w:val="1"/>
          <w:color w:val="auto"/>
        </w:rPr>
        <w:t>concordat préventif de la faillite</w:t>
      </w:r>
      <w:r>
        <w:rPr>
          <w:rFonts w:ascii="Arial" w:cs="Arial" w:eastAsia="Arial" w:hAnsi="Arial"/>
          <w:sz w:val="22"/>
          <w:szCs w:val="22"/>
          <w:color w:val="auto"/>
        </w:rPr>
        <w:t>), moratorium or suspension of payments (</w:t>
      </w:r>
      <w:r>
        <w:rPr>
          <w:rFonts w:ascii="Arial" w:cs="Arial" w:eastAsia="Arial" w:hAnsi="Arial"/>
          <w:sz w:val="22"/>
          <w:szCs w:val="22"/>
          <w:i w:val="1"/>
          <w:iCs w:val="1"/>
          <w:color w:val="auto"/>
        </w:rPr>
        <w:t>sursis de paiement</w:t>
      </w:r>
      <w:r>
        <w:rPr>
          <w:rFonts w:ascii="Arial" w:cs="Arial" w:eastAsia="Arial" w:hAnsi="Arial"/>
          <w:sz w:val="22"/>
          <w:szCs w:val="22"/>
          <w:color w:val="auto"/>
        </w:rPr>
        <w:t>), controlled management (</w:t>
      </w:r>
      <w:r>
        <w:rPr>
          <w:rFonts w:ascii="Arial" w:cs="Arial" w:eastAsia="Arial" w:hAnsi="Arial"/>
          <w:sz w:val="22"/>
          <w:szCs w:val="22"/>
          <w:i w:val="1"/>
          <w:iCs w:val="1"/>
          <w:color w:val="auto"/>
        </w:rPr>
        <w:t>gestion contrôlée</w:t>
      </w:r>
      <w:r>
        <w:rPr>
          <w:rFonts w:ascii="Arial" w:cs="Arial" w:eastAsia="Arial" w:hAnsi="Arial"/>
          <w:sz w:val="22"/>
          <w:szCs w:val="22"/>
          <w:color w:val="auto"/>
        </w:rPr>
        <w:t>), general settlement with creditors, reorganisation or similar laws affecting the rights of creditors generally;</w:t>
      </w:r>
    </w:p>
    <w:p>
      <w:pPr>
        <w:spacing w:after="0" w:line="184" w:lineRule="exact"/>
        <w:rPr>
          <w:rFonts w:ascii="Arial" w:cs="Arial" w:eastAsia="Arial" w:hAnsi="Arial"/>
          <w:sz w:val="22"/>
          <w:szCs w:val="22"/>
          <w:color w:val="auto"/>
        </w:rPr>
      </w:pPr>
    </w:p>
    <w:p>
      <w:pPr>
        <w:ind w:left="2160" w:hanging="655"/>
        <w:spacing w:after="0"/>
        <w:tabs>
          <w:tab w:leader="none" w:pos="216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 xml:space="preserve">a director or officer includes a </w:t>
      </w:r>
      <w:r>
        <w:rPr>
          <w:rFonts w:ascii="Arial" w:cs="Arial" w:eastAsia="Arial" w:hAnsi="Arial"/>
          <w:sz w:val="22"/>
          <w:szCs w:val="22"/>
          <w:i w:val="1"/>
          <w:iCs w:val="1"/>
          <w:color w:val="auto"/>
        </w:rPr>
        <w:t>gérant</w:t>
      </w:r>
      <w:r>
        <w:rPr>
          <w:rFonts w:ascii="Arial" w:cs="Arial" w:eastAsia="Arial" w:hAnsi="Arial"/>
          <w:sz w:val="22"/>
          <w:szCs w:val="22"/>
          <w:color w:val="auto"/>
        </w:rPr>
        <w:t xml:space="preserve"> or an </w:t>
      </w:r>
      <w:r>
        <w:rPr>
          <w:rFonts w:ascii="Arial" w:cs="Arial" w:eastAsia="Arial" w:hAnsi="Arial"/>
          <w:sz w:val="22"/>
          <w:szCs w:val="22"/>
          <w:i w:val="1"/>
          <w:iCs w:val="1"/>
          <w:color w:val="auto"/>
        </w:rPr>
        <w:t>administrateur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505"/>
        <w:spacing w:after="0"/>
        <w:tabs>
          <w:tab w:leader="none" w:pos="2247" w:val="left"/>
        </w:tabs>
        <w:numPr>
          <w:ilvl w:val="0"/>
          <w:numId w:val="213"/>
        </w:numPr>
        <w:rPr>
          <w:rFonts w:ascii="Arial" w:cs="Arial" w:eastAsia="Arial" w:hAnsi="Arial"/>
          <w:sz w:val="22"/>
          <w:szCs w:val="22"/>
          <w:color w:val="auto"/>
        </w:rPr>
      </w:pPr>
      <w:r>
        <w:rPr>
          <w:rFonts w:ascii="Arial" w:cs="Arial" w:eastAsia="Arial" w:hAnsi="Arial"/>
          <w:sz w:val="22"/>
          <w:szCs w:val="22"/>
          <w:color w:val="auto"/>
        </w:rPr>
        <w:t xml:space="preserve">a receiver, conservator, trustee, administrator, custodian, assignee for the benefit of creditors, compulsory manager or other similar officer includes a </w:t>
      </w:r>
      <w:r>
        <w:rPr>
          <w:rFonts w:ascii="Arial" w:cs="Arial" w:eastAsia="Arial" w:hAnsi="Arial"/>
          <w:sz w:val="22"/>
          <w:szCs w:val="22"/>
          <w:i w:val="1"/>
          <w:iCs w:val="1"/>
          <w:color w:val="auto"/>
        </w:rPr>
        <w:t>juge délégué, commissaire, juge-commissaire, mandataire ad hoc,</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administrateur provisoire, liquidateur </w:t>
      </w:r>
      <w:r>
        <w:rPr>
          <w:rFonts w:ascii="Arial" w:cs="Arial" w:eastAsia="Arial" w:hAnsi="Arial"/>
          <w:sz w:val="22"/>
          <w:szCs w:val="22"/>
          <w:color w:val="auto"/>
        </w:rPr>
        <w:t>or</w:t>
      </w:r>
      <w:r>
        <w:rPr>
          <w:rFonts w:ascii="Arial" w:cs="Arial" w:eastAsia="Arial" w:hAnsi="Arial"/>
          <w:sz w:val="22"/>
          <w:szCs w:val="22"/>
          <w:i w:val="1"/>
          <w:iCs w:val="1"/>
          <w:color w:val="auto"/>
        </w:rPr>
        <w:t xml:space="preserve"> curateur</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2160" w:hanging="655"/>
        <w:spacing w:after="0"/>
        <w:tabs>
          <w:tab w:leader="none" w:pos="216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 xml:space="preserve">an agent includes, without limitation, a </w:t>
      </w:r>
      <w:r>
        <w:rPr>
          <w:rFonts w:ascii="Arial" w:cs="Arial" w:eastAsia="Arial" w:hAnsi="Arial"/>
          <w:sz w:val="22"/>
          <w:szCs w:val="22"/>
          <w:i w:val="1"/>
          <w:iCs w:val="1"/>
          <w:color w:val="auto"/>
        </w:rPr>
        <w:t>mandataire</w:t>
      </w:r>
      <w:r>
        <w:rPr>
          <w:rFonts w:ascii="Arial" w:cs="Arial" w:eastAsia="Arial" w:hAnsi="Arial"/>
          <w:sz w:val="22"/>
          <w:szCs w:val="22"/>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6" w:name="page237"/>
    <w:bookmarkEnd w:id="236"/>
    <w:p>
      <w:pPr>
        <w:ind w:left="2180" w:hanging="675"/>
        <w:spacing w:after="0"/>
        <w:tabs>
          <w:tab w:leader="none" w:pos="2180" w:val="left"/>
        </w:tabs>
        <w:numPr>
          <w:ilvl w:val="1"/>
          <w:numId w:val="214"/>
        </w:numPr>
        <w:rPr>
          <w:rFonts w:ascii="Arial" w:cs="Arial" w:eastAsia="Arial" w:hAnsi="Arial"/>
          <w:sz w:val="19"/>
          <w:szCs w:val="19"/>
          <w:color w:val="auto"/>
        </w:rPr>
      </w:pPr>
      <w:r>
        <w:rPr>
          <w:rFonts w:ascii="Arial" w:cs="Arial" w:eastAsia="Arial" w:hAnsi="Arial"/>
          <w:sz w:val="19"/>
          <w:szCs w:val="19"/>
          <w:color w:val="auto"/>
        </w:rPr>
        <w:t>liquidation, bankruptcy, insolvency, reorganization, moratorium or any similar proceeding shall include</w:t>
      </w:r>
    </w:p>
    <w:p>
      <w:pPr>
        <w:spacing w:after="0" w:line="42" w:lineRule="exact"/>
        <w:rPr>
          <w:rFonts w:ascii="Arial" w:cs="Arial" w:eastAsia="Arial" w:hAnsi="Arial"/>
          <w:sz w:val="19"/>
          <w:szCs w:val="19"/>
          <w:color w:val="auto"/>
        </w:rPr>
      </w:pPr>
    </w:p>
    <w:p>
      <w:pPr>
        <w:jc w:val="both"/>
        <w:ind w:firstLine="8"/>
        <w:spacing w:after="0" w:line="266" w:lineRule="auto"/>
        <w:tabs>
          <w:tab w:leader="none" w:pos="276" w:val="left"/>
        </w:tabs>
        <w:numPr>
          <w:ilvl w:val="0"/>
          <w:numId w:val="215"/>
        </w:numPr>
        <w:rPr>
          <w:rFonts w:ascii="Arial" w:cs="Arial" w:eastAsia="Arial" w:hAnsi="Arial"/>
          <w:sz w:val="19"/>
          <w:szCs w:val="19"/>
          <w:color w:val="auto"/>
        </w:rPr>
      </w:pPr>
      <w:r>
        <w:rPr>
          <w:rFonts w:ascii="Arial" w:cs="Arial" w:eastAsia="Arial" w:hAnsi="Arial"/>
          <w:sz w:val="19"/>
          <w:szCs w:val="19"/>
          <w:color w:val="auto"/>
        </w:rPr>
        <w:t>insolvency/bankruptcy (</w:t>
      </w:r>
      <w:r>
        <w:rPr>
          <w:rFonts w:ascii="Arial" w:cs="Arial" w:eastAsia="Arial" w:hAnsi="Arial"/>
          <w:sz w:val="19"/>
          <w:szCs w:val="19"/>
          <w:i w:val="1"/>
          <w:iCs w:val="1"/>
          <w:color w:val="auto"/>
        </w:rPr>
        <w:t>faillite</w:t>
      </w:r>
      <w:r>
        <w:rPr>
          <w:rFonts w:ascii="Arial" w:cs="Arial" w:eastAsia="Arial" w:hAnsi="Arial"/>
          <w:sz w:val="19"/>
          <w:szCs w:val="19"/>
          <w:color w:val="auto"/>
        </w:rPr>
        <w:t>) within the meaning of Articles 437 ff. of the Luxembourg Commercial Code, (ii) controlled management (</w:t>
      </w:r>
      <w:r>
        <w:rPr>
          <w:rFonts w:ascii="Arial" w:cs="Arial" w:eastAsia="Arial" w:hAnsi="Arial"/>
          <w:sz w:val="19"/>
          <w:szCs w:val="19"/>
          <w:i w:val="1"/>
          <w:iCs w:val="1"/>
          <w:color w:val="auto"/>
        </w:rPr>
        <w:t>gestion contrôlée</w:t>
      </w:r>
      <w:r>
        <w:rPr>
          <w:rFonts w:ascii="Arial" w:cs="Arial" w:eastAsia="Arial" w:hAnsi="Arial"/>
          <w:sz w:val="19"/>
          <w:szCs w:val="19"/>
          <w:color w:val="auto"/>
        </w:rPr>
        <w:t>) within the meaning of the grand ducal regulation of 24 May 1935 on controlled management,</w:t>
      </w:r>
    </w:p>
    <w:p>
      <w:pPr>
        <w:spacing w:after="0" w:line="1" w:lineRule="exact"/>
        <w:rPr>
          <w:rFonts w:ascii="Arial" w:cs="Arial" w:eastAsia="Arial" w:hAnsi="Arial"/>
          <w:sz w:val="19"/>
          <w:szCs w:val="19"/>
          <w:color w:val="auto"/>
        </w:rPr>
      </w:pPr>
    </w:p>
    <w:p>
      <w:pPr>
        <w:jc w:val="both"/>
        <w:ind w:firstLine="8"/>
        <w:spacing w:after="0" w:line="232" w:lineRule="auto"/>
        <w:tabs>
          <w:tab w:leader="none" w:pos="391" w:val="left"/>
        </w:tabs>
        <w:numPr>
          <w:ilvl w:val="0"/>
          <w:numId w:val="216"/>
        </w:numPr>
        <w:rPr>
          <w:rFonts w:ascii="Arial" w:cs="Arial" w:eastAsia="Arial" w:hAnsi="Arial"/>
          <w:sz w:val="22"/>
          <w:szCs w:val="22"/>
          <w:color w:val="auto"/>
        </w:rPr>
      </w:pPr>
      <w:r>
        <w:rPr>
          <w:rFonts w:ascii="Arial" w:cs="Arial" w:eastAsia="Arial" w:hAnsi="Arial"/>
          <w:sz w:val="22"/>
          <w:szCs w:val="22"/>
          <w:color w:val="auto"/>
        </w:rPr>
        <w:t>voluntary arrangement with creditors (</w:t>
      </w:r>
      <w:r>
        <w:rPr>
          <w:rFonts w:ascii="Arial" w:cs="Arial" w:eastAsia="Arial" w:hAnsi="Arial"/>
          <w:sz w:val="22"/>
          <w:szCs w:val="22"/>
          <w:i w:val="1"/>
          <w:iCs w:val="1"/>
          <w:color w:val="auto"/>
        </w:rPr>
        <w:t>concordat préventif de la faillite</w:t>
      </w:r>
      <w:r>
        <w:rPr>
          <w:rFonts w:ascii="Arial" w:cs="Arial" w:eastAsia="Arial" w:hAnsi="Arial"/>
          <w:sz w:val="22"/>
          <w:szCs w:val="22"/>
          <w:color w:val="auto"/>
        </w:rPr>
        <w:t>) within the meaning of the law of 14 April 1886 on arrangements to prevent insolvency, as amended, (iv) suspension of payments (</w:t>
      </w:r>
      <w:r>
        <w:rPr>
          <w:rFonts w:ascii="Arial" w:cs="Arial" w:eastAsia="Arial" w:hAnsi="Arial"/>
          <w:sz w:val="22"/>
          <w:szCs w:val="22"/>
          <w:i w:val="1"/>
          <w:iCs w:val="1"/>
          <w:color w:val="auto"/>
        </w:rPr>
        <w:t>sursis de paiement</w:t>
      </w:r>
      <w:r>
        <w:rPr>
          <w:rFonts w:ascii="Arial" w:cs="Arial" w:eastAsia="Arial" w:hAnsi="Arial"/>
          <w:sz w:val="22"/>
          <w:szCs w:val="22"/>
          <w:color w:val="auto"/>
        </w:rPr>
        <w:t>) within the meaning of Articles 593 ff. of the Luxembourg Commercial Code, (v) voluntary or compulsory winding-up pursuant to the law of 10 August 1915 on commercial companies, as amended, (vi) administrative dissolution without liquidation (</w:t>
      </w:r>
      <w:r>
        <w:rPr>
          <w:rFonts w:ascii="Arial" w:cs="Arial" w:eastAsia="Arial" w:hAnsi="Arial"/>
          <w:sz w:val="22"/>
          <w:szCs w:val="22"/>
          <w:i w:val="1"/>
          <w:iCs w:val="1"/>
          <w:color w:val="auto"/>
        </w:rPr>
        <w:t>dissolution administrative sans</w:t>
      </w:r>
      <w:r>
        <w:rPr>
          <w:rFonts w:ascii="Arial" w:cs="Arial" w:eastAsia="Arial" w:hAnsi="Arial"/>
          <w:sz w:val="22"/>
          <w:szCs w:val="22"/>
          <w:color w:val="auto"/>
        </w:rPr>
        <w:t xml:space="preserve"> </w:t>
      </w:r>
      <w:r>
        <w:rPr>
          <w:rFonts w:ascii="Arial" w:cs="Arial" w:eastAsia="Arial" w:hAnsi="Arial"/>
          <w:sz w:val="22"/>
          <w:szCs w:val="22"/>
          <w:i w:val="1"/>
          <w:iCs w:val="1"/>
          <w:color w:val="auto"/>
        </w:rPr>
        <w:t>liquidation</w:t>
      </w:r>
      <w:r>
        <w:rPr>
          <w:rFonts w:ascii="Arial" w:cs="Arial" w:eastAsia="Arial" w:hAnsi="Arial"/>
          <w:sz w:val="22"/>
          <w:szCs w:val="22"/>
          <w:color w:val="auto"/>
        </w:rPr>
        <w:t>) procedure pursuant to the law of 28 October 2022 on the procedure for administrative dissolution without</w:t>
      </w:r>
      <w:r>
        <w:rPr>
          <w:rFonts w:ascii="Arial" w:cs="Arial" w:eastAsia="Arial" w:hAnsi="Arial"/>
          <w:sz w:val="22"/>
          <w:szCs w:val="22"/>
          <w:i w:val="1"/>
          <w:iCs w:val="1"/>
          <w:color w:val="auto"/>
        </w:rPr>
        <w:t xml:space="preserve"> </w:t>
      </w:r>
      <w:r>
        <w:rPr>
          <w:rFonts w:ascii="Arial" w:cs="Arial" w:eastAsia="Arial" w:hAnsi="Arial"/>
          <w:sz w:val="22"/>
          <w:szCs w:val="22"/>
          <w:color w:val="auto"/>
        </w:rPr>
        <w:t>liquidation;</w:t>
      </w:r>
    </w:p>
    <w:p>
      <w:pPr>
        <w:spacing w:after="0" w:line="188" w:lineRule="exact"/>
        <w:rPr>
          <w:rFonts w:ascii="Arial" w:cs="Arial" w:eastAsia="Arial" w:hAnsi="Arial"/>
          <w:sz w:val="22"/>
          <w:szCs w:val="22"/>
          <w:color w:val="auto"/>
        </w:rPr>
      </w:pPr>
    </w:p>
    <w:p>
      <w:pPr>
        <w:jc w:val="both"/>
        <w:ind w:firstLine="1505"/>
        <w:spacing w:after="0"/>
        <w:tabs>
          <w:tab w:leader="none" w:pos="2171" w:val="left"/>
        </w:tabs>
        <w:numPr>
          <w:ilvl w:val="1"/>
          <w:numId w:val="216"/>
        </w:numPr>
        <w:rPr>
          <w:rFonts w:ascii="Arial" w:cs="Arial" w:eastAsia="Arial" w:hAnsi="Arial"/>
          <w:sz w:val="22"/>
          <w:szCs w:val="22"/>
          <w:color w:val="auto"/>
        </w:rPr>
      </w:pPr>
      <w:r>
        <w:rPr>
          <w:rFonts w:ascii="Arial" w:cs="Arial" w:eastAsia="Arial" w:hAnsi="Arial"/>
          <w:sz w:val="22"/>
          <w:szCs w:val="22"/>
          <w:color w:val="auto"/>
        </w:rPr>
        <w:t xml:space="preserve">a lien or security interest includes any </w:t>
      </w:r>
      <w:r>
        <w:rPr>
          <w:rFonts w:ascii="Arial" w:cs="Arial" w:eastAsia="Arial" w:hAnsi="Arial"/>
          <w:sz w:val="22"/>
          <w:szCs w:val="22"/>
          <w:i w:val="1"/>
          <w:iCs w:val="1"/>
          <w:color w:val="auto"/>
        </w:rPr>
        <w:t>hypothèque, nantissement, gage, privilège, sûreté réelle, droit de</w:t>
      </w:r>
      <w:r>
        <w:rPr>
          <w:rFonts w:ascii="Arial" w:cs="Arial" w:eastAsia="Arial" w:hAnsi="Arial"/>
          <w:sz w:val="22"/>
          <w:szCs w:val="22"/>
          <w:color w:val="auto"/>
        </w:rPr>
        <w:t xml:space="preserve"> </w:t>
      </w:r>
      <w:r>
        <w:rPr>
          <w:rFonts w:ascii="Arial" w:cs="Arial" w:eastAsia="Arial" w:hAnsi="Arial"/>
          <w:sz w:val="22"/>
          <w:szCs w:val="22"/>
          <w:i w:val="1"/>
          <w:iCs w:val="1"/>
          <w:color w:val="auto"/>
        </w:rPr>
        <w:t>rétention</w:t>
      </w:r>
      <w:r>
        <w:rPr>
          <w:rFonts w:ascii="Arial" w:cs="Arial" w:eastAsia="Arial" w:hAnsi="Arial"/>
          <w:sz w:val="22"/>
          <w:szCs w:val="22"/>
          <w:color w:val="auto"/>
        </w:rPr>
        <w:t>, and any type of security in rem (</w:t>
      </w:r>
      <w:r>
        <w:rPr>
          <w:rFonts w:ascii="Arial" w:cs="Arial" w:eastAsia="Arial" w:hAnsi="Arial"/>
          <w:sz w:val="22"/>
          <w:szCs w:val="22"/>
          <w:i w:val="1"/>
          <w:iCs w:val="1"/>
          <w:color w:val="auto"/>
        </w:rPr>
        <w:t>sûreté réelle</w:t>
      </w:r>
      <w:r>
        <w:rPr>
          <w:rFonts w:ascii="Arial" w:cs="Arial" w:eastAsia="Arial" w:hAnsi="Arial"/>
          <w:sz w:val="22"/>
          <w:szCs w:val="22"/>
          <w:color w:val="auto"/>
        </w:rPr>
        <w:t>) or agreement or arrangement having a similar effect and any transfer of</w:t>
      </w:r>
      <w:r>
        <w:rPr>
          <w:rFonts w:ascii="Arial" w:cs="Arial" w:eastAsia="Arial" w:hAnsi="Arial"/>
          <w:sz w:val="22"/>
          <w:szCs w:val="22"/>
          <w:i w:val="1"/>
          <w:iCs w:val="1"/>
          <w:color w:val="auto"/>
        </w:rPr>
        <w:t xml:space="preserve"> </w:t>
      </w:r>
      <w:r>
        <w:rPr>
          <w:rFonts w:ascii="Arial" w:cs="Arial" w:eastAsia="Arial" w:hAnsi="Arial"/>
          <w:sz w:val="22"/>
          <w:szCs w:val="22"/>
          <w:color w:val="auto"/>
        </w:rPr>
        <w:t>title by way of security;</w:t>
      </w:r>
    </w:p>
    <w:p>
      <w:pPr>
        <w:spacing w:after="0" w:line="186" w:lineRule="exact"/>
        <w:rPr>
          <w:rFonts w:ascii="Arial" w:cs="Arial" w:eastAsia="Arial" w:hAnsi="Arial"/>
          <w:sz w:val="22"/>
          <w:szCs w:val="22"/>
          <w:color w:val="auto"/>
        </w:rPr>
      </w:pPr>
    </w:p>
    <w:p>
      <w:pPr>
        <w:ind w:firstLine="1505"/>
        <w:spacing w:after="0" w:line="328" w:lineRule="auto"/>
        <w:tabs>
          <w:tab w:leader="none" w:pos="2186" w:val="left"/>
        </w:tabs>
        <w:numPr>
          <w:ilvl w:val="1"/>
          <w:numId w:val="216"/>
        </w:numPr>
        <w:rPr>
          <w:rFonts w:ascii="Arial" w:cs="Arial" w:eastAsia="Arial" w:hAnsi="Arial"/>
          <w:sz w:val="19"/>
          <w:szCs w:val="19"/>
          <w:color w:val="auto"/>
        </w:rPr>
      </w:pPr>
      <w:r>
        <w:rPr>
          <w:rFonts w:ascii="Arial" w:cs="Arial" w:eastAsia="Arial" w:hAnsi="Arial"/>
          <w:sz w:val="19"/>
          <w:szCs w:val="19"/>
          <w:color w:val="auto"/>
        </w:rPr>
        <w:t>a person being unable to pay its debts includes that person being in a state of cessation of payments (</w:t>
      </w:r>
      <w:r>
        <w:rPr>
          <w:rFonts w:ascii="Arial" w:cs="Arial" w:eastAsia="Arial" w:hAnsi="Arial"/>
          <w:sz w:val="19"/>
          <w:szCs w:val="19"/>
          <w:i w:val="1"/>
          <w:iCs w:val="1"/>
          <w:color w:val="auto"/>
        </w:rPr>
        <w:t>cessation de paiements</w:t>
      </w:r>
      <w:r>
        <w:rPr>
          <w:rFonts w:ascii="Arial" w:cs="Arial" w:eastAsia="Arial" w:hAnsi="Arial"/>
          <w:sz w:val="19"/>
          <w:szCs w:val="19"/>
          <w:color w:val="auto"/>
        </w:rPr>
        <w:t>) or having lost or meeting the criteria to lose its commercial creditworthiness (</w:t>
      </w:r>
      <w:r>
        <w:rPr>
          <w:rFonts w:ascii="Arial" w:cs="Arial" w:eastAsia="Arial" w:hAnsi="Arial"/>
          <w:sz w:val="19"/>
          <w:szCs w:val="19"/>
          <w:i w:val="1"/>
          <w:iCs w:val="1"/>
          <w:color w:val="auto"/>
        </w:rPr>
        <w:t>ébranlement de crédit</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firstLine="1505"/>
        <w:spacing w:after="0" w:line="250" w:lineRule="auto"/>
        <w:tabs>
          <w:tab w:leader="none" w:pos="2244" w:val="left"/>
        </w:tabs>
        <w:numPr>
          <w:ilvl w:val="1"/>
          <w:numId w:val="216"/>
        </w:numPr>
        <w:rPr>
          <w:rFonts w:ascii="Arial" w:cs="Arial" w:eastAsia="Arial" w:hAnsi="Arial"/>
          <w:sz w:val="22"/>
          <w:szCs w:val="22"/>
          <w:color w:val="auto"/>
        </w:rPr>
      </w:pPr>
      <w:r>
        <w:rPr>
          <w:rFonts w:ascii="Arial" w:cs="Arial" w:eastAsia="Arial" w:hAnsi="Arial"/>
          <w:sz w:val="22"/>
          <w:szCs w:val="22"/>
          <w:color w:val="auto"/>
        </w:rPr>
        <w:t>attachments or similar creditors process means an executory attachment (</w:t>
      </w:r>
      <w:r>
        <w:rPr>
          <w:rFonts w:ascii="Arial" w:cs="Arial" w:eastAsia="Arial" w:hAnsi="Arial"/>
          <w:sz w:val="22"/>
          <w:szCs w:val="22"/>
          <w:i w:val="1"/>
          <w:iCs w:val="1"/>
          <w:color w:val="auto"/>
        </w:rPr>
        <w:t>saisie exécutoire</w:t>
      </w:r>
      <w:r>
        <w:rPr>
          <w:rFonts w:ascii="Arial" w:cs="Arial" w:eastAsia="Arial" w:hAnsi="Arial"/>
          <w:sz w:val="22"/>
          <w:szCs w:val="22"/>
          <w:color w:val="auto"/>
        </w:rPr>
        <w:t>) or conservatory attachment (</w:t>
      </w:r>
      <w:r>
        <w:rPr>
          <w:rFonts w:ascii="Arial" w:cs="Arial" w:eastAsia="Arial" w:hAnsi="Arial"/>
          <w:sz w:val="22"/>
          <w:szCs w:val="22"/>
          <w:i w:val="1"/>
          <w:iCs w:val="1"/>
          <w:color w:val="auto"/>
        </w:rPr>
        <w:t>saisie arrêt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160" w:hanging="655"/>
        <w:spacing w:after="0"/>
        <w:tabs>
          <w:tab w:leader="none" w:pos="216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a “set-off” includes, for purposes of Luxembourg law, legal set-off”; and</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mandatory provisions (</w:t>
      </w:r>
      <w:r>
        <w:rPr>
          <w:rFonts w:ascii="Arial" w:cs="Arial" w:eastAsia="Arial" w:hAnsi="Arial"/>
          <w:sz w:val="22"/>
          <w:szCs w:val="22"/>
          <w:i w:val="1"/>
          <w:iCs w:val="1"/>
          <w:color w:val="auto"/>
        </w:rPr>
        <w:t>lois de police</w:t>
      </w:r>
      <w:r>
        <w:rPr>
          <w:rFonts w:ascii="Arial" w:cs="Arial" w:eastAsia="Arial" w:hAnsi="Arial"/>
          <w:sz w:val="22"/>
          <w:szCs w:val="22"/>
          <w:color w:val="auto"/>
        </w:rPr>
        <w:t>) under Luxembourg law.</w:t>
      </w:r>
    </w:p>
    <w:p>
      <w:pPr>
        <w:spacing w:after="0" w:line="20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4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Interest Rates; Benchmark Notification</w:t>
      </w:r>
      <w:r>
        <w:rPr>
          <w:rFonts w:ascii="Arial" w:cs="Arial" w:eastAsia="Arial" w:hAnsi="Arial"/>
          <w:sz w:val="19"/>
          <w:szCs w:val="19"/>
          <w:color w:val="auto"/>
        </w:rPr>
        <w:t xml:space="preserve">. The interest rate on a Loan denominated in U.S. Dollars or a Foreign Currency may be derived from an interest rate benchmark that may be discontinued or is, or may in the future become, the subject of regulatory reform. Upon the occurrence of a Benchmark Transition Event, </w:t>
      </w:r>
      <w:r>
        <w:rPr>
          <w:rFonts w:ascii="Arial" w:cs="Arial" w:eastAsia="Arial" w:hAnsi="Arial"/>
          <w:sz w:val="19"/>
          <w:szCs w:val="19"/>
          <w:u w:val="single" w:color="auto"/>
          <w:color w:val="auto"/>
        </w:rPr>
        <w:t>Section 2.14(b)</w:t>
      </w:r>
      <w:r>
        <w:rPr>
          <w:rFonts w:ascii="Arial" w:cs="Arial" w:eastAsia="Arial" w:hAnsi="Arial"/>
          <w:sz w:val="19"/>
          <w:szCs w:val="19"/>
          <w:color w:val="auto"/>
        </w:rPr>
        <w:t xml:space="preserve">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7" w:name="page238"/>
    <w:bookmarkEnd w:id="237"/>
    <w:p>
      <w:pPr>
        <w:jc w:val="both"/>
        <w:spacing w:after="0" w:line="245" w:lineRule="auto"/>
        <w:rPr>
          <w:sz w:val="20"/>
          <w:szCs w:val="20"/>
          <w:color w:val="auto"/>
        </w:rPr>
      </w:pPr>
      <w:r>
        <w:rPr>
          <w:rFonts w:ascii="Arial" w:cs="Arial" w:eastAsia="Arial" w:hAnsi="Arial"/>
          <w:sz w:val="21"/>
          <w:szCs w:val="21"/>
          <w:color w:val="auto"/>
        </w:rPr>
        <w:t>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Credits</w:t>
      </w:r>
    </w:p>
    <w:p>
      <w:pPr>
        <w:spacing w:after="0" w:line="20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Commitments</w:t>
      </w:r>
      <w:r>
        <w:rPr>
          <w:rFonts w:ascii="Arial" w:cs="Arial" w:eastAsia="Arial" w:hAnsi="Arial"/>
          <w:sz w:val="22"/>
          <w:szCs w:val="22"/>
          <w:color w:val="auto"/>
        </w:rPr>
        <w:t xml:space="preserve">. Subject to the terms and conditions set forth herein, each Lender severally agrees to make Revolving Loans to the Borrowers in Agreed Currencies from time to time during the Availability Period in an aggregate principal amount that will not result (after giving effect to any application of proceeds of such Borrowing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2.10</w:t>
      </w:r>
      <w:r>
        <w:rPr>
          <w:rFonts w:ascii="Arial" w:cs="Arial" w:eastAsia="Arial" w:hAnsi="Arial"/>
          <w:sz w:val="22"/>
          <w:szCs w:val="22"/>
          <w:color w:val="auto"/>
        </w:rPr>
        <w:t xml:space="preserve">) in, subject to </w:t>
      </w:r>
      <w:r>
        <w:rPr>
          <w:rFonts w:ascii="Arial" w:cs="Arial" w:eastAsia="Arial" w:hAnsi="Arial"/>
          <w:sz w:val="22"/>
          <w:szCs w:val="22"/>
          <w:u w:val="single" w:color="auto"/>
          <w:color w:val="auto"/>
        </w:rPr>
        <w:t>Sections 2.04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2.11(c)</w:t>
      </w:r>
      <w:r>
        <w:rPr>
          <w:rFonts w:ascii="Arial" w:cs="Arial" w:eastAsia="Arial" w:hAnsi="Arial"/>
          <w:sz w:val="22"/>
          <w:szCs w:val="22"/>
          <w:color w:val="auto"/>
        </w:rPr>
        <w:t>, (a) the Euro Amount of such Lender’s Revolving Credit Exposure exceeding such Lender’s Commitment or (b) the Euro Amount of the Total Revolving Credit Exposures exceeding the total Commitments. Within the foregoing limits and subject to the terms and conditions set forth herein, the Borrowers may borrow, prepay and reborrow Revolving Loans.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Loans and Borrowings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52" w:lineRule="auto"/>
        <w:tabs>
          <w:tab w:leader="none" w:pos="2168" w:val="left"/>
        </w:tabs>
        <w:numPr>
          <w:ilvl w:val="0"/>
          <w:numId w:val="217"/>
        </w:numPr>
        <w:rPr>
          <w:rFonts w:ascii="Arial" w:cs="Arial" w:eastAsia="Arial" w:hAnsi="Arial"/>
          <w:sz w:val="21"/>
          <w:szCs w:val="21"/>
          <w:color w:val="auto"/>
        </w:rPr>
      </w:pPr>
      <w:r>
        <w:rPr>
          <w:rFonts w:ascii="Arial" w:cs="Arial" w:eastAsia="Arial" w:hAnsi="Arial"/>
          <w:sz w:val="21"/>
          <w:szCs w:val="21"/>
          <w:color w:val="auto"/>
        </w:rPr>
        <w:t xml:space="preserve">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Commitments of the Lenders are several and no Lender shall be responsible for any other Lender’s failure to make Loans as required.</w:t>
      </w:r>
    </w:p>
    <w:p>
      <w:pPr>
        <w:spacing w:after="0" w:line="173" w:lineRule="exact"/>
        <w:rPr>
          <w:rFonts w:ascii="Arial" w:cs="Arial" w:eastAsia="Arial" w:hAnsi="Arial"/>
          <w:sz w:val="21"/>
          <w:szCs w:val="21"/>
          <w:color w:val="auto"/>
        </w:rPr>
      </w:pPr>
    </w:p>
    <w:p>
      <w:pPr>
        <w:jc w:val="both"/>
        <w:ind w:firstLine="1505"/>
        <w:spacing w:after="0" w:line="275" w:lineRule="auto"/>
        <w:tabs>
          <w:tab w:leader="none" w:pos="2171"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each Revolving Borrowing shall be comprised (i) in the case of Borrowings in U.S. Dollars, entirely of ABR Loans or Term Benchmark Loans, (ii) in the case of Borrowings in any other Agreed Currency, entirely of Term Benchmark Loans (in the case of Borrowings in Euro) or RFR Loans (in the case of Borrowings in Pounds Sterling or Swiss Francs), as applicable, in each case of the same Agreed Currency as the Company, on behalf of the Borrowers, may request in accordance 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ABR Loans shall be only available in U.S. Dollars. Each Swingline Loan shall be an ABR Loan. Each Lender at its option may make any Loan to any Borrower, by causing any domestic or foreign branch or Affiliate of such Lender to make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the applicable Borrower to repay such Loan in accordance with the terms of this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8" w:name="page239"/>
    <w:bookmarkEnd w:id="238"/>
    <w:p>
      <w:pPr>
        <w:jc w:val="both"/>
        <w:ind w:firstLine="1505"/>
        <w:spacing w:after="0" w:line="273" w:lineRule="auto"/>
        <w:tabs>
          <w:tab w:leader="none" w:pos="2177" w:val="left"/>
        </w:tabs>
        <w:numPr>
          <w:ilvl w:val="1"/>
          <w:numId w:val="218"/>
        </w:numPr>
        <w:rPr>
          <w:rFonts w:ascii="Arial" w:cs="Arial" w:eastAsia="Arial" w:hAnsi="Arial"/>
          <w:sz w:val="19"/>
          <w:szCs w:val="19"/>
          <w:color w:val="auto"/>
        </w:rPr>
      </w:pPr>
      <w:r>
        <w:rPr>
          <w:rFonts w:ascii="Arial" w:cs="Arial" w:eastAsia="Arial" w:hAnsi="Arial"/>
          <w:sz w:val="19"/>
          <w:szCs w:val="19"/>
          <w:color w:val="auto"/>
        </w:rPr>
        <w:t>At the commencement of each Interest Period for any Term Benchmark Revolving Borrowing or RFR Revolving Borrowing (as applicable), such Borrowing shall be in an aggregate amount that is (i) an integral multiple of (A) in the case of a Borrowing denominated in U.S. Dollars, $1,000,000, (B) in the case of a Borrowing denominated in Euro, €1,000,000,</w:t>
      </w:r>
    </w:p>
    <w:p>
      <w:pPr>
        <w:spacing w:after="0" w:line="1" w:lineRule="exact"/>
        <w:rPr>
          <w:rFonts w:ascii="Arial" w:cs="Arial" w:eastAsia="Arial" w:hAnsi="Arial"/>
          <w:sz w:val="19"/>
          <w:szCs w:val="19"/>
          <w:color w:val="auto"/>
        </w:rPr>
      </w:pPr>
    </w:p>
    <w:p>
      <w:pPr>
        <w:jc w:val="both"/>
        <w:ind w:firstLine="8"/>
        <w:spacing w:after="0" w:line="270" w:lineRule="auto"/>
        <w:tabs>
          <w:tab w:leader="none" w:pos="342" w:val="left"/>
        </w:tabs>
        <w:numPr>
          <w:ilvl w:val="0"/>
          <w:numId w:val="219"/>
        </w:numPr>
        <w:rPr>
          <w:rFonts w:ascii="Arial" w:cs="Arial" w:eastAsia="Arial" w:hAnsi="Arial"/>
          <w:sz w:val="19"/>
          <w:szCs w:val="19"/>
          <w:color w:val="auto"/>
        </w:rPr>
      </w:pPr>
      <w:r>
        <w:rPr>
          <w:rFonts w:ascii="Arial" w:cs="Arial" w:eastAsia="Arial" w:hAnsi="Arial"/>
          <w:sz w:val="19"/>
          <w:szCs w:val="19"/>
          <w:color w:val="auto"/>
        </w:rPr>
        <w:t xml:space="preserve">in the case of a Borrowing denominated in Pounds Sterling, £1,000,000, (D) in the case of a Borrowing denominated in Swiss Francs, 1,000,000 CHF, and (E) in the case of a Borrowing denominated in any other Foreign Currency, the smallest amount of such Foreign Currency that has an Equivalent Amount in excess of $1,000,000, and (ii) not less than (A) in the case of a Borrowing denominated in U.S. Dollars, $1,000,000, (B) in the case of a Borrowing denominated in Euro, €1,000,000, (C) in the case of a Borrowing denominated in Pounds Sterling, £1,000,000, (D) in the case of a Borrowing denominated in Swiss Francs, 1,000,000 CHF, and (E) in the case of a Borrowing denominated in any other Foreign Currency, the smallest amount of such Foreign Currency that has an Equivalent Amount in excess of $1,000,000. At the time that each ABR Revolving Borrowing is made, such Borrowing shall be in an aggregate amount that is not less than $250,000;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ABR Revolving Borrowing may be in an aggregate amount that is equal to the entire unused balance of the total Commitments. Each Swingline Loan shall be in an amount that is not less than $250,000. Borrowings of more than one Type and Class may be outstanding at the same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not at any time be more than a total of fifteen (15) Term Benchmark Revolving Borrowings or RFR Revolving Borrowings outstanding, collectively.</w:t>
      </w:r>
    </w:p>
    <w:p>
      <w:pPr>
        <w:spacing w:after="0" w:line="164" w:lineRule="exact"/>
        <w:rPr>
          <w:rFonts w:ascii="Arial" w:cs="Arial" w:eastAsia="Arial" w:hAnsi="Arial"/>
          <w:sz w:val="19"/>
          <w:szCs w:val="19"/>
          <w:color w:val="auto"/>
        </w:rPr>
      </w:pPr>
    </w:p>
    <w:p>
      <w:pPr>
        <w:jc w:val="both"/>
        <w:ind w:firstLine="1505"/>
        <w:spacing w:after="0"/>
        <w:tabs>
          <w:tab w:leader="none" w:pos="2166" w:val="left"/>
        </w:tabs>
        <w:numPr>
          <w:ilvl w:val="1"/>
          <w:numId w:val="219"/>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the Company, on behalf of the Borrowers, shall not be entitled to request, or to elect to convert or continue, any Borrowing if the Interest Period requested with respect thereto would end after the Maturity Date.</w:t>
      </w:r>
    </w:p>
    <w:p>
      <w:pPr>
        <w:spacing w:after="0" w:line="18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Requests for Revolving Borrowings</w:t>
      </w:r>
      <w:r>
        <w:rPr>
          <w:rFonts w:ascii="Arial" w:cs="Arial" w:eastAsia="Arial" w:hAnsi="Arial"/>
          <w:sz w:val="19"/>
          <w:szCs w:val="19"/>
          <w:color w:val="auto"/>
        </w:rPr>
        <w:t xml:space="preserve">. To request a Revolving Borrowing, the Company, on behalf of the Borrowers, shall notify the Administrative Agent of such request by submitting a written Borrowing Request in a form approved by the Administrative Agent and signed by the Company, on behalf of the Borrowers (or, in the case of a Revolving Borrowing denominated in U.S. Dollars, by telephone confirmed promptly by hand delivery or telecopy to the Administrative Agent of a written Borrowing Request in a form approved by the Administrative Agent and signed by the Company, on behalf of the Borrowers) (a) in the case of a Term Benchmark Borrowing denominated in U.S. Dollars, not later than 11:00 a.m., New York City time, three (3) U.S. Government Securities Business Days before the date of the proposed Borrowing, (b) in the case of a Term Benchmark Borrowing denominated in Euro, not later than 11:00 a.m., New York City time, four (4) Business Days before the date of the proposed Borrowing, (c) in the case of an RFR Borrowing denominated in Pounds Sterling or Swiss Francs, not later than 11:00 a.m., New York City time, five (5) RFR Business Days before the date of the proposed Borrowing, or (d) in the case of an ABR Borrowing, not later than 11:00 a.m., New York City time, on the date of the proposed Borrowing. Each Borrowing Request shall be irrevocable and shall specify the following information in compliance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w:t>
      </w:r>
    </w:p>
    <w:p>
      <w:pPr>
        <w:spacing w:after="0" w:line="161" w:lineRule="exact"/>
        <w:rPr>
          <w:sz w:val="20"/>
          <w:szCs w:val="20"/>
          <w:color w:val="auto"/>
        </w:rPr>
      </w:pPr>
    </w:p>
    <w:p>
      <w:pPr>
        <w:ind w:left="2060" w:hanging="555"/>
        <w:spacing w:after="0"/>
        <w:tabs>
          <w:tab w:leader="none" w:pos="206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the Borrower requesting such Borrowing;</w:t>
      </w:r>
    </w:p>
    <w:p>
      <w:pPr>
        <w:spacing w:after="0" w:line="206" w:lineRule="exact"/>
        <w:rPr>
          <w:rFonts w:ascii="Arial" w:cs="Arial" w:eastAsia="Arial" w:hAnsi="Arial"/>
          <w:sz w:val="22"/>
          <w:szCs w:val="22"/>
          <w:color w:val="auto"/>
        </w:rPr>
      </w:pPr>
    </w:p>
    <w:p>
      <w:pPr>
        <w:ind w:left="2060" w:hanging="555"/>
        <w:spacing w:after="0"/>
        <w:tabs>
          <w:tab w:leader="none" w:pos="206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the currency and aggregate amount of the requested Borrowing in such currency;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9" w:name="page240"/>
    <w:bookmarkEnd w:id="239"/>
    <w:p>
      <w:pPr>
        <w:ind w:left="2060" w:hanging="555"/>
        <w:spacing w:after="0"/>
        <w:tabs>
          <w:tab w:leader="none" w:pos="206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206" w:lineRule="exact"/>
        <w:rPr>
          <w:rFonts w:ascii="Arial" w:cs="Arial" w:eastAsia="Arial" w:hAnsi="Arial"/>
          <w:sz w:val="22"/>
          <w:szCs w:val="22"/>
          <w:color w:val="auto"/>
        </w:rPr>
      </w:pPr>
    </w:p>
    <w:p>
      <w:pPr>
        <w:ind w:left="760" w:firstLine="745"/>
        <w:spacing w:after="0" w:line="250" w:lineRule="auto"/>
        <w:tabs>
          <w:tab w:leader="none" w:pos="2112" w:val="left"/>
        </w:tabs>
        <w:numPr>
          <w:ilvl w:val="0"/>
          <w:numId w:val="221"/>
        </w:numPr>
        <w:rPr>
          <w:rFonts w:ascii="Arial" w:cs="Arial" w:eastAsia="Arial" w:hAnsi="Arial"/>
          <w:sz w:val="22"/>
          <w:szCs w:val="22"/>
          <w:color w:val="auto"/>
        </w:rPr>
      </w:pPr>
      <w:r>
        <w:rPr>
          <w:rFonts w:ascii="Arial" w:cs="Arial" w:eastAsia="Arial" w:hAnsi="Arial"/>
          <w:sz w:val="22"/>
          <w:szCs w:val="22"/>
          <w:color w:val="auto"/>
        </w:rPr>
        <w:t>whether such Borrowing is to be an ABR Borrowing, a Term Benchmark Borrowing, or an RFR Borrowing, as applicable; and</w:t>
      </w:r>
    </w:p>
    <w:p>
      <w:pPr>
        <w:spacing w:after="0" w:line="174" w:lineRule="exact"/>
        <w:rPr>
          <w:rFonts w:ascii="Arial" w:cs="Arial" w:eastAsia="Arial" w:hAnsi="Arial"/>
          <w:sz w:val="22"/>
          <w:szCs w:val="22"/>
          <w:color w:val="auto"/>
        </w:rPr>
      </w:pPr>
    </w:p>
    <w:p>
      <w:pPr>
        <w:ind w:left="760" w:firstLine="745"/>
        <w:spacing w:after="0" w:line="250" w:lineRule="auto"/>
        <w:tabs>
          <w:tab w:leader="none" w:pos="2079" w:val="left"/>
        </w:tabs>
        <w:numPr>
          <w:ilvl w:val="0"/>
          <w:numId w:val="221"/>
        </w:numPr>
        <w:rPr>
          <w:rFonts w:ascii="Arial" w:cs="Arial" w:eastAsia="Arial" w:hAnsi="Arial"/>
          <w:sz w:val="22"/>
          <w:szCs w:val="22"/>
          <w:color w:val="auto"/>
        </w:rPr>
      </w:pPr>
      <w:r>
        <w:rPr>
          <w:rFonts w:ascii="Arial" w:cs="Arial" w:eastAsia="Arial" w:hAnsi="Arial"/>
          <w:sz w:val="22"/>
          <w:szCs w:val="22"/>
          <w:color w:val="auto"/>
        </w:rPr>
        <w:t>in the case of a Term Benchmark Borrowing, the initial Interest Period to be applicable thereto, which shall be a period contemplated by the definition of the term “Interest Period”.</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If no currency is specified with respect to any requested Term Benchmark Borrowing, then the requested Revolving Borrowing shall be denominated in U.S. Dollars. If no election as to the Type of Revolving Borrowing is specified, then, (A) in the case of a Borrowing denominated in U.S. Dollars, the requested Revolving Borrowing shall be an ABR Borrowing, (B) in the case of a Borrowing denominated in any Foreign Currency (other than Pounds Sterling or Swiss Francs), the requested Revolving Borrowing shall be a Term Benchmark Borrowing, and (C) in the case of a Borrowing denominated in Pounds Sterling or Swiss Francs, the requested Revolving Borrowing shall be an RFR Borrowing. If no Interest Period is specified with respect to any requested Term Benchmark Revolving Borrowing, then the Company shall be deemed to have selected an Interest Period of one</w:t>
      </w:r>
    </w:p>
    <w:p>
      <w:pPr>
        <w:spacing w:after="0" w:line="5" w:lineRule="exact"/>
        <w:rPr>
          <w:sz w:val="20"/>
          <w:szCs w:val="20"/>
          <w:color w:val="auto"/>
        </w:rPr>
      </w:pPr>
    </w:p>
    <w:p>
      <w:pPr>
        <w:jc w:val="both"/>
        <w:ind w:firstLine="8"/>
        <w:spacing w:after="0" w:line="234" w:lineRule="auto"/>
        <w:tabs>
          <w:tab w:leader="none" w:pos="328" w:val="left"/>
        </w:tabs>
        <w:numPr>
          <w:ilvl w:val="0"/>
          <w:numId w:val="222"/>
        </w:numPr>
        <w:rPr>
          <w:rFonts w:ascii="Arial" w:cs="Arial" w:eastAsia="Arial" w:hAnsi="Arial"/>
          <w:sz w:val="22"/>
          <w:szCs w:val="22"/>
          <w:color w:val="auto"/>
        </w:rPr>
      </w:pPr>
      <w:r>
        <w:rPr>
          <w:rFonts w:ascii="Arial" w:cs="Arial" w:eastAsia="Arial" w:hAnsi="Arial"/>
          <w:sz w:val="22"/>
          <w:szCs w:val="22"/>
          <w:color w:val="auto"/>
        </w:rPr>
        <w:t>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Determination of Euro Amounts</w:t>
      </w:r>
      <w:r>
        <w:rPr>
          <w:rFonts w:ascii="Arial" w:cs="Arial" w:eastAsia="Arial" w:hAnsi="Arial"/>
          <w:sz w:val="22"/>
          <w:szCs w:val="22"/>
          <w:color w:val="auto"/>
        </w:rPr>
        <w:t>. The Administrative Agent will determine the Euro Amount of:</w:t>
      </w:r>
    </w:p>
    <w:p>
      <w:pPr>
        <w:spacing w:after="0" w:line="206" w:lineRule="exact"/>
        <w:rPr>
          <w:sz w:val="20"/>
          <w:szCs w:val="20"/>
          <w:color w:val="auto"/>
        </w:rPr>
      </w:pPr>
    </w:p>
    <w:p>
      <w:pPr>
        <w:jc w:val="both"/>
        <w:ind w:firstLine="1505"/>
        <w:spacing w:after="0" w:line="249" w:lineRule="auto"/>
        <w:tabs>
          <w:tab w:leader="none" w:pos="2166" w:val="left"/>
        </w:tabs>
        <w:numPr>
          <w:ilvl w:val="0"/>
          <w:numId w:val="223"/>
        </w:numPr>
        <w:rPr>
          <w:rFonts w:ascii="Arial" w:cs="Arial" w:eastAsia="Arial" w:hAnsi="Arial"/>
          <w:sz w:val="21"/>
          <w:szCs w:val="21"/>
          <w:color w:val="auto"/>
        </w:rPr>
      </w:pPr>
      <w:r>
        <w:rPr>
          <w:rFonts w:ascii="Arial" w:cs="Arial" w:eastAsia="Arial" w:hAnsi="Arial"/>
          <w:sz w:val="21"/>
          <w:szCs w:val="21"/>
          <w:color w:val="auto"/>
        </w:rPr>
        <w:t>any Loan denominated in a Foreign Currency, on each of the following: (i) the date of the Borrowing of such Loan and (ii)(A) with respect to any Term Benchmark Loan, each date of a conversion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and</w:t>
      </w:r>
    </w:p>
    <w:p>
      <w:pPr>
        <w:spacing w:after="0" w:line="178" w:lineRule="exact"/>
        <w:rPr>
          <w:rFonts w:ascii="Arial" w:cs="Arial" w:eastAsia="Arial" w:hAnsi="Arial"/>
          <w:sz w:val="21"/>
          <w:szCs w:val="21"/>
          <w:color w:val="auto"/>
        </w:rPr>
      </w:pPr>
    </w:p>
    <w:p>
      <w:pPr>
        <w:jc w:val="both"/>
        <w:ind w:firstLine="1505"/>
        <w:spacing w:after="0"/>
        <w:tabs>
          <w:tab w:leader="none" w:pos="2164" w:val="left"/>
        </w:tabs>
        <w:numPr>
          <w:ilvl w:val="0"/>
          <w:numId w:val="223"/>
        </w:numPr>
        <w:rPr>
          <w:rFonts w:ascii="Arial" w:cs="Arial" w:eastAsia="Arial" w:hAnsi="Arial"/>
          <w:sz w:val="22"/>
          <w:szCs w:val="22"/>
          <w:color w:val="auto"/>
        </w:rPr>
      </w:pPr>
      <w:r>
        <w:rPr>
          <w:rFonts w:ascii="Arial" w:cs="Arial" w:eastAsia="Arial" w:hAnsi="Arial"/>
          <w:sz w:val="22"/>
          <w:szCs w:val="22"/>
          <w:color w:val="auto"/>
        </w:rPr>
        <w:t>all outstanding Revolving Loans on and as of the last Business Day of each calendar quarter and, during the continuation of an Event of Default, on any other Business Day elected by the Administrative Agent in its discretion or upon instruction by the Required Lenders.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Each day upon or as of which the Administrative Agent determines Euro Amounts as described in the preceding </w:t>
      </w:r>
      <w:r>
        <w:rPr>
          <w:rFonts w:ascii="Arial" w:cs="Arial" w:eastAsia="Arial" w:hAnsi="Arial"/>
          <w:sz w:val="19"/>
          <w:szCs w:val="19"/>
          <w:u w:val="single" w:color="auto"/>
          <w:color w:val="auto"/>
        </w:rPr>
        <w:t>clauses</w:t>
      </w:r>
    </w:p>
    <w:p>
      <w:pPr>
        <w:spacing w:after="0" w:line="43" w:lineRule="exact"/>
        <w:rPr>
          <w:sz w:val="20"/>
          <w:szCs w:val="20"/>
          <w:color w:val="auto"/>
        </w:rPr>
      </w:pPr>
    </w:p>
    <w:p>
      <w:pPr>
        <w:ind w:firstLine="8"/>
        <w:spacing w:after="0" w:line="236" w:lineRule="auto"/>
        <w:tabs>
          <w:tab w:leader="none" w:pos="300" w:val="left"/>
        </w:tabs>
        <w:numPr>
          <w:ilvl w:val="0"/>
          <w:numId w:val="224"/>
        </w:numPr>
        <w:rPr>
          <w:rFonts w:ascii="Arial" w:cs="Arial" w:eastAsia="Arial" w:hAnsi="Arial"/>
          <w:sz w:val="22"/>
          <w:szCs w:val="22"/>
          <w:u w:val="single" w:color="auto"/>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is herein described as a “</w:t>
      </w:r>
      <w:r>
        <w:rPr>
          <w:rFonts w:ascii="Arial" w:cs="Arial" w:eastAsia="Arial" w:hAnsi="Arial"/>
          <w:sz w:val="22"/>
          <w:szCs w:val="22"/>
          <w:b w:val="1"/>
          <w:bCs w:val="1"/>
          <w:i w:val="1"/>
          <w:iCs w:val="1"/>
          <w:color w:val="auto"/>
        </w:rPr>
        <w:t>Computation Date</w:t>
      </w:r>
      <w:r>
        <w:rPr>
          <w:rFonts w:ascii="Arial" w:cs="Arial" w:eastAsia="Arial" w:hAnsi="Arial"/>
          <w:sz w:val="22"/>
          <w:szCs w:val="22"/>
          <w:color w:val="auto"/>
        </w:rPr>
        <w:t>” with respect to each Borrowing for which a Euro Amount is determined on or as of such day.</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Swingline Loans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36" w:lineRule="auto"/>
        <w:tabs>
          <w:tab w:leader="none" w:pos="2181" w:val="left"/>
        </w:tabs>
        <w:numPr>
          <w:ilvl w:val="0"/>
          <w:numId w:val="225"/>
        </w:numPr>
        <w:rPr>
          <w:rFonts w:ascii="Arial" w:cs="Arial" w:eastAsia="Arial" w:hAnsi="Arial"/>
          <w:sz w:val="22"/>
          <w:szCs w:val="22"/>
          <w:color w:val="auto"/>
        </w:rPr>
      </w:pPr>
      <w:r>
        <w:rPr>
          <w:rFonts w:ascii="Arial" w:cs="Arial" w:eastAsia="Arial" w:hAnsi="Arial"/>
          <w:sz w:val="22"/>
          <w:szCs w:val="22"/>
          <w:color w:val="auto"/>
        </w:rPr>
        <w:t>Subject to the terms and conditions set forth herein, each Swingline Lender may in its sole discretion (and without any obligation to do so) make Swingline Loans in U.S. Dollars to the Borrowers from time to time during the Availability Period, in an aggregate principal amount at any time outstanding that will not result in (i) the aggregate principal amount of outstanding Swingline Loans made by such Swingline Lender exceeding such Swingline Lender’s Swingline Commitment, (ii) the Euro Amount of such Swingline Lender’s Revolving Credit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0" w:name="page241"/>
    <w:bookmarkEnd w:id="240"/>
    <w:p>
      <w:pPr>
        <w:jc w:val="both"/>
        <w:spacing w:after="0" w:line="246" w:lineRule="auto"/>
        <w:rPr>
          <w:sz w:val="20"/>
          <w:szCs w:val="20"/>
          <w:color w:val="auto"/>
        </w:rPr>
      </w:pPr>
      <w:r>
        <w:rPr>
          <w:rFonts w:ascii="Arial" w:cs="Arial" w:eastAsia="Arial" w:hAnsi="Arial"/>
          <w:sz w:val="21"/>
          <w:szCs w:val="21"/>
          <w:color w:val="auto"/>
        </w:rPr>
        <w:t xml:space="preserve">Exposure exceeding its Commitment (such Commitment to be calculated without giving effect to any assignment of any portion of the initial Swingline Lender’s original Commitment as of the Effective Date, unless such Swingline Lender also assigns a proportional amount of its Swingline Commitment to the assignee or to another Lender with a Commitment at least equal to the Commitment amount being assigned), or (iii) the Euro Amount of the Total Revolving Credit Exposures exceeding the total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Swingline Lender shall not be required to make a Swingline Loan to refinance an outstanding Swingline Loan. Within the foregoing limits and subject to the terms and conditions set forth herein, the Borrowers may borrow, prepay and reborrow Swingline Loans.</w:t>
      </w:r>
    </w:p>
    <w:p>
      <w:pPr>
        <w:spacing w:after="0" w:line="184" w:lineRule="exact"/>
        <w:rPr>
          <w:sz w:val="20"/>
          <w:szCs w:val="20"/>
          <w:color w:val="auto"/>
        </w:rPr>
      </w:pPr>
    </w:p>
    <w:p>
      <w:pPr>
        <w:jc w:val="both"/>
        <w:ind w:firstLine="1505"/>
        <w:spacing w:after="0" w:line="233" w:lineRule="auto"/>
        <w:tabs>
          <w:tab w:leader="none" w:pos="217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To request a Swingline Loan, the Company, on behalf of the Borrowers, shall notify the Administrative Agent of such request by telephone or electronic mail not later than 1:00 p.m., New York City time, on the day of a proposed Swingline Loan. Each such notice shall be irrevocable and shall specify the applicable Borrower requesting such Swingline Loan, the requested date (which shall be a Business Day) and amount of the requested Swingline Loan. The Administrative Agent will promptly advise the Swingline Lenders of any such notice received from the Company, on behalf of the Borrowers. Each Swingline Lender shall make its ratable portion of the requested Swingline Loan (such ratable portion to be calculated based upon such Swingline Lender’s Swingline Commitment in proportion to the total Swingline Commitments of all of the Swingline Lenders) available to the applicable Borrower by means of a credit to an account of the applicable Borrower with the Administrative Agent designated for such purpose by 3:00 p.m., New York City time, on the requested date of such Swingline Loan.</w:t>
      </w:r>
    </w:p>
    <w:p>
      <w:pPr>
        <w:spacing w:after="0" w:line="190" w:lineRule="exact"/>
        <w:rPr>
          <w:rFonts w:ascii="Arial" w:cs="Arial" w:eastAsia="Arial" w:hAnsi="Arial"/>
          <w:sz w:val="22"/>
          <w:szCs w:val="22"/>
          <w:color w:val="auto"/>
        </w:rPr>
      </w:pPr>
    </w:p>
    <w:p>
      <w:pPr>
        <w:jc w:val="both"/>
        <w:ind w:firstLine="1505"/>
        <w:spacing w:after="0" w:line="287" w:lineRule="auto"/>
        <w:tabs>
          <w:tab w:leader="none" w:pos="218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The failure of any Swingline Lender to make its ratable portion of a Swingline Loan shall not relieve any other Swingline Lender of its obligation hereunder to make its ratable portion of such Swingline Loan on the date of such Swingline Loan, but no Swingline Lender shall be responsible for the failure of any other Swingline Lender to make the ratable portion of a Swingline Loan to be made by such other Swingline Lender on the date of any Swingline Loan.</w:t>
      </w:r>
    </w:p>
    <w:p>
      <w:pPr>
        <w:spacing w:after="0" w:line="142" w:lineRule="exact"/>
        <w:rPr>
          <w:rFonts w:ascii="Arial" w:cs="Arial" w:eastAsia="Arial" w:hAnsi="Arial"/>
          <w:sz w:val="19"/>
          <w:szCs w:val="19"/>
          <w:color w:val="auto"/>
        </w:rPr>
      </w:pPr>
    </w:p>
    <w:p>
      <w:pPr>
        <w:jc w:val="both"/>
        <w:ind w:firstLine="1505"/>
        <w:spacing w:after="0" w:line="271" w:lineRule="auto"/>
        <w:tabs>
          <w:tab w:leader="none" w:pos="2174"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Any Swingline Lender may by written notice given to the Administrative Agent require the Lenders to acquire participations in all or a portion of its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Loans. Each Lender hereby absolutely and unconditionally agrees, promptly upon receipt of such notice from the Administrative Agent (and in any event, if such notice is received by 12:00 Noon, New York City time, on a Business Day, then no later than 5:00 p.m., New York City time, on such Business Day, and if received after 12:00 Noon, New York City time, on a Business Day, then no later than 10:00 a.m., New York City time, on the immediately succeeding Business Day), to pay to the Administrative Agent, for the account of such Swingline Lender, such Lender’s Applicable Percentage of such Swingline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with respect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1" w:name="page242"/>
    <w:bookmarkEnd w:id="241"/>
    <w:p>
      <w:pPr>
        <w:jc w:val="both"/>
        <w:spacing w:after="0" w:line="272" w:lineRule="auto"/>
        <w:rPr>
          <w:sz w:val="20"/>
          <w:szCs w:val="20"/>
          <w:color w:val="auto"/>
        </w:rPr>
      </w:pPr>
      <w:r>
        <w:rPr>
          <w:rFonts w:ascii="Arial" w:cs="Arial" w:eastAsia="Arial" w:hAnsi="Arial"/>
          <w:sz w:val="19"/>
          <w:szCs w:val="19"/>
          <w:color w:val="auto"/>
        </w:rPr>
        <w:t xml:space="preserve">Loans made by such Lender (and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xml:space="preserve">, to the payment obligations of the Lenders), and the Administrative Agent shall promptly pay to such Swingline Lender the amounts so received by it from the Lenders. The Administrative Agent shall notify the Company of any participations in any Swingline Loan acquired pursuant to this paragraph, and thereafter payments in respect of such Swingline Loan shall be made to the Administrative Agent and not to such Swingline Lender. Any amounts received by a Swingline Lender from the Borrowers (or other party on behalf of the Borrowers)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such Swingline Lender, as their interests may appear;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payment so remitted shall be repaid to such Swingline Lender or to the Administrative Agent, as applicable, if and to the extent such payment is required to be refunded to the Borrowers for any reason. The purchase of participations in a Swingline Loan pursuant to this paragraph shall not relieve the Borrowers of any default in the payment thereof.</w:t>
      </w:r>
    </w:p>
    <w:p>
      <w:pPr>
        <w:spacing w:after="0" w:line="200" w:lineRule="exact"/>
        <w:rPr>
          <w:sz w:val="20"/>
          <w:szCs w:val="20"/>
          <w:color w:val="auto"/>
        </w:rPr>
      </w:pPr>
    </w:p>
    <w:p>
      <w:pPr>
        <w:spacing w:after="0" w:line="208" w:lineRule="exact"/>
        <w:rPr>
          <w:sz w:val="20"/>
          <w:szCs w:val="20"/>
          <w:color w:val="auto"/>
        </w:rPr>
      </w:pPr>
    </w:p>
    <w:p>
      <w:pPr>
        <w:jc w:val="both"/>
        <w:ind w:firstLine="1505"/>
        <w:spacing w:after="0" w:line="270" w:lineRule="auto"/>
        <w:tabs>
          <w:tab w:leader="none" w:pos="2194" w:val="left"/>
        </w:tabs>
        <w:numPr>
          <w:ilvl w:val="1"/>
          <w:numId w:val="227"/>
        </w:numPr>
        <w:rPr>
          <w:rFonts w:ascii="Arial" w:cs="Arial" w:eastAsia="Arial" w:hAnsi="Arial"/>
          <w:sz w:val="19"/>
          <w:szCs w:val="19"/>
          <w:color w:val="auto"/>
        </w:rPr>
      </w:pPr>
      <w:r>
        <w:rPr>
          <w:rFonts w:ascii="Arial" w:cs="Arial" w:eastAsia="Arial" w:hAnsi="Arial"/>
          <w:sz w:val="19"/>
          <w:szCs w:val="19"/>
          <w:color w:val="auto"/>
        </w:rPr>
        <w:t xml:space="preserve">Any Swingline Lender may be replaced at any time by written agreement among the Company (on behalf of the Borrowers), the Administrative Agent, the replaced Swingline Lender and the successor Swingline Lender. The Administrative Agent shall notify the Lenders of any such replacement of a Swingline Lender. At the time any such replacement shall become effective, the Borrowers (or the Company, on behalf of the Borrowers) shall pay all unpaid interest accrued for the account of the replaced Swingline Lender pursuant to </w:t>
      </w:r>
      <w:r>
        <w:rPr>
          <w:rFonts w:ascii="Arial" w:cs="Arial" w:eastAsia="Arial" w:hAnsi="Arial"/>
          <w:sz w:val="19"/>
          <w:szCs w:val="19"/>
          <w:u w:val="single" w:color="auto"/>
          <w:color w:val="auto"/>
        </w:rPr>
        <w:t>Section 2.13(a)</w:t>
      </w:r>
      <w:r>
        <w:rPr>
          <w:rFonts w:ascii="Arial" w:cs="Arial" w:eastAsia="Arial" w:hAnsi="Arial"/>
          <w:sz w:val="19"/>
          <w:szCs w:val="19"/>
          <w:color w:val="auto"/>
        </w:rPr>
        <w:t>. From and after the effective date of any such replacement,</w:t>
      </w:r>
    </w:p>
    <w:p>
      <w:pPr>
        <w:spacing w:after="0" w:line="4" w:lineRule="exact"/>
        <w:rPr>
          <w:rFonts w:ascii="Arial" w:cs="Arial" w:eastAsia="Arial" w:hAnsi="Arial"/>
          <w:sz w:val="19"/>
          <w:szCs w:val="19"/>
          <w:color w:val="auto"/>
        </w:rPr>
      </w:pPr>
    </w:p>
    <w:p>
      <w:pPr>
        <w:jc w:val="both"/>
        <w:ind w:firstLine="8"/>
        <w:spacing w:after="0" w:line="275" w:lineRule="auto"/>
        <w:tabs>
          <w:tab w:leader="none" w:pos="356" w:val="left"/>
        </w:tabs>
        <w:numPr>
          <w:ilvl w:val="0"/>
          <w:numId w:val="228"/>
        </w:numPr>
        <w:rPr>
          <w:rFonts w:ascii="Arial" w:cs="Arial" w:eastAsia="Arial" w:hAnsi="Arial"/>
          <w:sz w:val="19"/>
          <w:szCs w:val="19"/>
          <w:color w:val="auto"/>
        </w:rPr>
      </w:pPr>
      <w:r>
        <w:rPr>
          <w:rFonts w:ascii="Arial" w:cs="Arial" w:eastAsia="Arial" w:hAnsi="Arial"/>
          <w:sz w:val="19"/>
          <w:szCs w:val="19"/>
          <w:color w:val="auto"/>
        </w:rPr>
        <w:t>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53" w:lineRule="exact"/>
        <w:rPr>
          <w:rFonts w:ascii="Arial" w:cs="Arial" w:eastAsia="Arial" w:hAnsi="Arial"/>
          <w:sz w:val="19"/>
          <w:szCs w:val="19"/>
          <w:color w:val="auto"/>
        </w:rPr>
      </w:pPr>
    </w:p>
    <w:p>
      <w:pPr>
        <w:jc w:val="both"/>
        <w:ind w:firstLine="1505"/>
        <w:spacing w:after="0" w:line="238" w:lineRule="auto"/>
        <w:tabs>
          <w:tab w:leader="none" w:pos="2163" w:val="left"/>
        </w:tabs>
        <w:numPr>
          <w:ilvl w:val="1"/>
          <w:numId w:val="228"/>
        </w:numPr>
        <w:rPr>
          <w:rFonts w:ascii="Arial" w:cs="Arial" w:eastAsia="Arial" w:hAnsi="Arial"/>
          <w:sz w:val="22"/>
          <w:szCs w:val="22"/>
          <w:color w:val="auto"/>
        </w:rPr>
      </w:pPr>
      <w:r>
        <w:rPr>
          <w:rFonts w:ascii="Arial" w:cs="Arial" w:eastAsia="Arial" w:hAnsi="Arial"/>
          <w:sz w:val="22"/>
          <w:szCs w:val="22"/>
          <w:color w:val="auto"/>
        </w:rPr>
        <w:t xml:space="preserve">Subject to the prior appointment and acceptance of a successor Swingline Lender, any Swingline Lender may resign as a Swingline Lender at any time upon thirty days’ prior written notice to the Administrative Agent, the Company (on behalf of the Borrowers) and the Lenders, in which case, such Swingline Lender shall be replaced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2.05(e)</w:t>
      </w:r>
      <w:r>
        <w:rPr>
          <w:rFonts w:ascii="Arial" w:cs="Arial" w:eastAsia="Arial" w:hAnsi="Arial"/>
          <w:sz w:val="22"/>
          <w:szCs w:val="22"/>
          <w:color w:val="auto"/>
        </w:rPr>
        <w:t xml:space="preserve"> above.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Funding of Borrowings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87" w:lineRule="auto"/>
        <w:tabs>
          <w:tab w:leader="none" w:pos="2184" w:val="left"/>
        </w:tabs>
        <w:numPr>
          <w:ilvl w:val="0"/>
          <w:numId w:val="229"/>
        </w:numPr>
        <w:rPr>
          <w:rFonts w:ascii="Arial" w:cs="Arial" w:eastAsia="Arial" w:hAnsi="Arial"/>
          <w:sz w:val="19"/>
          <w:szCs w:val="19"/>
          <w:color w:val="auto"/>
        </w:rPr>
      </w:pPr>
      <w:r>
        <w:rPr>
          <w:rFonts w:ascii="Arial" w:cs="Arial" w:eastAsia="Arial" w:hAnsi="Arial"/>
          <w:sz w:val="19"/>
          <w:szCs w:val="19"/>
          <w:color w:val="auto"/>
        </w:rPr>
        <w:t>Each Lender shall make each Loan to be made by it hereunder on the proposed date thereof by wire transfer of immediately available funds (i) in the case of Loans denominated in U.S. Dollars, by 12:00 noon, New York City time, to the account of the Administrative Agent most recently designated by it for such purpose by notice to the Lenders, and (ii) in the case of Loans denominated in a Foreign Currency, by 12:00 noon, Local Time, in the city of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2" w:name="page243"/>
    <w:bookmarkEnd w:id="242"/>
    <w:p>
      <w:pPr>
        <w:jc w:val="both"/>
        <w:spacing w:after="0" w:line="273" w:lineRule="auto"/>
        <w:rPr>
          <w:sz w:val="20"/>
          <w:szCs w:val="20"/>
          <w:color w:val="auto"/>
        </w:rPr>
      </w:pPr>
      <w:r>
        <w:rPr>
          <w:rFonts w:ascii="Arial" w:cs="Arial" w:eastAsia="Arial" w:hAnsi="Arial"/>
          <w:sz w:val="19"/>
          <w:szCs w:val="19"/>
          <w:color w:val="auto"/>
        </w:rPr>
        <w:t xml:space="preserve">Administrative Agent’s Foreign Currency Payment Office for such Foreign Currency and at such Foreign Currency Payment Office;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Swingline Loans shall be made as provided in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The Borrowers hereby irrevocably authorize the Administrative Agent to disburse the proceeds of each borrowing requested pursuant to this Section in immediately available funds by crediting or wiring such proceeds to the deposit account of the Borrowers identified in the most recent notice substantially in the form attached as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(a “</w:t>
      </w:r>
      <w:r>
        <w:rPr>
          <w:rFonts w:ascii="Arial" w:cs="Arial" w:eastAsia="Arial" w:hAnsi="Arial"/>
          <w:sz w:val="19"/>
          <w:szCs w:val="19"/>
          <w:b w:val="1"/>
          <w:bCs w:val="1"/>
          <w:i w:val="1"/>
          <w:iCs w:val="1"/>
          <w:color w:val="auto"/>
        </w:rPr>
        <w:t>Notice of Account Designation</w:t>
      </w:r>
      <w:r>
        <w:rPr>
          <w:rFonts w:ascii="Arial" w:cs="Arial" w:eastAsia="Arial" w:hAnsi="Arial"/>
          <w:sz w:val="19"/>
          <w:szCs w:val="19"/>
          <w:color w:val="auto"/>
        </w:rPr>
        <w:t>”) delivered by the Borrowers (or the Company, on behalf of the Borrowers) to the Administrative Agent or as may be otherwise agreed upon by the Borrowers (or the Company, on behalf of the Borrowers) and the Administrative Agent from time to time. The Administrative Agent will make such Loans available to the applicable Borrower by promptly crediting the amounts so received, in like funds, to (x) in the case of Loans denominated in U.S. Dollars, an account of such Borrower designated in the Notice of Account Designation, and (y) in the case of Loans denominated in a Foreign Currency, an account of such Borrower designated in the Notice of Account Designation.</w:t>
      </w:r>
    </w:p>
    <w:p>
      <w:pPr>
        <w:spacing w:after="0" w:line="161" w:lineRule="exact"/>
        <w:rPr>
          <w:sz w:val="20"/>
          <w:szCs w:val="20"/>
          <w:color w:val="auto"/>
        </w:rPr>
      </w:pPr>
    </w:p>
    <w:p>
      <w:pPr>
        <w:jc w:val="both"/>
        <w:ind w:firstLine="1505"/>
        <w:spacing w:after="0" w:line="272" w:lineRule="auto"/>
        <w:tabs>
          <w:tab w:leader="none" w:pos="217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received notice from a Lender prior to the proposed date of any Borrowing (or in the case of an ABR Borrowing,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such Borrower, the interest rate applicable to ABR Loans, or in the case of Foreign Currencies, in accordance with relevant market practice, in each case, as applicable. If such Lender pays such amount to the Administrative Agent, then such amount shall constitute such Lender’s Loan included in such Borrowing.</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Interest Elections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5" w:lineRule="auto"/>
        <w:tabs>
          <w:tab w:leader="none" w:pos="2171" w:val="left"/>
        </w:tabs>
        <w:numPr>
          <w:ilvl w:val="0"/>
          <w:numId w:val="231"/>
        </w:numPr>
        <w:rPr>
          <w:rFonts w:ascii="Arial" w:cs="Arial" w:eastAsia="Arial" w:hAnsi="Arial"/>
          <w:sz w:val="19"/>
          <w:szCs w:val="19"/>
          <w:color w:val="auto"/>
        </w:rPr>
      </w:pPr>
      <w:r>
        <w:rPr>
          <w:rFonts w:ascii="Arial" w:cs="Arial" w:eastAsia="Arial" w:hAnsi="Arial"/>
          <w:sz w:val="19"/>
          <w:szCs w:val="19"/>
          <w:color w:val="auto"/>
        </w:rPr>
        <w:t>Each Revolving Borrowing initially shall be of the Type specified in the applicable Borrowing Request and, in the case of a Term Benchmark Revolving Borrowing, shall have an initial Interest Period as specified in such Borrowing Request. Thereafter, the Borrowers or the Company, on behalf of the Borrowers, may elect to convert such Borrowing to a different Type or to continue such Borrowing and, in the case of a Term Benchmark Revolving Borrowing, may elect Interest Periods therefor, all as provided in this Section. The Borrowers or the Company, on behalf of the Borrowers,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Loans, which may not be converted or continued.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3" w:name="page244"/>
    <w:bookmarkEnd w:id="243"/>
    <w:p>
      <w:pPr>
        <w:jc w:val="both"/>
        <w:ind w:firstLine="1505"/>
        <w:spacing w:after="0" w:line="273" w:lineRule="auto"/>
        <w:tabs>
          <w:tab w:leader="none" w:pos="2219"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To make an election pursuant to this Section, the Borrowers or the Company, on behalf of the Borrowers, shall notify the Administrative Agent of such election by electronic mail of a written Interest Election Request in a form approved by the Administrative Agent and signed by the Borrowers or the Company, on behalf of the Borrowers (or, in the case of a Revolving Borrowing denominated in U.S. Dollars, by telephone confirmed promptly by hand delivery or electronic mail to the Administrative Agent of a written Interest Election Request in a form approved by the Administrative Agent and signed by the Borrowers or the Company, on behalf of the Borrowers) by the time that a Borrowing Request would be required under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if the Borrowers or the Company, on behalf of the Borrowers, were requesting a Revolving Borrowing of the Type resulting from such election to be made on the effective date of such election. Notwithstanding any other provision of this Section, the Borrowers or the Company shall not be permitted to (i) change the currency of any Borrowing, (ii) elect an Interest Period for Term Benchmark Loans that does not comply with </w:t>
      </w:r>
      <w:r>
        <w:rPr>
          <w:rFonts w:ascii="Arial" w:cs="Arial" w:eastAsia="Arial" w:hAnsi="Arial"/>
          <w:sz w:val="19"/>
          <w:szCs w:val="19"/>
          <w:u w:val="single" w:color="auto"/>
          <w:color w:val="auto"/>
        </w:rPr>
        <w:t>Section 2.02(d)</w:t>
      </w:r>
      <w:r>
        <w:rPr>
          <w:rFonts w:ascii="Arial" w:cs="Arial" w:eastAsia="Arial" w:hAnsi="Arial"/>
          <w:sz w:val="19"/>
          <w:szCs w:val="19"/>
          <w:color w:val="auto"/>
        </w:rPr>
        <w:t xml:space="preserve"> or (iii) convert any Borrowing to a Borrowing of a Type not available to the applicable Borrower for such Borrowing when it was made.</w:t>
      </w:r>
    </w:p>
    <w:p>
      <w:pPr>
        <w:spacing w:after="0" w:line="155" w:lineRule="exact"/>
        <w:rPr>
          <w:rFonts w:ascii="Arial" w:cs="Arial" w:eastAsia="Arial" w:hAnsi="Arial"/>
          <w:sz w:val="19"/>
          <w:szCs w:val="19"/>
          <w:color w:val="auto"/>
        </w:rPr>
      </w:pPr>
    </w:p>
    <w:p>
      <w:pPr>
        <w:ind w:firstLine="1505"/>
        <w:spacing w:after="0" w:line="250" w:lineRule="auto"/>
        <w:tabs>
          <w:tab w:leader="none" w:pos="2222" w:val="left"/>
        </w:tabs>
        <w:numPr>
          <w:ilvl w:val="0"/>
          <w:numId w:val="232"/>
        </w:numPr>
        <w:rPr>
          <w:rFonts w:ascii="Arial" w:cs="Arial" w:eastAsia="Arial" w:hAnsi="Arial"/>
          <w:sz w:val="22"/>
          <w:szCs w:val="22"/>
          <w:color w:val="auto"/>
        </w:rPr>
      </w:pPr>
      <w:r>
        <w:rPr>
          <w:rFonts w:ascii="Arial" w:cs="Arial" w:eastAsia="Arial" w:hAnsi="Arial"/>
          <w:sz w:val="22"/>
          <w:szCs w:val="22"/>
          <w:color w:val="auto"/>
        </w:rPr>
        <w:t xml:space="preserve">Each telephonic and written Interest Election Request shall be irrevocable and shall specify the following information in compliance with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175" w:lineRule="exact"/>
        <w:rPr>
          <w:sz w:val="20"/>
          <w:szCs w:val="20"/>
          <w:color w:val="auto"/>
        </w:rPr>
      </w:pPr>
    </w:p>
    <w:p>
      <w:pPr>
        <w:jc w:val="both"/>
        <w:ind w:left="760" w:firstLine="745"/>
        <w:spacing w:after="0" w:line="287" w:lineRule="auto"/>
        <w:tabs>
          <w:tab w:leader="none" w:pos="2065"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the name of the applicable Borrower and 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below shall be specified for each resulting Borrowing);</w:t>
      </w:r>
    </w:p>
    <w:p>
      <w:pPr>
        <w:spacing w:after="0" w:line="142" w:lineRule="exact"/>
        <w:rPr>
          <w:rFonts w:ascii="Arial" w:cs="Arial" w:eastAsia="Arial" w:hAnsi="Arial"/>
          <w:sz w:val="19"/>
          <w:szCs w:val="19"/>
          <w:color w:val="auto"/>
        </w:rPr>
      </w:pPr>
    </w:p>
    <w:p>
      <w:pPr>
        <w:ind w:left="2100" w:hanging="595"/>
        <w:spacing w:after="0"/>
        <w:tabs>
          <w:tab w:leader="none" w:pos="210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Business Day;</w:t>
      </w:r>
    </w:p>
    <w:p>
      <w:pPr>
        <w:spacing w:after="0" w:line="188" w:lineRule="exact"/>
        <w:rPr>
          <w:rFonts w:ascii="Arial" w:cs="Arial" w:eastAsia="Arial" w:hAnsi="Arial"/>
          <w:sz w:val="19"/>
          <w:szCs w:val="19"/>
          <w:color w:val="auto"/>
        </w:rPr>
      </w:pPr>
    </w:p>
    <w:p>
      <w:pPr>
        <w:ind w:left="760" w:firstLine="745"/>
        <w:spacing w:after="0" w:line="250" w:lineRule="auto"/>
        <w:tabs>
          <w:tab w:leader="none" w:pos="2082" w:val="left"/>
        </w:tabs>
        <w:numPr>
          <w:ilvl w:val="0"/>
          <w:numId w:val="233"/>
        </w:numPr>
        <w:rPr>
          <w:rFonts w:ascii="Arial" w:cs="Arial" w:eastAsia="Arial" w:hAnsi="Arial"/>
          <w:sz w:val="22"/>
          <w:szCs w:val="22"/>
          <w:color w:val="auto"/>
        </w:rPr>
      </w:pPr>
      <w:r>
        <w:rPr>
          <w:rFonts w:ascii="Arial" w:cs="Arial" w:eastAsia="Arial" w:hAnsi="Arial"/>
          <w:sz w:val="22"/>
          <w:szCs w:val="22"/>
          <w:color w:val="auto"/>
        </w:rPr>
        <w:t>whether the resulting Borrowing is to be an ABR Borrowing, Term Benchmark Borrowing or an RFR Borrowing, as applicable; and</w:t>
      </w:r>
    </w:p>
    <w:p>
      <w:pPr>
        <w:spacing w:after="0" w:line="174" w:lineRule="exact"/>
        <w:rPr>
          <w:rFonts w:ascii="Arial" w:cs="Arial" w:eastAsia="Arial" w:hAnsi="Arial"/>
          <w:sz w:val="22"/>
          <w:szCs w:val="22"/>
          <w:color w:val="auto"/>
        </w:rPr>
      </w:pPr>
    </w:p>
    <w:p>
      <w:pPr>
        <w:jc w:val="both"/>
        <w:ind w:left="760" w:firstLine="745"/>
        <w:spacing w:after="0"/>
        <w:tabs>
          <w:tab w:leader="none" w:pos="2074" w:val="left"/>
        </w:tabs>
        <w:numPr>
          <w:ilvl w:val="0"/>
          <w:numId w:val="233"/>
        </w:numPr>
        <w:rPr>
          <w:rFonts w:ascii="Arial" w:cs="Arial" w:eastAsia="Arial" w:hAnsi="Arial"/>
          <w:sz w:val="22"/>
          <w:szCs w:val="22"/>
          <w:color w:val="auto"/>
        </w:rPr>
      </w:pPr>
      <w:r>
        <w:rPr>
          <w:rFonts w:ascii="Arial" w:cs="Arial" w:eastAsia="Arial" w:hAnsi="Arial"/>
          <w:sz w:val="22"/>
          <w:szCs w:val="22"/>
          <w:color w:val="auto"/>
        </w:rPr>
        <w:t>if the resulting Borrowing is a Term Benchmark Borrowing, the Interest Period to be applicable thereto after giving effect to such election, which Interest Period shall be a period contemplated by the definition of the term “Interest Period”.</w:t>
      </w:r>
    </w:p>
    <w:p>
      <w:pPr>
        <w:spacing w:after="0" w:line="186"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If any such Interest Election Request requests a Term Benchmark Borrowing, but does not specify an Interest Period, then the Borrowers and the Company shall be deemed to have selected an Interest Period of one (1) month’s duration.</w:t>
      </w:r>
    </w:p>
    <w:p>
      <w:pPr>
        <w:spacing w:after="0" w:line="151" w:lineRule="exact"/>
        <w:rPr>
          <w:sz w:val="20"/>
          <w:szCs w:val="20"/>
          <w:color w:val="auto"/>
        </w:rPr>
      </w:pPr>
    </w:p>
    <w:p>
      <w:pPr>
        <w:ind w:firstLine="1505"/>
        <w:spacing w:after="0" w:line="250" w:lineRule="auto"/>
        <w:tabs>
          <w:tab w:leader="none" w:pos="2176" w:val="left"/>
        </w:tabs>
        <w:numPr>
          <w:ilvl w:val="0"/>
          <w:numId w:val="234"/>
        </w:numPr>
        <w:rPr>
          <w:rFonts w:ascii="Arial" w:cs="Arial" w:eastAsia="Arial" w:hAnsi="Arial"/>
          <w:sz w:val="22"/>
          <w:szCs w:val="22"/>
          <w:color w:val="auto"/>
        </w:rPr>
      </w:pPr>
      <w:r>
        <w:rPr>
          <w:rFonts w:ascii="Arial" w:cs="Arial" w:eastAsia="Arial" w:hAnsi="Arial"/>
          <w:sz w:val="22"/>
          <w:szCs w:val="22"/>
          <w:color w:val="auto"/>
        </w:rPr>
        <w:t>Promptly following receipt of an Interest Election Request, the Administrative Agent shall advise each Lender of the details thereof and of such Lender’s portion of each resulting Borrowing.</w:t>
      </w:r>
    </w:p>
    <w:p>
      <w:pPr>
        <w:spacing w:after="0" w:line="174" w:lineRule="exact"/>
        <w:rPr>
          <w:rFonts w:ascii="Arial" w:cs="Arial" w:eastAsia="Arial" w:hAnsi="Arial"/>
          <w:sz w:val="22"/>
          <w:szCs w:val="22"/>
          <w:color w:val="auto"/>
        </w:rPr>
      </w:pPr>
    </w:p>
    <w:p>
      <w:pPr>
        <w:jc w:val="both"/>
        <w:ind w:firstLine="1505"/>
        <w:spacing w:after="0" w:line="252" w:lineRule="auto"/>
        <w:tabs>
          <w:tab w:leader="none" w:pos="2161" w:val="left"/>
        </w:tabs>
        <w:numPr>
          <w:ilvl w:val="0"/>
          <w:numId w:val="234"/>
        </w:numPr>
        <w:rPr>
          <w:rFonts w:ascii="Arial" w:cs="Arial" w:eastAsia="Arial" w:hAnsi="Arial"/>
          <w:sz w:val="21"/>
          <w:szCs w:val="21"/>
          <w:color w:val="auto"/>
        </w:rPr>
      </w:pPr>
      <w:r>
        <w:rPr>
          <w:rFonts w:ascii="Arial" w:cs="Arial" w:eastAsia="Arial" w:hAnsi="Arial"/>
          <w:sz w:val="21"/>
          <w:szCs w:val="21"/>
          <w:color w:val="auto"/>
        </w:rPr>
        <w:t>If the Company or the Borrowers fail to deliver a timely Interest Election Request with respect to a Term Benchmark Borrowing denominated in U.S. Dollars prior to the end of the Interest Period applicable thereto, then, unless such Borrowing is repaid as provided herein, at the end of such Interest Period such Borrowing shall be deemed to have an Interest Period that is one (1) month. If the Company or the Borrowers fail to deliver a timely and complete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4" w:name="page245"/>
    <w:bookmarkEnd w:id="244"/>
    <w:p>
      <w:pPr>
        <w:jc w:val="both"/>
        <w:spacing w:after="0" w:line="270" w:lineRule="auto"/>
        <w:rPr>
          <w:sz w:val="20"/>
          <w:szCs w:val="20"/>
          <w:color w:val="auto"/>
        </w:rPr>
      </w:pPr>
      <w:r>
        <w:rPr>
          <w:rFonts w:ascii="Arial" w:cs="Arial" w:eastAsia="Arial" w:hAnsi="Arial"/>
          <w:sz w:val="19"/>
          <w:szCs w:val="19"/>
          <w:color w:val="auto"/>
        </w:rPr>
        <w:t xml:space="preserve">Interest Election Request with respect to a Term Benchmark Borrowing denominated in a Foreign Currency prior to the end of the Interest Period therefor, then, unless such Term Benchmark Borrowing is repaid as provided herein, the Company or the applicable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Company, then, so long as an Event of Default is continuing (i) no outstanding Borrowing may be converted to or continued as a Term Benchmark Borrowing and (ii) unless repaid, (x) each Term Benchmark Borrowing and each RFR Borrowing, in each case denominated in U.S. Dollars shall be converted to an ABR Borrowing (in the case of a Term Benchmark Borrowing) at the end of the Interest Period applicable thereto or (in the case of an RFR Borrowing) on the next Interest Payment Date in respect thereof and (y) each Term Benchmark Borrowing and each RFR Borrowing, in each case denominated in a Foreign Currency shall bear interest at the Central Bank Rate for the applicable Agreed Currency plus the Applicable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determines (which determination shall be conclusive and binding absent manifest error) that the Central Bank Rate for the applicable Agreed Currency cannot be determined, any outstanding affected Term Benchmark Loans or RFR Loans denominated in any Foreign Currency shall either be (A) converted to an ABR Borrowing denominated in U.S. Dollars (in an amount equal to the Dollar Amount of such Foreign Currency) at the end of the Interest Period or on the Interest Payment Date, as applicable, therefor or (B) prepaid at the end of the applicable Interest Period or on the Interest Payment Date, as applicable, in full;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 election is made by the applicable Borrower by the earlier of (x) the date that is three (3) Business Days after receipt by the Company of such notice and (y) the last day of the current Interest Period for the applicable Term Benchmark Loan, such Borrower shall be deemed to have elected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w:t>
      </w:r>
    </w:p>
    <w:p>
      <w:pPr>
        <w:spacing w:after="0" w:line="200" w:lineRule="exact"/>
        <w:rPr>
          <w:sz w:val="20"/>
          <w:szCs w:val="20"/>
          <w:color w:val="auto"/>
        </w:rPr>
      </w:pP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u w:val="single" w:color="auto"/>
          <w:color w:val="auto"/>
        </w:rPr>
        <w:t>Termination and Reduction of Commitments</w:t>
      </w:r>
      <w:r>
        <w:rPr>
          <w:rFonts w:ascii="Arial" w:cs="Arial" w:eastAsia="Arial" w:hAnsi="Arial"/>
          <w:sz w:val="22"/>
          <w:szCs w:val="22"/>
          <w:color w:val="auto"/>
        </w:rPr>
        <w:t>.</w:t>
      </w:r>
    </w:p>
    <w:p>
      <w:pPr>
        <w:spacing w:after="0" w:line="206" w:lineRule="exact"/>
        <w:rPr>
          <w:sz w:val="20"/>
          <w:szCs w:val="20"/>
          <w:color w:val="auto"/>
        </w:rPr>
      </w:pPr>
    </w:p>
    <w:p>
      <w:pPr>
        <w:ind w:left="2160" w:hanging="655"/>
        <w:spacing w:after="0"/>
        <w:tabs>
          <w:tab w:leader="none" w:pos="216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Unless previously terminated, the Commitments shall terminate on the Maturity Date.</w:t>
      </w:r>
    </w:p>
    <w:p>
      <w:pPr>
        <w:spacing w:after="0" w:line="206" w:lineRule="exact"/>
        <w:rPr>
          <w:rFonts w:ascii="Arial" w:cs="Arial" w:eastAsia="Arial" w:hAnsi="Arial"/>
          <w:sz w:val="22"/>
          <w:szCs w:val="22"/>
          <w:color w:val="auto"/>
        </w:rPr>
      </w:pPr>
    </w:p>
    <w:p>
      <w:pPr>
        <w:ind w:left="2180" w:hanging="675"/>
        <w:spacing w:after="0"/>
        <w:tabs>
          <w:tab w:leader="none" w:pos="2180" w:val="left"/>
        </w:tabs>
        <w:numPr>
          <w:ilvl w:val="1"/>
          <w:numId w:val="235"/>
        </w:numPr>
        <w:rPr>
          <w:rFonts w:ascii="Arial" w:cs="Arial" w:eastAsia="Arial" w:hAnsi="Arial"/>
          <w:sz w:val="19"/>
          <w:szCs w:val="19"/>
          <w:color w:val="auto"/>
        </w:rPr>
      </w:pPr>
      <w:r>
        <w:rPr>
          <w:rFonts w:ascii="Arial" w:cs="Arial" w:eastAsia="Arial" w:hAnsi="Arial"/>
          <w:sz w:val="19"/>
          <w:szCs w:val="19"/>
          <w:color w:val="auto"/>
        </w:rPr>
        <w:t xml:space="preserve">The Borrowers may at any time terminate, or from time to time reduce, the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42" w:lineRule="exact"/>
        <w:rPr>
          <w:rFonts w:ascii="Arial" w:cs="Arial" w:eastAsia="Arial" w:hAnsi="Arial"/>
          <w:sz w:val="19"/>
          <w:szCs w:val="19"/>
          <w:color w:val="auto"/>
        </w:rPr>
      </w:pPr>
    </w:p>
    <w:p>
      <w:pPr>
        <w:jc w:val="both"/>
        <w:ind w:firstLine="8"/>
        <w:spacing w:after="0" w:line="233" w:lineRule="auto"/>
        <w:tabs>
          <w:tab w:leader="none" w:pos="301" w:val="left"/>
        </w:tabs>
        <w:numPr>
          <w:ilvl w:val="0"/>
          <w:numId w:val="236"/>
        </w:numPr>
        <w:rPr>
          <w:rFonts w:ascii="Arial" w:cs="Arial" w:eastAsia="Arial" w:hAnsi="Arial"/>
          <w:sz w:val="22"/>
          <w:szCs w:val="22"/>
          <w:color w:val="auto"/>
        </w:rPr>
      </w:pPr>
      <w:r>
        <w:rPr>
          <w:rFonts w:ascii="Arial" w:cs="Arial" w:eastAsia="Arial" w:hAnsi="Arial"/>
          <w:sz w:val="22"/>
          <w:szCs w:val="22"/>
          <w:color w:val="auto"/>
        </w:rPr>
        <w:t xml:space="preserve">each reduction of the Commitments shall be in an amount that is an integral multiple of $1,000,000 and not less than $1,000,000 and (ii) the Borrowers shall not terminate or reduce the Commitments if, after giving effect to any concurrent prepayment of the Loans in accordance with </w:t>
      </w:r>
      <w:r>
        <w:rPr>
          <w:rFonts w:ascii="Arial" w:cs="Arial" w:eastAsia="Arial" w:hAnsi="Arial"/>
          <w:sz w:val="22"/>
          <w:szCs w:val="22"/>
          <w:u w:val="single" w:color="auto"/>
          <w:color w:val="auto"/>
        </w:rPr>
        <w:t>Section 2.11</w:t>
      </w:r>
      <w:r>
        <w:rPr>
          <w:rFonts w:ascii="Arial" w:cs="Arial" w:eastAsia="Arial" w:hAnsi="Arial"/>
          <w:sz w:val="22"/>
          <w:szCs w:val="22"/>
          <w:color w:val="auto"/>
        </w:rPr>
        <w:t>, the Euro Amount of the Total Revolving Credit Exposures would exceed the total Commitments.</w:t>
      </w:r>
    </w:p>
    <w:p>
      <w:pPr>
        <w:spacing w:after="0" w:line="187" w:lineRule="exact"/>
        <w:rPr>
          <w:rFonts w:ascii="Arial" w:cs="Arial" w:eastAsia="Arial" w:hAnsi="Arial"/>
          <w:sz w:val="22"/>
          <w:szCs w:val="22"/>
          <w:color w:val="auto"/>
        </w:rPr>
      </w:pPr>
    </w:p>
    <w:p>
      <w:pPr>
        <w:jc w:val="both"/>
        <w:ind w:firstLine="1505"/>
        <w:spacing w:after="0" w:line="279" w:lineRule="auto"/>
        <w:tabs>
          <w:tab w:leader="none" w:pos="2194" w:val="left"/>
        </w:tabs>
        <w:numPr>
          <w:ilvl w:val="1"/>
          <w:numId w:val="236"/>
        </w:numPr>
        <w:rPr>
          <w:rFonts w:ascii="Arial" w:cs="Arial" w:eastAsia="Arial" w:hAnsi="Arial"/>
          <w:sz w:val="19"/>
          <w:szCs w:val="19"/>
          <w:color w:val="auto"/>
        </w:rPr>
      </w:pPr>
      <w:r>
        <w:rPr>
          <w:rFonts w:ascii="Arial" w:cs="Arial" w:eastAsia="Arial" w:hAnsi="Arial"/>
          <w:sz w:val="19"/>
          <w:szCs w:val="19"/>
          <w:color w:val="auto"/>
        </w:rPr>
        <w:t xml:space="preserve">The Company, on behalf of the Borrowers, shall notify the Administrative Agent of any election to terminate or reduce the Commitments under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at least three (3)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Company pursuant to this Section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of the Commitments delivered by the Company may state that such notice is conditioned upon the effectiveness of other credit facilities, in which case such notice may be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5" w:name="page246"/>
    <w:bookmarkEnd w:id="245"/>
    <w:p>
      <w:pPr>
        <w:jc w:val="both"/>
        <w:spacing w:after="0"/>
        <w:rPr>
          <w:sz w:val="20"/>
          <w:szCs w:val="20"/>
          <w:color w:val="auto"/>
        </w:rPr>
      </w:pPr>
      <w:r>
        <w:rPr>
          <w:rFonts w:ascii="Arial" w:cs="Arial" w:eastAsia="Arial" w:hAnsi="Arial"/>
          <w:sz w:val="22"/>
          <w:szCs w:val="22"/>
          <w:color w:val="auto"/>
        </w:rPr>
        <w:t>revoked by the Company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Repayment of Loans; Evidence of Debt</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27" w:lineRule="auto"/>
        <w:tabs>
          <w:tab w:leader="none" w:pos="2175" w:val="left"/>
        </w:tabs>
        <w:numPr>
          <w:ilvl w:val="0"/>
          <w:numId w:val="237"/>
        </w:numPr>
        <w:rPr>
          <w:rFonts w:ascii="Arial" w:cs="Arial" w:eastAsia="Arial" w:hAnsi="Arial"/>
          <w:sz w:val="22"/>
          <w:szCs w:val="22"/>
          <w:color w:val="auto"/>
        </w:rPr>
      </w:pPr>
      <w:r>
        <w:rPr>
          <w:rFonts w:ascii="Arial" w:cs="Arial" w:eastAsia="Arial" w:hAnsi="Arial"/>
          <w:sz w:val="22"/>
          <w:szCs w:val="22"/>
          <w:color w:val="auto"/>
        </w:rPr>
        <w:t>Each Borrower hereby unconditionally promises to pay (i) to the Administrative Agent for the account of each Lender the then unpaid principal amount of each Revolving Loan made to such Borrower on the Maturity Date in the currency of such Loan and (ii) to the Administrative Agent for the account of the Swingline Lenders the then unpaid principal amount of each Swingline Loan on the earlier of the Maturity Date and the fifth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Business Day after such Swingline Loan is made;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on each date that a Revolving Borrowing is made to a Borrower, such Borrower shall repay all Swingline Loans then outstanding, and the proceeds of any such Borrowing shall be applied by the Administrative Agent to repay any Swingline Loans outstanding.</w:t>
      </w:r>
    </w:p>
    <w:p>
      <w:pPr>
        <w:spacing w:after="0" w:line="190" w:lineRule="exact"/>
        <w:rPr>
          <w:rFonts w:ascii="Arial" w:cs="Arial" w:eastAsia="Arial" w:hAnsi="Arial"/>
          <w:sz w:val="22"/>
          <w:szCs w:val="22"/>
          <w:color w:val="auto"/>
        </w:rPr>
      </w:pPr>
    </w:p>
    <w:p>
      <w:pPr>
        <w:jc w:val="both"/>
        <w:ind w:firstLine="1505"/>
        <w:spacing w:after="0" w:line="257" w:lineRule="auto"/>
        <w:tabs>
          <w:tab w:leader="none" w:pos="2171" w:val="left"/>
        </w:tabs>
        <w:numPr>
          <w:ilvl w:val="0"/>
          <w:numId w:val="237"/>
        </w:numPr>
        <w:rPr>
          <w:rFonts w:ascii="Arial" w:cs="Arial" w:eastAsia="Arial" w:hAnsi="Arial"/>
          <w:sz w:val="21"/>
          <w:szCs w:val="21"/>
          <w:color w:val="auto"/>
        </w:rPr>
      </w:pPr>
      <w:r>
        <w:rPr>
          <w:rFonts w:ascii="Arial" w:cs="Arial" w:eastAsia="Arial" w:hAnsi="Arial"/>
          <w:sz w:val="21"/>
          <w:szCs w:val="21"/>
          <w:color w:val="auto"/>
        </w:rPr>
        <w:t>Each Lender shall maintain in accordance with its usual practice an account or accounts evidencing the indebtedness of each Borrower to such Lender resulting from each Loan made to such Borrower by such Lender, including the amounts of principal and interest payable and paid to such Lender from time to time hereunder.</w:t>
      </w:r>
    </w:p>
    <w:p>
      <w:pPr>
        <w:spacing w:after="0" w:line="169" w:lineRule="exact"/>
        <w:rPr>
          <w:rFonts w:ascii="Arial" w:cs="Arial" w:eastAsia="Arial" w:hAnsi="Arial"/>
          <w:sz w:val="21"/>
          <w:szCs w:val="21"/>
          <w:color w:val="auto"/>
        </w:rPr>
      </w:pPr>
    </w:p>
    <w:p>
      <w:pPr>
        <w:jc w:val="both"/>
        <w:ind w:firstLine="1505"/>
        <w:spacing w:after="0" w:line="236" w:lineRule="auto"/>
        <w:tabs>
          <w:tab w:leader="none" w:pos="2174" w:val="left"/>
        </w:tabs>
        <w:numPr>
          <w:ilvl w:val="0"/>
          <w:numId w:val="237"/>
        </w:numPr>
        <w:rPr>
          <w:rFonts w:ascii="Arial" w:cs="Arial" w:eastAsia="Arial" w:hAnsi="Arial"/>
          <w:sz w:val="22"/>
          <w:szCs w:val="22"/>
          <w:color w:val="auto"/>
        </w:rPr>
      </w:pPr>
      <w:r>
        <w:rPr>
          <w:rFonts w:ascii="Arial" w:cs="Arial" w:eastAsia="Arial" w:hAnsi="Arial"/>
          <w:sz w:val="22"/>
          <w:szCs w:val="22"/>
          <w:color w:val="auto"/>
        </w:rPr>
        <w:t xml:space="preserve">The Administrative Agent shall maintain the Register pursuant to </w:t>
      </w:r>
      <w:r>
        <w:rPr>
          <w:rFonts w:ascii="Arial" w:cs="Arial" w:eastAsia="Arial" w:hAnsi="Arial"/>
          <w:sz w:val="22"/>
          <w:szCs w:val="22"/>
          <w:u w:val="single" w:color="auto"/>
          <w:color w:val="auto"/>
        </w:rPr>
        <w:t>Section 10.04(b)(iv)</w:t>
      </w:r>
      <w:r>
        <w:rPr>
          <w:rFonts w:ascii="Arial" w:cs="Arial" w:eastAsia="Arial" w:hAnsi="Arial"/>
          <w:sz w:val="22"/>
          <w:szCs w:val="22"/>
          <w:color w:val="auto"/>
        </w:rPr>
        <w:t xml:space="preserve">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87" w:lineRule="exact"/>
        <w:rPr>
          <w:rFonts w:ascii="Arial" w:cs="Arial" w:eastAsia="Arial" w:hAnsi="Arial"/>
          <w:sz w:val="22"/>
          <w:szCs w:val="22"/>
          <w:color w:val="auto"/>
        </w:rPr>
      </w:pPr>
    </w:p>
    <w:p>
      <w:pPr>
        <w:jc w:val="both"/>
        <w:ind w:firstLine="1505"/>
        <w:spacing w:after="0" w:line="252" w:lineRule="auto"/>
        <w:tabs>
          <w:tab w:leader="none" w:pos="2184" w:val="left"/>
        </w:tabs>
        <w:numPr>
          <w:ilvl w:val="0"/>
          <w:numId w:val="237"/>
        </w:numPr>
        <w:rPr>
          <w:rFonts w:ascii="Arial" w:cs="Arial" w:eastAsia="Arial" w:hAnsi="Arial"/>
          <w:sz w:val="21"/>
          <w:szCs w:val="21"/>
          <w:color w:val="auto"/>
        </w:rPr>
      </w:pPr>
      <w:r>
        <w:rPr>
          <w:rFonts w:ascii="Arial" w:cs="Arial" w:eastAsia="Arial" w:hAnsi="Arial"/>
          <w:sz w:val="21"/>
          <w:szCs w:val="21"/>
          <w:color w:val="auto"/>
        </w:rPr>
        <w:t xml:space="preserve">The entries made in the accounts maintained pursuant to </w:t>
      </w:r>
      <w:r>
        <w:rPr>
          <w:rFonts w:ascii="Arial" w:cs="Arial" w:eastAsia="Arial" w:hAnsi="Arial"/>
          <w:sz w:val="21"/>
          <w:szCs w:val="21"/>
          <w:u w:val="single" w:color="auto"/>
          <w:color w:val="auto"/>
        </w:rPr>
        <w:t>paragraph (b)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of this Section shall be </w:t>
      </w:r>
      <w:r>
        <w:rPr>
          <w:rFonts w:ascii="Arial" w:cs="Arial" w:eastAsia="Arial" w:hAnsi="Arial"/>
          <w:sz w:val="21"/>
          <w:szCs w:val="21"/>
          <w:u w:val="single" w:color="auto"/>
          <w:color w:val="auto"/>
        </w:rPr>
        <w:t>prima facie</w:t>
      </w:r>
      <w:r>
        <w:rPr>
          <w:rFonts w:ascii="Arial" w:cs="Arial" w:eastAsia="Arial" w:hAnsi="Arial"/>
          <w:sz w:val="21"/>
          <w:szCs w:val="21"/>
          <w:color w:val="auto"/>
        </w:rPr>
        <w:t xml:space="preserve"> evidence of the existence and amounts of the Obligations recorded therein;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of any Lender or the Administrative Agent to maintain such accounts or any error therein shall not in any manner affect the obligation of each Borrower to repay the Loans made to such Borrower in accordance with the terms of this Agreement.</w:t>
      </w:r>
    </w:p>
    <w:p>
      <w:pPr>
        <w:spacing w:after="0" w:line="173" w:lineRule="exact"/>
        <w:rPr>
          <w:rFonts w:ascii="Arial" w:cs="Arial" w:eastAsia="Arial" w:hAnsi="Arial"/>
          <w:sz w:val="21"/>
          <w:szCs w:val="21"/>
          <w:color w:val="auto"/>
        </w:rPr>
      </w:pPr>
    </w:p>
    <w:p>
      <w:pPr>
        <w:jc w:val="both"/>
        <w:ind w:firstLine="1505"/>
        <w:spacing w:after="0" w:line="282" w:lineRule="auto"/>
        <w:tabs>
          <w:tab w:leader="none" w:pos="2174" w:val="left"/>
        </w:tabs>
        <w:numPr>
          <w:ilvl w:val="0"/>
          <w:numId w:val="237"/>
        </w:numPr>
        <w:rPr>
          <w:rFonts w:ascii="Arial" w:cs="Arial" w:eastAsia="Arial" w:hAnsi="Arial"/>
          <w:sz w:val="19"/>
          <w:szCs w:val="19"/>
          <w:color w:val="auto"/>
        </w:rPr>
      </w:pPr>
      <w:r>
        <w:rPr>
          <w:rFonts w:ascii="Arial" w:cs="Arial" w:eastAsia="Arial" w:hAnsi="Arial"/>
          <w:sz w:val="19"/>
          <w:szCs w:val="19"/>
          <w:color w:val="auto"/>
        </w:rPr>
        <w:t xml:space="preserve">Any Lender may request that Loans made by it be evidenced by a Note. In such event, the Borrowers shall prepare, execute and deliver to such Lender a Note payable to such Lender (or, if requested by such Lender, to such Lender and its registered assigns) and in a form approved by the Administrative Agent. Thereafter, the Loans evidenced by such Note and interest thereon shall at all times (including after assignment pursuant to </w:t>
      </w:r>
      <w:r>
        <w:rPr>
          <w:rFonts w:ascii="Arial" w:cs="Arial" w:eastAsia="Arial" w:hAnsi="Arial"/>
          <w:sz w:val="19"/>
          <w:szCs w:val="19"/>
          <w:u w:val="single" w:color="auto"/>
          <w:color w:val="auto"/>
        </w:rPr>
        <w:t>Section 10.04</w:t>
      </w:r>
      <w:r>
        <w:rPr>
          <w:rFonts w:ascii="Arial" w:cs="Arial" w:eastAsia="Arial" w:hAnsi="Arial"/>
          <w:sz w:val="19"/>
          <w:szCs w:val="19"/>
          <w:color w:val="auto"/>
        </w:rPr>
        <w:t>) be represented by one or more Notes in such form payable to the payee named therein (or to such payee and its registered assigns).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Prepayment of Loans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tabs>
          <w:tab w:leader="none" w:pos="2165" w:val="left"/>
        </w:tabs>
        <w:numPr>
          <w:ilvl w:val="0"/>
          <w:numId w:val="238"/>
        </w:numPr>
        <w:rPr>
          <w:rFonts w:ascii="Arial" w:cs="Arial" w:eastAsia="Arial" w:hAnsi="Arial"/>
          <w:sz w:val="22"/>
          <w:szCs w:val="22"/>
          <w:color w:val="auto"/>
        </w:rPr>
      </w:pPr>
      <w:r>
        <w:rPr>
          <w:rFonts w:ascii="Arial" w:cs="Arial" w:eastAsia="Arial" w:hAnsi="Arial"/>
          <w:sz w:val="22"/>
          <w:szCs w:val="22"/>
          <w:color w:val="auto"/>
        </w:rPr>
        <w:t xml:space="preserve">The Borrowers shall have the right at any time and from time to time to prepay any Borrowing in whole or in part, subject to prior notice in accordance with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of this Section;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prepayment shall be in an aggregate amount that is (i) an integral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6" w:name="page247"/>
    <w:bookmarkEnd w:id="246"/>
    <w:p>
      <w:pPr>
        <w:jc w:val="both"/>
        <w:spacing w:after="0" w:line="246" w:lineRule="auto"/>
        <w:rPr>
          <w:sz w:val="20"/>
          <w:szCs w:val="20"/>
          <w:color w:val="auto"/>
        </w:rPr>
      </w:pPr>
      <w:r>
        <w:rPr>
          <w:rFonts w:ascii="Arial" w:cs="Arial" w:eastAsia="Arial" w:hAnsi="Arial"/>
          <w:sz w:val="21"/>
          <w:szCs w:val="21"/>
          <w:color w:val="auto"/>
        </w:rPr>
        <w:t>multiple of (A) in the case of an ABR Revolving Borrowing, $100,000, (B) in the case of a Term Benchmark Revolving Borrowing denominated in U.S. Dollars, $1,000,000, and (C) in the case of a Term Benchmark Revolving Borrowing denominated in any Foreign Currency, the smallest amount of such Foreign Currency that has an Equivalent Amount in excess of $1,000,000, and (ii) not less than (A) in the case of a Borrowing of a Swingline Loan, $100,000, (B) in the case of an ABR Revolving Borrowing, $1,000,000, (C) in the case of a Term Benchmark Revolving Borrowing denominated in U.S. Dollars, $1,000,000, and (D) in the case of a Term Benchmark Revolving Borrowing denominated in any Foreign Currency, the smallest amount of such Foreign Currency that has an Equivalent Amount in excess of $1,000,000.</w:t>
      </w:r>
    </w:p>
    <w:p>
      <w:pPr>
        <w:spacing w:after="0" w:line="184" w:lineRule="exact"/>
        <w:rPr>
          <w:sz w:val="20"/>
          <w:szCs w:val="20"/>
          <w:color w:val="auto"/>
        </w:rPr>
      </w:pPr>
    </w:p>
    <w:p>
      <w:pPr>
        <w:jc w:val="both"/>
        <w:ind w:firstLine="1505"/>
        <w:spacing w:after="0" w:line="269" w:lineRule="auto"/>
        <w:tabs>
          <w:tab w:leader="none" w:pos="2185" w:val="left"/>
        </w:tabs>
        <w:numPr>
          <w:ilvl w:val="1"/>
          <w:numId w:val="239"/>
        </w:numPr>
        <w:rPr>
          <w:rFonts w:ascii="Arial" w:cs="Arial" w:eastAsia="Arial" w:hAnsi="Arial"/>
          <w:sz w:val="19"/>
          <w:szCs w:val="19"/>
          <w:color w:val="auto"/>
        </w:rPr>
      </w:pPr>
      <w:r>
        <w:rPr>
          <w:rFonts w:ascii="Arial" w:cs="Arial" w:eastAsia="Arial" w:hAnsi="Arial"/>
          <w:sz w:val="19"/>
          <w:szCs w:val="19"/>
          <w:color w:val="auto"/>
        </w:rPr>
        <w:t>The Company, on behalf of the Borrowers, shall notify the Administrative Agent (and, in the case of prepayment of Swingline Loans, the Company shall notify the Swingline Lenders) by telecopy or electronic mail of a written notice signed by the Company, on behalf of the Borrowers (or, in the case of a prepayment of a Borrowing denominated in U.S. Dollars, by telephone confirmed promptly by hand delivery or telecopy or electronic mail to the Administrative Agent of a written notice signed by the Company, on behalf of the Borrowers) of any prepayment hereunder (i) in the case of prepayment of a Term Benchmark Revolving Borrowing denominated in U.S. Dollars, not later than 11:00 a.m., New York City time, three (3) Business Days before the date of prepayment, (ii) in the case of prepayment of a Term Benchmark Revolving Borrowing denominated in a Foreign Currency, not later than 11:00 a.m., Local Time, four (4) Business Days before the date of prepayment,</w:t>
      </w:r>
    </w:p>
    <w:p>
      <w:pPr>
        <w:spacing w:after="0" w:line="2" w:lineRule="exact"/>
        <w:rPr>
          <w:rFonts w:ascii="Arial" w:cs="Arial" w:eastAsia="Arial" w:hAnsi="Arial"/>
          <w:sz w:val="19"/>
          <w:szCs w:val="19"/>
          <w:color w:val="auto"/>
        </w:rPr>
      </w:pPr>
    </w:p>
    <w:p>
      <w:pPr>
        <w:jc w:val="both"/>
        <w:ind w:firstLine="8"/>
        <w:spacing w:after="0" w:line="270" w:lineRule="auto"/>
        <w:tabs>
          <w:tab w:leader="none" w:pos="387" w:val="left"/>
        </w:tabs>
        <w:numPr>
          <w:ilvl w:val="0"/>
          <w:numId w:val="240"/>
        </w:numPr>
        <w:rPr>
          <w:rFonts w:ascii="Arial" w:cs="Arial" w:eastAsia="Arial" w:hAnsi="Arial"/>
          <w:sz w:val="19"/>
          <w:szCs w:val="19"/>
          <w:color w:val="auto"/>
        </w:rPr>
      </w:pPr>
      <w:r>
        <w:rPr>
          <w:rFonts w:ascii="Arial" w:cs="Arial" w:eastAsia="Arial" w:hAnsi="Arial"/>
          <w:sz w:val="19"/>
          <w:szCs w:val="19"/>
          <w:color w:val="auto"/>
        </w:rPr>
        <w:t xml:space="preserve">in the case of prepayment of an RFR Borrowing denominated in Pounds Sterling or Swiss Francs, not later than 11:00 a.m., Local Time (5) Business Days before the date of prepayment, (iv) in the case of prepayment of an ABR Revolving Borrowing, not later than 11:00 a.m., New York City time, on the date of prepayment or (v) in the case of prepayment of a Swingline Loan, not later than 12:00 noon, New York City time, on the date of prepayment. Each such telephonic and written notice shall be irrevocable and shall specify the prepayment date and the principal amount of each Borrowing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notice of prepayment is given in connection with a conditional notice of termination of the Commitments as contemplated by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then such notice of prepayment may be revoked if such notice of termination is revoked in accordance with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Each prepayment of a Revolving Borrowing shall be applied ratably to the Loans included in the prepaid Borrowing. Prepayments shall be accompanied by accrued interest to the extent required by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and break funding payments to the extent required by </w:t>
      </w:r>
      <w:r>
        <w:rPr>
          <w:rFonts w:ascii="Arial" w:cs="Arial" w:eastAsia="Arial" w:hAnsi="Arial"/>
          <w:sz w:val="19"/>
          <w:szCs w:val="19"/>
          <w:u w:val="single" w:color="auto"/>
          <w:color w:val="auto"/>
        </w:rPr>
        <w:t>Section 2.16</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1505"/>
        <w:spacing w:after="0" w:line="234" w:lineRule="auto"/>
        <w:tabs>
          <w:tab w:leader="none" w:pos="2198" w:val="left"/>
        </w:tabs>
        <w:numPr>
          <w:ilvl w:val="1"/>
          <w:numId w:val="240"/>
        </w:numPr>
        <w:rPr>
          <w:rFonts w:ascii="Arial" w:cs="Arial" w:eastAsia="Arial" w:hAnsi="Arial"/>
          <w:sz w:val="22"/>
          <w:szCs w:val="22"/>
          <w:color w:val="auto"/>
        </w:rPr>
      </w:pPr>
      <w:r>
        <w:rPr>
          <w:rFonts w:ascii="Arial" w:cs="Arial" w:eastAsia="Arial" w:hAnsi="Arial"/>
          <w:sz w:val="22"/>
          <w:szCs w:val="22"/>
          <w:color w:val="auto"/>
        </w:rPr>
        <w:t>If at any time, (i) other than as a result of fluctuations in currency exchange rates, the sum of the aggregate principal Euro Amount of the Total Revolving Credit Exposures (calculated, with respect to Revolving Loans denominated in Foreign Currencies, as of the most recent Computation Date with respect to each such Revolving Loans) exceeds the total Commitments or (ii) solely as a result of fluctuations in currency exchange rates, the aggregate principal Euro Amount of the Total Revolving Credit Exposures (so calculated), as of the most recent Computation Date, exceeds one hundred five percent (105%) of the total Commitments, then the Borrowers shall, in each case, immediately repay Borrowings in an aggregate principal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7" w:name="page248"/>
    <w:bookmarkEnd w:id="247"/>
    <w:p>
      <w:pPr>
        <w:spacing w:after="0" w:line="250" w:lineRule="auto"/>
        <w:rPr>
          <w:sz w:val="20"/>
          <w:szCs w:val="20"/>
          <w:color w:val="auto"/>
        </w:rPr>
      </w:pPr>
      <w:r>
        <w:rPr>
          <w:rFonts w:ascii="Arial" w:cs="Arial" w:eastAsia="Arial" w:hAnsi="Arial"/>
          <w:sz w:val="22"/>
          <w:szCs w:val="22"/>
          <w:color w:val="auto"/>
        </w:rPr>
        <w:t>amount sufficient to cause the Euro Amount of the Total Revolving Credit Exposures (so calculated) to be less than or equal to the total Commitments.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Fees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3" w:lineRule="auto"/>
        <w:tabs>
          <w:tab w:leader="none" w:pos="2178" w:val="left"/>
        </w:tabs>
        <w:numPr>
          <w:ilvl w:val="0"/>
          <w:numId w:val="241"/>
        </w:numPr>
        <w:rPr>
          <w:rFonts w:ascii="Arial" w:cs="Arial" w:eastAsia="Arial" w:hAnsi="Arial"/>
          <w:sz w:val="19"/>
          <w:szCs w:val="19"/>
          <w:color w:val="auto"/>
        </w:rPr>
      </w:pPr>
      <w:r>
        <w:rPr>
          <w:rFonts w:ascii="Arial" w:cs="Arial" w:eastAsia="Arial" w:hAnsi="Arial"/>
          <w:sz w:val="19"/>
          <w:szCs w:val="19"/>
          <w:color w:val="auto"/>
        </w:rPr>
        <w:t xml:space="preserve">The Borrowers agree to pay to the Administrative Agent for the account of each Lender a facility fee, which shall accrue at the Applicable Rate on the daily amount of the Commitment of such Lender (whether used or unused) during the period from and including the Effective Date to but excluding the date on which such Commitment terminates;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Lender continues to have any Revolving Credit Exposure after its Commitment terminates, then such facility fee shall continue to accrue on the daily amount of such Lender’s Revolving Credit Exposure from and including the date on which its Commitment terminates to but excluding the date on which such Lender ceases to have any Revolving Credit Exposure. Facility fees accrued through and including the last day of March, June, September and December of each year shall be payable in arrears on the fifteenth (15th) day following such last day and on the date on which the Commitments terminate;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facility fees accruing after the date on which the Commitments terminate shall be payable on demand. All facility fees shall be computed on the basis of a year of three hundred sixty (360) days and shall be payable for the actual number of days elapsed (including the first day but excluding the last day).</w:t>
      </w:r>
    </w:p>
    <w:p>
      <w:pPr>
        <w:spacing w:after="0" w:line="155" w:lineRule="exact"/>
        <w:rPr>
          <w:rFonts w:ascii="Arial" w:cs="Arial" w:eastAsia="Arial" w:hAnsi="Arial"/>
          <w:sz w:val="19"/>
          <w:szCs w:val="19"/>
          <w:color w:val="auto"/>
        </w:rPr>
      </w:pPr>
    </w:p>
    <w:p>
      <w:pPr>
        <w:jc w:val="both"/>
        <w:ind w:firstLine="1505"/>
        <w:spacing w:after="0"/>
        <w:tabs>
          <w:tab w:leader="none" w:pos="2207"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The Borrowers agree to pay to the Administrative Agent and the Arranger, for its own respective accounts, currency, fees payable in the amounts and at the times separately agreed upon between such Borrower, on the one hand, and the Administrative Agent or the Arranger, on the other.</w:t>
      </w:r>
    </w:p>
    <w:p>
      <w:pPr>
        <w:spacing w:after="0" w:line="186" w:lineRule="exact"/>
        <w:rPr>
          <w:rFonts w:ascii="Arial" w:cs="Arial" w:eastAsia="Arial" w:hAnsi="Arial"/>
          <w:sz w:val="22"/>
          <w:szCs w:val="22"/>
          <w:color w:val="auto"/>
        </w:rPr>
      </w:pPr>
    </w:p>
    <w:p>
      <w:pPr>
        <w:jc w:val="both"/>
        <w:ind w:firstLine="1505"/>
        <w:spacing w:after="0"/>
        <w:tabs>
          <w:tab w:leader="none" w:pos="2189" w:val="left"/>
        </w:tabs>
        <w:numPr>
          <w:ilvl w:val="0"/>
          <w:numId w:val="241"/>
        </w:numPr>
        <w:rPr>
          <w:rFonts w:ascii="Arial" w:cs="Arial" w:eastAsia="Arial" w:hAnsi="Arial"/>
          <w:sz w:val="22"/>
          <w:szCs w:val="22"/>
          <w:color w:val="auto"/>
        </w:rPr>
      </w:pPr>
      <w:r>
        <w:rPr>
          <w:rFonts w:ascii="Arial" w:cs="Arial" w:eastAsia="Arial" w:hAnsi="Arial"/>
          <w:sz w:val="22"/>
          <w:szCs w:val="22"/>
          <w:color w:val="auto"/>
        </w:rPr>
        <w:t>All fees payable hereunder shall be paid on the dates due, in Euros (unless otherwise specified) and immediately available funds, to the Administrative Agent for distribution, in the case of facility fees and participation fees, to the Lenders. Fees paid shall not be refundable under any circumstances.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u w:val="single" w:color="auto"/>
          <w:color w:val="auto"/>
        </w:rPr>
        <w:t>Interest</w:t>
      </w:r>
      <w:r>
        <w:rPr>
          <w:rFonts w:ascii="Arial" w:cs="Arial" w:eastAsia="Arial" w:hAnsi="Arial"/>
          <w:sz w:val="22"/>
          <w:szCs w:val="22"/>
          <w:color w:val="auto"/>
        </w:rPr>
        <w:t>.</w:t>
      </w:r>
    </w:p>
    <w:p>
      <w:pPr>
        <w:spacing w:after="0" w:line="206" w:lineRule="exact"/>
        <w:rPr>
          <w:sz w:val="20"/>
          <w:szCs w:val="20"/>
          <w:color w:val="auto"/>
        </w:rPr>
      </w:pPr>
    </w:p>
    <w:p>
      <w:pPr>
        <w:ind w:firstLine="1505"/>
        <w:spacing w:after="0" w:line="250" w:lineRule="auto"/>
        <w:tabs>
          <w:tab w:leader="none" w:pos="2174" w:val="left"/>
        </w:tabs>
        <w:numPr>
          <w:ilvl w:val="0"/>
          <w:numId w:val="242"/>
        </w:numPr>
        <w:rPr>
          <w:rFonts w:ascii="Arial" w:cs="Arial" w:eastAsia="Arial" w:hAnsi="Arial"/>
          <w:sz w:val="22"/>
          <w:szCs w:val="22"/>
          <w:color w:val="auto"/>
        </w:rPr>
      </w:pPr>
      <w:r>
        <w:rPr>
          <w:rFonts w:ascii="Arial" w:cs="Arial" w:eastAsia="Arial" w:hAnsi="Arial"/>
          <w:sz w:val="22"/>
          <w:szCs w:val="22"/>
          <w:color w:val="auto"/>
        </w:rPr>
        <w:t>The Loans comprising each ABR Borrowing (including each Swingline Loan) shall bear interest at the Alternate Base Rate plus the Applicable Rate.</w:t>
      </w:r>
    </w:p>
    <w:p>
      <w:pPr>
        <w:spacing w:after="0" w:line="174" w:lineRule="exact"/>
        <w:rPr>
          <w:rFonts w:ascii="Arial" w:cs="Arial" w:eastAsia="Arial" w:hAnsi="Arial"/>
          <w:sz w:val="22"/>
          <w:szCs w:val="22"/>
          <w:color w:val="auto"/>
        </w:rPr>
      </w:pPr>
    </w:p>
    <w:p>
      <w:pPr>
        <w:ind w:firstLine="1505"/>
        <w:spacing w:after="0" w:line="250" w:lineRule="auto"/>
        <w:tabs>
          <w:tab w:leader="none" w:pos="2179" w:val="left"/>
        </w:tabs>
        <w:numPr>
          <w:ilvl w:val="0"/>
          <w:numId w:val="242"/>
        </w:numPr>
        <w:rPr>
          <w:rFonts w:ascii="Arial" w:cs="Arial" w:eastAsia="Arial" w:hAnsi="Arial"/>
          <w:sz w:val="22"/>
          <w:szCs w:val="22"/>
          <w:color w:val="auto"/>
        </w:rPr>
      </w:pPr>
      <w:r>
        <w:rPr>
          <w:rFonts w:ascii="Arial" w:cs="Arial" w:eastAsia="Arial" w:hAnsi="Arial"/>
          <w:sz w:val="22"/>
          <w:szCs w:val="22"/>
          <w:color w:val="auto"/>
        </w:rPr>
        <w:t>The Loans comprising each Term Benchmark Borrowing shall bear interest at the applicable Relevant Adjusted Rate for the Interest Period in effect for such Borrowing plus the Applicable Rate.</w:t>
      </w:r>
    </w:p>
    <w:p>
      <w:pPr>
        <w:spacing w:after="0" w:line="174" w:lineRule="exact"/>
        <w:rPr>
          <w:rFonts w:ascii="Arial" w:cs="Arial" w:eastAsia="Arial" w:hAnsi="Arial"/>
          <w:sz w:val="22"/>
          <w:szCs w:val="22"/>
          <w:color w:val="auto"/>
        </w:rPr>
      </w:pPr>
    </w:p>
    <w:p>
      <w:pPr>
        <w:ind w:firstLine="1505"/>
        <w:spacing w:after="0" w:line="250" w:lineRule="auto"/>
        <w:tabs>
          <w:tab w:leader="none" w:pos="2181" w:val="left"/>
        </w:tabs>
        <w:numPr>
          <w:ilvl w:val="0"/>
          <w:numId w:val="242"/>
        </w:numPr>
        <w:rPr>
          <w:rFonts w:ascii="Arial" w:cs="Arial" w:eastAsia="Arial" w:hAnsi="Arial"/>
          <w:sz w:val="22"/>
          <w:szCs w:val="22"/>
          <w:color w:val="auto"/>
        </w:rPr>
      </w:pPr>
      <w:r>
        <w:rPr>
          <w:rFonts w:ascii="Arial" w:cs="Arial" w:eastAsia="Arial" w:hAnsi="Arial"/>
          <w:sz w:val="22"/>
          <w:szCs w:val="22"/>
          <w:color w:val="auto"/>
        </w:rPr>
        <w:t>Each RFR Loan shall bear interest at a rate per annum equal to the applicable Adjusted Daily Simple RFR plus the Applicable Rate.</w:t>
      </w:r>
    </w:p>
    <w:p>
      <w:pPr>
        <w:spacing w:after="0" w:line="174" w:lineRule="exact"/>
        <w:rPr>
          <w:rFonts w:ascii="Arial" w:cs="Arial" w:eastAsia="Arial" w:hAnsi="Arial"/>
          <w:sz w:val="22"/>
          <w:szCs w:val="22"/>
          <w:color w:val="auto"/>
        </w:rPr>
      </w:pPr>
    </w:p>
    <w:p>
      <w:pPr>
        <w:jc w:val="both"/>
        <w:ind w:firstLine="1505"/>
        <w:spacing w:after="0" w:line="282" w:lineRule="auto"/>
        <w:tabs>
          <w:tab w:leader="none" w:pos="218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Notwithstanding the foregoing, if any principal of or interest on any Loan or any fee or other amount payable by the Borrowers hereunder (in each case, with several liability to the extent on account of such Borrower or to the extent of Loans made to such Borrower) is not paid when due, whether at stated maturity, upon acceleration or otherwise, such overdue amount shall bear interest, after as well as before judgment, at a rate per annum equal to (i) in the case of overdue principal of any Loan, two percent (2%) plus the rate otherwise applicable to such Loan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8" w:name="page249"/>
    <w:bookmarkEnd w:id="248"/>
    <w:p>
      <w:pPr>
        <w:spacing w:after="0" w:line="250" w:lineRule="auto"/>
        <w:rPr>
          <w:sz w:val="20"/>
          <w:szCs w:val="20"/>
          <w:color w:val="auto"/>
        </w:rPr>
      </w:pPr>
      <w:r>
        <w:rPr>
          <w:rFonts w:ascii="Arial" w:cs="Arial" w:eastAsia="Arial" w:hAnsi="Arial"/>
          <w:sz w:val="22"/>
          <w:szCs w:val="22"/>
          <w:color w:val="auto"/>
        </w:rPr>
        <w:t xml:space="preserve">as provided in the preceding paragraphs of this Section or (ii) in the case of any other amount, two percent (2%) plus the rate applicable to ABR Loans as provided in </w:t>
      </w:r>
      <w:r>
        <w:rPr>
          <w:rFonts w:ascii="Arial" w:cs="Arial" w:eastAsia="Arial" w:hAnsi="Arial"/>
          <w:sz w:val="22"/>
          <w:szCs w:val="22"/>
          <w:u w:val="single" w:color="auto"/>
          <w:color w:val="auto"/>
        </w:rPr>
        <w:t>paragraph (a)</w:t>
      </w:r>
      <w:r>
        <w:rPr>
          <w:rFonts w:ascii="Arial" w:cs="Arial" w:eastAsia="Arial" w:hAnsi="Arial"/>
          <w:sz w:val="22"/>
          <w:szCs w:val="22"/>
          <w:color w:val="auto"/>
        </w:rPr>
        <w:t xml:space="preserve"> of this Section.</w:t>
      </w:r>
    </w:p>
    <w:p>
      <w:pPr>
        <w:spacing w:after="0" w:line="175" w:lineRule="exact"/>
        <w:rPr>
          <w:sz w:val="20"/>
          <w:szCs w:val="20"/>
          <w:color w:val="auto"/>
        </w:rPr>
      </w:pPr>
    </w:p>
    <w:p>
      <w:pPr>
        <w:jc w:val="both"/>
        <w:ind w:firstLine="1505"/>
        <w:spacing w:after="0" w:line="234" w:lineRule="auto"/>
        <w:tabs>
          <w:tab w:leader="none" w:pos="217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 xml:space="preserve">Accrued interest on each Loan shall be payable in arrears on each Interest Payment Date for such Loan and, in the case of Revolving Loans, upon termination of the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interest accrued pursuant to </w:t>
      </w:r>
      <w:r>
        <w:rPr>
          <w:rFonts w:ascii="Arial" w:cs="Arial" w:eastAsia="Arial" w:hAnsi="Arial"/>
          <w:sz w:val="22"/>
          <w:szCs w:val="22"/>
          <w:u w:val="single" w:color="auto"/>
          <w:color w:val="auto"/>
        </w:rPr>
        <w:t>paragraph (d)</w:t>
      </w:r>
      <w:r>
        <w:rPr>
          <w:rFonts w:ascii="Arial" w:cs="Arial" w:eastAsia="Arial" w:hAnsi="Arial"/>
          <w:sz w:val="22"/>
          <w:szCs w:val="22"/>
          <w:color w:val="auto"/>
        </w:rPr>
        <w:t xml:space="preserve">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 All interest shall be payable in the currency in which the applicable Loan is denominated.</w:t>
      </w:r>
    </w:p>
    <w:p>
      <w:pPr>
        <w:spacing w:after="0" w:line="186" w:lineRule="exact"/>
        <w:rPr>
          <w:rFonts w:ascii="Arial" w:cs="Arial" w:eastAsia="Arial" w:hAnsi="Arial"/>
          <w:sz w:val="22"/>
          <w:szCs w:val="22"/>
          <w:color w:val="auto"/>
        </w:rPr>
      </w:pPr>
    </w:p>
    <w:p>
      <w:pPr>
        <w:jc w:val="both"/>
        <w:ind w:firstLine="1505"/>
        <w:spacing w:after="0" w:line="275" w:lineRule="auto"/>
        <w:tabs>
          <w:tab w:leader="none" w:pos="2209" w:val="left"/>
        </w:tabs>
        <w:numPr>
          <w:ilvl w:val="0"/>
          <w:numId w:val="243"/>
        </w:numPr>
        <w:rPr>
          <w:rFonts w:ascii="Arial" w:cs="Arial" w:eastAsia="Arial" w:hAnsi="Arial"/>
          <w:sz w:val="19"/>
          <w:szCs w:val="19"/>
          <w:color w:val="auto"/>
        </w:rPr>
      </w:pPr>
      <w:r>
        <w:rPr>
          <w:rFonts w:ascii="Arial" w:cs="Arial" w:eastAsia="Arial" w:hAnsi="Arial"/>
          <w:sz w:val="19"/>
          <w:szCs w:val="19"/>
          <w:color w:val="auto"/>
        </w:rPr>
        <w:t>All interest hereunder shall be computed on the basis of a year of 360 days, except that interest computed by reference to the Daily Simple RFR with respect to Pounds Sterling or the Alternate Base Rate at times when the Alternate Base Rate is based on the Prime Rate shall be computed on the basis of a year of three hundred sixty-five (365) days (or three hundred sixty-six (366) days in a leap year), and in each case shall be payable for the actual number of days elapsed (including the first day but excluding the last day). All interest hereunder shall be computed on a daily basis based upon the outstanding principal amount of such Loan as of the applicable date of determination. A determination of the applicable Alternate Base Rate, Relevant Adjusted Rate, Relevant Rate, Daily Simple RFR or Central Bank Rate shall be determined by the Administrative Agent, and such determination shall be conclusive absent manifest error.</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u w:val="single" w:color="auto"/>
          <w:color w:val="auto"/>
        </w:rPr>
        <w:t>Alternate Rate of Interest</w:t>
      </w:r>
      <w:r>
        <w:rPr>
          <w:rFonts w:ascii="Arial" w:cs="Arial" w:eastAsia="Arial" w:hAnsi="Arial"/>
          <w:sz w:val="22"/>
          <w:szCs w:val="22"/>
          <w:color w:val="auto"/>
        </w:rPr>
        <w:t>.</w:t>
      </w:r>
    </w:p>
    <w:p>
      <w:pPr>
        <w:spacing w:after="0" w:line="206" w:lineRule="exact"/>
        <w:rPr>
          <w:sz w:val="20"/>
          <w:szCs w:val="20"/>
          <w:color w:val="auto"/>
        </w:rPr>
      </w:pPr>
    </w:p>
    <w:p>
      <w:pPr>
        <w:ind w:left="2160" w:hanging="655"/>
        <w:spacing w:after="0"/>
        <w:tabs>
          <w:tab w:leader="none" w:pos="216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clauses (b)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(f)</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if:</w:t>
      </w:r>
    </w:p>
    <w:p>
      <w:pPr>
        <w:spacing w:after="0" w:line="206" w:lineRule="exact"/>
        <w:rPr>
          <w:rFonts w:ascii="Arial" w:cs="Arial" w:eastAsia="Arial" w:hAnsi="Arial"/>
          <w:sz w:val="22"/>
          <w:szCs w:val="22"/>
          <w:color w:val="auto"/>
        </w:rPr>
      </w:pPr>
    </w:p>
    <w:p>
      <w:pPr>
        <w:jc w:val="both"/>
        <w:ind w:left="760" w:firstLine="1494"/>
        <w:spacing w:after="0" w:line="248" w:lineRule="auto"/>
        <w:tabs>
          <w:tab w:leader="none" w:pos="2933" w:val="left"/>
        </w:tabs>
        <w:numPr>
          <w:ilvl w:val="1"/>
          <w:numId w:val="244"/>
        </w:numPr>
        <w:rPr>
          <w:rFonts w:ascii="Arial" w:cs="Arial" w:eastAsia="Arial" w:hAnsi="Arial"/>
          <w:sz w:val="21"/>
          <w:szCs w:val="21"/>
          <w:color w:val="auto"/>
        </w:rPr>
      </w:pPr>
      <w:r>
        <w:rPr>
          <w:rFonts w:ascii="Arial" w:cs="Arial" w:eastAsia="Arial" w:hAnsi="Arial"/>
          <w:sz w:val="21"/>
          <w:szCs w:val="21"/>
          <w:color w:val="auto"/>
        </w:rPr>
        <w:t>the Administrative Agent determines (which determination shall be conclusive absent manifest error) (A) prior to the commencement of any Interest Period for a Term Benchmark Borrowing, that adequate and reasonable means do not exist for ascertaining the applicable Relevant Adjusted Rate (including because the Relevant Screen Rate is not available or published on a current basis) for the applicable Agreed Currency and such Interest Period or (B) at any time, that adequate and reasonable means do not exist for ascertaining the applicable Adjusted Daily Simple RFR for the applicable Agreed Currency; or</w:t>
      </w:r>
    </w:p>
    <w:p>
      <w:pPr>
        <w:spacing w:after="0" w:line="176" w:lineRule="exact"/>
        <w:rPr>
          <w:rFonts w:ascii="Arial" w:cs="Arial" w:eastAsia="Arial" w:hAnsi="Arial"/>
          <w:sz w:val="21"/>
          <w:szCs w:val="21"/>
          <w:color w:val="auto"/>
        </w:rPr>
      </w:pPr>
    </w:p>
    <w:p>
      <w:pPr>
        <w:jc w:val="both"/>
        <w:ind w:left="760" w:firstLine="1494"/>
        <w:spacing w:after="0" w:line="234" w:lineRule="auto"/>
        <w:tabs>
          <w:tab w:leader="none" w:pos="3014" w:val="left"/>
        </w:tabs>
        <w:numPr>
          <w:ilvl w:val="1"/>
          <w:numId w:val="244"/>
        </w:numPr>
        <w:rPr>
          <w:rFonts w:ascii="Arial" w:cs="Arial" w:eastAsia="Arial" w:hAnsi="Arial"/>
          <w:sz w:val="22"/>
          <w:szCs w:val="22"/>
          <w:color w:val="auto"/>
        </w:rPr>
      </w:pPr>
      <w:r>
        <w:rPr>
          <w:rFonts w:ascii="Arial" w:cs="Arial" w:eastAsia="Arial" w:hAnsi="Arial"/>
          <w:sz w:val="22"/>
          <w:szCs w:val="22"/>
          <w:color w:val="auto"/>
        </w:rPr>
        <w:t>the Administrative Agent is advised by the Required Lenders that (A) prior to the commencement of any Interest Period for a Term Benchmark Borrowing, the applicable Relevant Adjusted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Adjusted Daily Simple RFR for the applicable Agreed Currency will not adequately and fairly reflect the cost to such Lenders of making or maintaining their Loans included in such Borrowing for the applicable Agreed Currency,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9" w:name="page250"/>
    <w:bookmarkEnd w:id="249"/>
    <w:p>
      <w:pPr>
        <w:jc w:val="both"/>
        <w:ind w:firstLine="749"/>
        <w:spacing w:after="0" w:line="268" w:lineRule="auto"/>
        <w:rPr>
          <w:sz w:val="20"/>
          <w:szCs w:val="20"/>
          <w:color w:val="auto"/>
        </w:rPr>
      </w:pPr>
      <w:r>
        <w:rPr>
          <w:rFonts w:ascii="Arial" w:cs="Arial" w:eastAsia="Arial" w:hAnsi="Arial"/>
          <w:sz w:val="19"/>
          <w:szCs w:val="19"/>
          <w:color w:val="auto"/>
        </w:rPr>
        <w:t xml:space="preserve">then the Administrative Agent shall promptly give notice thereof to the Company and the Lenders by telephone, telecopy or electronic mail as promptly as practicable thereafter and, until (x) the Administrative Agent notifies the Company and the Lenders that the circumstances giving rise to such notice no longer exist with respect to the relevant Benchmark, which the Administrative Agent agrees promptly to do, and (y) the applicable Borrower delivers a new Interest Election Request in accordance with the terms of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or a new Borrowing Request in accordance with the terms of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(A) for Loans denominated in U.S. Dollars, any Interest Election Request that requests the conversion of any Borrowing to, or continuation of any Borrowing as, a Term Benchmark Borrowing and any Borrowing Request that requests a Term Benchmark Revolving Borrowing shall instead be deemed to be an Interest Election Request or a Borrowing Request, as applicable, for (x) an RFR Borrowing denominated in U.S. Dollars so long as the Adjusted Daily Simple RFR for U.S. Dollar Borrowings is not also the subject of </w:t>
      </w:r>
      <w:r>
        <w:rPr>
          <w:rFonts w:ascii="Arial" w:cs="Arial" w:eastAsia="Arial" w:hAnsi="Arial"/>
          <w:sz w:val="19"/>
          <w:szCs w:val="19"/>
          <w:u w:val="single" w:color="auto"/>
          <w:color w:val="auto"/>
        </w:rPr>
        <w:t>Section 2.14(a)(i)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or (y) an ABR Borrowing if the Adjusted Daily Simple RFR for U.S. Dollar Borrowings also is the subject of </w:t>
      </w:r>
      <w:r>
        <w:rPr>
          <w:rFonts w:ascii="Arial" w:cs="Arial" w:eastAsia="Arial" w:hAnsi="Arial"/>
          <w:sz w:val="19"/>
          <w:szCs w:val="19"/>
          <w:u w:val="single" w:color="auto"/>
          <w:color w:val="auto"/>
        </w:rPr>
        <w:t>Section 2.14(a)(i)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and (B) for Loans denominated in a Foreign Currency, any Interest Election Request that requests the conversion of any Revolving Borrowing to, or continuation of any Revolving Borrowing as, a Term Benchmark Borrowing and any Borrowing Request that requests a Term Benchmark Borrowing or an RFR Borrowing, in each case, for the relevant Benchmark, shall be ineffective;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circumstances giving rise to such notice affect only one Type of Borrowing, then all other Types of Borrowings shall be permitted. Furthermore, if any Term Benchmark Loan or RFR Loan in any Agreed Currency is outstanding on the date of the Company’s receipt of the notice from the Administrative Agent referred to in this </w:t>
      </w:r>
      <w:r>
        <w:rPr>
          <w:rFonts w:ascii="Arial" w:cs="Arial" w:eastAsia="Arial" w:hAnsi="Arial"/>
          <w:sz w:val="19"/>
          <w:szCs w:val="19"/>
          <w:u w:val="single" w:color="auto"/>
          <w:color w:val="auto"/>
        </w:rPr>
        <w:t>Section 2.14(a)</w:t>
      </w:r>
      <w:r>
        <w:rPr>
          <w:rFonts w:ascii="Arial" w:cs="Arial" w:eastAsia="Arial" w:hAnsi="Arial"/>
          <w:sz w:val="19"/>
          <w:szCs w:val="19"/>
          <w:color w:val="auto"/>
        </w:rPr>
        <w:t xml:space="preserve"> with respect to a Relevant Adjusted Rate applicable to such Term Benchmark Loan or RFR Loan, then until (x) the Administrative Agent notifies the Company and the Lenders that the circumstances giving rise to such notice no longer exist with respect to the relevant Benchmark and (y) the applicable Borrower delivers a new Interest Election Request in accordance with the terms of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or a new Borrowing Request in accordance with the terms of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(A) for Loans denominated in U.S. Dollars, any Term Benchmark Loan shall on the last day of the Interest Period applicable to such Loan, be converted by the Administrative Agent to, and shall constitute, (x) an RFR Borrowing denominated in U.S. Dollars so long as the Adjusted Daily Simple RFR for U.S. Dollar Borrowings is not also the subject of </w:t>
      </w:r>
      <w:r>
        <w:rPr>
          <w:rFonts w:ascii="Arial" w:cs="Arial" w:eastAsia="Arial" w:hAnsi="Arial"/>
          <w:sz w:val="19"/>
          <w:szCs w:val="19"/>
          <w:u w:val="single" w:color="auto"/>
          <w:color w:val="auto"/>
        </w:rPr>
        <w:t>Section 2.14(a)(i)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or (y) an ABR Loan if the Adjusted Daily Simple RFR for U.S. Dollar Borrowings also is the subject of </w:t>
      </w:r>
      <w:r>
        <w:rPr>
          <w:rFonts w:ascii="Arial" w:cs="Arial" w:eastAsia="Arial" w:hAnsi="Arial"/>
          <w:sz w:val="19"/>
          <w:szCs w:val="19"/>
          <w:u w:val="single" w:color="auto"/>
          <w:color w:val="auto"/>
        </w:rPr>
        <w:t>Section 2.14(a)(i)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on such day and (B) for Loans denominated in a Foreign Currency, (1) any Term Benchmark Loan shall, on the last day of the Interest Period applicable to such Loan bear interest at the Central Bank Rate for the applicable Foreign Currency plus the Applicable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determines, in consultation with the Company, (which determination shall be conclusive and binding absent manifest error) that the Central Bank Rate for the applicable Foreign Currency cannot be determined, any outstanding affected Term Benchmark Loans denominated in such Foreign Currency shall, at the Company’s election prior to such day: (A) be prepaid by the applicable Borrower on such day or</w:t>
      </w:r>
    </w:p>
    <w:p>
      <w:pPr>
        <w:spacing w:after="0" w:line="233" w:lineRule="exact"/>
        <w:rPr>
          <w:sz w:val="20"/>
          <w:szCs w:val="20"/>
          <w:color w:val="auto"/>
        </w:rPr>
      </w:pPr>
    </w:p>
    <w:p>
      <w:pPr>
        <w:jc w:val="both"/>
        <w:ind w:firstLine="8"/>
        <w:spacing w:after="0" w:line="277" w:lineRule="auto"/>
        <w:tabs>
          <w:tab w:leader="none" w:pos="351" w:val="left"/>
        </w:tabs>
        <w:numPr>
          <w:ilvl w:val="0"/>
          <w:numId w:val="245"/>
        </w:numPr>
        <w:rPr>
          <w:rFonts w:ascii="Arial" w:cs="Arial" w:eastAsia="Arial" w:hAnsi="Arial"/>
          <w:sz w:val="19"/>
          <w:szCs w:val="19"/>
          <w:color w:val="auto"/>
        </w:rPr>
      </w:pPr>
      <w:r>
        <w:rPr>
          <w:rFonts w:ascii="Arial" w:cs="Arial" w:eastAsia="Arial" w:hAnsi="Arial"/>
          <w:sz w:val="19"/>
          <w:szCs w:val="19"/>
          <w:color w:val="auto"/>
        </w:rPr>
        <w:t xml:space="preserve">solely for the purpose of calculating the interest rate applicable to such Term Benchmark Loan, such Term Benchmark Loan denominated in such Foreign Currency shall be deemed to be a Term Benchmark Loan denominated in U.S. Dollars and shall accrue interest at the same interest rate applicable to Term Benchmark Loans denominated in U.S. Dollars at such time and (2) any RFR Loan shall bear interest at the Central Bank Rate for the applicable Foreign Currency plus the Applicable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determines, in consultation with the Company, (which determination shall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0" w:name="page251"/>
    <w:bookmarkEnd w:id="250"/>
    <w:p>
      <w:pPr>
        <w:spacing w:after="0" w:line="276" w:lineRule="auto"/>
        <w:rPr>
          <w:sz w:val="20"/>
          <w:szCs w:val="20"/>
          <w:color w:val="auto"/>
        </w:rPr>
      </w:pPr>
      <w:r>
        <w:rPr>
          <w:rFonts w:ascii="Arial" w:cs="Arial" w:eastAsia="Arial" w:hAnsi="Arial"/>
          <w:sz w:val="19"/>
          <w:szCs w:val="19"/>
          <w:color w:val="auto"/>
        </w:rPr>
        <w:t>be conclusive and binding absent manifest error) that the Central Bank Rate for the applicable Foreign Currency cannot be determined, any outstanding affected RFR Loans denominated in any Foreign Currency, at the Company’s election, shall either</w:t>
      </w:r>
    </w:p>
    <w:p>
      <w:pPr>
        <w:spacing w:after="0" w:line="1" w:lineRule="exact"/>
        <w:rPr>
          <w:sz w:val="20"/>
          <w:szCs w:val="20"/>
          <w:color w:val="auto"/>
        </w:rPr>
      </w:pPr>
    </w:p>
    <w:p>
      <w:pPr>
        <w:ind w:firstLine="8"/>
        <w:spacing w:after="0" w:line="236" w:lineRule="auto"/>
        <w:tabs>
          <w:tab w:leader="none" w:pos="389" w:val="left"/>
        </w:tabs>
        <w:numPr>
          <w:ilvl w:val="0"/>
          <w:numId w:val="246"/>
        </w:numPr>
        <w:rPr>
          <w:rFonts w:ascii="Arial" w:cs="Arial" w:eastAsia="Arial" w:hAnsi="Arial"/>
          <w:sz w:val="22"/>
          <w:szCs w:val="22"/>
          <w:color w:val="auto"/>
        </w:rPr>
      </w:pPr>
      <w:r>
        <w:rPr>
          <w:rFonts w:ascii="Arial" w:cs="Arial" w:eastAsia="Arial" w:hAnsi="Arial"/>
          <w:sz w:val="22"/>
          <w:szCs w:val="22"/>
          <w:color w:val="auto"/>
        </w:rPr>
        <w:t>be converted into ABR Loans denominated in U.S. Dollars (in an amount equal to the Dollar Amount of such Foreign Currency) immediately or (B) be prepaid in full immediately.</w:t>
      </w:r>
    </w:p>
    <w:p>
      <w:pPr>
        <w:spacing w:after="0" w:line="186" w:lineRule="exact"/>
        <w:rPr>
          <w:rFonts w:ascii="Arial" w:cs="Arial" w:eastAsia="Arial" w:hAnsi="Arial"/>
          <w:sz w:val="22"/>
          <w:szCs w:val="22"/>
          <w:color w:val="auto"/>
        </w:rPr>
      </w:pPr>
    </w:p>
    <w:p>
      <w:pPr>
        <w:jc w:val="both"/>
        <w:ind w:firstLine="1505"/>
        <w:spacing w:after="0" w:line="275" w:lineRule="auto"/>
        <w:tabs>
          <w:tab w:leader="none" w:pos="2207" w:val="left"/>
        </w:tabs>
        <w:numPr>
          <w:ilvl w:val="1"/>
          <w:numId w:val="246"/>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(other than any Benchmark Replacement Conforming Changes made pursuant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below)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57" w:lineRule="exact"/>
        <w:rPr>
          <w:rFonts w:ascii="Arial" w:cs="Arial" w:eastAsia="Arial" w:hAnsi="Arial"/>
          <w:sz w:val="19"/>
          <w:szCs w:val="19"/>
          <w:color w:val="auto"/>
        </w:rPr>
      </w:pPr>
    </w:p>
    <w:p>
      <w:pPr>
        <w:jc w:val="both"/>
        <w:ind w:firstLine="1505"/>
        <w:spacing w:after="0" w:line="279" w:lineRule="auto"/>
        <w:tabs>
          <w:tab w:leader="none" w:pos="2191" w:val="left"/>
        </w:tabs>
        <w:numPr>
          <w:ilvl w:val="1"/>
          <w:numId w:val="246"/>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deliver a copy of any such amendment to the Company for consultation at least five (5) Business Days prior to the effectiveness thereof (or such shorter period as agreed by the Company).</w:t>
      </w:r>
    </w:p>
    <w:p>
      <w:pPr>
        <w:spacing w:after="0" w:line="150" w:lineRule="exact"/>
        <w:rPr>
          <w:rFonts w:ascii="Arial" w:cs="Arial" w:eastAsia="Arial" w:hAnsi="Arial"/>
          <w:sz w:val="19"/>
          <w:szCs w:val="19"/>
          <w:color w:val="auto"/>
        </w:rPr>
      </w:pPr>
    </w:p>
    <w:p>
      <w:pPr>
        <w:jc w:val="both"/>
        <w:ind w:firstLine="1505"/>
        <w:spacing w:after="0" w:line="274" w:lineRule="auto"/>
        <w:tabs>
          <w:tab w:leader="none" w:pos="2168" w:val="left"/>
        </w:tabs>
        <w:numPr>
          <w:ilvl w:val="1"/>
          <w:numId w:val="246"/>
        </w:numPr>
        <w:rPr>
          <w:rFonts w:ascii="Arial" w:cs="Arial" w:eastAsia="Arial" w:hAnsi="Arial"/>
          <w:sz w:val="19"/>
          <w:szCs w:val="19"/>
          <w:color w:val="auto"/>
        </w:rPr>
      </w:pPr>
      <w:r>
        <w:rPr>
          <w:rFonts w:ascii="Arial" w:cs="Arial" w:eastAsia="Arial" w:hAnsi="Arial"/>
          <w:sz w:val="19"/>
          <w:szCs w:val="19"/>
          <w:color w:val="auto"/>
        </w:rPr>
        <w:t xml:space="preserve">The Administrative Agent will promptly notify the Company and the Lenders of (i) any occurrence of a Benchmark Transition Event, (ii) the implementation of any Benchmark Replacement, (iii) the effectiveness of any Benchmark Replacement Conforming Changes, (iv) the removal or reinstatement of any tenor of a Benchmark pursuant to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below and (v)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1505"/>
        <w:spacing w:after="0" w:line="235" w:lineRule="auto"/>
        <w:tabs>
          <w:tab w:leader="none" w:pos="2168" w:val="left"/>
        </w:tabs>
        <w:numPr>
          <w:ilvl w:val="1"/>
          <w:numId w:val="246"/>
        </w:numPr>
        <w:rPr>
          <w:rFonts w:ascii="Arial" w:cs="Arial" w:eastAsia="Arial" w:hAnsi="Arial"/>
          <w:sz w:val="22"/>
          <w:szCs w:val="22"/>
          <w:color w:val="auto"/>
        </w:rPr>
      </w:pPr>
      <w:r>
        <w:rPr>
          <w:rFonts w:ascii="Arial" w:cs="Arial" w:eastAsia="Arial" w:hAnsi="Arial"/>
          <w:sz w:val="22"/>
          <w:szCs w:val="22"/>
          <w:color w:val="auto"/>
        </w:rPr>
        <w:t>Notwithstanding anything to the contrary herein or in any other Loan Document, at any time (including in connection with the implementation of a Benchmark Replacement), (i) if the then-current Benchmark is a term rate (including any Relevant Rate) and either (A) any tenor for such Benchmark is not displayed on a screen or other information service that publishes such rate from time to time as selected by the Administrative Agent in its reasonable discretion after consultation with the Company or (B) the regulatory supervisor for the administrator of such Benchmark has provided a public statement or publication of information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1" w:name="page252"/>
    <w:bookmarkEnd w:id="251"/>
    <w:p>
      <w:pPr>
        <w:jc w:val="both"/>
        <w:spacing w:after="0" w:line="234" w:lineRule="auto"/>
        <w:rPr>
          <w:sz w:val="20"/>
          <w:szCs w:val="20"/>
          <w:color w:val="auto"/>
        </w:rPr>
      </w:pPr>
      <w:r>
        <w:rPr>
          <w:rFonts w:ascii="Arial" w:cs="Arial" w:eastAsia="Arial" w:hAnsi="Arial"/>
          <w:sz w:val="22"/>
          <w:szCs w:val="22"/>
          <w:color w:val="auto"/>
        </w:rPr>
        <w:t xml:space="preserve">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1" w:lineRule="exact"/>
        <w:rPr>
          <w:sz w:val="20"/>
          <w:szCs w:val="20"/>
          <w:color w:val="auto"/>
        </w:rPr>
      </w:pPr>
    </w:p>
    <w:p>
      <w:pPr>
        <w:jc w:val="both"/>
        <w:ind w:firstLine="1505"/>
        <w:spacing w:after="0" w:line="268" w:lineRule="auto"/>
        <w:tabs>
          <w:tab w:leader="none" w:pos="2166" w:val="left"/>
        </w:tabs>
        <w:numPr>
          <w:ilvl w:val="1"/>
          <w:numId w:val="247"/>
        </w:numPr>
        <w:rPr>
          <w:rFonts w:ascii="Arial" w:cs="Arial" w:eastAsia="Arial" w:hAnsi="Arial"/>
          <w:sz w:val="19"/>
          <w:szCs w:val="19"/>
          <w:color w:val="auto"/>
        </w:rPr>
      </w:pPr>
      <w:r>
        <w:rPr>
          <w:rFonts w:ascii="Arial" w:cs="Arial" w:eastAsia="Arial" w:hAnsi="Arial"/>
          <w:sz w:val="19"/>
          <w:szCs w:val="19"/>
          <w:color w:val="auto"/>
        </w:rPr>
        <w:t>Upon the Company’s receipt of notice of the commencement of a Benchmark Unavailability Period, the applicable Borrower may revoke any request for a Term Benchmark Borrowing or RFR Borrowing of, conversion to or continuation of Term Benchmark Loans to be made, converted or continued during any Benchmark Unavailability Period and, failing that, either (x) such Borrower will be deemed to have converted any request for a Term Benchmark Borrowing denominated in U.S. Dollars into a request for a Borrowing of or conversion to (A) an RFR Borrowing denominated in U.S. Dollars so long as the Adjusted Daily Simple RFR for U.S. Dollar Borrowings is not the subject of a Benchmark Transition Event or (B) an ABR Borrowing if the Adjusted Daily Simple RFR for U.S. Dollar Borrowings is the subject of a Benchmark Transition Event or (y) any Term Benchmark Borrowing or RFR Borrowing denominated in a Foreign Currency shall be ineffective.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Furthermore, if any Term Benchmark Loan or RFR Loan in any Agreed Currency is outstanding on the date of the Company’s receipt of notice of the commencement of a Benchmark Unavailability Period with respect to a Relevant Adjusted Rate applicable to such Term Benchmark Loan or RFR Loan, then until</w:t>
      </w:r>
    </w:p>
    <w:p>
      <w:pPr>
        <w:spacing w:after="0" w:line="5" w:lineRule="exact"/>
        <w:rPr>
          <w:rFonts w:ascii="Arial" w:cs="Arial" w:eastAsia="Arial" w:hAnsi="Arial"/>
          <w:sz w:val="19"/>
          <w:szCs w:val="19"/>
          <w:color w:val="auto"/>
        </w:rPr>
      </w:pPr>
    </w:p>
    <w:p>
      <w:pPr>
        <w:jc w:val="both"/>
        <w:spacing w:after="0" w:line="266" w:lineRule="auto"/>
        <w:rPr>
          <w:rFonts w:ascii="Arial" w:cs="Arial" w:eastAsia="Arial" w:hAnsi="Arial"/>
          <w:sz w:val="19"/>
          <w:szCs w:val="19"/>
          <w:color w:val="auto"/>
        </w:rPr>
      </w:pPr>
      <w:r>
        <w:rPr>
          <w:rFonts w:ascii="Arial" w:cs="Arial" w:eastAsia="Arial" w:hAnsi="Arial"/>
          <w:sz w:val="19"/>
          <w:szCs w:val="19"/>
          <w:color w:val="auto"/>
        </w:rPr>
        <w:t>such time as a Benchmark Replacement for such Agreed Currency is implemented pursuant to this Section‎ 2.14, (A) for Loans denominated in U.S. Dollars any Term Benchmark Loan shall on the last day of the Interest Period applicable to such Loan, be converted by the Administrative Agent to, and shall constitute, (x) an RFR Borrowing denominated in U.S. Dollars so long as the Adjusted Daily Simple RFR for U.S. Dollar Borrowings is not the subject of a Benchmark Transition Event or (y) an ABR Loan if the Adjusted Daily Simple RFR for U.S. Dollar Borrowings is the subject of a Benchmark Transition Event, on such day and</w:t>
      </w:r>
    </w:p>
    <w:p>
      <w:pPr>
        <w:spacing w:after="0" w:line="4" w:lineRule="exact"/>
        <w:rPr>
          <w:rFonts w:ascii="Arial" w:cs="Arial" w:eastAsia="Arial" w:hAnsi="Arial"/>
          <w:sz w:val="19"/>
          <w:szCs w:val="19"/>
          <w:color w:val="auto"/>
        </w:rPr>
      </w:pPr>
    </w:p>
    <w:p>
      <w:pPr>
        <w:jc w:val="both"/>
        <w:ind w:firstLine="8"/>
        <w:spacing w:after="0" w:line="242" w:lineRule="auto"/>
        <w:tabs>
          <w:tab w:leader="none" w:pos="365" w:val="left"/>
        </w:tabs>
        <w:numPr>
          <w:ilvl w:val="0"/>
          <w:numId w:val="248"/>
        </w:numPr>
        <w:rPr>
          <w:rFonts w:ascii="Arial" w:cs="Arial" w:eastAsia="Arial" w:hAnsi="Arial"/>
          <w:sz w:val="21"/>
          <w:szCs w:val="21"/>
          <w:color w:val="auto"/>
        </w:rPr>
      </w:pPr>
      <w:r>
        <w:rPr>
          <w:rFonts w:ascii="Arial" w:cs="Arial" w:eastAsia="Arial" w:hAnsi="Arial"/>
          <w:sz w:val="21"/>
          <w:szCs w:val="21"/>
          <w:color w:val="auto"/>
        </w:rPr>
        <w:t xml:space="preserve">for Loans denominated in a Foreign Currency, (1) any Term Benchmark Loan shall, on the last day of the Interest Period applicable to such Loan bear interest at the Central Bank Rate for the applicable Foreign Currency plus the Applicable Rate;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Administrative Agent determines, in consultation with the Company, (which determination shall be conclusive and binding absent manifest error) that the Central Bank Rate for the applicable Foreign Currency cannot be determined, any outstanding affected Term Benchmark Loans denominated in any Foreign Currency shall, at the Company’s election prior to such day: (A) be prepaid by the applicable Borrower on such day or (B) solely for the purpose of calculating the interest rate applicable to such Term Benchmark Loan, such Term Benchmark Loan denominated in any Foreign Currency shall be deemed to be a Term Benchmark Loan denominated in U.S. Dollars and shall accrue interest at the same interest rate applicable to Term Benchmark Loans denominated in U.S. Dollars at such time and (2) any RFR Loan shall bear interest at the Central Bank Rate for the applicable Foreign Currency plus the Applicable Rate;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Administrative Agent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5589270</wp:posOffset>
            </wp:positionH>
            <wp:positionV relativeFrom="paragraph">
              <wp:posOffset>-2340610</wp:posOffset>
            </wp:positionV>
            <wp:extent cx="69596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69596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2" w:name="page253"/>
    <w:bookmarkEnd w:id="252"/>
    <w:p>
      <w:pPr>
        <w:jc w:val="both"/>
        <w:spacing w:after="0" w:line="287" w:lineRule="auto"/>
        <w:rPr>
          <w:sz w:val="20"/>
          <w:szCs w:val="20"/>
          <w:color w:val="auto"/>
        </w:rPr>
      </w:pPr>
      <w:r>
        <w:rPr>
          <w:rFonts w:ascii="Arial" w:cs="Arial" w:eastAsia="Arial" w:hAnsi="Arial"/>
          <w:sz w:val="19"/>
          <w:szCs w:val="19"/>
          <w:color w:val="auto"/>
        </w:rPr>
        <w:t>in consultation with the Company, (which determination shall be conclusive and binding absent manifest error) that the Central Bank Rate for the applicable Foreign Currency cannot be determined, any outstanding affected RFR Loans denominated in any Foreign Currency, at the Company’s election, shall either (A) be converted into ABR Loans denominated in U.S. Dollars (in an amount equal to the Dollar Amount of such Foreign Currency) immediately or (B) be prepaid in full immediately.</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2.15 </w:t>
      </w:r>
      <w:r>
        <w:rPr>
          <w:rFonts w:ascii="Arial" w:cs="Arial" w:eastAsia="Arial" w:hAnsi="Arial"/>
          <w:sz w:val="22"/>
          <w:szCs w:val="22"/>
          <w:u w:val="single" w:color="auto"/>
          <w:color w:val="auto"/>
        </w:rPr>
        <w:t>Increased Costs</w:t>
      </w:r>
      <w:r>
        <w:rPr>
          <w:rFonts w:ascii="Arial" w:cs="Arial" w:eastAsia="Arial" w:hAnsi="Arial"/>
          <w:sz w:val="22"/>
          <w:szCs w:val="22"/>
          <w:color w:val="auto"/>
        </w:rPr>
        <w:t>.</w:t>
      </w:r>
    </w:p>
    <w:p>
      <w:pPr>
        <w:spacing w:after="0" w:line="206" w:lineRule="exact"/>
        <w:rPr>
          <w:sz w:val="20"/>
          <w:szCs w:val="20"/>
          <w:color w:val="auto"/>
        </w:rPr>
      </w:pPr>
    </w:p>
    <w:p>
      <w:pPr>
        <w:ind w:left="2160" w:hanging="655"/>
        <w:spacing w:after="0"/>
        <w:tabs>
          <w:tab w:leader="none" w:pos="216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If any Change in Law shall:</w:t>
      </w:r>
    </w:p>
    <w:p>
      <w:pPr>
        <w:spacing w:after="0" w:line="206" w:lineRule="exact"/>
        <w:rPr>
          <w:sz w:val="20"/>
          <w:szCs w:val="20"/>
          <w:color w:val="auto"/>
        </w:rPr>
      </w:pPr>
    </w:p>
    <w:p>
      <w:pPr>
        <w:jc w:val="both"/>
        <w:ind w:left="760" w:firstLine="745"/>
        <w:spacing w:after="0" w:line="238" w:lineRule="auto"/>
        <w:tabs>
          <w:tab w:leader="none" w:pos="2124" w:val="left"/>
        </w:tabs>
        <w:numPr>
          <w:ilvl w:val="0"/>
          <w:numId w:val="250"/>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applicable Relevant Adjusted Rate);</w:t>
      </w:r>
    </w:p>
    <w:p>
      <w:pPr>
        <w:spacing w:after="0" w:line="184" w:lineRule="exact"/>
        <w:rPr>
          <w:rFonts w:ascii="Arial" w:cs="Arial" w:eastAsia="Arial" w:hAnsi="Arial"/>
          <w:sz w:val="22"/>
          <w:szCs w:val="22"/>
          <w:color w:val="auto"/>
        </w:rPr>
      </w:pPr>
    </w:p>
    <w:p>
      <w:pPr>
        <w:ind w:left="760" w:firstLine="745"/>
        <w:spacing w:after="0" w:line="250" w:lineRule="auto"/>
        <w:tabs>
          <w:tab w:leader="none" w:pos="2072" w:val="left"/>
        </w:tabs>
        <w:numPr>
          <w:ilvl w:val="0"/>
          <w:numId w:val="250"/>
        </w:numPr>
        <w:rPr>
          <w:rFonts w:ascii="Arial" w:cs="Arial" w:eastAsia="Arial" w:hAnsi="Arial"/>
          <w:sz w:val="22"/>
          <w:szCs w:val="22"/>
          <w:color w:val="auto"/>
        </w:rPr>
      </w:pPr>
      <w:r>
        <w:rPr>
          <w:rFonts w:ascii="Arial" w:cs="Arial" w:eastAsia="Arial" w:hAnsi="Arial"/>
          <w:sz w:val="22"/>
          <w:szCs w:val="22"/>
          <w:color w:val="auto"/>
        </w:rPr>
        <w:t>impose on any Lender any applicable interbank market any other condition, cost or expense (other than Taxes) affecting any Loan Document or Loans made by such Lender; or</w:t>
      </w:r>
    </w:p>
    <w:p>
      <w:pPr>
        <w:spacing w:after="0" w:line="174" w:lineRule="exact"/>
        <w:rPr>
          <w:rFonts w:ascii="Arial" w:cs="Arial" w:eastAsia="Arial" w:hAnsi="Arial"/>
          <w:sz w:val="22"/>
          <w:szCs w:val="22"/>
          <w:color w:val="auto"/>
        </w:rPr>
      </w:pPr>
    </w:p>
    <w:p>
      <w:pPr>
        <w:jc w:val="both"/>
        <w:ind w:left="760" w:firstLine="745"/>
        <w:spacing w:after="0" w:line="236" w:lineRule="auto"/>
        <w:tabs>
          <w:tab w:leader="none" w:pos="2063" w:val="left"/>
        </w:tabs>
        <w:numPr>
          <w:ilvl w:val="0"/>
          <w:numId w:val="250"/>
        </w:numPr>
        <w:rPr>
          <w:rFonts w:ascii="Arial" w:cs="Arial" w:eastAsia="Arial" w:hAnsi="Arial"/>
          <w:sz w:val="22"/>
          <w:szCs w:val="22"/>
          <w:color w:val="auto"/>
        </w:rPr>
      </w:pPr>
      <w:r>
        <w:rPr>
          <w:rFonts w:ascii="Arial" w:cs="Arial" w:eastAsia="Arial" w:hAnsi="Arial"/>
          <w:sz w:val="22"/>
          <w:szCs w:val="22"/>
          <w:color w:val="auto"/>
        </w:rPr>
        <w:t xml:space="preserve">subject any Recipient to any Taxes (other than Indemnified Taxes or Excluded Taxes;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Other Connection Taxes imposed specifically with respect to banks, financial institutions, or financial transactions by any national or international taxing authority shall not be treated as Excluded Taxes for purposes of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2.15(a)(iii)</w:t>
      </w:r>
      <w:r>
        <w:rPr>
          <w:rFonts w:ascii="Arial" w:cs="Arial" w:eastAsia="Arial" w:hAnsi="Arial"/>
          <w:sz w:val="22"/>
          <w:szCs w:val="22"/>
          <w:color w:val="auto"/>
        </w:rPr>
        <w:t>) on its loans, loan principal, letters of credit, commitments, or other obligations, or its deposits, reserves, other liabilities or capital attributable thereto;</w:t>
      </w:r>
    </w:p>
    <w:p>
      <w:pPr>
        <w:spacing w:after="0" w:line="187" w:lineRule="exact"/>
        <w:rPr>
          <w:sz w:val="20"/>
          <w:szCs w:val="20"/>
          <w:color w:val="auto"/>
        </w:rPr>
      </w:pPr>
    </w:p>
    <w:p>
      <w:pPr>
        <w:jc w:val="both"/>
        <w:ind w:left="280" w:firstLine="749"/>
        <w:spacing w:after="0" w:line="275" w:lineRule="auto"/>
        <w:rPr>
          <w:sz w:val="20"/>
          <w:szCs w:val="20"/>
          <w:color w:val="auto"/>
        </w:rPr>
      </w:pPr>
      <w:r>
        <w:rPr>
          <w:rFonts w:ascii="Arial" w:cs="Arial" w:eastAsia="Arial" w:hAnsi="Arial"/>
          <w:sz w:val="19"/>
          <w:szCs w:val="19"/>
          <w:color w:val="auto"/>
        </w:rPr>
        <w:t>and the result of any of the foregoing shall be to increase the cost to such Lender or such other Recipient of making, continuing, converting or maintaining any Loan or of maintaining its obligation to make any such Loan (including pursuant to any conversion of any Borrowing denominated in an Agreed Currency to a Borrowing denominated in any other Agreed Currency) or to reduce the amount of any sum received or receivable by such Lender or such other Recipient hereunder, whether of principal, interest or otherwise (including pursuant to any conversion of any Borrowing denominated in an Agreed Currency to a Borrowing denominated in any other Agreed Currency), then the applicable Borrower will pay to such Lender or such other Recipient, as the case may be, such additional amount or amounts as will compensate such Lender or such other Recipient, as the case may be, for such additional costs incurred or reduction suffered.</w:t>
      </w:r>
    </w:p>
    <w:p>
      <w:pPr>
        <w:spacing w:after="0" w:line="157" w:lineRule="exact"/>
        <w:rPr>
          <w:sz w:val="20"/>
          <w:szCs w:val="20"/>
          <w:color w:val="auto"/>
        </w:rPr>
      </w:pPr>
    </w:p>
    <w:p>
      <w:pPr>
        <w:jc w:val="both"/>
        <w:ind w:firstLine="1505"/>
        <w:spacing w:after="0" w:line="235" w:lineRule="auto"/>
        <w:tabs>
          <w:tab w:leader="none" w:pos="2165" w:val="left"/>
        </w:tabs>
        <w:numPr>
          <w:ilvl w:val="0"/>
          <w:numId w:val="251"/>
        </w:numPr>
        <w:rPr>
          <w:rFonts w:ascii="Arial" w:cs="Arial" w:eastAsia="Arial" w:hAnsi="Arial"/>
          <w:sz w:val="22"/>
          <w:szCs w:val="22"/>
          <w:color w:val="auto"/>
        </w:rPr>
      </w:pPr>
      <w:r>
        <w:rPr>
          <w:rFonts w:ascii="Arial" w:cs="Arial" w:eastAsia="Arial" w:hAnsi="Arial"/>
          <w:sz w:val="22"/>
          <w:szCs w:val="22"/>
          <w:color w:val="auto"/>
        </w:rPr>
        <w:t>If any Lender reasonably determines that any Change in Law regarding capital or liquidity requirements has or would have the effect of reducing the rate of return on such Lender’s capital or on the capital of such Lender’s holding company, if any, as a consequence of any Loan Document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applicable Borrower shall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3" w:name="page254"/>
    <w:bookmarkEnd w:id="253"/>
    <w:p>
      <w:pPr>
        <w:spacing w:after="0" w:line="250" w:lineRule="auto"/>
        <w:rPr>
          <w:sz w:val="20"/>
          <w:szCs w:val="20"/>
          <w:color w:val="auto"/>
        </w:rPr>
      </w:pPr>
      <w:r>
        <w:rPr>
          <w:rFonts w:ascii="Arial" w:cs="Arial" w:eastAsia="Arial" w:hAnsi="Arial"/>
          <w:sz w:val="22"/>
          <w:szCs w:val="22"/>
          <w:color w:val="auto"/>
        </w:rPr>
        <w:t>pay to such Lender such additional amount or amounts as will compensate such Lender or such Lender’s holding company for any such reduction suffered.</w:t>
      </w:r>
    </w:p>
    <w:p>
      <w:pPr>
        <w:spacing w:after="0" w:line="175" w:lineRule="exact"/>
        <w:rPr>
          <w:sz w:val="20"/>
          <w:szCs w:val="20"/>
          <w:color w:val="auto"/>
        </w:rPr>
      </w:pPr>
    </w:p>
    <w:p>
      <w:pPr>
        <w:jc w:val="both"/>
        <w:ind w:firstLine="1505"/>
        <w:spacing w:after="0" w:line="238" w:lineRule="auto"/>
        <w:tabs>
          <w:tab w:leader="none" w:pos="2161" w:val="left"/>
        </w:tabs>
        <w:numPr>
          <w:ilvl w:val="0"/>
          <w:numId w:val="252"/>
        </w:numPr>
        <w:rPr>
          <w:rFonts w:ascii="Arial" w:cs="Arial" w:eastAsia="Arial" w:hAnsi="Arial"/>
          <w:sz w:val="22"/>
          <w:szCs w:val="22"/>
          <w:color w:val="auto"/>
        </w:rPr>
      </w:pPr>
      <w:r>
        <w:rPr>
          <w:rFonts w:ascii="Arial" w:cs="Arial" w:eastAsia="Arial" w:hAnsi="Arial"/>
          <w:sz w:val="22"/>
          <w:szCs w:val="22"/>
          <w:color w:val="auto"/>
        </w:rPr>
        <w:t xml:space="preserve">A certificate of a Lender setting forth the amount or amounts necessary to compensate such Lender or its holding company, as the case may be, as specified in </w:t>
      </w:r>
      <w:r>
        <w:rPr>
          <w:rFonts w:ascii="Arial" w:cs="Arial" w:eastAsia="Arial" w:hAnsi="Arial"/>
          <w:sz w:val="22"/>
          <w:szCs w:val="22"/>
          <w:u w:val="single" w:color="auto"/>
          <w:color w:val="auto"/>
        </w:rPr>
        <w:t>paragraph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Section shall be delivered to the Borrowers and shall be conclusive absent manifest error. The applicable Borrower shall pay such Lender the amount shown as due on any such certificate within ten (10) days after receipt thereof.</w:t>
      </w:r>
    </w:p>
    <w:p>
      <w:pPr>
        <w:spacing w:after="0" w:line="184" w:lineRule="exact"/>
        <w:rPr>
          <w:rFonts w:ascii="Arial" w:cs="Arial" w:eastAsia="Arial" w:hAnsi="Arial"/>
          <w:sz w:val="22"/>
          <w:szCs w:val="22"/>
          <w:color w:val="auto"/>
        </w:rPr>
      </w:pPr>
    </w:p>
    <w:p>
      <w:pPr>
        <w:jc w:val="both"/>
        <w:ind w:firstLine="1505"/>
        <w:spacing w:after="0" w:line="246" w:lineRule="auto"/>
        <w:tabs>
          <w:tab w:leader="none" w:pos="2180" w:val="left"/>
        </w:tabs>
        <w:numPr>
          <w:ilvl w:val="0"/>
          <w:numId w:val="252"/>
        </w:numPr>
        <w:rPr>
          <w:rFonts w:ascii="Arial" w:cs="Arial" w:eastAsia="Arial" w:hAnsi="Arial"/>
          <w:sz w:val="21"/>
          <w:szCs w:val="21"/>
          <w:color w:val="auto"/>
        </w:rPr>
      </w:pPr>
      <w:r>
        <w:rPr>
          <w:rFonts w:ascii="Arial" w:cs="Arial" w:eastAsia="Arial" w:hAnsi="Arial"/>
          <w:sz w:val="21"/>
          <w:szCs w:val="21"/>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Borrower shall be required to compensate a Lender pursuant to this Section for any increased costs or reductions incurred more than two hundred seventy (270) days prior to the date that such Lender notifies the Borrowers of the Change in Law giving rise to such increased costs or reductions and of such Lender’s intention to claim compensation therefor;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if the Change in Law giving rise to such increased costs or reductions is retroactive, then the two hundred seventy (270) day period referred to above shall be extended to include the period of retroactive effect thereof.</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u w:val="single" w:color="auto"/>
          <w:color w:val="auto"/>
        </w:rPr>
        <w:t>Break Funding Payments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0" w:lineRule="auto"/>
        <w:tabs>
          <w:tab w:leader="none" w:pos="2171" w:val="left"/>
        </w:tabs>
        <w:numPr>
          <w:ilvl w:val="0"/>
          <w:numId w:val="253"/>
        </w:numPr>
        <w:rPr>
          <w:rFonts w:ascii="Arial" w:cs="Arial" w:eastAsia="Arial" w:hAnsi="Arial"/>
          <w:sz w:val="19"/>
          <w:szCs w:val="19"/>
          <w:color w:val="auto"/>
        </w:rPr>
      </w:pPr>
      <w:r>
        <w:rPr>
          <w:rFonts w:ascii="Arial" w:cs="Arial" w:eastAsia="Arial" w:hAnsi="Arial"/>
          <w:sz w:val="19"/>
          <w:szCs w:val="19"/>
          <w:color w:val="auto"/>
        </w:rPr>
        <w:t xml:space="preserve">With respect to Loans that are Term Benchmark Loans, in the event of (i) the payment of any principal of any Term Benchmark Loan other than on the last day of an Interest Period applicable thereto (including as a result of an Event of Default or as a result of any prepayment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and is revoked in accordance therewith), (iv) the assignment of any Term Benchmark Loan other than on the last day of the Interest Period applicable thereto as a result of a request by the Borrowers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or (v) the failure by the applicable Borrower to make any payment of any Loan (or interest due thereof) on its scheduled due date or any payment thereof in a different currency, then, in any such event, the Company shall compensate (or cause the applicable Borrower to compensate) each Lender for the loss, cost and expense attributable to such event. Such loss, cost or expense to any Lender shall be deemed to include an amount determined by such Lender to be the excess, if any, of (i) the amount of interest which would have accrued on the principal amount of such Loan had such event not occurred at the applicable Relevant Adjusted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applicable offshore market for such Agreed Currency, whether or not such Term Benchmark Loan was in fact so funded. A certificate of any Lender setting forth any amount or amounts that such Lender is entitled to receive pursuant to this Section shall be delivered to the Company and shall be conclusive absent manifest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4" w:name="page255"/>
    <w:bookmarkEnd w:id="254"/>
    <w:p>
      <w:pPr>
        <w:spacing w:after="0" w:line="250" w:lineRule="auto"/>
        <w:rPr>
          <w:sz w:val="20"/>
          <w:szCs w:val="20"/>
          <w:color w:val="auto"/>
        </w:rPr>
      </w:pPr>
      <w:r>
        <w:rPr>
          <w:rFonts w:ascii="Arial" w:cs="Arial" w:eastAsia="Arial" w:hAnsi="Arial"/>
          <w:sz w:val="22"/>
          <w:szCs w:val="22"/>
          <w:color w:val="auto"/>
        </w:rPr>
        <w:t>error. The Company shall pay (or cause the applicable Borrower to pay) such Lender the amount shown as due on any such certificate within ten (10) days after receipt thereof.</w:t>
      </w:r>
    </w:p>
    <w:p>
      <w:pPr>
        <w:spacing w:after="0" w:line="175" w:lineRule="exact"/>
        <w:rPr>
          <w:sz w:val="20"/>
          <w:szCs w:val="20"/>
          <w:color w:val="auto"/>
        </w:rPr>
      </w:pPr>
    </w:p>
    <w:p>
      <w:pPr>
        <w:jc w:val="both"/>
        <w:ind w:firstLine="1505"/>
        <w:spacing w:after="0" w:line="272" w:lineRule="auto"/>
        <w:tabs>
          <w:tab w:leader="none" w:pos="2164"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With respect to RFR Loans, in the event of (i) the payment of any principal of any RFR Loan other than on the Interest Payment Date applicable thereto (including as a result of an Event of Default or as a result of any prepayment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(ii) the failure to borrow, convert, continue or prepay any RFR Loan on the date specified in any notice delivered pursuant hereto (regardless of whether such notice may be revoked under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and is revoked in accordance therewith), (iii) the assignment of any RFR Loan other than on the Interest Payment Date applicable thereto as a result of a request by the Company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or (iv) the failure by the applicable Borrower to make any payment of any Loan (or interest due thereof) denominated in a Foreign Currency on its scheduled due date or any payment thereof in a different currency, then, in any such event, the applicable Borrower shall compensate each Lender for the loss, cost and expense attributable to such event. A certificate of any Lender setting forth any amount or amounts that such Lender is entitled to receive pursuant to this Section shall be delivered to the Company and shall be conclusive absent manifest error. The Company shall pay (or cause the applicable Borrower to pay) such Lender the amount shown as due on any such certificate within ten (10) days after receipt thereof.</w:t>
      </w:r>
    </w:p>
    <w:p>
      <w:pPr>
        <w:spacing w:after="0" w:line="200" w:lineRule="exact"/>
        <w:rPr>
          <w:sz w:val="20"/>
          <w:szCs w:val="20"/>
          <w:color w:val="auto"/>
        </w:rPr>
      </w:pPr>
    </w:p>
    <w:p>
      <w:pPr>
        <w:spacing w:after="0" w:line="20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2.17 </w:t>
      </w: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4" w:lineRule="auto"/>
        <w:tabs>
          <w:tab w:leader="none" w:pos="2184" w:val="left"/>
        </w:tabs>
        <w:numPr>
          <w:ilvl w:val="0"/>
          <w:numId w:val="255"/>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xml:space="preserve">. Any and all payments by or on account of any obligation of any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then the person required by law to make such deduction or withholding shall be entitled to make such deduction or withholding and shall timely pay the full amount deducted or withheld to the relevant Governmental Authority in accordance with applicable law and, if such Tax is an Indemnified Tax, then the sum payable by the applicable Borrower shall be increased as necessary so that after such deduction or withholding has been made (including such deductions and withholdings applicable to additional sums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the applicable Recipient receives an amount equal to the sum it would have received had no such deduction or withholding been made.</w:t>
      </w:r>
    </w:p>
    <w:p>
      <w:pPr>
        <w:spacing w:after="0" w:line="158" w:lineRule="exact"/>
        <w:rPr>
          <w:rFonts w:ascii="Arial" w:cs="Arial" w:eastAsia="Arial" w:hAnsi="Arial"/>
          <w:sz w:val="19"/>
          <w:szCs w:val="19"/>
          <w:color w:val="auto"/>
        </w:rPr>
      </w:pPr>
    </w:p>
    <w:p>
      <w:pPr>
        <w:jc w:val="both"/>
        <w:ind w:firstLine="1505"/>
        <w:spacing w:after="0"/>
        <w:tabs>
          <w:tab w:leader="none" w:pos="2174" w:val="left"/>
        </w:tabs>
        <w:numPr>
          <w:ilvl w:val="0"/>
          <w:numId w:val="255"/>
        </w:numPr>
        <w:rPr>
          <w:rFonts w:ascii="Arial" w:cs="Arial" w:eastAsia="Arial" w:hAnsi="Arial"/>
          <w:sz w:val="22"/>
          <w:szCs w:val="22"/>
          <w:color w:val="auto"/>
        </w:rPr>
      </w:pPr>
      <w:r>
        <w:rPr>
          <w:rFonts w:ascii="Arial" w:cs="Arial" w:eastAsia="Arial" w:hAnsi="Arial"/>
          <w:sz w:val="22"/>
          <w:szCs w:val="22"/>
          <w:u w:val="single" w:color="auto"/>
          <w:color w:val="auto"/>
        </w:rPr>
        <w:t>Payment of Other Taxes by the Borrowers</w:t>
      </w:r>
      <w:r>
        <w:rPr>
          <w:rFonts w:ascii="Arial" w:cs="Arial" w:eastAsia="Arial" w:hAnsi="Arial"/>
          <w:sz w:val="22"/>
          <w:szCs w:val="22"/>
          <w:color w:val="auto"/>
        </w:rPr>
        <w:t>. A Borrower shall timely pay to the relevant Governmental Authority in accordance with applicable law, or at the option of the Administrative Agent timely reimburse it for, Other Taxes relating to a Borrowing by such Borrower.</w:t>
      </w:r>
    </w:p>
    <w:p>
      <w:pPr>
        <w:spacing w:after="0" w:line="186" w:lineRule="exact"/>
        <w:rPr>
          <w:rFonts w:ascii="Arial" w:cs="Arial" w:eastAsia="Arial" w:hAnsi="Arial"/>
          <w:sz w:val="22"/>
          <w:szCs w:val="22"/>
          <w:color w:val="auto"/>
        </w:rPr>
      </w:pPr>
    </w:p>
    <w:p>
      <w:pPr>
        <w:jc w:val="both"/>
        <w:ind w:firstLine="1505"/>
        <w:spacing w:after="0" w:line="252" w:lineRule="auto"/>
        <w:tabs>
          <w:tab w:leader="none" w:pos="2207" w:val="left"/>
        </w:tabs>
        <w:numPr>
          <w:ilvl w:val="0"/>
          <w:numId w:val="255"/>
        </w:numPr>
        <w:rPr>
          <w:rFonts w:ascii="Arial" w:cs="Arial" w:eastAsia="Arial" w:hAnsi="Arial"/>
          <w:sz w:val="21"/>
          <w:szCs w:val="21"/>
          <w:color w:val="auto"/>
        </w:rPr>
      </w:pPr>
      <w:r>
        <w:rPr>
          <w:rFonts w:ascii="Arial" w:cs="Arial" w:eastAsia="Arial" w:hAnsi="Arial"/>
          <w:sz w:val="21"/>
          <w:szCs w:val="21"/>
          <w:u w:val="single" w:color="auto"/>
          <w:color w:val="auto"/>
        </w:rPr>
        <w:t>Evidence of Payment</w:t>
      </w:r>
      <w:r>
        <w:rPr>
          <w:rFonts w:ascii="Arial" w:cs="Arial" w:eastAsia="Arial" w:hAnsi="Arial"/>
          <w:sz w:val="21"/>
          <w:szCs w:val="21"/>
          <w:color w:val="auto"/>
        </w:rPr>
        <w:t xml:space="preserve">. As soon as practicable after any payment of Taxes by any Borrower to a Governmental Authority pursuant to this </w:t>
      </w:r>
      <w:r>
        <w:rPr>
          <w:rFonts w:ascii="Arial" w:cs="Arial" w:eastAsia="Arial" w:hAnsi="Arial"/>
          <w:sz w:val="21"/>
          <w:szCs w:val="21"/>
          <w:u w:val="single" w:color="auto"/>
          <w:color w:val="auto"/>
        </w:rPr>
        <w:t>Section 2.17</w:t>
      </w:r>
      <w:r>
        <w:rPr>
          <w:rFonts w:ascii="Arial" w:cs="Arial" w:eastAsia="Arial" w:hAnsi="Arial"/>
          <w:sz w:val="21"/>
          <w:szCs w:val="21"/>
          <w:color w:val="auto"/>
        </w:rPr>
        <w:t>, such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3" w:lineRule="exact"/>
        <w:rPr>
          <w:rFonts w:ascii="Arial" w:cs="Arial" w:eastAsia="Arial" w:hAnsi="Arial"/>
          <w:sz w:val="21"/>
          <w:szCs w:val="21"/>
          <w:color w:val="auto"/>
        </w:rPr>
      </w:pPr>
    </w:p>
    <w:p>
      <w:pPr>
        <w:ind w:firstLine="1505"/>
        <w:spacing w:after="0" w:line="250" w:lineRule="auto"/>
        <w:tabs>
          <w:tab w:leader="none" w:pos="2213" w:val="left"/>
        </w:tabs>
        <w:numPr>
          <w:ilvl w:val="0"/>
          <w:numId w:val="255"/>
        </w:numPr>
        <w:rPr>
          <w:rFonts w:ascii="Arial" w:cs="Arial" w:eastAsia="Arial" w:hAnsi="Arial"/>
          <w:sz w:val="22"/>
          <w:szCs w:val="22"/>
          <w:color w:val="auto"/>
        </w:rPr>
      </w:pPr>
      <w:r>
        <w:rPr>
          <w:rFonts w:ascii="Arial" w:cs="Arial" w:eastAsia="Arial" w:hAnsi="Arial"/>
          <w:sz w:val="22"/>
          <w:szCs w:val="22"/>
          <w:u w:val="single" w:color="auto"/>
          <w:color w:val="auto"/>
        </w:rPr>
        <w:t>Indemnification by the Borrowers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9.11</w:t>
      </w:r>
      <w:r>
        <w:rPr>
          <w:rFonts w:ascii="Arial" w:cs="Arial" w:eastAsia="Arial" w:hAnsi="Arial"/>
          <w:sz w:val="22"/>
          <w:szCs w:val="22"/>
          <w:color w:val="auto"/>
        </w:rPr>
        <w:t>, each Borrower shall indemnify each Recipient, with several liability, to the extent on account of such Borrower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5" w:name="page256"/>
    <w:bookmarkEnd w:id="255"/>
    <w:p>
      <w:pPr>
        <w:jc w:val="both"/>
        <w:spacing w:after="0" w:line="234" w:lineRule="auto"/>
        <w:rPr>
          <w:sz w:val="20"/>
          <w:szCs w:val="20"/>
          <w:color w:val="auto"/>
        </w:rPr>
      </w:pPr>
      <w:r>
        <w:rPr>
          <w:rFonts w:ascii="Arial" w:cs="Arial" w:eastAsia="Arial" w:hAnsi="Arial"/>
          <w:sz w:val="22"/>
          <w:szCs w:val="22"/>
          <w:color w:val="auto"/>
        </w:rPr>
        <w:t>or Loans made to such Borrower,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(with a copy to the Administrative Agent), or by the Administrative Agent on its own behalf or on behalf of a Lender, shall be conclusive absent manifest error.</w:t>
      </w:r>
    </w:p>
    <w:p>
      <w:pPr>
        <w:spacing w:after="0" w:line="191" w:lineRule="exact"/>
        <w:rPr>
          <w:sz w:val="20"/>
          <w:szCs w:val="20"/>
          <w:color w:val="auto"/>
        </w:rPr>
      </w:pPr>
    </w:p>
    <w:p>
      <w:pPr>
        <w:jc w:val="both"/>
        <w:ind w:firstLine="1505"/>
        <w:spacing w:after="0" w:line="244" w:lineRule="auto"/>
        <w:tabs>
          <w:tab w:leader="none" w:pos="2205" w:val="left"/>
        </w:tabs>
        <w:numPr>
          <w:ilvl w:val="0"/>
          <w:numId w:val="256"/>
        </w:numPr>
        <w:rPr>
          <w:rFonts w:ascii="Arial" w:cs="Arial" w:eastAsia="Arial" w:hAnsi="Arial"/>
          <w:sz w:val="21"/>
          <w:szCs w:val="21"/>
          <w:color w:val="auto"/>
        </w:rPr>
      </w:pPr>
      <w:r>
        <w:rPr>
          <w:rFonts w:ascii="Arial" w:cs="Arial" w:eastAsia="Arial" w:hAnsi="Arial"/>
          <w:sz w:val="21"/>
          <w:szCs w:val="21"/>
          <w:u w:val="single" w:color="auto"/>
          <w:color w:val="auto"/>
        </w:rPr>
        <w:t>Indemnification by the Lenders</w:t>
      </w:r>
      <w:r>
        <w:rPr>
          <w:rFonts w:ascii="Arial" w:cs="Arial" w:eastAsia="Arial" w:hAnsi="Arial"/>
          <w:sz w:val="21"/>
          <w:szCs w:val="21"/>
          <w:color w:val="auto"/>
        </w:rPr>
        <w:t xml:space="preserve">. Each Lender shall severally indemnify the Administrative Agent, within ten (10) days after demand therefor, for (i) any Indemnified Taxes attributable to such Lender (but only to the extent that any Borrower has not already indemnified the Administrative Agent for such Indemnified Taxes and without limiting the obligation of the Borrowers to do so), (ii) any Taxes attributable to such Lender’s failure to comply with the provisions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10.04(c)</w:t>
      </w:r>
      <w:r>
        <w:rPr>
          <w:rFonts w:ascii="Arial" w:cs="Arial" w:eastAsia="Arial" w:hAnsi="Arial"/>
          <w:sz w:val="21"/>
          <w:szCs w:val="21"/>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21"/>
          <w:szCs w:val="21"/>
          <w:u w:val="single" w:color="auto"/>
          <w:color w:val="auto"/>
        </w:rPr>
        <w:t>paragraph (e)</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ind w:left="2160" w:hanging="655"/>
        <w:spacing w:after="0"/>
        <w:tabs>
          <w:tab w:leader="none" w:pos="216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Status of Lenders.</w:t>
      </w:r>
    </w:p>
    <w:p>
      <w:pPr>
        <w:spacing w:after="0" w:line="206" w:lineRule="exact"/>
        <w:rPr>
          <w:sz w:val="20"/>
          <w:szCs w:val="20"/>
          <w:color w:val="auto"/>
        </w:rPr>
      </w:pPr>
    </w:p>
    <w:p>
      <w:pPr>
        <w:jc w:val="both"/>
        <w:ind w:left="760" w:firstLine="745"/>
        <w:spacing w:after="0" w:line="268" w:lineRule="auto"/>
        <w:tabs>
          <w:tab w:leader="none" w:pos="2070" w:val="left"/>
        </w:tabs>
        <w:numPr>
          <w:ilvl w:val="1"/>
          <w:numId w:val="257"/>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any applicable withholding Tax, under the law of the jurisdiction imposing such withholding tax or under any treaty to which such jurisdiction is a party, with respect to payments made under any Loan Document shall deliver to the Company and the Administrative Agent, at the time or times reasonably requested by the Company or the Administrative Agent, such properly completed and executed documentation (including any Tax confirmations)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2.17(f)(ii)(A)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p>
    <w:p>
      <w:pPr>
        <w:spacing w:after="0" w:line="7" w:lineRule="exact"/>
        <w:rPr>
          <w:rFonts w:ascii="Arial" w:cs="Arial" w:eastAsia="Arial" w:hAnsi="Arial"/>
          <w:sz w:val="19"/>
          <w:szCs w:val="19"/>
          <w:color w:val="auto"/>
        </w:rPr>
      </w:pPr>
    </w:p>
    <w:p>
      <w:pPr>
        <w:jc w:val="both"/>
        <w:ind w:left="760" w:hanging="3"/>
        <w:spacing w:after="0" w:line="234" w:lineRule="auto"/>
        <w:tabs>
          <w:tab w:leader="none" w:pos="1142" w:val="left"/>
        </w:tabs>
        <w:numPr>
          <w:ilvl w:val="0"/>
          <w:numId w:val="258"/>
        </w:numPr>
        <w:rPr>
          <w:rFonts w:ascii="Arial" w:cs="Arial" w:eastAsia="Arial" w:hAnsi="Arial"/>
          <w:sz w:val="22"/>
          <w:szCs w:val="22"/>
          <w:u w:val="single" w:color="auto"/>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(ii)(D)</w:t>
      </w:r>
      <w:r>
        <w:rPr>
          <w:rFonts w:ascii="Arial" w:cs="Arial" w:eastAsia="Arial" w:hAnsi="Arial"/>
          <w:sz w:val="22"/>
          <w:szCs w:val="22"/>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6" w:name="page257"/>
    <w:bookmarkEnd w:id="256"/>
    <w:p>
      <w:pPr>
        <w:ind w:left="-360" w:firstLine="745"/>
        <w:spacing w:after="0" w:line="250" w:lineRule="auto"/>
        <w:tabs>
          <w:tab w:leader="none" w:pos="956" w:val="left"/>
        </w:tabs>
        <w:numPr>
          <w:ilvl w:val="0"/>
          <w:numId w:val="259"/>
        </w:numPr>
        <w:rPr>
          <w:rFonts w:ascii="Arial" w:cs="Arial" w:eastAsia="Arial" w:hAnsi="Arial"/>
          <w:sz w:val="22"/>
          <w:szCs w:val="22"/>
          <w:color w:val="auto"/>
        </w:rPr>
      </w:pPr>
      <w:r>
        <w:rPr>
          <w:rFonts w:ascii="Arial" w:cs="Arial" w:eastAsia="Arial" w:hAnsi="Arial"/>
          <w:sz w:val="22"/>
          <w:szCs w:val="22"/>
          <w:color w:val="auto"/>
        </w:rPr>
        <w:t>Without limiting the generality of the foregoing, in the event that any Borrower is organized in the US and treated as a U.S. Person,</w:t>
      </w:r>
    </w:p>
    <w:p>
      <w:pPr>
        <w:spacing w:after="0" w:line="174" w:lineRule="exact"/>
        <w:rPr>
          <w:rFonts w:ascii="Arial" w:cs="Arial" w:eastAsia="Arial" w:hAnsi="Arial"/>
          <w:sz w:val="22"/>
          <w:szCs w:val="22"/>
          <w:color w:val="auto"/>
        </w:rPr>
      </w:pPr>
    </w:p>
    <w:p>
      <w:pPr>
        <w:jc w:val="both"/>
        <w:ind w:left="380" w:firstLine="1503"/>
        <w:spacing w:after="0" w:line="287" w:lineRule="auto"/>
        <w:tabs>
          <w:tab w:leader="none" w:pos="2555" w:val="left"/>
        </w:tabs>
        <w:numPr>
          <w:ilvl w:val="2"/>
          <w:numId w:val="259"/>
        </w:numPr>
        <w:rPr>
          <w:rFonts w:ascii="Arial" w:cs="Arial" w:eastAsia="Arial" w:hAnsi="Arial"/>
          <w:sz w:val="19"/>
          <w:szCs w:val="19"/>
          <w:color w:val="auto"/>
        </w:rPr>
      </w:pPr>
      <w:r>
        <w:rPr>
          <w:rFonts w:ascii="Arial" w:cs="Arial" w:eastAsia="Arial" w:hAnsi="Arial"/>
          <w:sz w:val="19"/>
          <w:szCs w:val="19"/>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142" w:lineRule="exact"/>
        <w:rPr>
          <w:rFonts w:ascii="Arial" w:cs="Arial" w:eastAsia="Arial" w:hAnsi="Arial"/>
          <w:sz w:val="19"/>
          <w:szCs w:val="19"/>
          <w:color w:val="auto"/>
        </w:rPr>
      </w:pPr>
    </w:p>
    <w:p>
      <w:pPr>
        <w:jc w:val="both"/>
        <w:ind w:left="380" w:firstLine="1503"/>
        <w:spacing w:after="0" w:line="236" w:lineRule="auto"/>
        <w:tabs>
          <w:tab w:leader="none" w:pos="2571" w:val="left"/>
        </w:tabs>
        <w:numPr>
          <w:ilvl w:val="2"/>
          <w:numId w:val="259"/>
        </w:numPr>
        <w:rPr>
          <w:rFonts w:ascii="Arial" w:cs="Arial" w:eastAsia="Arial" w:hAnsi="Arial"/>
          <w:sz w:val="22"/>
          <w:szCs w:val="22"/>
          <w:color w:val="auto"/>
        </w:rPr>
      </w:pPr>
      <w:r>
        <w:rPr>
          <w:rFonts w:ascii="Arial" w:cs="Arial" w:eastAsia="Arial" w:hAnsi="Arial"/>
          <w:sz w:val="22"/>
          <w:szCs w:val="22"/>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87" w:lineRule="exact"/>
        <w:rPr>
          <w:rFonts w:ascii="Arial" w:cs="Arial" w:eastAsia="Arial" w:hAnsi="Arial"/>
          <w:sz w:val="22"/>
          <w:szCs w:val="22"/>
          <w:color w:val="auto"/>
        </w:rPr>
      </w:pPr>
    </w:p>
    <w:p>
      <w:pPr>
        <w:jc w:val="both"/>
        <w:ind w:left="1880" w:hanging="746"/>
        <w:spacing w:after="0" w:line="234" w:lineRule="auto"/>
        <w:tabs>
          <w:tab w:leader="none" w:pos="1909" w:val="left"/>
        </w:tabs>
        <w:numPr>
          <w:ilvl w:val="1"/>
          <w:numId w:val="259"/>
        </w:numPr>
        <w:rPr>
          <w:rFonts w:ascii="Arial" w:cs="Arial" w:eastAsia="Arial" w:hAnsi="Arial"/>
          <w:sz w:val="22"/>
          <w:szCs w:val="22"/>
          <w:color w:val="auto"/>
        </w:rPr>
      </w:pPr>
      <w:r>
        <w:rPr>
          <w:rFonts w:ascii="Arial" w:cs="Arial" w:eastAsia="Arial" w:hAnsi="Arial"/>
          <w:sz w:val="22"/>
          <w:szCs w:val="22"/>
          <w:color w:val="auto"/>
        </w:rPr>
        <w:t>in the case of a Foreign Lender claiming the benefits of an income tax treaty to which the United States is a party (x) with respect to payments of interest under any Loan Document, executed copies of IRS Form W-8BEN or Form W-8BEN-E establishing an exemption from, or reduction of, U.S. federal withholding Tax pursuant to the “interest” article of such tax treaty and (y) with respect to any other applicable payments under any Loan Document, IRS Form W-8BEN or Form W-8BEN-E establishing an exemption from, or reduction of, U.S. federal withholding Tax pursuant to the “business profits” or “other income” article of such tax treaty;</w:t>
      </w:r>
    </w:p>
    <w:p>
      <w:pPr>
        <w:spacing w:after="0" w:line="186" w:lineRule="exact"/>
        <w:rPr>
          <w:rFonts w:ascii="Arial" w:cs="Arial" w:eastAsia="Arial" w:hAnsi="Arial"/>
          <w:sz w:val="22"/>
          <w:szCs w:val="22"/>
          <w:color w:val="auto"/>
        </w:rPr>
      </w:pPr>
    </w:p>
    <w:p>
      <w:pPr>
        <w:ind w:left="1880" w:hanging="746"/>
        <w:spacing w:after="0" w:line="250" w:lineRule="auto"/>
        <w:tabs>
          <w:tab w:leader="none" w:pos="1932" w:val="left"/>
        </w:tabs>
        <w:numPr>
          <w:ilvl w:val="1"/>
          <w:numId w:val="259"/>
        </w:numPr>
        <w:rPr>
          <w:rFonts w:ascii="Arial" w:cs="Arial" w:eastAsia="Arial" w:hAnsi="Arial"/>
          <w:sz w:val="22"/>
          <w:szCs w:val="22"/>
          <w:color w:val="auto"/>
        </w:rPr>
      </w:pPr>
      <w:r>
        <w:rPr>
          <w:rFonts w:ascii="Arial" w:cs="Arial" w:eastAsia="Arial" w:hAnsi="Arial"/>
          <w:sz w:val="22"/>
          <w:szCs w:val="22"/>
          <w:color w:val="auto"/>
        </w:rPr>
        <w:t>in the case of a Foreign Lender claiming that its extension of credit will generate U.S. effectively connected income, executed copies of IRS Form W-8ECI;</w:t>
      </w:r>
    </w:p>
    <w:p>
      <w:pPr>
        <w:spacing w:after="0" w:line="174" w:lineRule="exact"/>
        <w:rPr>
          <w:rFonts w:ascii="Arial" w:cs="Arial" w:eastAsia="Arial" w:hAnsi="Arial"/>
          <w:sz w:val="22"/>
          <w:szCs w:val="22"/>
          <w:color w:val="auto"/>
        </w:rPr>
      </w:pPr>
    </w:p>
    <w:p>
      <w:pPr>
        <w:jc w:val="both"/>
        <w:ind w:left="1880" w:hanging="746"/>
        <w:spacing w:after="0" w:line="270" w:lineRule="auto"/>
        <w:tabs>
          <w:tab w:leader="none" w:pos="1903" w:val="left"/>
        </w:tabs>
        <w:numPr>
          <w:ilvl w:val="1"/>
          <w:numId w:val="259"/>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B-1</w:t>
      </w:r>
      <w:r>
        <w:rPr>
          <w:rFonts w:ascii="Arial" w:cs="Arial" w:eastAsia="Arial" w:hAnsi="Arial"/>
          <w:sz w:val="19"/>
          <w:szCs w:val="19"/>
          <w:color w:val="auto"/>
        </w:rPr>
        <w:t xml:space="preserve"> to the effect that such Foreign Lender is not a “bank” within the meaning of Section 881(c)(3)(A) of the Code, a “10 percent shareholder” of such Borrower within the meaning of Section 881(c)(3)(B) of the Code, or a “controlled foreign corporation” described in Section 881(c)(3)</w:t>
      </w:r>
    </w:p>
    <w:p>
      <w:pPr>
        <w:spacing w:after="0" w:line="4" w:lineRule="exact"/>
        <w:rPr>
          <w:rFonts w:ascii="Arial" w:cs="Arial" w:eastAsia="Arial" w:hAnsi="Arial"/>
          <w:sz w:val="19"/>
          <w:szCs w:val="19"/>
          <w:color w:val="auto"/>
        </w:rPr>
      </w:pPr>
    </w:p>
    <w:p>
      <w:pPr>
        <w:ind w:left="1880" w:firstLine="3"/>
        <w:spacing w:after="0" w:line="236" w:lineRule="auto"/>
        <w:tabs>
          <w:tab w:leader="none" w:pos="2237" w:val="left"/>
        </w:tabs>
        <w:numPr>
          <w:ilvl w:val="2"/>
          <w:numId w:val="260"/>
        </w:numPr>
        <w:rPr>
          <w:rFonts w:ascii="Arial" w:cs="Arial" w:eastAsia="Arial" w:hAnsi="Arial"/>
          <w:sz w:val="22"/>
          <w:szCs w:val="22"/>
          <w:color w:val="auto"/>
        </w:rPr>
      </w:pPr>
      <w:r>
        <w:rPr>
          <w:rFonts w:ascii="Arial" w:cs="Arial" w:eastAsia="Arial" w:hAnsi="Arial"/>
          <w:sz w:val="22"/>
          <w:szCs w:val="22"/>
          <w:color w:val="auto"/>
        </w:rPr>
        <w:t>of the Code (a “</w:t>
      </w:r>
      <w:r>
        <w:rPr>
          <w:rFonts w:ascii="Arial" w:cs="Arial" w:eastAsia="Arial" w:hAnsi="Arial"/>
          <w:sz w:val="22"/>
          <w:szCs w:val="22"/>
          <w:b w:val="1"/>
          <w:bCs w:val="1"/>
          <w:i w:val="1"/>
          <w:iCs w:val="1"/>
          <w:color w:val="auto"/>
        </w:rPr>
        <w:t>U.S. Tax Compliance Certificate</w:t>
      </w:r>
      <w:r>
        <w:rPr>
          <w:rFonts w:ascii="Arial" w:cs="Arial" w:eastAsia="Arial" w:hAnsi="Arial"/>
          <w:sz w:val="22"/>
          <w:szCs w:val="22"/>
          <w:color w:val="auto"/>
        </w:rPr>
        <w:t>”) and (y) executed copies of IRS Form W-8BEN or Form W-8BEN-E; or</w:t>
      </w:r>
    </w:p>
    <w:p>
      <w:pPr>
        <w:spacing w:after="0" w:line="186" w:lineRule="exact"/>
        <w:rPr>
          <w:rFonts w:ascii="Arial" w:cs="Arial" w:eastAsia="Arial" w:hAnsi="Arial"/>
          <w:sz w:val="22"/>
          <w:szCs w:val="22"/>
          <w:color w:val="auto"/>
        </w:rPr>
      </w:pPr>
    </w:p>
    <w:p>
      <w:pPr>
        <w:jc w:val="both"/>
        <w:ind w:left="1880" w:hanging="746"/>
        <w:spacing w:after="0" w:line="257" w:lineRule="auto"/>
        <w:tabs>
          <w:tab w:leader="none" w:pos="1901" w:val="left"/>
        </w:tabs>
        <w:numPr>
          <w:ilvl w:val="1"/>
          <w:numId w:val="261"/>
        </w:numPr>
        <w:rPr>
          <w:rFonts w:ascii="Arial" w:cs="Arial" w:eastAsia="Arial" w:hAnsi="Arial"/>
          <w:sz w:val="21"/>
          <w:szCs w:val="21"/>
          <w:color w:val="auto"/>
        </w:rPr>
      </w:pPr>
      <w:r>
        <w:rPr>
          <w:rFonts w:ascii="Arial" w:cs="Arial" w:eastAsia="Arial" w:hAnsi="Arial"/>
          <w:sz w:val="21"/>
          <w:szCs w:val="21"/>
          <w:color w:val="auto"/>
        </w:rPr>
        <w:t xml:space="preserve">to the extent a Foreign Lender is not the beneficial owner, executed copies of IRS Form W-8IMY, accompanied by IRS Form W-8ECI, IRS Form W-8BEN or Form W-8BEN-E, a U.S. Tax Compliance Certificate substantially in the form of </w:t>
      </w:r>
      <w:r>
        <w:rPr>
          <w:rFonts w:ascii="Arial" w:cs="Arial" w:eastAsia="Arial" w:hAnsi="Arial"/>
          <w:sz w:val="21"/>
          <w:szCs w:val="21"/>
          <w:u w:val="single" w:color="auto"/>
          <w:color w:val="auto"/>
        </w:rPr>
        <w:t>Exhibit B-2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Exhibit B-3</w:t>
      </w:r>
      <w:r>
        <w:rPr>
          <w:rFonts w:ascii="Arial" w:cs="Arial" w:eastAsia="Arial" w:hAnsi="Arial"/>
          <w:sz w:val="21"/>
          <w:szCs w:val="21"/>
          <w:color w:val="auto"/>
        </w:rPr>
        <w:t>,</w:t>
      </w:r>
    </w:p>
    <w:p>
      <w:pPr>
        <w:spacing w:after="0" w:line="17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154305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257" w:name="page258"/>
    <w:bookmarkEnd w:id="257"/>
    <w:p>
      <w:pPr>
        <w:jc w:val="both"/>
        <w:ind w:left="3000"/>
        <w:spacing w:after="0" w:line="249" w:lineRule="auto"/>
        <w:rPr>
          <w:sz w:val="20"/>
          <w:szCs w:val="20"/>
          <w:color w:val="auto"/>
        </w:rPr>
      </w:pPr>
      <w:r>
        <w:rPr>
          <w:rFonts w:ascii="Arial" w:cs="Arial" w:eastAsia="Arial" w:hAnsi="Arial"/>
          <w:sz w:val="21"/>
          <w:szCs w:val="21"/>
          <w:color w:val="auto"/>
        </w:rPr>
        <w:t xml:space="preserve">IRS Form W-9, and/or other certification documents from each beneficial owner,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1"/>
          <w:szCs w:val="21"/>
          <w:u w:val="single" w:color="auto"/>
          <w:color w:val="auto"/>
        </w:rPr>
        <w:t>Exhibit B-4</w:t>
      </w:r>
      <w:r>
        <w:rPr>
          <w:rFonts w:ascii="Arial" w:cs="Arial" w:eastAsia="Arial" w:hAnsi="Arial"/>
          <w:sz w:val="21"/>
          <w:szCs w:val="21"/>
          <w:color w:val="auto"/>
        </w:rPr>
        <w:t xml:space="preserve"> on behalf of each such direct and indirect partner;</w:t>
      </w:r>
    </w:p>
    <w:p>
      <w:pPr>
        <w:spacing w:after="0" w:line="178" w:lineRule="exact"/>
        <w:rPr>
          <w:sz w:val="20"/>
          <w:szCs w:val="20"/>
          <w:color w:val="auto"/>
        </w:rPr>
      </w:pPr>
    </w:p>
    <w:p>
      <w:pPr>
        <w:jc w:val="both"/>
        <w:ind w:left="1500" w:firstLine="1503"/>
        <w:spacing w:after="0" w:line="246" w:lineRule="auto"/>
        <w:tabs>
          <w:tab w:leader="none" w:pos="3691" w:val="left"/>
        </w:tabs>
        <w:numPr>
          <w:ilvl w:val="0"/>
          <w:numId w:val="262"/>
        </w:numPr>
        <w:rPr>
          <w:rFonts w:ascii="Arial" w:cs="Arial" w:eastAsia="Arial" w:hAnsi="Arial"/>
          <w:sz w:val="21"/>
          <w:szCs w:val="21"/>
          <w:color w:val="auto"/>
        </w:rPr>
      </w:pPr>
      <w:r>
        <w:rPr>
          <w:rFonts w:ascii="Arial" w:cs="Arial" w:eastAsia="Arial" w:hAnsi="Arial"/>
          <w:sz w:val="21"/>
          <w:szCs w:val="21"/>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79" w:lineRule="exact"/>
        <w:rPr>
          <w:rFonts w:ascii="Arial" w:cs="Arial" w:eastAsia="Arial" w:hAnsi="Arial"/>
          <w:sz w:val="21"/>
          <w:szCs w:val="21"/>
          <w:color w:val="auto"/>
        </w:rPr>
      </w:pPr>
    </w:p>
    <w:p>
      <w:pPr>
        <w:jc w:val="both"/>
        <w:ind w:left="1500" w:firstLine="1503"/>
        <w:spacing w:after="0" w:line="273" w:lineRule="auto"/>
        <w:tabs>
          <w:tab w:leader="none" w:pos="3685" w:val="left"/>
        </w:tabs>
        <w:numPr>
          <w:ilvl w:val="0"/>
          <w:numId w:val="262"/>
        </w:numPr>
        <w:rPr>
          <w:rFonts w:ascii="Arial" w:cs="Arial" w:eastAsia="Arial" w:hAnsi="Arial"/>
          <w:sz w:val="19"/>
          <w:szCs w:val="19"/>
          <w:color w:val="auto"/>
        </w:rPr>
      </w:pPr>
      <w:r>
        <w:rPr>
          <w:rFonts w:ascii="Arial" w:cs="Arial" w:eastAsia="Arial" w:hAnsi="Arial"/>
          <w:sz w:val="19"/>
          <w:szCs w:val="19"/>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9"/>
          <w:szCs w:val="19"/>
          <w:u w:val="single" w:color="auto"/>
          <w:color w:val="auto"/>
        </w:rPr>
        <w:t>clause (D)</w:t>
      </w:r>
      <w:r>
        <w:rPr>
          <w:rFonts w:ascii="Arial" w:cs="Arial" w:eastAsia="Arial" w:hAnsi="Arial"/>
          <w:sz w:val="19"/>
          <w:szCs w:val="19"/>
          <w:color w:val="auto"/>
        </w:rPr>
        <w:t>, “FATCA” shall include any amendments made to FATCA after the date of this Agreement.</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certification, provide such successor form or promptly notify the Company and the Administrative Agent in writing of its legal inability to do so.</w:t>
      </w:r>
    </w:p>
    <w:p>
      <w:pPr>
        <w:spacing w:after="0" w:line="186" w:lineRule="exact"/>
        <w:rPr>
          <w:sz w:val="20"/>
          <w:szCs w:val="20"/>
          <w:color w:val="auto"/>
        </w:rPr>
      </w:pPr>
    </w:p>
    <w:p>
      <w:pPr>
        <w:ind w:left="2160" w:hanging="655"/>
        <w:spacing w:after="0"/>
        <w:tabs>
          <w:tab w:leader="none" w:pos="216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Additional United Kingdom Withholding Tax Matters or Swiss Withholding Tax Matters.</w:t>
      </w:r>
    </w:p>
    <w:p>
      <w:pPr>
        <w:spacing w:after="0" w:line="206" w:lineRule="exact"/>
        <w:rPr>
          <w:sz w:val="20"/>
          <w:szCs w:val="20"/>
          <w:color w:val="auto"/>
        </w:rPr>
      </w:pPr>
    </w:p>
    <w:p>
      <w:pPr>
        <w:jc w:val="both"/>
        <w:ind w:left="760" w:firstLine="745"/>
        <w:spacing w:after="0"/>
        <w:tabs>
          <w:tab w:leader="none" w:pos="2076" w:val="left"/>
        </w:tabs>
        <w:numPr>
          <w:ilvl w:val="0"/>
          <w:numId w:val="264"/>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below, each Lender, each UK Borrower and each Swiss Borrower which makes a payment to such Lender shall cooperate in completing any procedural formalities necessary for such UK Borrower and such Swiss Borrower to obtain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8" w:name="page259"/>
    <w:bookmarkEnd w:id="258"/>
    <w:p>
      <w:pPr>
        <w:spacing w:after="0" w:line="250" w:lineRule="auto"/>
        <w:rPr>
          <w:sz w:val="20"/>
          <w:szCs w:val="20"/>
          <w:color w:val="auto"/>
        </w:rPr>
      </w:pPr>
      <w:r>
        <w:rPr>
          <w:rFonts w:ascii="Arial" w:cs="Arial" w:eastAsia="Arial" w:hAnsi="Arial"/>
          <w:sz w:val="22"/>
          <w:szCs w:val="22"/>
          <w:color w:val="auto"/>
        </w:rPr>
        <w:t>authorization to make such payment without withholding or deduction for Taxes imposed under the laws of the United Kingdom or Switzerland.</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(ii)</w:t>
      </w:r>
    </w:p>
    <w:p>
      <w:pPr>
        <w:spacing w:after="0" w:line="206" w:lineRule="exact"/>
        <w:rPr>
          <w:sz w:val="20"/>
          <w:szCs w:val="20"/>
          <w:color w:val="auto"/>
        </w:rPr>
      </w:pPr>
    </w:p>
    <w:p>
      <w:pPr>
        <w:jc w:val="both"/>
        <w:ind w:left="740" w:firstLine="1503"/>
        <w:spacing w:after="0" w:line="275" w:lineRule="auto"/>
        <w:tabs>
          <w:tab w:leader="none" w:pos="2908" w:val="left"/>
        </w:tabs>
        <w:numPr>
          <w:ilvl w:val="2"/>
          <w:numId w:val="265"/>
        </w:numPr>
        <w:rPr>
          <w:rFonts w:ascii="Arial" w:cs="Arial" w:eastAsia="Arial" w:hAnsi="Arial"/>
          <w:sz w:val="19"/>
          <w:szCs w:val="19"/>
          <w:color w:val="auto"/>
        </w:rPr>
      </w:pPr>
      <w:r>
        <w:rPr>
          <w:rFonts w:ascii="Arial" w:cs="Arial" w:eastAsia="Arial" w:hAnsi="Arial"/>
          <w:sz w:val="19"/>
          <w:szCs w:val="19"/>
          <w:color w:val="auto"/>
        </w:rPr>
        <w:t>A Lender which at any time (x) holds a passport under the HMRC DT Treaty Passport scheme and (y) wishes such scheme to apply to this Agreement, shall: (i) in the case of any Lender which is a party to this Agreement on the day on which this Agreement is entered into, confirm for the benefit of each UK Borrower and Administrative Agent its valid scheme reference number and its jurisdiction of tax residence opposite its name in the signature page to this Agreement; and (ii) in the case of any Lender which becomes a party to this Agreement after the date of this Agreement, confirm for the benefit of each UK Borrower and the Administrative Agent its valid scheme reference number and its jurisdiction of tax residence in the Assignment and Assumption or other document which it executes on becoming a party.</w:t>
      </w:r>
    </w:p>
    <w:p>
      <w:pPr>
        <w:spacing w:after="0" w:line="157" w:lineRule="exact"/>
        <w:rPr>
          <w:rFonts w:ascii="Arial" w:cs="Arial" w:eastAsia="Arial" w:hAnsi="Arial"/>
          <w:sz w:val="19"/>
          <w:szCs w:val="19"/>
          <w:color w:val="auto"/>
        </w:rPr>
      </w:pPr>
    </w:p>
    <w:p>
      <w:pPr>
        <w:jc w:val="both"/>
        <w:ind w:left="740" w:firstLine="1503"/>
        <w:spacing w:after="0"/>
        <w:tabs>
          <w:tab w:leader="none" w:pos="2906" w:val="left"/>
        </w:tabs>
        <w:numPr>
          <w:ilvl w:val="2"/>
          <w:numId w:val="265"/>
        </w:numPr>
        <w:rPr>
          <w:rFonts w:ascii="Arial" w:cs="Arial" w:eastAsia="Arial" w:hAnsi="Arial"/>
          <w:sz w:val="22"/>
          <w:szCs w:val="22"/>
          <w:color w:val="auto"/>
        </w:rPr>
      </w:pPr>
      <w:r>
        <w:rPr>
          <w:rFonts w:ascii="Arial" w:cs="Arial" w:eastAsia="Arial" w:hAnsi="Arial"/>
          <w:sz w:val="22"/>
          <w:szCs w:val="22"/>
          <w:color w:val="auto"/>
        </w:rPr>
        <w:t xml:space="preserve">Upon satisfying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above, such Lender shall have satisfied its obligation under </w:t>
      </w:r>
      <w:r>
        <w:rPr>
          <w:rFonts w:ascii="Arial" w:cs="Arial" w:eastAsia="Arial" w:hAnsi="Arial"/>
          <w:sz w:val="22"/>
          <w:szCs w:val="22"/>
          <w:u w:val="single" w:color="auto"/>
          <w:color w:val="auto"/>
        </w:rPr>
        <w:t>paragraph (g)(i)</w:t>
      </w:r>
      <w:r>
        <w:rPr>
          <w:rFonts w:ascii="Arial" w:cs="Arial" w:eastAsia="Arial" w:hAnsi="Arial"/>
          <w:sz w:val="22"/>
          <w:szCs w:val="22"/>
          <w:color w:val="auto"/>
        </w:rPr>
        <w:t xml:space="preserve"> above in respect of any withholding or deduction for Taxes imposed under the laws of the United Kingdom.</w:t>
      </w:r>
    </w:p>
    <w:p>
      <w:pPr>
        <w:spacing w:after="0" w:line="186" w:lineRule="exact"/>
        <w:rPr>
          <w:rFonts w:ascii="Arial" w:cs="Arial" w:eastAsia="Arial" w:hAnsi="Arial"/>
          <w:sz w:val="22"/>
          <w:szCs w:val="22"/>
          <w:color w:val="auto"/>
        </w:rPr>
      </w:pPr>
    </w:p>
    <w:p>
      <w:pPr>
        <w:jc w:val="both"/>
        <w:ind w:left="1500" w:hanging="754"/>
        <w:spacing w:after="0" w:line="238" w:lineRule="auto"/>
        <w:tabs>
          <w:tab w:leader="none" w:pos="1962" w:val="left"/>
        </w:tabs>
        <w:numPr>
          <w:ilvl w:val="0"/>
          <w:numId w:val="266"/>
        </w:numPr>
        <w:rPr>
          <w:rFonts w:ascii="Arial" w:cs="Arial" w:eastAsia="Arial" w:hAnsi="Arial"/>
          <w:sz w:val="22"/>
          <w:szCs w:val="22"/>
          <w:color w:val="auto"/>
        </w:rPr>
      </w:pPr>
      <w:r>
        <w:rPr>
          <w:rFonts w:ascii="Arial" w:cs="Arial" w:eastAsia="Arial" w:hAnsi="Arial"/>
          <w:sz w:val="22"/>
          <w:szCs w:val="22"/>
          <w:color w:val="auto"/>
        </w:rPr>
        <w:t xml:space="preserve">If a Lender has confirmed its scheme reference number and its jurisdiction of tax residence in accordance with </w:t>
      </w:r>
      <w:r>
        <w:rPr>
          <w:rFonts w:ascii="Arial" w:cs="Arial" w:eastAsia="Arial" w:hAnsi="Arial"/>
          <w:sz w:val="22"/>
          <w:szCs w:val="22"/>
          <w:u w:val="single" w:color="auto"/>
          <w:color w:val="auto"/>
        </w:rPr>
        <w:t>paragraph (g)(ii)</w:t>
      </w:r>
      <w:r>
        <w:rPr>
          <w:rFonts w:ascii="Arial" w:cs="Arial" w:eastAsia="Arial" w:hAnsi="Arial"/>
          <w:sz w:val="22"/>
          <w:szCs w:val="22"/>
          <w:color w:val="auto"/>
        </w:rPr>
        <w:t xml:space="preserve"> above, the UK Borrower(s) shall make a Borrower DTTP Filing with respect to such Lender, and shall promptly provide such Lender with a copy of such filing;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w:t>
      </w:r>
    </w:p>
    <w:p>
      <w:pPr>
        <w:spacing w:after="0" w:line="184" w:lineRule="exact"/>
        <w:rPr>
          <w:rFonts w:ascii="Arial" w:cs="Arial" w:eastAsia="Arial" w:hAnsi="Arial"/>
          <w:sz w:val="22"/>
          <w:szCs w:val="22"/>
          <w:color w:val="auto"/>
        </w:rPr>
      </w:pPr>
    </w:p>
    <w:p>
      <w:pPr>
        <w:ind w:left="740" w:firstLine="1503"/>
        <w:spacing w:after="0" w:line="250" w:lineRule="auto"/>
        <w:tabs>
          <w:tab w:leader="none" w:pos="2908" w:val="left"/>
        </w:tabs>
        <w:numPr>
          <w:ilvl w:val="2"/>
          <w:numId w:val="266"/>
        </w:numPr>
        <w:rPr>
          <w:rFonts w:ascii="Arial" w:cs="Arial" w:eastAsia="Arial" w:hAnsi="Arial"/>
          <w:sz w:val="22"/>
          <w:szCs w:val="22"/>
          <w:color w:val="auto"/>
        </w:rPr>
      </w:pPr>
      <w:r>
        <w:rPr>
          <w:rFonts w:ascii="Arial" w:cs="Arial" w:eastAsia="Arial" w:hAnsi="Arial"/>
          <w:sz w:val="22"/>
          <w:szCs w:val="22"/>
          <w:color w:val="auto"/>
        </w:rPr>
        <w:t>each UK Borrower making a payment to such Lender has not made a Borrower DTTP Filing in respect of such Lender; or</w:t>
      </w:r>
    </w:p>
    <w:p>
      <w:pPr>
        <w:spacing w:after="0" w:line="174" w:lineRule="exact"/>
        <w:rPr>
          <w:rFonts w:ascii="Arial" w:cs="Arial" w:eastAsia="Arial" w:hAnsi="Arial"/>
          <w:sz w:val="22"/>
          <w:szCs w:val="22"/>
          <w:color w:val="auto"/>
        </w:rPr>
      </w:pPr>
    </w:p>
    <w:p>
      <w:pPr>
        <w:ind w:left="740" w:firstLine="1503"/>
        <w:spacing w:after="0" w:line="250" w:lineRule="auto"/>
        <w:tabs>
          <w:tab w:leader="none" w:pos="2933" w:val="left"/>
        </w:tabs>
        <w:numPr>
          <w:ilvl w:val="2"/>
          <w:numId w:val="266"/>
        </w:numPr>
        <w:rPr>
          <w:rFonts w:ascii="Arial" w:cs="Arial" w:eastAsia="Arial" w:hAnsi="Arial"/>
          <w:sz w:val="22"/>
          <w:szCs w:val="22"/>
          <w:color w:val="auto"/>
        </w:rPr>
      </w:pPr>
      <w:r>
        <w:rPr>
          <w:rFonts w:ascii="Arial" w:cs="Arial" w:eastAsia="Arial" w:hAnsi="Arial"/>
          <w:sz w:val="22"/>
          <w:szCs w:val="22"/>
          <w:color w:val="auto"/>
        </w:rPr>
        <w:t>each UK Borrower making a payment to such Lender has made a Borrower DTTP Filing in respect of such Lender but:</w:t>
      </w:r>
    </w:p>
    <w:p>
      <w:pPr>
        <w:spacing w:after="0" w:line="174" w:lineRule="exact"/>
        <w:rPr>
          <w:rFonts w:ascii="Arial" w:cs="Arial" w:eastAsia="Arial" w:hAnsi="Arial"/>
          <w:sz w:val="22"/>
          <w:szCs w:val="22"/>
          <w:color w:val="auto"/>
        </w:rPr>
      </w:pPr>
    </w:p>
    <w:p>
      <w:pPr>
        <w:ind w:left="2240" w:hanging="746"/>
        <w:spacing w:after="0"/>
        <w:tabs>
          <w:tab w:leader="none" w:pos="2240" w:val="left"/>
        </w:tabs>
        <w:numPr>
          <w:ilvl w:val="1"/>
          <w:numId w:val="266"/>
        </w:numPr>
        <w:rPr>
          <w:rFonts w:ascii="Arial" w:cs="Arial" w:eastAsia="Arial" w:hAnsi="Arial"/>
          <w:sz w:val="22"/>
          <w:szCs w:val="22"/>
          <w:color w:val="auto"/>
        </w:rPr>
      </w:pPr>
      <w:r>
        <w:rPr>
          <w:rFonts w:ascii="Arial" w:cs="Arial" w:eastAsia="Arial" w:hAnsi="Arial"/>
          <w:sz w:val="22"/>
          <w:szCs w:val="22"/>
          <w:color w:val="auto"/>
        </w:rPr>
        <w:t>such Borrower DTTP Filing has been rejected by HM Revenue &amp; Customs; or</w:t>
      </w:r>
    </w:p>
    <w:p>
      <w:pPr>
        <w:spacing w:after="0" w:line="206" w:lineRule="exact"/>
        <w:rPr>
          <w:rFonts w:ascii="Arial" w:cs="Arial" w:eastAsia="Arial" w:hAnsi="Arial"/>
          <w:sz w:val="22"/>
          <w:szCs w:val="22"/>
          <w:color w:val="auto"/>
        </w:rPr>
      </w:pPr>
    </w:p>
    <w:p>
      <w:pPr>
        <w:jc w:val="both"/>
        <w:ind w:left="2240" w:hanging="746"/>
        <w:spacing w:after="0"/>
        <w:tabs>
          <w:tab w:leader="none" w:pos="2241" w:val="left"/>
        </w:tabs>
        <w:numPr>
          <w:ilvl w:val="1"/>
          <w:numId w:val="266"/>
        </w:numPr>
        <w:rPr>
          <w:rFonts w:ascii="Arial" w:cs="Arial" w:eastAsia="Arial" w:hAnsi="Arial"/>
          <w:sz w:val="22"/>
          <w:szCs w:val="22"/>
          <w:color w:val="auto"/>
        </w:rPr>
      </w:pPr>
      <w:r>
        <w:rPr>
          <w:rFonts w:ascii="Arial" w:cs="Arial" w:eastAsia="Arial" w:hAnsi="Arial"/>
          <w:sz w:val="22"/>
          <w:szCs w:val="22"/>
          <w:color w:val="auto"/>
        </w:rPr>
        <w:t>HM Revenue &amp; Customs has not given such UK Borrower authority to make payments to such Lender without a deduction for tax within sixty (60) days of the date of such Borrower DTTP Filing; or</w:t>
      </w:r>
    </w:p>
    <w:p>
      <w:pPr>
        <w:spacing w:after="0" w:line="186" w:lineRule="exact"/>
        <w:rPr>
          <w:rFonts w:ascii="Arial" w:cs="Arial" w:eastAsia="Arial" w:hAnsi="Arial"/>
          <w:sz w:val="22"/>
          <w:szCs w:val="22"/>
          <w:color w:val="auto"/>
        </w:rPr>
      </w:pPr>
    </w:p>
    <w:p>
      <w:pPr>
        <w:jc w:val="both"/>
        <w:ind w:left="2240" w:hanging="746"/>
        <w:spacing w:after="0"/>
        <w:tabs>
          <w:tab w:leader="none" w:pos="2260" w:val="left"/>
        </w:tabs>
        <w:numPr>
          <w:ilvl w:val="1"/>
          <w:numId w:val="266"/>
        </w:numPr>
        <w:rPr>
          <w:rFonts w:ascii="Arial" w:cs="Arial" w:eastAsia="Arial" w:hAnsi="Arial"/>
          <w:sz w:val="22"/>
          <w:szCs w:val="22"/>
          <w:color w:val="auto"/>
        </w:rPr>
      </w:pPr>
      <w:r>
        <w:rPr>
          <w:rFonts w:ascii="Arial" w:cs="Arial" w:eastAsia="Arial" w:hAnsi="Arial"/>
          <w:sz w:val="22"/>
          <w:szCs w:val="22"/>
          <w:color w:val="auto"/>
        </w:rPr>
        <w:t>HM Revenue &amp; Customs has given authority for the UK Borrower to make payment to that Lender without a Tax Deduction and that authority expires or is withdrawn by HM Revenue &amp; Customs; or</w:t>
      </w:r>
    </w:p>
    <w:p>
      <w:pPr>
        <w:spacing w:after="0" w:line="186" w:lineRule="exact"/>
        <w:rPr>
          <w:rFonts w:ascii="Arial" w:cs="Arial" w:eastAsia="Arial" w:hAnsi="Arial"/>
          <w:sz w:val="22"/>
          <w:szCs w:val="22"/>
          <w:color w:val="auto"/>
        </w:rPr>
      </w:pPr>
    </w:p>
    <w:p>
      <w:pPr>
        <w:jc w:val="both"/>
        <w:ind w:left="740" w:firstLine="1503"/>
        <w:spacing w:after="0" w:line="273" w:lineRule="auto"/>
        <w:tabs>
          <w:tab w:leader="none" w:pos="2931" w:val="left"/>
        </w:tabs>
        <w:numPr>
          <w:ilvl w:val="2"/>
          <w:numId w:val="267"/>
        </w:numPr>
        <w:rPr>
          <w:rFonts w:ascii="Arial" w:cs="Arial" w:eastAsia="Arial" w:hAnsi="Arial"/>
          <w:sz w:val="19"/>
          <w:szCs w:val="19"/>
          <w:color w:val="auto"/>
        </w:rPr>
      </w:pPr>
      <w:r>
        <w:rPr>
          <w:rFonts w:ascii="Arial" w:cs="Arial" w:eastAsia="Arial" w:hAnsi="Arial"/>
          <w:sz w:val="19"/>
          <w:szCs w:val="19"/>
          <w:color w:val="auto"/>
        </w:rPr>
        <w:t xml:space="preserve">that Lender’s HMRC DT Treaty Passport scheme passport has expired, and in each case, such UK Borrower has notified that Lender in writing of either </w:t>
      </w:r>
      <w:r>
        <w:rPr>
          <w:rFonts w:ascii="Arial" w:cs="Arial" w:eastAsia="Arial" w:hAnsi="Arial"/>
          <w:sz w:val="19"/>
          <w:szCs w:val="19"/>
          <w:u w:val="single" w:color="auto"/>
          <w:color w:val="auto"/>
        </w:rPr>
        <w:t>(A)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above, then such Lender and such UK Borrower shall co-operate in completing any additional procedural formalities necessary for such</w:t>
      </w:r>
    </w:p>
    <w:p>
      <w:pPr>
        <w:spacing w:after="0" w:line="1" w:lineRule="exact"/>
        <w:rPr>
          <w:rFonts w:ascii="Arial" w:cs="Arial" w:eastAsia="Arial" w:hAnsi="Arial"/>
          <w:sz w:val="19"/>
          <w:szCs w:val="19"/>
          <w:color w:val="auto"/>
        </w:rPr>
      </w:pPr>
    </w:p>
    <w:p>
      <w:pPr>
        <w:ind w:left="740"/>
        <w:spacing w:after="0"/>
        <w:rPr>
          <w:rFonts w:ascii="Arial" w:cs="Arial" w:eastAsia="Arial" w:hAnsi="Arial"/>
          <w:sz w:val="19"/>
          <w:szCs w:val="19"/>
          <w:color w:val="auto"/>
        </w:rPr>
      </w:pPr>
      <w:r>
        <w:rPr>
          <w:rFonts w:ascii="Arial" w:cs="Arial" w:eastAsia="Arial" w:hAnsi="Arial"/>
          <w:sz w:val="22"/>
          <w:szCs w:val="22"/>
          <w:color w:val="auto"/>
        </w:rPr>
        <w:t>UK</w:t>
      </w:r>
    </w:p>
    <w:p>
      <w:pPr>
        <w:spacing w:after="0" w:line="191"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154305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1" w:right="339" w:bottom="1440" w:gutter="0" w:footer="0" w:header="0"/>
        </w:sectPr>
      </w:pPr>
    </w:p>
    <w:bookmarkStart w:id="259" w:name="page260"/>
    <w:bookmarkEnd w:id="259"/>
    <w:p>
      <w:pPr>
        <w:ind w:left="380"/>
        <w:spacing w:after="0" w:line="250" w:lineRule="auto"/>
        <w:rPr>
          <w:sz w:val="20"/>
          <w:szCs w:val="20"/>
          <w:color w:val="auto"/>
        </w:rPr>
      </w:pPr>
      <w:r>
        <w:rPr>
          <w:rFonts w:ascii="Arial" w:cs="Arial" w:eastAsia="Arial" w:hAnsi="Arial"/>
          <w:sz w:val="22"/>
          <w:szCs w:val="22"/>
          <w:color w:val="auto"/>
        </w:rPr>
        <w:t>Borrower to obtain authorization to make that payment without withholding or deduction for Taxes imposed under the laws of the United Kingdom.</w:t>
      </w:r>
    </w:p>
    <w:p>
      <w:pPr>
        <w:spacing w:after="0" w:line="175" w:lineRule="exact"/>
        <w:rPr>
          <w:sz w:val="20"/>
          <w:szCs w:val="20"/>
          <w:color w:val="auto"/>
        </w:rPr>
      </w:pPr>
    </w:p>
    <w:p>
      <w:pPr>
        <w:jc w:val="both"/>
        <w:ind w:left="1140" w:hanging="754"/>
        <w:spacing w:after="0" w:line="252" w:lineRule="auto"/>
        <w:tabs>
          <w:tab w:leader="none" w:pos="1192" w:val="left"/>
        </w:tabs>
        <w:numPr>
          <w:ilvl w:val="0"/>
          <w:numId w:val="268"/>
        </w:numPr>
        <w:rPr>
          <w:rFonts w:ascii="Arial" w:cs="Arial" w:eastAsia="Arial" w:hAnsi="Arial"/>
          <w:sz w:val="21"/>
          <w:szCs w:val="21"/>
          <w:color w:val="auto"/>
        </w:rPr>
      </w:pPr>
      <w:r>
        <w:rPr>
          <w:rFonts w:ascii="Arial" w:cs="Arial" w:eastAsia="Arial" w:hAnsi="Arial"/>
          <w:sz w:val="21"/>
          <w:szCs w:val="21"/>
          <w:color w:val="auto"/>
        </w:rPr>
        <w:t xml:space="preserve">If a Lender has not confirmed its scheme reference number and jurisdiction of tax residence in accordance with </w:t>
      </w:r>
      <w:r>
        <w:rPr>
          <w:rFonts w:ascii="Arial" w:cs="Arial" w:eastAsia="Arial" w:hAnsi="Arial"/>
          <w:sz w:val="21"/>
          <w:szCs w:val="21"/>
          <w:u w:val="single" w:color="auto"/>
          <w:color w:val="auto"/>
        </w:rPr>
        <w:t>paragraph (g)(ii)</w:t>
      </w:r>
      <w:r>
        <w:rPr>
          <w:rFonts w:ascii="Arial" w:cs="Arial" w:eastAsia="Arial" w:hAnsi="Arial"/>
          <w:sz w:val="21"/>
          <w:szCs w:val="21"/>
          <w:color w:val="auto"/>
        </w:rPr>
        <w:t xml:space="preserve"> above, no UK Borrower shall make a Borrower DTTP Filing or file any other form relating to the HMRC DT Treaty Passport scheme in respect of that Lender’s Commitment or its participation in any Loan unless the Lender otherwise agrees.</w:t>
      </w:r>
    </w:p>
    <w:p>
      <w:pPr>
        <w:spacing w:after="0" w:line="173" w:lineRule="exact"/>
        <w:rPr>
          <w:rFonts w:ascii="Arial" w:cs="Arial" w:eastAsia="Arial" w:hAnsi="Arial"/>
          <w:sz w:val="21"/>
          <w:szCs w:val="21"/>
          <w:color w:val="auto"/>
        </w:rPr>
      </w:pPr>
    </w:p>
    <w:p>
      <w:pPr>
        <w:ind w:left="1140" w:hanging="754"/>
        <w:spacing w:after="0" w:line="250" w:lineRule="auto"/>
        <w:tabs>
          <w:tab w:leader="none" w:pos="1188" w:val="left"/>
        </w:tabs>
        <w:numPr>
          <w:ilvl w:val="0"/>
          <w:numId w:val="268"/>
        </w:numPr>
        <w:rPr>
          <w:rFonts w:ascii="Arial" w:cs="Arial" w:eastAsia="Arial" w:hAnsi="Arial"/>
          <w:sz w:val="22"/>
          <w:szCs w:val="22"/>
          <w:color w:val="auto"/>
        </w:rPr>
      </w:pPr>
      <w:r>
        <w:rPr>
          <w:rFonts w:ascii="Arial" w:cs="Arial" w:eastAsia="Arial" w:hAnsi="Arial"/>
          <w:sz w:val="22"/>
          <w:szCs w:val="22"/>
          <w:color w:val="auto"/>
        </w:rPr>
        <w:t>Each UK Borrower shall, promptly on making a Borrower DTTP Filing, deliver a copy of such Borrower DTTP Filing to the Administrative Agent for delivery to the relevant Lender.</w:t>
      </w:r>
    </w:p>
    <w:p>
      <w:pPr>
        <w:spacing w:after="0" w:line="174" w:lineRule="exact"/>
        <w:rPr>
          <w:rFonts w:ascii="Arial" w:cs="Arial" w:eastAsia="Arial" w:hAnsi="Arial"/>
          <w:sz w:val="22"/>
          <w:szCs w:val="22"/>
          <w:color w:val="auto"/>
        </w:rPr>
      </w:pPr>
    </w:p>
    <w:p>
      <w:pPr>
        <w:jc w:val="both"/>
        <w:ind w:left="1140" w:hanging="754"/>
        <w:spacing w:after="0" w:line="238" w:lineRule="auto"/>
        <w:tabs>
          <w:tab w:leader="none" w:pos="1150" w:val="left"/>
        </w:tabs>
        <w:numPr>
          <w:ilvl w:val="0"/>
          <w:numId w:val="268"/>
        </w:numPr>
        <w:rPr>
          <w:rFonts w:ascii="Arial" w:cs="Arial" w:eastAsia="Arial" w:hAnsi="Arial"/>
          <w:sz w:val="22"/>
          <w:szCs w:val="22"/>
          <w:color w:val="auto"/>
        </w:rPr>
      </w:pPr>
      <w:r>
        <w:rPr>
          <w:rFonts w:ascii="Arial" w:cs="Arial" w:eastAsia="Arial" w:hAnsi="Arial"/>
          <w:sz w:val="22"/>
          <w:szCs w:val="22"/>
          <w:color w:val="auto"/>
        </w:rPr>
        <w:t>Each Lender which becomes a party to this Agreement after the date of this Agreement and which is a UK Non-Bank Lender in respect of a UK Borrower, shall provide a UK Tax Confirmation to each UK Borrower and Administrative Agent in the Assignment and Assumption or other document which it executes on becoming a Party as Lender.</w:t>
      </w:r>
    </w:p>
    <w:p>
      <w:pPr>
        <w:spacing w:after="0" w:line="184" w:lineRule="exact"/>
        <w:rPr>
          <w:rFonts w:ascii="Arial" w:cs="Arial" w:eastAsia="Arial" w:hAnsi="Arial"/>
          <w:sz w:val="22"/>
          <w:szCs w:val="22"/>
          <w:color w:val="auto"/>
        </w:rPr>
      </w:pPr>
    </w:p>
    <w:p>
      <w:pPr>
        <w:ind w:left="1140" w:hanging="754"/>
        <w:spacing w:after="0" w:line="250" w:lineRule="auto"/>
        <w:tabs>
          <w:tab w:leader="none" w:pos="1577" w:val="left"/>
        </w:tabs>
        <w:numPr>
          <w:ilvl w:val="0"/>
          <w:numId w:val="268"/>
        </w:numPr>
        <w:rPr>
          <w:rFonts w:ascii="Arial" w:cs="Arial" w:eastAsia="Arial" w:hAnsi="Arial"/>
          <w:sz w:val="22"/>
          <w:szCs w:val="22"/>
          <w:color w:val="auto"/>
        </w:rPr>
      </w:pPr>
      <w:r>
        <w:rPr>
          <w:rFonts w:ascii="Arial" w:cs="Arial" w:eastAsia="Arial" w:hAnsi="Arial"/>
          <w:sz w:val="22"/>
          <w:szCs w:val="22"/>
          <w:color w:val="auto"/>
        </w:rPr>
        <w:t>A UK Non-Bank Lender shall promptly notify the Company and the Administrative Agent if there is any change in the position from that set out in the UK Tax Confirmation.</w:t>
      </w:r>
    </w:p>
    <w:p>
      <w:pPr>
        <w:spacing w:after="0" w:line="174" w:lineRule="exact"/>
        <w:rPr>
          <w:rFonts w:ascii="Arial" w:cs="Arial" w:eastAsia="Arial" w:hAnsi="Arial"/>
          <w:sz w:val="22"/>
          <w:szCs w:val="22"/>
          <w:color w:val="auto"/>
        </w:rPr>
      </w:pPr>
    </w:p>
    <w:p>
      <w:pPr>
        <w:jc w:val="both"/>
        <w:ind w:left="1140" w:hanging="754"/>
        <w:spacing w:after="0" w:line="236" w:lineRule="auto"/>
        <w:tabs>
          <w:tab w:leader="none" w:pos="1595" w:val="left"/>
        </w:tabs>
        <w:numPr>
          <w:ilvl w:val="0"/>
          <w:numId w:val="268"/>
        </w:numPr>
        <w:rPr>
          <w:rFonts w:ascii="Arial" w:cs="Arial" w:eastAsia="Arial" w:hAnsi="Arial"/>
          <w:sz w:val="22"/>
          <w:szCs w:val="22"/>
          <w:color w:val="auto"/>
        </w:rPr>
      </w:pPr>
      <w:r>
        <w:rPr>
          <w:rFonts w:ascii="Arial" w:cs="Arial" w:eastAsia="Arial" w:hAnsi="Arial"/>
          <w:sz w:val="22"/>
          <w:szCs w:val="22"/>
          <w:color w:val="auto"/>
        </w:rPr>
        <w:t xml:space="preserve">Each Lender which becomes a party to this Agreement by transfer or assignment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10.04</w:t>
      </w:r>
      <w:r>
        <w:rPr>
          <w:rFonts w:ascii="Arial" w:cs="Arial" w:eastAsia="Arial" w:hAnsi="Arial"/>
          <w:sz w:val="22"/>
          <w:szCs w:val="22"/>
          <w:color w:val="auto"/>
        </w:rPr>
        <w:t xml:space="preserve"> after the day on which this Agreement is entered into shall indicate, in the Assignment and Assumption or other document which it executes on becoming a party, and for the benefit of the Administrative Agent and each UK Borrower and each Swiss Borrower, which of the following categories it falls in:</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 in respect of a UK Borrower:</w:t>
      </w:r>
    </w:p>
    <w:p>
      <w:pPr>
        <w:spacing w:after="0" w:line="206" w:lineRule="exact"/>
        <w:rPr>
          <w:sz w:val="20"/>
          <w:szCs w:val="20"/>
          <w:color w:val="auto"/>
        </w:rPr>
      </w:pPr>
    </w:p>
    <w:p>
      <w:pPr>
        <w:ind w:left="1620" w:hanging="486"/>
        <w:spacing w:after="0"/>
        <w:tabs>
          <w:tab w:leader="none" w:pos="1620" w:val="left"/>
        </w:tabs>
        <w:numPr>
          <w:ilvl w:val="2"/>
          <w:numId w:val="269"/>
        </w:numPr>
        <w:rPr>
          <w:rFonts w:ascii="Arial" w:cs="Arial" w:eastAsia="Arial" w:hAnsi="Arial"/>
          <w:sz w:val="22"/>
          <w:szCs w:val="22"/>
          <w:color w:val="auto"/>
        </w:rPr>
      </w:pPr>
      <w:r>
        <w:rPr>
          <w:rFonts w:ascii="Arial" w:cs="Arial" w:eastAsia="Arial" w:hAnsi="Arial"/>
          <w:sz w:val="22"/>
          <w:szCs w:val="22"/>
          <w:color w:val="auto"/>
        </w:rPr>
        <w:t>a UK Qualifying Lender;</w:t>
      </w:r>
    </w:p>
    <w:p>
      <w:pPr>
        <w:spacing w:after="0" w:line="206" w:lineRule="exact"/>
        <w:rPr>
          <w:rFonts w:ascii="Arial" w:cs="Arial" w:eastAsia="Arial" w:hAnsi="Arial"/>
          <w:sz w:val="22"/>
          <w:szCs w:val="22"/>
          <w:color w:val="auto"/>
        </w:rPr>
      </w:pPr>
    </w:p>
    <w:p>
      <w:pPr>
        <w:ind w:left="1560" w:hanging="426"/>
        <w:spacing w:after="0"/>
        <w:tabs>
          <w:tab w:leader="none" w:pos="1560" w:val="left"/>
        </w:tabs>
        <w:numPr>
          <w:ilvl w:val="2"/>
          <w:numId w:val="269"/>
        </w:numPr>
        <w:rPr>
          <w:rFonts w:ascii="Arial" w:cs="Arial" w:eastAsia="Arial" w:hAnsi="Arial"/>
          <w:sz w:val="22"/>
          <w:szCs w:val="22"/>
          <w:color w:val="auto"/>
        </w:rPr>
      </w:pPr>
      <w:r>
        <w:rPr>
          <w:rFonts w:ascii="Arial" w:cs="Arial" w:eastAsia="Arial" w:hAnsi="Arial"/>
          <w:sz w:val="22"/>
          <w:szCs w:val="22"/>
          <w:color w:val="auto"/>
        </w:rPr>
        <w:t>a UK Qualifying Lender (other than a UK Treaty Lender); or</w:t>
      </w:r>
    </w:p>
    <w:p>
      <w:pPr>
        <w:spacing w:after="0" w:line="206" w:lineRule="exact"/>
        <w:rPr>
          <w:rFonts w:ascii="Arial" w:cs="Arial" w:eastAsia="Arial" w:hAnsi="Arial"/>
          <w:sz w:val="22"/>
          <w:szCs w:val="22"/>
          <w:color w:val="auto"/>
        </w:rPr>
      </w:pPr>
    </w:p>
    <w:p>
      <w:pPr>
        <w:ind w:left="1560" w:hanging="426"/>
        <w:spacing w:after="0"/>
        <w:tabs>
          <w:tab w:leader="none" w:pos="1560" w:val="left"/>
        </w:tabs>
        <w:numPr>
          <w:ilvl w:val="2"/>
          <w:numId w:val="269"/>
        </w:numPr>
        <w:rPr>
          <w:rFonts w:ascii="Arial" w:cs="Arial" w:eastAsia="Arial" w:hAnsi="Arial"/>
          <w:sz w:val="22"/>
          <w:szCs w:val="22"/>
          <w:color w:val="auto"/>
        </w:rPr>
      </w:pPr>
      <w:r>
        <w:rPr>
          <w:rFonts w:ascii="Arial" w:cs="Arial" w:eastAsia="Arial" w:hAnsi="Arial"/>
          <w:sz w:val="22"/>
          <w:szCs w:val="22"/>
          <w:color w:val="auto"/>
        </w:rPr>
        <w:t>a UK Treaty Lender; and</w:t>
      </w:r>
    </w:p>
    <w:p>
      <w:pPr>
        <w:spacing w:after="0" w:line="206" w:lineRule="exact"/>
        <w:rPr>
          <w:rFonts w:ascii="Arial" w:cs="Arial" w:eastAsia="Arial" w:hAnsi="Arial"/>
          <w:sz w:val="22"/>
          <w:szCs w:val="22"/>
          <w:color w:val="auto"/>
        </w:rPr>
      </w:pPr>
    </w:p>
    <w:p>
      <w:pPr>
        <w:ind w:left="1980" w:hanging="1087"/>
        <w:spacing w:after="0"/>
        <w:tabs>
          <w:tab w:leader="none" w:pos="198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in respect of a Swiss Borrower:</w:t>
      </w:r>
    </w:p>
    <w:p>
      <w:pPr>
        <w:spacing w:after="0" w:line="165" w:lineRule="exact"/>
        <w:rPr>
          <w:rFonts w:ascii="Arial" w:cs="Arial" w:eastAsia="Arial" w:hAnsi="Arial"/>
          <w:sz w:val="22"/>
          <w:szCs w:val="22"/>
          <w:color w:val="auto"/>
        </w:rPr>
      </w:pPr>
    </w:p>
    <w:p>
      <w:pPr>
        <w:ind w:left="1560" w:hanging="460"/>
        <w:spacing w:after="0"/>
        <w:tabs>
          <w:tab w:leader="none" w:pos="1560" w:val="left"/>
        </w:tabs>
        <w:numPr>
          <w:ilvl w:val="1"/>
          <w:numId w:val="270"/>
        </w:numPr>
        <w:rPr>
          <w:rFonts w:ascii="Arial" w:cs="Arial" w:eastAsia="Arial" w:hAnsi="Arial"/>
          <w:sz w:val="22"/>
          <w:szCs w:val="22"/>
          <w:color w:val="auto"/>
        </w:rPr>
      </w:pPr>
      <w:r>
        <w:rPr>
          <w:rFonts w:ascii="Arial" w:cs="Arial" w:eastAsia="Arial" w:hAnsi="Arial"/>
          <w:sz w:val="22"/>
          <w:szCs w:val="22"/>
          <w:color w:val="auto"/>
        </w:rPr>
        <w:t>a Swiss Qualifying Bank; or</w:t>
      </w:r>
    </w:p>
    <w:p>
      <w:pPr>
        <w:spacing w:after="0" w:line="206" w:lineRule="exact"/>
        <w:rPr>
          <w:rFonts w:ascii="Arial" w:cs="Arial" w:eastAsia="Arial" w:hAnsi="Arial"/>
          <w:sz w:val="22"/>
          <w:szCs w:val="22"/>
          <w:color w:val="auto"/>
        </w:rPr>
      </w:pPr>
    </w:p>
    <w:p>
      <w:pPr>
        <w:ind w:left="1560" w:hanging="460"/>
        <w:spacing w:after="0"/>
        <w:tabs>
          <w:tab w:leader="none" w:pos="1560" w:val="left"/>
        </w:tabs>
        <w:numPr>
          <w:ilvl w:val="1"/>
          <w:numId w:val="270"/>
        </w:numPr>
        <w:rPr>
          <w:rFonts w:ascii="Arial" w:cs="Arial" w:eastAsia="Arial" w:hAnsi="Arial"/>
          <w:sz w:val="22"/>
          <w:szCs w:val="22"/>
          <w:color w:val="auto"/>
        </w:rPr>
      </w:pPr>
      <w:r>
        <w:rPr>
          <w:rFonts w:ascii="Arial" w:cs="Arial" w:eastAsia="Arial" w:hAnsi="Arial"/>
          <w:sz w:val="22"/>
          <w:szCs w:val="22"/>
          <w:color w:val="auto"/>
        </w:rPr>
        <w:t>not a Swiss Qualifying Bank</w:t>
      </w:r>
    </w:p>
    <w:p>
      <w:pPr>
        <w:spacing w:after="0" w:line="206" w:lineRule="exact"/>
        <w:rPr>
          <w:sz w:val="20"/>
          <w:szCs w:val="20"/>
          <w:color w:val="auto"/>
        </w:rPr>
      </w:pPr>
    </w:p>
    <w:p>
      <w:pPr>
        <w:jc w:val="both"/>
        <w:ind w:left="1140" w:hanging="754"/>
        <w:spacing w:after="0"/>
        <w:tabs>
          <w:tab w:leader="none" w:pos="1177" w:val="left"/>
        </w:tabs>
        <w:numPr>
          <w:ilvl w:val="0"/>
          <w:numId w:val="271"/>
        </w:numPr>
        <w:rPr>
          <w:rFonts w:ascii="Arial" w:cs="Arial" w:eastAsia="Arial" w:hAnsi="Arial"/>
          <w:sz w:val="22"/>
          <w:szCs w:val="22"/>
          <w:color w:val="auto"/>
        </w:rPr>
      </w:pPr>
      <w:r>
        <w:rPr>
          <w:rFonts w:ascii="Arial" w:cs="Arial" w:eastAsia="Arial" w:hAnsi="Arial"/>
          <w:sz w:val="22"/>
          <w:szCs w:val="22"/>
          <w:color w:val="auto"/>
        </w:rPr>
        <w:t xml:space="preserve">If a Lender which becomes a party after the day on which this Agreement is entered into fails to indicate its status in accordance with </w:t>
      </w:r>
      <w:r>
        <w:rPr>
          <w:rFonts w:ascii="Arial" w:cs="Arial" w:eastAsia="Arial" w:hAnsi="Arial"/>
          <w:sz w:val="22"/>
          <w:szCs w:val="22"/>
          <w:u w:val="single" w:color="auto"/>
          <w:color w:val="auto"/>
        </w:rPr>
        <w:t>Section 2.17(g)(viii)</w:t>
      </w:r>
      <w:r>
        <w:rPr>
          <w:rFonts w:ascii="Arial" w:cs="Arial" w:eastAsia="Arial" w:hAnsi="Arial"/>
          <w:sz w:val="22"/>
          <w:szCs w:val="22"/>
          <w:color w:val="auto"/>
        </w:rPr>
        <w:t xml:space="preserve"> then such Lender shall be treated for the purposes of this</w:t>
      </w:r>
    </w:p>
    <w:p>
      <w:pPr>
        <w:spacing w:after="0" w:line="189"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154305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260" w:name="page261"/>
    <w:bookmarkEnd w:id="260"/>
    <w:p>
      <w:pPr>
        <w:jc w:val="both"/>
        <w:ind w:left="2260"/>
        <w:spacing w:after="0" w:line="249" w:lineRule="auto"/>
        <w:rPr>
          <w:sz w:val="20"/>
          <w:szCs w:val="20"/>
          <w:color w:val="auto"/>
        </w:rPr>
      </w:pPr>
      <w:r>
        <w:rPr>
          <w:rFonts w:ascii="Arial" w:cs="Arial" w:eastAsia="Arial" w:hAnsi="Arial"/>
          <w:sz w:val="21"/>
          <w:szCs w:val="21"/>
          <w:color w:val="auto"/>
        </w:rPr>
        <w:t xml:space="preserve">Agreement as if it is not a UK Qualifying Lender and not a Swiss Qualifying Bank until such time as it notifies the Administrative Agent which category applies (and the Administrative Agent, upon receipt of such notification, shall inform the Company for the benefit of each UK Borrower and each Swiss Borrower). For the avoidance of doubt, an Assignment and Assumption shall not be invalidated by any failure of a Lender to comply with </w:t>
      </w:r>
      <w:r>
        <w:rPr>
          <w:rFonts w:ascii="Arial" w:cs="Arial" w:eastAsia="Arial" w:hAnsi="Arial"/>
          <w:sz w:val="21"/>
          <w:szCs w:val="21"/>
          <w:u w:val="single" w:color="auto"/>
          <w:color w:val="auto"/>
        </w:rPr>
        <w:t>Section 2.17(g)(viii)</w:t>
      </w:r>
      <w:r>
        <w:rPr>
          <w:rFonts w:ascii="Arial" w:cs="Arial" w:eastAsia="Arial" w:hAnsi="Arial"/>
          <w:sz w:val="21"/>
          <w:szCs w:val="21"/>
          <w:color w:val="auto"/>
        </w:rPr>
        <w:t>.</w:t>
      </w:r>
    </w:p>
    <w:p>
      <w:pPr>
        <w:spacing w:after="0" w:line="178" w:lineRule="exact"/>
        <w:rPr>
          <w:sz w:val="20"/>
          <w:szCs w:val="20"/>
          <w:color w:val="auto"/>
        </w:rPr>
      </w:pPr>
    </w:p>
    <w:p>
      <w:pPr>
        <w:jc w:val="both"/>
        <w:ind w:left="2260" w:hanging="754"/>
        <w:spacing w:after="0" w:line="236" w:lineRule="auto"/>
        <w:tabs>
          <w:tab w:leader="none" w:pos="230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 xml:space="preserve">A copy of the Assignment and Assumption or other document executed by a relevant Lender and containing the confirmations or indications (as applicable) relating to UK Tax and Swiss Withholding Tax as set out in this </w:t>
      </w:r>
      <w:r>
        <w:rPr>
          <w:rFonts w:ascii="Arial" w:cs="Arial" w:eastAsia="Arial" w:hAnsi="Arial"/>
          <w:sz w:val="22"/>
          <w:szCs w:val="22"/>
          <w:u w:val="single" w:color="auto"/>
          <w:color w:val="auto"/>
        </w:rPr>
        <w:t>Section 2.17(g)</w:t>
      </w:r>
      <w:r>
        <w:rPr>
          <w:rFonts w:ascii="Arial" w:cs="Arial" w:eastAsia="Arial" w:hAnsi="Arial"/>
          <w:sz w:val="22"/>
          <w:szCs w:val="22"/>
          <w:color w:val="auto"/>
        </w:rPr>
        <w:t xml:space="preserve"> shall be delivered to the Company (for the benefit of each UK Borrower and each Swiss Borrower) by such Lender on the same day such document is delivered to the Administrative Agent.</w:t>
      </w:r>
    </w:p>
    <w:p>
      <w:pPr>
        <w:spacing w:after="0" w:line="187" w:lineRule="exact"/>
        <w:rPr>
          <w:rFonts w:ascii="Arial" w:cs="Arial" w:eastAsia="Arial" w:hAnsi="Arial"/>
          <w:sz w:val="22"/>
          <w:szCs w:val="22"/>
          <w:color w:val="auto"/>
        </w:rPr>
      </w:pPr>
    </w:p>
    <w:p>
      <w:pPr>
        <w:jc w:val="both"/>
        <w:ind w:left="2260" w:hanging="754"/>
        <w:spacing w:after="0" w:line="236" w:lineRule="auto"/>
        <w:tabs>
          <w:tab w:leader="none" w:pos="2274" w:val="left"/>
        </w:tabs>
        <w:numPr>
          <w:ilvl w:val="1"/>
          <w:numId w:val="272"/>
        </w:numPr>
        <w:rPr>
          <w:rFonts w:ascii="Arial" w:cs="Arial" w:eastAsia="Arial" w:hAnsi="Arial"/>
          <w:sz w:val="22"/>
          <w:szCs w:val="22"/>
          <w:color w:val="auto"/>
        </w:rPr>
      </w:pPr>
      <w:r>
        <w:rPr>
          <w:rFonts w:ascii="Arial" w:cs="Arial" w:eastAsia="Arial" w:hAnsi="Arial"/>
          <w:sz w:val="22"/>
          <w:szCs w:val="22"/>
          <w:color w:val="auto"/>
        </w:rPr>
        <w:t>Each Lender shall notify the Company and Administrative Agent if it determines in its sole discretion that it is ceases to be (a) entitled to claim the benefits of an income tax treaty to which the United Kingdom is a party with respect to payments made by any UK Borrower hereunder or (b) a Qualifying Lender (other than a UK Treaty Lender) in respect of a UK Borrower or (c) a Swiss Qualifying Bank in respect of a Swiss Borrower.</w:t>
      </w:r>
    </w:p>
    <w:p>
      <w:pPr>
        <w:spacing w:after="0" w:line="187" w:lineRule="exact"/>
        <w:rPr>
          <w:rFonts w:ascii="Arial" w:cs="Arial" w:eastAsia="Arial" w:hAnsi="Arial"/>
          <w:sz w:val="22"/>
          <w:szCs w:val="22"/>
          <w:color w:val="auto"/>
        </w:rPr>
      </w:pPr>
    </w:p>
    <w:p>
      <w:pPr>
        <w:jc w:val="both"/>
        <w:ind w:left="2260" w:hanging="754"/>
        <w:spacing w:after="0" w:line="277" w:lineRule="auto"/>
        <w:tabs>
          <w:tab w:leader="none" w:pos="2728" w:val="left"/>
        </w:tabs>
        <w:numPr>
          <w:ilvl w:val="1"/>
          <w:numId w:val="272"/>
        </w:numPr>
        <w:rPr>
          <w:rFonts w:ascii="Arial" w:cs="Arial" w:eastAsia="Arial" w:hAnsi="Arial"/>
          <w:sz w:val="19"/>
          <w:szCs w:val="19"/>
          <w:color w:val="auto"/>
        </w:rPr>
      </w:pPr>
      <w:r>
        <w:rPr>
          <w:rFonts w:ascii="Arial" w:cs="Arial" w:eastAsia="Arial" w:hAnsi="Arial"/>
          <w:sz w:val="19"/>
          <w:szCs w:val="19"/>
          <w:color w:val="auto"/>
        </w:rPr>
        <w:t xml:space="preserve">If a Lender assigns or transfers any of its rights or obligations under the Loan Documents or changes its lending office, and as a result of circumstances existing at the date the assignment, transfer or change occurs, a Borrower not incorporated in the U.S. would be obligated to make a payment to the new Lender or Lender acting through its new lending office under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then a new Lender or Lender acting through its new lending office is only entitled to receive payment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to the same extent as the assigning Lender or Lender acting through its previous lending office would have been if the assignment, transfer or change had not occurred.</w:t>
      </w:r>
    </w:p>
    <w:p>
      <w:pPr>
        <w:spacing w:after="0" w:line="151" w:lineRule="exact"/>
        <w:rPr>
          <w:rFonts w:ascii="Arial" w:cs="Arial" w:eastAsia="Arial" w:hAnsi="Arial"/>
          <w:sz w:val="19"/>
          <w:szCs w:val="19"/>
          <w:color w:val="auto"/>
        </w:rPr>
      </w:pPr>
    </w:p>
    <w:p>
      <w:pPr>
        <w:jc w:val="both"/>
        <w:ind w:firstLine="1505"/>
        <w:spacing w:after="0" w:line="273" w:lineRule="auto"/>
        <w:tabs>
          <w:tab w:leader="none" w:pos="2161" w:val="left"/>
        </w:tabs>
        <w:numPr>
          <w:ilvl w:val="0"/>
          <w:numId w:val="273"/>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(including by the payment of additional amounts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it shall pay to the indemnifying party an amount equal to such refund (but only to the extent of indemnity payments made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9"/>
          <w:szCs w:val="19"/>
          <w:u w:val="single" w:color="auto"/>
          <w:color w:val="auto"/>
        </w:rPr>
        <w:t>paragraph (h)</w:t>
      </w:r>
      <w:r>
        <w:rPr>
          <w:rFonts w:ascii="Arial" w:cs="Arial" w:eastAsia="Arial" w:hAnsi="Arial"/>
          <w:sz w:val="19"/>
          <w:szCs w:val="19"/>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9"/>
          <w:szCs w:val="19"/>
          <w:u w:val="single" w:color="auto"/>
          <w:color w:val="auto"/>
        </w:rPr>
        <w:t>paragraph (h)</w:t>
      </w:r>
      <w:r>
        <w:rPr>
          <w:rFonts w:ascii="Arial" w:cs="Arial" w:eastAsia="Arial" w:hAnsi="Arial"/>
          <w:sz w:val="19"/>
          <w:szCs w:val="19"/>
          <w:color w:val="auto"/>
        </w:rPr>
        <w:t xml:space="preserve">, in no event will the indemnified party be required to pay any amount to an indemnifying party pursuant to this </w:t>
      </w:r>
      <w:r>
        <w:rPr>
          <w:rFonts w:ascii="Arial" w:cs="Arial" w:eastAsia="Arial" w:hAnsi="Arial"/>
          <w:sz w:val="19"/>
          <w:szCs w:val="19"/>
          <w:u w:val="single" w:color="auto"/>
          <w:color w:val="auto"/>
        </w:rPr>
        <w:t>paragraph (h)</w:t>
      </w:r>
      <w:r>
        <w:rPr>
          <w:rFonts w:ascii="Arial" w:cs="Arial" w:eastAsia="Arial" w:hAnsi="Arial"/>
          <w:sz w:val="19"/>
          <w:szCs w:val="19"/>
          <w:color w:val="auto"/>
        </w:rPr>
        <w:t xml:space="preserve"> the payment of which would place the indemnified party in a less favorable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1" w:name="page262"/>
    <w:bookmarkEnd w:id="261"/>
    <w:p>
      <w:pPr>
        <w:jc w:val="both"/>
        <w:spacing w:after="0" w:line="236" w:lineRule="auto"/>
        <w:rPr>
          <w:sz w:val="20"/>
          <w:szCs w:val="20"/>
          <w:color w:val="auto"/>
        </w:rPr>
      </w:pPr>
      <w:r>
        <w:rPr>
          <w:rFonts w:ascii="Arial" w:cs="Arial" w:eastAsia="Arial" w:hAnsi="Arial"/>
          <w:sz w:val="22"/>
          <w:szCs w:val="22"/>
          <w:color w:val="auto"/>
        </w:rPr>
        <w:t>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7" w:lineRule="exact"/>
        <w:rPr>
          <w:sz w:val="20"/>
          <w:szCs w:val="20"/>
          <w:color w:val="auto"/>
        </w:rPr>
      </w:pPr>
    </w:p>
    <w:p>
      <w:pPr>
        <w:jc w:val="both"/>
        <w:ind w:firstLine="1505"/>
        <w:spacing w:after="0" w:line="257" w:lineRule="auto"/>
        <w:tabs>
          <w:tab w:leader="none" w:pos="2175" w:val="left"/>
        </w:tabs>
        <w:numPr>
          <w:ilvl w:val="1"/>
          <w:numId w:val="274"/>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Each party’s obligations under this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69" w:lineRule="exact"/>
        <w:rPr>
          <w:rFonts w:ascii="Arial" w:cs="Arial" w:eastAsia="Arial" w:hAnsi="Arial"/>
          <w:sz w:val="21"/>
          <w:szCs w:val="21"/>
          <w:color w:val="auto"/>
        </w:rPr>
      </w:pPr>
    </w:p>
    <w:p>
      <w:pPr>
        <w:jc w:val="both"/>
        <w:ind w:firstLine="1505"/>
        <w:spacing w:after="0" w:line="246" w:lineRule="auto"/>
        <w:tabs>
          <w:tab w:leader="none" w:pos="2180" w:val="left"/>
        </w:tabs>
        <w:numPr>
          <w:ilvl w:val="1"/>
          <w:numId w:val="274"/>
        </w:numPr>
        <w:rPr>
          <w:rFonts w:ascii="Arial" w:cs="Arial" w:eastAsia="Arial" w:hAnsi="Arial"/>
          <w:sz w:val="21"/>
          <w:szCs w:val="21"/>
          <w:color w:val="auto"/>
        </w:rPr>
      </w:pPr>
      <w:r>
        <w:rPr>
          <w:rFonts w:ascii="Arial" w:cs="Arial" w:eastAsia="Arial" w:hAnsi="Arial"/>
          <w:sz w:val="21"/>
          <w:szCs w:val="21"/>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Borrower shall be required to compensate a Lender pursuant to this Section for any Indemnified Taxes or Other Taxes paid or payable by a Recipient pursuant to </w:t>
      </w:r>
      <w:r>
        <w:rPr>
          <w:rFonts w:ascii="Arial" w:cs="Arial" w:eastAsia="Arial" w:hAnsi="Arial"/>
          <w:sz w:val="21"/>
          <w:szCs w:val="21"/>
          <w:u w:val="single" w:color="auto"/>
          <w:color w:val="auto"/>
        </w:rPr>
        <w:t>Section 2.17(d)</w:t>
      </w:r>
      <w:r>
        <w:rPr>
          <w:rFonts w:ascii="Arial" w:cs="Arial" w:eastAsia="Arial" w:hAnsi="Arial"/>
          <w:sz w:val="21"/>
          <w:szCs w:val="21"/>
          <w:color w:val="auto"/>
        </w:rPr>
        <w:t xml:space="preserve"> incurred more than two hundred seventy (270) days prior to the date that such Lender, as the case may be, notifies the Company of such Lender’s intention to claim compensation therefor;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if the Change in Law giving rise to such increased costs or reductions is retroactive, then the two hundred seventy (270) day period referred to above shall be extended to include the period of retroactive effect thereof.</w:t>
      </w:r>
    </w:p>
    <w:p>
      <w:pPr>
        <w:spacing w:after="0" w:line="184" w:lineRule="exact"/>
        <w:rPr>
          <w:rFonts w:ascii="Arial" w:cs="Arial" w:eastAsia="Arial" w:hAnsi="Arial"/>
          <w:sz w:val="21"/>
          <w:szCs w:val="21"/>
          <w:color w:val="auto"/>
        </w:rPr>
      </w:pPr>
    </w:p>
    <w:p>
      <w:pPr>
        <w:jc w:val="both"/>
        <w:ind w:firstLine="1505"/>
        <w:spacing w:after="0" w:line="269" w:lineRule="auto"/>
        <w:tabs>
          <w:tab w:leader="none" w:pos="2180" w:val="left"/>
        </w:tabs>
        <w:numPr>
          <w:ilvl w:val="1"/>
          <w:numId w:val="274"/>
        </w:numPr>
        <w:rPr>
          <w:rFonts w:ascii="Arial" w:cs="Arial" w:eastAsia="Arial" w:hAnsi="Arial"/>
          <w:sz w:val="19"/>
          <w:szCs w:val="19"/>
          <w:color w:val="auto"/>
        </w:rPr>
      </w:pPr>
      <w:r>
        <w:rPr>
          <w:rFonts w:ascii="Arial" w:cs="Arial" w:eastAsia="Arial" w:hAnsi="Arial"/>
          <w:sz w:val="19"/>
          <w:szCs w:val="19"/>
          <w:u w:val="single" w:color="auto"/>
          <w:color w:val="auto"/>
        </w:rPr>
        <w:t>Minimum Interest Rates and Payments Recalculation.</w:t>
      </w:r>
      <w:r>
        <w:rPr>
          <w:rFonts w:ascii="Arial" w:cs="Arial" w:eastAsia="Arial" w:hAnsi="Arial"/>
          <w:sz w:val="19"/>
          <w:szCs w:val="19"/>
          <w:color w:val="auto"/>
        </w:rPr>
        <w:t xml:space="preserve"> When entering into this Agreement, the parties have assumed in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that the interest payments are minimum interest payments not subject to any Swiss Withholding Tax. Nevertheless, if a Tax deduction is required by Swiss law to be made by a Swiss Borrower in respect of any interest payable by it under this Agreement and should it be unlawful for such Swiss Borrower to comply with </w:t>
      </w:r>
      <w:r>
        <w:rPr>
          <w:rFonts w:ascii="Arial" w:cs="Arial" w:eastAsia="Arial" w:hAnsi="Arial"/>
          <w:sz w:val="19"/>
          <w:szCs w:val="19"/>
          <w:u w:val="single" w:color="auto"/>
          <w:color w:val="auto"/>
        </w:rPr>
        <w:t>Section 2.17(a)</w:t>
      </w:r>
      <w:r>
        <w:rPr>
          <w:rFonts w:ascii="Arial" w:cs="Arial" w:eastAsia="Arial" w:hAnsi="Arial"/>
          <w:sz w:val="19"/>
          <w:szCs w:val="19"/>
          <w:color w:val="auto"/>
        </w:rPr>
        <w:t xml:space="preserve"> the applicable interest rate in relation to that interest payment shall be: (i) the interest rate which would have applied to that interest payment in the absence of this </w:t>
      </w:r>
      <w:r>
        <w:rPr>
          <w:rFonts w:ascii="Arial" w:cs="Arial" w:eastAsia="Arial" w:hAnsi="Arial"/>
          <w:sz w:val="19"/>
          <w:szCs w:val="19"/>
          <w:u w:val="single" w:color="auto"/>
          <w:color w:val="auto"/>
        </w:rPr>
        <w:t>Section 2.17(k)</w:t>
      </w:r>
      <w:r>
        <w:rPr>
          <w:rFonts w:ascii="Arial" w:cs="Arial" w:eastAsia="Arial" w:hAnsi="Arial"/>
          <w:sz w:val="19"/>
          <w:szCs w:val="19"/>
          <w:color w:val="auto"/>
        </w:rPr>
        <w:t xml:space="preserve"> divided by (ii) one (1) minus the rate at which the relevant Tax deduction is required to be made (where the rate at which the relevant Tax deduction is required to be made is for this purpose expressed as a fraction of one (1) rather than as a percentage) and (a) that the Swiss Borrower shall be obliged to pay the relevant interest at the adjusted rate in accordance with this </w:t>
      </w:r>
      <w:r>
        <w:rPr>
          <w:rFonts w:ascii="Arial" w:cs="Arial" w:eastAsia="Arial" w:hAnsi="Arial"/>
          <w:sz w:val="19"/>
          <w:szCs w:val="19"/>
          <w:u w:val="single" w:color="auto"/>
          <w:color w:val="auto"/>
        </w:rPr>
        <w:t>Section 2.17(k)</w:t>
      </w:r>
      <w:r>
        <w:rPr>
          <w:rFonts w:ascii="Arial" w:cs="Arial" w:eastAsia="Arial" w:hAnsi="Arial"/>
          <w:sz w:val="19"/>
          <w:szCs w:val="19"/>
          <w:color w:val="auto"/>
        </w:rPr>
        <w:t>, (b) that the Swiss Borrower shall make the Tax deduction on the interest so recalculated and</w:t>
      </w:r>
    </w:p>
    <w:p>
      <w:pPr>
        <w:spacing w:after="0" w:line="1" w:lineRule="exact"/>
        <w:rPr>
          <w:rFonts w:ascii="Arial" w:cs="Arial" w:eastAsia="Arial" w:hAnsi="Arial"/>
          <w:sz w:val="19"/>
          <w:szCs w:val="19"/>
          <w:color w:val="auto"/>
        </w:rPr>
      </w:pPr>
    </w:p>
    <w:p>
      <w:pPr>
        <w:jc w:val="both"/>
        <w:ind w:firstLine="8"/>
        <w:spacing w:after="0" w:line="271" w:lineRule="auto"/>
        <w:tabs>
          <w:tab w:leader="none" w:pos="30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 xml:space="preserve">all references to a rate of interest in this Agreement shall be construed accordingly. No recalculation of interest shall be made under this </w:t>
      </w:r>
      <w:r>
        <w:rPr>
          <w:rFonts w:ascii="Arial" w:cs="Arial" w:eastAsia="Arial" w:hAnsi="Arial"/>
          <w:sz w:val="19"/>
          <w:szCs w:val="19"/>
          <w:u w:val="single" w:color="auto"/>
          <w:color w:val="auto"/>
        </w:rPr>
        <w:t>Section 2.17(k)</w:t>
      </w:r>
      <w:r>
        <w:rPr>
          <w:rFonts w:ascii="Arial" w:cs="Arial" w:eastAsia="Arial" w:hAnsi="Arial"/>
          <w:sz w:val="19"/>
          <w:szCs w:val="19"/>
          <w:color w:val="auto"/>
        </w:rPr>
        <w:t xml:space="preserve"> if the Tax deduction on such interest is due as a result of a breach of the Swiss Non-Bank Rules and such breach is the result of a Lender, which is not a Swiss Permitted Non-Qualifying Bank, (i) ceasing to be a Swiss Qualifying Bank other than as a result of any change of law after the date it became a Lender or (ii) having failed to comply with its obligations under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For the avoidance of doubt, no Swiss Borrower shall be required to pay any additional amounts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if a recalculation of interest is made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The relevant Swiss Borrower shall provide the Lenders with such documents and information required for applying for a refund of any Swiss Withholding Tax paid. In the event that Swiss Withholding Tax is refunded to a Lender by the Swiss Federal Tax Administration, the relevant Lender shall forward, after deduction of corresponding and reasonable costs, the amount in excess of what is owed to that Lender under this Agreement or any Loan Document to the relevant Swiss Borrower, unless an Event of Default is continuing. Nothing in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2" w:name="page263"/>
    <w:bookmarkEnd w:id="262"/>
    <w:p>
      <w:pPr>
        <w:jc w:val="both"/>
        <w:spacing w:after="0"/>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2.17(k)</w:t>
      </w:r>
      <w:r>
        <w:rPr>
          <w:rFonts w:ascii="Arial" w:cs="Arial" w:eastAsia="Arial" w:hAnsi="Arial"/>
          <w:sz w:val="22"/>
          <w:szCs w:val="22"/>
          <w:color w:val="auto"/>
        </w:rPr>
        <w:t xml:space="preserve"> shall interfere with each Lender's right to arrange its tax affairs in whatever manner it thinks fit and, without limiting the foregoing, no Lender shall be under any obligation to claim any Swiss Withholding Tax refund in priority to any other claims, relieves, credits or deductions available to it.</w:t>
      </w:r>
    </w:p>
    <w:p>
      <w:pPr>
        <w:spacing w:after="0" w:line="186" w:lineRule="exact"/>
        <w:rPr>
          <w:sz w:val="20"/>
          <w:szCs w:val="20"/>
          <w:color w:val="auto"/>
        </w:rPr>
      </w:pPr>
    </w:p>
    <w:p>
      <w:pPr>
        <w:ind w:left="760" w:right="900" w:firstLine="745"/>
        <w:spacing w:after="0" w:line="435" w:lineRule="auto"/>
        <w:tabs>
          <w:tab w:leader="none" w:pos="2171" w:val="left"/>
        </w:tabs>
        <w:numPr>
          <w:ilvl w:val="0"/>
          <w:numId w:val="276"/>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For purposes of this </w:t>
      </w:r>
      <w:r>
        <w:rPr>
          <w:rFonts w:ascii="Arial" w:cs="Arial" w:eastAsia="Arial" w:hAnsi="Arial"/>
          <w:sz w:val="22"/>
          <w:szCs w:val="22"/>
          <w:u w:val="single" w:color="auto"/>
          <w:color w:val="auto"/>
        </w:rPr>
        <w:t>Section 2.17</w:t>
      </w:r>
      <w:r>
        <w:rPr>
          <w:rFonts w:ascii="Arial" w:cs="Arial" w:eastAsia="Arial" w:hAnsi="Arial"/>
          <w:sz w:val="22"/>
          <w:szCs w:val="22"/>
          <w:color w:val="auto"/>
        </w:rPr>
        <w:t xml:space="preserve">, the term “applicable law” includes FATCA. SECTION 2.18 </w:t>
      </w:r>
      <w:r>
        <w:rPr>
          <w:rFonts w:ascii="Arial" w:cs="Arial" w:eastAsia="Arial" w:hAnsi="Arial"/>
          <w:sz w:val="22"/>
          <w:szCs w:val="22"/>
          <w:u w:val="single" w:color="auto"/>
          <w:color w:val="auto"/>
        </w:rPr>
        <w:t>Payments Generally; Pro Rata Treatment; Sharing of Set-offs</w:t>
      </w:r>
      <w:r>
        <w:rPr>
          <w:rFonts w:ascii="Arial" w:cs="Arial" w:eastAsia="Arial" w:hAnsi="Arial"/>
          <w:sz w:val="22"/>
          <w:szCs w:val="22"/>
          <w:color w:val="auto"/>
        </w:rPr>
        <w:t>.</w:t>
      </w:r>
    </w:p>
    <w:p>
      <w:pPr>
        <w:spacing w:after="0" w:line="1" w:lineRule="exact"/>
        <w:rPr>
          <w:sz w:val="20"/>
          <w:szCs w:val="20"/>
          <w:color w:val="auto"/>
        </w:rPr>
      </w:pPr>
    </w:p>
    <w:p>
      <w:pPr>
        <w:jc w:val="both"/>
        <w:ind w:firstLine="1505"/>
        <w:spacing w:after="0" w:line="270" w:lineRule="auto"/>
        <w:tabs>
          <w:tab w:leader="none" w:pos="2189" w:val="left"/>
        </w:tabs>
        <w:numPr>
          <w:ilvl w:val="0"/>
          <w:numId w:val="277"/>
        </w:numPr>
        <w:rPr>
          <w:rFonts w:ascii="Arial" w:cs="Arial" w:eastAsia="Arial" w:hAnsi="Arial"/>
          <w:sz w:val="19"/>
          <w:szCs w:val="19"/>
          <w:color w:val="auto"/>
        </w:rPr>
      </w:pPr>
      <w:r>
        <w:rPr>
          <w:rFonts w:ascii="Arial" w:cs="Arial" w:eastAsia="Arial" w:hAnsi="Arial"/>
          <w:sz w:val="19"/>
          <w:szCs w:val="19"/>
          <w:color w:val="auto"/>
        </w:rPr>
        <w:t xml:space="preserve">Each Borrower shall make each payment required to be made by it hereunder (whether of principal, interest, fees, or of amounts payable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or otherwise) prior to 12:00 noon, Local Time, on the date when due, in immediately available funds, without set 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(x) in the case of payments denominated in U.S. Dollars, its offices at 500 First Avenue, Pittsburgh, PA 15219 and (y) in the case of payments denominated in a Foreign Currency, its Foreign Currency Payment Office for such Foreign Currency, in each case except payments to be made directly to the Swingline Lenders as expressly provided herein and except that payments pursuant to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10.03</w:t>
      </w:r>
      <w:r>
        <w:rPr>
          <w:rFonts w:ascii="Arial" w:cs="Arial" w:eastAsia="Arial" w:hAnsi="Arial"/>
          <w:sz w:val="19"/>
          <w:szCs w:val="19"/>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shall, except as otherwise expressly provided herein, be made in the currency of such Loan, and all other payments hereunder and under each other Loan Document shall be made in Euro or such other currency otherwise agreed. Notwithstanding the foregoing provisions of this Section, if, after the making of any Borrowing in any Foreign Currency, currency control or exchange regulations are imposed in the country which issues such Foreign Currency with the result that such Foreign Currency no longer exists or the applicable Borrower is not able to make payment to the Administrative Agent for the account of the Lenders in such Foreign Currency, then all payments to be made by such Borrower hereunder in such Foreign Currency shall instead be made when due in Euros in an amount equal to the Euro Amount (as of the date of repayment) of such payment due, it being the intention of the parties hereto that such Borrower takes all risks of the imposition of any such currency control or exchange regulations.</w:t>
      </w:r>
    </w:p>
    <w:p>
      <w:pPr>
        <w:spacing w:after="0" w:line="157" w:lineRule="exact"/>
        <w:rPr>
          <w:rFonts w:ascii="Arial" w:cs="Arial" w:eastAsia="Arial" w:hAnsi="Arial"/>
          <w:sz w:val="19"/>
          <w:szCs w:val="19"/>
          <w:color w:val="auto"/>
        </w:rPr>
      </w:pPr>
    </w:p>
    <w:p>
      <w:pPr>
        <w:jc w:val="both"/>
        <w:ind w:firstLine="1505"/>
        <w:spacing w:after="0" w:line="249" w:lineRule="auto"/>
        <w:tabs>
          <w:tab w:leader="none" w:pos="2160" w:val="left"/>
        </w:tabs>
        <w:numPr>
          <w:ilvl w:val="0"/>
          <w:numId w:val="277"/>
        </w:numPr>
        <w:rPr>
          <w:rFonts w:ascii="Arial" w:cs="Arial" w:eastAsia="Arial" w:hAnsi="Arial"/>
          <w:sz w:val="21"/>
          <w:szCs w:val="21"/>
          <w:color w:val="auto"/>
        </w:rPr>
      </w:pPr>
      <w:r>
        <w:rPr>
          <w:rFonts w:ascii="Arial" w:cs="Arial" w:eastAsia="Arial" w:hAnsi="Arial"/>
          <w:sz w:val="21"/>
          <w:szCs w:val="21"/>
          <w:color w:val="auto"/>
        </w:rPr>
        <w:t>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3" w:name="page264"/>
    <w:bookmarkEnd w:id="263"/>
    <w:p>
      <w:pPr>
        <w:jc w:val="both"/>
        <w:ind w:firstLine="1505"/>
        <w:spacing w:after="0" w:line="271" w:lineRule="auto"/>
        <w:tabs>
          <w:tab w:leader="none" w:pos="2177" w:val="left"/>
        </w:tabs>
        <w:numPr>
          <w:ilvl w:val="0"/>
          <w:numId w:val="278"/>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 off or counterclaim or otherwise, obtain payment in respect of any principal of or interest on any of its Revolving Loans or participations in Swingline Loans resulting in such Lender receiving payment of a greater proportion of the aggregate amount of its Revolving Loans and participations in Swingline Loans and accrued interest thereon than the proportion received by any other Lender, then the Lender receiving such greater proportion shall purchase (for cash at face value) participations in the Revolving Loans and participations in Swingline Loans of other Lenders to the extent necessary so that the benefit of all such payments shall be shared by the Lenders ratably in accordance with the aggregate amount of principal of and accrued interest on their respective Revolving Loans and participations in Swingline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to any assignee or participant, other than to any Loan Party or any Subsidiary or Affiliate thereof (as to which the provisions of this paragraph shall apply). 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56" w:lineRule="exact"/>
        <w:rPr>
          <w:rFonts w:ascii="Arial" w:cs="Arial" w:eastAsia="Arial" w:hAnsi="Arial"/>
          <w:sz w:val="19"/>
          <w:szCs w:val="19"/>
          <w:color w:val="auto"/>
        </w:rPr>
      </w:pPr>
    </w:p>
    <w:p>
      <w:pPr>
        <w:jc w:val="both"/>
        <w:ind w:firstLine="1505"/>
        <w:spacing w:after="0" w:line="275" w:lineRule="auto"/>
        <w:tabs>
          <w:tab w:leader="none" w:pos="2194" w:val="left"/>
        </w:tabs>
        <w:numPr>
          <w:ilvl w:val="0"/>
          <w:numId w:val="278"/>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any Borrower prior to the date on which any payment is due to the Administrative Agent for the account of the Lenders hereunder that such Borrower will not make such payment, the Administrative Agent may assume that such Borrower has made such payment on such date in accordance herewith and may, in reliance upon such assumption, distribute to the Lenders the amount due. In such event, if such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applicable Overnight Rate and a rate determined by the Administrative Agent in accordance with banking industry rules on interbank compensation.</w:t>
      </w:r>
    </w:p>
    <w:p>
      <w:pPr>
        <w:spacing w:after="0" w:line="157" w:lineRule="exact"/>
        <w:rPr>
          <w:rFonts w:ascii="Arial" w:cs="Arial" w:eastAsia="Arial" w:hAnsi="Arial"/>
          <w:sz w:val="19"/>
          <w:szCs w:val="19"/>
          <w:color w:val="auto"/>
        </w:rPr>
      </w:pPr>
    </w:p>
    <w:p>
      <w:pPr>
        <w:jc w:val="both"/>
        <w:ind w:firstLine="1505"/>
        <w:spacing w:after="0" w:line="246" w:lineRule="auto"/>
        <w:tabs>
          <w:tab w:leader="none" w:pos="2187" w:val="left"/>
        </w:tabs>
        <w:numPr>
          <w:ilvl w:val="0"/>
          <w:numId w:val="278"/>
        </w:numPr>
        <w:rPr>
          <w:rFonts w:ascii="Arial" w:cs="Arial" w:eastAsia="Arial" w:hAnsi="Arial"/>
          <w:sz w:val="21"/>
          <w:szCs w:val="21"/>
          <w:color w:val="auto"/>
        </w:rPr>
      </w:pPr>
      <w:r>
        <w:rPr>
          <w:rFonts w:ascii="Arial" w:cs="Arial" w:eastAsia="Arial" w:hAnsi="Arial"/>
          <w:sz w:val="21"/>
          <w:szCs w:val="21"/>
          <w:color w:val="auto"/>
        </w:rPr>
        <w:t xml:space="preserve">If any Lender shall fail to make any payment required to be made by it pursuant to </w:t>
      </w:r>
      <w:r>
        <w:rPr>
          <w:rFonts w:ascii="Arial" w:cs="Arial" w:eastAsia="Arial" w:hAnsi="Arial"/>
          <w:sz w:val="21"/>
          <w:szCs w:val="21"/>
          <w:u w:val="single" w:color="auto"/>
          <w:color w:val="auto"/>
        </w:rPr>
        <w:t>Section 2.05(d)</w:t>
      </w:r>
      <w:r>
        <w:rPr>
          <w:rFonts w:ascii="Arial" w:cs="Arial" w:eastAsia="Arial" w:hAnsi="Arial"/>
          <w:sz w:val="21"/>
          <w:szCs w:val="21"/>
          <w:color w:val="auto"/>
        </w:rPr>
        <w:t xml:space="preserve">, </w:t>
      </w:r>
      <w:r>
        <w:rPr>
          <w:rFonts w:ascii="Arial" w:cs="Arial" w:eastAsia="Arial" w:hAnsi="Arial"/>
          <w:sz w:val="21"/>
          <w:szCs w:val="21"/>
          <w:u w:val="single" w:color="auto"/>
          <w:color w:val="auto"/>
        </w:rPr>
        <w:t>2.07(b)</w:t>
      </w:r>
      <w:r>
        <w:rPr>
          <w:rFonts w:ascii="Arial" w:cs="Arial" w:eastAsia="Arial" w:hAnsi="Arial"/>
          <w:sz w:val="21"/>
          <w:szCs w:val="21"/>
          <w:color w:val="auto"/>
        </w:rPr>
        <w:t xml:space="preserve">, </w:t>
      </w:r>
      <w:r>
        <w:rPr>
          <w:rFonts w:ascii="Arial" w:cs="Arial" w:eastAsia="Arial" w:hAnsi="Arial"/>
          <w:sz w:val="21"/>
          <w:szCs w:val="21"/>
          <w:u w:val="single" w:color="auto"/>
          <w:color w:val="auto"/>
        </w:rPr>
        <w:t>2.18(d)</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10.03(c)</w:t>
      </w:r>
      <w:r>
        <w:rPr>
          <w:rFonts w:ascii="Arial" w:cs="Arial" w:eastAsia="Arial" w:hAnsi="Arial"/>
          <w:sz w:val="21"/>
          <w:szCs w:val="21"/>
          <w:color w:val="auto"/>
        </w:rPr>
        <w:t xml:space="preserve">, then the Administrative Agent may, in its discretion and notwithstanding any contrary provision hereof, (i) apply any amounts thereafter received by the Administrative Agent for the account of such Lender to satisfy such Lender’s obligations under such Sections until all such unsatisfied obligations are fully paid, and/or (ii) hold such amounts in a segregated account over which the Administrative Agent shall have exclusive control as cash collateral for, and application to, any future funding obligations of such Lender under any such Section, in the case of each of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above, in any order as determined by the Administrative Agent in its discretion.</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2.19 </w:t>
      </w:r>
      <w:r>
        <w:rPr>
          <w:rFonts w:ascii="Arial" w:cs="Arial" w:eastAsia="Arial" w:hAnsi="Arial"/>
          <w:sz w:val="22"/>
          <w:szCs w:val="22"/>
          <w:u w:val="single" w:color="auto"/>
          <w:color w:val="auto"/>
        </w:rPr>
        <w:t>Mitigation Obligations; Replacement of Lenders</w:t>
      </w:r>
      <w:r>
        <w:rPr>
          <w:rFonts w:ascii="Arial" w:cs="Arial" w:eastAsia="Arial" w:hAnsi="Arial"/>
          <w:sz w:val="22"/>
          <w:szCs w:val="22"/>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4" w:name="page265"/>
    <w:bookmarkEnd w:id="264"/>
    <w:p>
      <w:pPr>
        <w:jc w:val="both"/>
        <w:ind w:firstLine="1505"/>
        <w:spacing w:after="0" w:line="275" w:lineRule="auto"/>
        <w:tabs>
          <w:tab w:leader="none" w:pos="2193" w:val="left"/>
        </w:tabs>
        <w:numPr>
          <w:ilvl w:val="0"/>
          <w:numId w:val="279"/>
        </w:numPr>
        <w:rPr>
          <w:rFonts w:ascii="Arial" w:cs="Arial" w:eastAsia="Arial" w:hAnsi="Arial"/>
          <w:sz w:val="19"/>
          <w:szCs w:val="19"/>
          <w:color w:val="auto"/>
        </w:rPr>
      </w:pPr>
      <w:r>
        <w:rPr>
          <w:rFonts w:ascii="Arial" w:cs="Arial" w:eastAsia="Arial" w:hAnsi="Arial"/>
          <w:sz w:val="19"/>
          <w:szCs w:val="19"/>
          <w:color w:val="auto"/>
        </w:rPr>
        <w:t xml:space="preserve">If any Lender requests compensation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if any Borrower is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as the case may be, in the future and (ii) would not subject such Lender to any unreimbursed cost or expense and would not otherwise be disadvantageous to such Lender. The applicable Borrower hereby agrees to pay all reasonable costs and expenses incurred by any Lender in connection with any such designation or assignment.</w:t>
      </w:r>
    </w:p>
    <w:p>
      <w:pPr>
        <w:spacing w:after="0" w:line="157" w:lineRule="exact"/>
        <w:rPr>
          <w:rFonts w:ascii="Arial" w:cs="Arial" w:eastAsia="Arial" w:hAnsi="Arial"/>
          <w:sz w:val="19"/>
          <w:szCs w:val="19"/>
          <w:color w:val="auto"/>
        </w:rPr>
      </w:pPr>
    </w:p>
    <w:p>
      <w:pPr>
        <w:jc w:val="both"/>
        <w:ind w:firstLine="1505"/>
        <w:spacing w:after="0" w:line="269" w:lineRule="auto"/>
        <w:tabs>
          <w:tab w:leader="none" w:pos="2184" w:val="left"/>
        </w:tabs>
        <w:numPr>
          <w:ilvl w:val="0"/>
          <w:numId w:val="279"/>
        </w:numPr>
        <w:rPr>
          <w:rFonts w:ascii="Arial" w:cs="Arial" w:eastAsia="Arial" w:hAnsi="Arial"/>
          <w:sz w:val="19"/>
          <w:szCs w:val="19"/>
          <w:color w:val="auto"/>
        </w:rPr>
      </w:pPr>
      <w:r>
        <w:rPr>
          <w:rFonts w:ascii="Arial" w:cs="Arial" w:eastAsia="Arial" w:hAnsi="Arial"/>
          <w:sz w:val="19"/>
          <w:szCs w:val="19"/>
          <w:color w:val="auto"/>
        </w:rPr>
        <w:t xml:space="preserve">If (i) any Lender requests compensation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(ii) any Borrower is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or (iii) any Lender becomes a Defaulting Lender, then the Company, on behalf of the Borrowers,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all its interests, rights (other than its existing rights to payments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obligations under the Loan Documents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Company, on behalf of the Borrowers, shall have received the prior written consent of the Administrative Agent (and if a Commitment is being assigned, the Swingline Lenders), which consent shall not unreasonably be withheld, (y) such Lender shall have received payment of an amount equal to the outstanding principal of its Loans and participations in Swingline Loans, accrued interest thereon, accrued fees and all other amounts payable to it hereunder, from the assignee (to the extent of such outstanding principal and accrued interest and fees) or the Borrowers (in the case of all other amounts) and (z) in the case of any such assignment resulting from a claim for compensation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Each party hereto agrees that (i) an assignment required pursuant to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may be effected pursuant to an Assignment and Assumption executed by the Company, on behalf of the Borrowers, the Administrative Agent and the assignee (or, to the extent applicable, an agreement incorporating an Assignment and Assumption by reference pursuant to a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documents shall be without recourse to or warranty by the parties thereto.</w:t>
      </w:r>
    </w:p>
    <w:p>
      <w:pPr>
        <w:spacing w:after="0" w:line="200" w:lineRule="exact"/>
        <w:rPr>
          <w:sz w:val="20"/>
          <w:szCs w:val="20"/>
          <w:color w:val="auto"/>
        </w:rPr>
      </w:pPr>
    </w:p>
    <w:p>
      <w:pPr>
        <w:spacing w:after="0" w:line="216" w:lineRule="exact"/>
        <w:rPr>
          <w:sz w:val="20"/>
          <w:szCs w:val="20"/>
          <w:color w:val="auto"/>
        </w:rPr>
      </w:pPr>
    </w:p>
    <w:p>
      <w:pPr>
        <w:ind w:firstLine="749"/>
        <w:spacing w:after="0" w:line="328" w:lineRule="auto"/>
        <w:rPr>
          <w:sz w:val="20"/>
          <w:szCs w:val="20"/>
          <w:color w:val="auto"/>
        </w:rPr>
      </w:pPr>
      <w:r>
        <w:rPr>
          <w:rFonts w:ascii="Arial" w:cs="Arial" w:eastAsia="Arial" w:hAnsi="Arial"/>
          <w:sz w:val="19"/>
          <w:szCs w:val="19"/>
          <w:color w:val="auto"/>
        </w:rPr>
        <w:t xml:space="preserve">SECTION 2.20 </w:t>
      </w:r>
      <w:r>
        <w:rPr>
          <w:rFonts w:ascii="Arial" w:cs="Arial" w:eastAsia="Arial" w:hAnsi="Arial"/>
          <w:sz w:val="19"/>
          <w:szCs w:val="19"/>
          <w:u w:val="single" w:color="auto"/>
          <w:color w:val="auto"/>
        </w:rPr>
        <w:t>Defaulting Lenders</w:t>
      </w:r>
      <w:r>
        <w:rPr>
          <w:rFonts w:ascii="Arial" w:cs="Arial" w:eastAsia="Arial" w:hAnsi="Arial"/>
          <w:sz w:val="19"/>
          <w:szCs w:val="19"/>
          <w:color w:val="auto"/>
        </w:rPr>
        <w:t>. Notwithstanding any provision of this Agreement to the contrary, if any Lender becomes a Defaulting Lender, then the following provisions shall apply for so long as such Lender is a Defaulting Lender: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5" w:name="page266"/>
    <w:bookmarkEnd w:id="265"/>
    <w:p>
      <w:pPr>
        <w:ind w:left="2160" w:hanging="655"/>
        <w:spacing w:after="0"/>
        <w:tabs>
          <w:tab w:leader="none" w:pos="216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 xml:space="preserve">fees shall cease to accrue on the Commitment of such Defaulting Lender pursuant to </w:t>
      </w:r>
      <w:r>
        <w:rPr>
          <w:rFonts w:ascii="Arial" w:cs="Arial" w:eastAsia="Arial" w:hAnsi="Arial"/>
          <w:sz w:val="19"/>
          <w:szCs w:val="19"/>
          <w:u w:val="single" w:color="auto"/>
          <w:color w:val="auto"/>
        </w:rPr>
        <w:t>Section 2.12(a)</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jc w:val="both"/>
        <w:ind w:firstLine="1505"/>
        <w:spacing w:after="0" w:line="269" w:lineRule="auto"/>
        <w:tabs>
          <w:tab w:leader="none" w:pos="2178" w:val="left"/>
        </w:tabs>
        <w:numPr>
          <w:ilvl w:val="0"/>
          <w:numId w:val="280"/>
        </w:numPr>
        <w:rPr>
          <w:rFonts w:ascii="Arial" w:cs="Arial" w:eastAsia="Arial" w:hAnsi="Arial"/>
          <w:sz w:val="19"/>
          <w:szCs w:val="19"/>
          <w:color w:val="auto"/>
        </w:rPr>
      </w:pPr>
      <w:r>
        <w:rPr>
          <w:rFonts w:ascii="Arial" w:cs="Arial" w:eastAsia="Arial" w:hAnsi="Arial"/>
          <w:sz w:val="19"/>
          <w:szCs w:val="19"/>
          <w:color w:val="auto"/>
        </w:rPr>
        <w:t xml:space="preserve">any payment of principal, interest, fees or other amounts received by the Administrative Agent for the account of such Defaulting Lender (whether voluntary or mandatory, at maturity, or otherwise) or received by the Administrative Agent from a Defaulting Lender pursuant to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Swingline Lender hereunder; third, as the Borrowers may request (so long as no Default or Event of Default exists), to the funding of any Loan in respect of which such Defaulting Lender has failed to fund its portion thereof as required by this Agreement, as determined by the Administrative Agent; fourth, if so determined by the Administrative Agent and the Borrowers, to be held in a deposit account and released pro rata in order to satisfy such Defaulting Lender’s potential future funding obligations with respect to Loans under this Agreement; fifth, to the payment of any amounts owing to the Lenders or Swingline Lenders as a result of any judgment of a court of competent jurisdiction obtained by any Lender or Swingline Lenders against such Defaulting Lender as a result of such Defaulting Lender’s breach of its obligations under this Agreement or under any other Loan Document; sixth,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or under any other Loan Document; and seventh,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or waived, such payment shall be applied solely to pay the Loans of all non-Defaulting Lenders on a pro rata basis prior to being applied to the payment of any Loans of such Defaulting Lender until such time as all Loans and funded and unfunded participations in the Borrowers’ obligations corresponding to such Defaulting Lender’s Swingline Loans are held by the Lenders pro rata in accordance with the Commitments without giving effect to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70" w:lineRule="exact"/>
        <w:rPr>
          <w:rFonts w:ascii="Arial" w:cs="Arial" w:eastAsia="Arial" w:hAnsi="Arial"/>
          <w:sz w:val="19"/>
          <w:szCs w:val="19"/>
          <w:color w:val="auto"/>
        </w:rPr>
      </w:pPr>
    </w:p>
    <w:p>
      <w:pPr>
        <w:jc w:val="both"/>
        <w:ind w:firstLine="1505"/>
        <w:spacing w:after="0" w:line="235" w:lineRule="auto"/>
        <w:tabs>
          <w:tab w:leader="none" w:pos="2189" w:val="left"/>
        </w:tabs>
        <w:numPr>
          <w:ilvl w:val="0"/>
          <w:numId w:val="280"/>
        </w:numPr>
        <w:rPr>
          <w:rFonts w:ascii="Arial" w:cs="Arial" w:eastAsia="Arial" w:hAnsi="Arial"/>
          <w:sz w:val="22"/>
          <w:szCs w:val="22"/>
          <w:color w:val="auto"/>
        </w:rPr>
      </w:pPr>
      <w:r>
        <w:rPr>
          <w:rFonts w:ascii="Arial" w:cs="Arial" w:eastAsia="Arial" w:hAnsi="Arial"/>
          <w:sz w:val="22"/>
          <w:szCs w:val="22"/>
          <w:color w:val="auto"/>
        </w:rPr>
        <w:t xml:space="preserve">the Commitment and Revolving Credit Exposure of such Defaulting Lender shall not be included in determining whether all Lenders or the Required Lenders have taken or may take any action hereunder (including any consent to any amendment, waiver or other modification pursuant to </w:t>
      </w:r>
      <w:r>
        <w:rPr>
          <w:rFonts w:ascii="Arial" w:cs="Arial" w:eastAsia="Arial" w:hAnsi="Arial"/>
          <w:sz w:val="22"/>
          <w:szCs w:val="22"/>
          <w:u w:val="single" w:color="auto"/>
          <w:color w:val="auto"/>
        </w:rPr>
        <w:t>Section 10.02</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waiver, amendment or other modification requiring the consent of all Lenders or each affected Lender which affects such Defaulting Lender disproportionately when compared to the other affected Lenders, or increases or extends the Commitment of such Defaulting Lender, shall require the consent of such Defaulting Lender;</w:t>
      </w:r>
    </w:p>
    <w:p>
      <w:pPr>
        <w:spacing w:after="0" w:line="187" w:lineRule="exact"/>
        <w:rPr>
          <w:rFonts w:ascii="Arial" w:cs="Arial" w:eastAsia="Arial" w:hAnsi="Arial"/>
          <w:sz w:val="22"/>
          <w:szCs w:val="22"/>
          <w:color w:val="auto"/>
        </w:rPr>
      </w:pPr>
    </w:p>
    <w:p>
      <w:pPr>
        <w:ind w:left="2160" w:hanging="655"/>
        <w:spacing w:after="0"/>
        <w:tabs>
          <w:tab w:leader="none" w:pos="216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if any Swingline Exposure exists at the time such Lender becomes a Defaulting Lender then: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6" w:name="page267"/>
    <w:bookmarkEnd w:id="266"/>
    <w:p>
      <w:pPr>
        <w:jc w:val="both"/>
        <w:ind w:left="2260" w:hanging="754"/>
        <w:spacing w:after="0" w:line="270" w:lineRule="auto"/>
        <w:tabs>
          <w:tab w:leader="none" w:pos="2284" w:val="left"/>
        </w:tabs>
        <w:numPr>
          <w:ilvl w:val="0"/>
          <w:numId w:val="281"/>
        </w:numPr>
        <w:rPr>
          <w:rFonts w:ascii="Arial" w:cs="Arial" w:eastAsia="Arial" w:hAnsi="Arial"/>
          <w:sz w:val="19"/>
          <w:szCs w:val="19"/>
          <w:color w:val="auto"/>
        </w:rPr>
      </w:pPr>
      <w:r>
        <w:rPr>
          <w:rFonts w:ascii="Arial" w:cs="Arial" w:eastAsia="Arial" w:hAnsi="Arial"/>
          <w:sz w:val="19"/>
          <w:szCs w:val="19"/>
          <w:color w:val="auto"/>
        </w:rPr>
        <w:t xml:space="preserve">all or any part of the Swingline Exposure of such Defaulting Lender (other than the portion of such Swingline Exposure referred to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the definition of such term) shall be reallocated among the non-Defaulting Lenders in accordance with their respective Applicable Percentages but only (A) to the extent that the sum of all non-Defaulting Lenders’ Revolving Credit Exposures plus such Defaulting Lender’s Swingline Exposure does not exceed the total of all non-Defaulting Lenders’ Commitments,</w:t>
      </w:r>
    </w:p>
    <w:p>
      <w:pPr>
        <w:spacing w:after="0" w:line="4" w:lineRule="exact"/>
        <w:rPr>
          <w:rFonts w:ascii="Arial" w:cs="Arial" w:eastAsia="Arial" w:hAnsi="Arial"/>
          <w:sz w:val="19"/>
          <w:szCs w:val="19"/>
          <w:color w:val="auto"/>
        </w:rPr>
      </w:pPr>
    </w:p>
    <w:p>
      <w:pPr>
        <w:jc w:val="both"/>
        <w:ind w:left="2260" w:hanging="6"/>
        <w:spacing w:after="0" w:line="234" w:lineRule="auto"/>
        <w:tabs>
          <w:tab w:leader="none" w:pos="2638" w:val="left"/>
        </w:tabs>
        <w:numPr>
          <w:ilvl w:val="2"/>
          <w:numId w:val="281"/>
        </w:numPr>
        <w:rPr>
          <w:rFonts w:ascii="Arial" w:cs="Arial" w:eastAsia="Arial" w:hAnsi="Arial"/>
          <w:sz w:val="22"/>
          <w:szCs w:val="22"/>
          <w:color w:val="auto"/>
        </w:rPr>
      </w:pPr>
      <w:r>
        <w:rPr>
          <w:rFonts w:ascii="Arial" w:cs="Arial" w:eastAsia="Arial" w:hAnsi="Arial"/>
          <w:sz w:val="22"/>
          <w:szCs w:val="22"/>
          <w:color w:val="auto"/>
        </w:rPr>
        <w:t xml:space="preserve">to the extent that such reallocation does not cause the Revolving Credit Exposure of any non-Defaulting Lender to exceed such non-Defaulting Lender’s Commitment, and (C) if the conditions set forth in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are satisfied at such time; and</w:t>
      </w:r>
    </w:p>
    <w:p>
      <w:pPr>
        <w:spacing w:after="0" w:line="187" w:lineRule="exact"/>
        <w:rPr>
          <w:rFonts w:ascii="Arial" w:cs="Arial" w:eastAsia="Arial" w:hAnsi="Arial"/>
          <w:sz w:val="22"/>
          <w:szCs w:val="22"/>
          <w:color w:val="auto"/>
        </w:rPr>
      </w:pPr>
    </w:p>
    <w:p>
      <w:pPr>
        <w:jc w:val="both"/>
        <w:ind w:left="2260" w:hanging="754"/>
        <w:spacing w:after="0"/>
        <w:tabs>
          <w:tab w:leader="none" w:pos="2265" w:val="left"/>
        </w:tabs>
        <w:numPr>
          <w:ilvl w:val="1"/>
          <w:numId w:val="281"/>
        </w:numPr>
        <w:rPr>
          <w:rFonts w:ascii="Arial" w:cs="Arial" w:eastAsia="Arial" w:hAnsi="Arial"/>
          <w:sz w:val="22"/>
          <w:szCs w:val="22"/>
          <w:color w:val="auto"/>
        </w:rPr>
      </w:pPr>
      <w:r>
        <w:rPr>
          <w:rFonts w:ascii="Arial" w:cs="Arial" w:eastAsia="Arial" w:hAnsi="Arial"/>
          <w:sz w:val="22"/>
          <w:szCs w:val="22"/>
          <w:color w:val="auto"/>
        </w:rPr>
        <w:t xml:space="preserve">if the reallocation described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above cannot, or can only partially, be effected, the Borrowers shall within one (1) Business Day following notice by the Administrative Agent prepay such Swingline Exposure;</w:t>
      </w:r>
    </w:p>
    <w:p>
      <w:pPr>
        <w:spacing w:after="0" w:line="186" w:lineRule="exact"/>
        <w:rPr>
          <w:rFonts w:ascii="Arial" w:cs="Arial" w:eastAsia="Arial" w:hAnsi="Arial"/>
          <w:sz w:val="22"/>
          <w:szCs w:val="22"/>
          <w:color w:val="auto"/>
        </w:rPr>
      </w:pPr>
    </w:p>
    <w:p>
      <w:pPr>
        <w:jc w:val="both"/>
        <w:ind w:firstLine="1505"/>
        <w:spacing w:after="0"/>
        <w:tabs>
          <w:tab w:leader="none" w:pos="2197" w:val="left"/>
        </w:tabs>
        <w:numPr>
          <w:ilvl w:val="0"/>
          <w:numId w:val="282"/>
        </w:numPr>
        <w:rPr>
          <w:rFonts w:ascii="Arial" w:cs="Arial" w:eastAsia="Arial" w:hAnsi="Arial"/>
          <w:sz w:val="22"/>
          <w:szCs w:val="22"/>
          <w:color w:val="auto"/>
        </w:rPr>
      </w:pPr>
      <w:r>
        <w:rPr>
          <w:rFonts w:ascii="Arial" w:cs="Arial" w:eastAsia="Arial" w:hAnsi="Arial"/>
          <w:sz w:val="22"/>
          <w:szCs w:val="22"/>
          <w:color w:val="auto"/>
        </w:rPr>
        <w:t>so long as such Lender is a Defaulting Lender, no Swingline Lender shall be required to fund any Swingline Loan unless it is satisfied that the related exposure will be one hundred percent (100%) covered by the Commitments of the non-Defaulting Lenders;</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the event that the Administrative Agent, the Company, on behalf of the Borrowers, and each Swingline Lender each agrees that a Defaulting Lender has adequately remedied all matters that caused such Lender to be a Defaulting Lender, then the Swingline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2.21 </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SECTION 2.22 </w:t>
      </w:r>
      <w:r>
        <w:rPr>
          <w:rFonts w:ascii="Arial" w:cs="Arial" w:eastAsia="Arial" w:hAnsi="Arial"/>
          <w:sz w:val="19"/>
          <w:szCs w:val="19"/>
          <w:u w:val="single" w:color="auto"/>
          <w:color w:val="auto"/>
        </w:rPr>
        <w:t>Judgment Currency</w:t>
      </w:r>
      <w:r>
        <w:rPr>
          <w:rFonts w:ascii="Arial" w:cs="Arial" w:eastAsia="Arial" w:hAnsi="Arial"/>
          <w:sz w:val="19"/>
          <w:szCs w:val="19"/>
          <w:color w:val="auto"/>
        </w:rPr>
        <w:t>. If, for the purposes of obtaining judgment in any court, it is necessary to convert a sum due from any Borrower hereunder in the currency expressed to be payable herein (the “</w:t>
      </w:r>
      <w:r>
        <w:rPr>
          <w:rFonts w:ascii="Arial" w:cs="Arial" w:eastAsia="Arial" w:hAnsi="Arial"/>
          <w:sz w:val="19"/>
          <w:szCs w:val="19"/>
          <w:b w:val="1"/>
          <w:bCs w:val="1"/>
          <w:i w:val="1"/>
          <w:iCs w:val="1"/>
          <w:color w:val="auto"/>
        </w:rPr>
        <w:t>specified currency</w:t>
      </w:r>
      <w:r>
        <w:rPr>
          <w:rFonts w:ascii="Arial" w:cs="Arial" w:eastAsia="Arial" w:hAnsi="Arial"/>
          <w:sz w:val="19"/>
          <w:szCs w:val="19"/>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any Borrower in respect of any sum due to any Credit Party hereunder shall, notwithstanding any judgment in a currency other than the specified currency, be discharged only to the extent that on the Business Day following receipt by such Credit Party of any sum adjudged to be so due in such other currency such Credit Party may in accordance with normal, reasonable banking procedures purchase the specified currency with such other currency. If the amount of the specified currency so purchased is less than the sum originally due to such Credit Party in the specified currency, the applicable Borrower agrees, to the fullest extent that it may effectively do so, as a separate obligation and notwithstanding any such judgment, to indemnify such Credit Party against such loss, and if the amount of the specified currency so purchased exceeds (a) the sum originally due to any Credit Party in the specified currency and (b) any amounts shared with other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7" w:name="page268"/>
    <w:bookmarkEnd w:id="267"/>
    <w:p>
      <w:pPr>
        <w:spacing w:after="0" w:line="250" w:lineRule="auto"/>
        <w:rPr>
          <w:sz w:val="20"/>
          <w:szCs w:val="20"/>
          <w:color w:val="auto"/>
        </w:rPr>
      </w:pPr>
      <w:r>
        <w:rPr>
          <w:rFonts w:ascii="Arial" w:cs="Arial" w:eastAsia="Arial" w:hAnsi="Arial"/>
          <w:sz w:val="22"/>
          <w:szCs w:val="22"/>
          <w:color w:val="auto"/>
        </w:rPr>
        <w:t xml:space="preserve">Lenders as a result of allocations of such excess as a disproportionate payment to such Lender under </w:t>
      </w:r>
      <w:r>
        <w:rPr>
          <w:rFonts w:ascii="Arial" w:cs="Arial" w:eastAsia="Arial" w:hAnsi="Arial"/>
          <w:sz w:val="22"/>
          <w:szCs w:val="22"/>
          <w:u w:val="single" w:color="auto"/>
          <w:color w:val="auto"/>
        </w:rPr>
        <w:t>Section 2.18</w:t>
      </w:r>
      <w:r>
        <w:rPr>
          <w:rFonts w:ascii="Arial" w:cs="Arial" w:eastAsia="Arial" w:hAnsi="Arial"/>
          <w:sz w:val="22"/>
          <w:szCs w:val="22"/>
          <w:color w:val="auto"/>
        </w:rPr>
        <w:t>, such Credit Party agrees to remit such excess to such Borrower.</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2.23 </w:t>
      </w:r>
      <w:r>
        <w:rPr>
          <w:rFonts w:ascii="Arial" w:cs="Arial" w:eastAsia="Arial" w:hAnsi="Arial"/>
          <w:sz w:val="22"/>
          <w:szCs w:val="22"/>
          <w:u w:val="single" w:color="auto"/>
          <w:color w:val="auto"/>
        </w:rPr>
        <w:t>Designated Borrowers</w:t>
      </w:r>
      <w:r>
        <w:rPr>
          <w:rFonts w:ascii="Arial" w:cs="Arial" w:eastAsia="Arial" w:hAnsi="Arial"/>
          <w:sz w:val="22"/>
          <w:szCs w:val="22"/>
          <w:color w:val="auto"/>
        </w:rPr>
        <w:t>.</w:t>
      </w:r>
    </w:p>
    <w:p>
      <w:pPr>
        <w:spacing w:after="0" w:line="206" w:lineRule="exact"/>
        <w:rPr>
          <w:sz w:val="20"/>
          <w:szCs w:val="20"/>
          <w:color w:val="auto"/>
        </w:rPr>
      </w:pPr>
    </w:p>
    <w:p>
      <w:pPr>
        <w:ind w:left="2160" w:hanging="655"/>
        <w:spacing w:after="0"/>
        <w:tabs>
          <w:tab w:leader="none" w:pos="2160" w:val="left"/>
        </w:tabs>
        <w:numPr>
          <w:ilvl w:val="0"/>
          <w:numId w:val="283"/>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1505"/>
        <w:spacing w:after="0" w:line="269" w:lineRule="auto"/>
        <w:tabs>
          <w:tab w:leader="none" w:pos="2163" w:val="left"/>
        </w:tabs>
        <w:numPr>
          <w:ilvl w:val="0"/>
          <w:numId w:val="283"/>
        </w:numPr>
        <w:rPr>
          <w:rFonts w:ascii="Arial" w:cs="Arial" w:eastAsia="Arial" w:hAnsi="Arial"/>
          <w:sz w:val="19"/>
          <w:szCs w:val="19"/>
          <w:color w:val="auto"/>
        </w:rPr>
      </w:pPr>
      <w:r>
        <w:rPr>
          <w:rFonts w:ascii="Arial" w:cs="Arial" w:eastAsia="Arial" w:hAnsi="Arial"/>
          <w:sz w:val="19"/>
          <w:szCs w:val="19"/>
          <w:color w:val="auto"/>
        </w:rPr>
        <w:t>The Company may at any time, upon not less than fifteen (15) Business Days’ notice from the Company to the Administrative Agent (or such shorter period as may be agreed by the Administrative Agent in its sole discretion), designate any additional Subsidiary that the Company owns, directly or indirectly, greater than 90% of the Equity Interest of such Subsidiary (an “</w:t>
      </w:r>
      <w:r>
        <w:rPr>
          <w:rFonts w:ascii="Arial" w:cs="Arial" w:eastAsia="Arial" w:hAnsi="Arial"/>
          <w:sz w:val="19"/>
          <w:szCs w:val="19"/>
          <w:b w:val="1"/>
          <w:bCs w:val="1"/>
          <w:i w:val="1"/>
          <w:iCs w:val="1"/>
          <w:color w:val="auto"/>
        </w:rPr>
        <w:t>Applicant Borrower</w:t>
      </w:r>
      <w:r>
        <w:rPr>
          <w:rFonts w:ascii="Arial" w:cs="Arial" w:eastAsia="Arial" w:hAnsi="Arial"/>
          <w:sz w:val="19"/>
          <w:szCs w:val="19"/>
          <w:color w:val="auto"/>
        </w:rPr>
        <w:t xml:space="preserve">”), as a Designated Borrower to receive Revolving Loans hereunder by delivering to the Administrative Agent (which shall promptly deliver counterparts thereof to each Lender) a duly executed notice and agreement in substantially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 “</w:t>
      </w:r>
      <w:r>
        <w:rPr>
          <w:rFonts w:ascii="Arial" w:cs="Arial" w:eastAsia="Arial" w:hAnsi="Arial"/>
          <w:sz w:val="19"/>
          <w:szCs w:val="19"/>
          <w:b w:val="1"/>
          <w:bCs w:val="1"/>
          <w:i w:val="1"/>
          <w:iCs w:val="1"/>
          <w:color w:val="auto"/>
        </w:rPr>
        <w:t>Designated Borrower Request and Assumption Agreement</w:t>
      </w:r>
      <w:r>
        <w:rPr>
          <w:rFonts w:ascii="Arial" w:cs="Arial" w:eastAsia="Arial" w:hAnsi="Arial"/>
          <w:sz w:val="19"/>
          <w:szCs w:val="19"/>
          <w:color w:val="auto"/>
        </w:rPr>
        <w:t xml:space="preserve">”). The parties hereto acknowledge and agree that prior to any Applicant Borrower becoming entitled to utilize the credit facilities provided for herein the Administrative Agent and the Lenders shall have (i) received such supporting resolutions, incumbency certificates, opinions of counsel and other documents or information, in form, content and scope reasonably satisfactory to the Administrative Agent, as may be required by the Administrative Agent or the Required Lenders in their reasonable discretion, and (ii) received promissory notes signed by such new Borrowers to the extent any Lenders so require. Furthermore, no Subsidiary of the Company shall become a Designated Borrower if (i) any Lender is not licensed to make Loans to such Subsidiary in the jurisdiction of its organization or (ii) it is otherwise unlawful for such Subsidiary to become a Designated Borrower or for any Lender to make Loans to such Subsidiary as provided herein. No Lender shall be obligated to make Loans to any Applicant Borrower or Designated Borrower if making such Loans by such Lender would (i) be unlawful, or (ii) cause additional costs (including Taxes) to be incurred by such Lender that would not otherwise be reimbursable under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or the other provisions of this Agreement. If the foregoing conditions have been satisfied, then promptly following receipt of all such requested resolutions, incumbency certificates, opinions of counsel and other documents or information, the Administrative Agent shall send a notice in substantially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 “</w:t>
      </w:r>
      <w:r>
        <w:rPr>
          <w:rFonts w:ascii="Arial" w:cs="Arial" w:eastAsia="Arial" w:hAnsi="Arial"/>
          <w:sz w:val="19"/>
          <w:szCs w:val="19"/>
          <w:b w:val="1"/>
          <w:bCs w:val="1"/>
          <w:i w:val="1"/>
          <w:iCs w:val="1"/>
          <w:color w:val="auto"/>
        </w:rPr>
        <w:t>Designated Borrower Notice</w:t>
      </w:r>
      <w:r>
        <w:rPr>
          <w:rFonts w:ascii="Arial" w:cs="Arial" w:eastAsia="Arial" w:hAnsi="Arial"/>
          <w:sz w:val="19"/>
          <w:szCs w:val="19"/>
          <w:color w:val="auto"/>
        </w:rPr>
        <w:t xml:space="preserve">”) to the Company and the Lenders specifying the effective date upon which the Applicant Borrower shall constitute a Designated Borrower for purposes hereof, whereupon each of the Lenders agrees to permit such Designated Borrower to receive Revolving Loans hereunder, on the terms and conditions set forth herein, and each of the parties agrees that such Designated Borrower otherwise shall be a Borrower for all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Borrowing Request may be submitted on behalf of such Designated Borrower until the date that is five (5) Business Days after such effective date.</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505"/>
        <w:spacing w:after="0" w:line="235" w:lineRule="auto"/>
        <w:tabs>
          <w:tab w:leader="none" w:pos="2164" w:val="left"/>
        </w:tabs>
        <w:numPr>
          <w:ilvl w:val="0"/>
          <w:numId w:val="283"/>
        </w:numPr>
        <w:rPr>
          <w:rFonts w:ascii="Arial" w:cs="Arial" w:eastAsia="Arial" w:hAnsi="Arial"/>
          <w:sz w:val="22"/>
          <w:szCs w:val="22"/>
          <w:color w:val="auto"/>
        </w:rPr>
      </w:pPr>
      <w:r>
        <w:rPr>
          <w:rFonts w:ascii="Arial" w:cs="Arial" w:eastAsia="Arial" w:hAnsi="Arial"/>
          <w:sz w:val="22"/>
          <w:szCs w:val="22"/>
          <w:color w:val="auto"/>
        </w:rPr>
        <w:t xml:space="preserve">The Obligations of each Designated Borrower that is a Domestic Subsidiary shall be joint and several in nature regardless of which Designated Borrower that is a Domestic Subsidiary actually borrows Revolving Loans hereunder or the amount of such Revolving Loans borrowed or the manner in which the Administrative Agent or any Lender accounts for such Revolving Loans on its books and records. The Obligations of all Foreign Obligors shall be several in nature. All provisions in this Agreement and each other Loan Document shall be interpreted and applied consistently with this </w:t>
      </w:r>
      <w:r>
        <w:rPr>
          <w:rFonts w:ascii="Arial" w:cs="Arial" w:eastAsia="Arial" w:hAnsi="Arial"/>
          <w:sz w:val="22"/>
          <w:szCs w:val="22"/>
          <w:u w:val="single" w:color="auto"/>
          <w:color w:val="auto"/>
        </w:rPr>
        <w:t>Section 2.23(c)</w:t>
      </w:r>
      <w:r>
        <w:rPr>
          <w:rFonts w:ascii="Arial" w:cs="Arial" w:eastAsia="Arial" w:hAnsi="Arial"/>
          <w:sz w:val="22"/>
          <w:szCs w:val="22"/>
          <w:color w:val="auto"/>
        </w:rPr>
        <w:t>, and if and where other provisions of this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8" w:name="page269"/>
    <w:bookmarkEnd w:id="268"/>
    <w:p>
      <w:pPr>
        <w:spacing w:after="0" w:line="250" w:lineRule="auto"/>
        <w:rPr>
          <w:sz w:val="20"/>
          <w:szCs w:val="20"/>
          <w:color w:val="auto"/>
        </w:rPr>
      </w:pPr>
      <w:r>
        <w:rPr>
          <w:rFonts w:ascii="Arial" w:cs="Arial" w:eastAsia="Arial" w:hAnsi="Arial"/>
          <w:sz w:val="22"/>
          <w:szCs w:val="22"/>
          <w:color w:val="auto"/>
        </w:rPr>
        <w:t xml:space="preserve">Agreement or any other Loan Document conflict with the provisions of this </w:t>
      </w:r>
      <w:r>
        <w:rPr>
          <w:rFonts w:ascii="Arial" w:cs="Arial" w:eastAsia="Arial" w:hAnsi="Arial"/>
          <w:sz w:val="22"/>
          <w:szCs w:val="22"/>
          <w:u w:val="single" w:color="auto"/>
          <w:color w:val="auto"/>
        </w:rPr>
        <w:t>Section 2.23(c)</w:t>
      </w:r>
      <w:r>
        <w:rPr>
          <w:rFonts w:ascii="Arial" w:cs="Arial" w:eastAsia="Arial" w:hAnsi="Arial"/>
          <w:sz w:val="22"/>
          <w:szCs w:val="22"/>
          <w:color w:val="auto"/>
        </w:rPr>
        <w:t xml:space="preserve">, the provisions of this </w:t>
      </w:r>
      <w:r>
        <w:rPr>
          <w:rFonts w:ascii="Arial" w:cs="Arial" w:eastAsia="Arial" w:hAnsi="Arial"/>
          <w:sz w:val="22"/>
          <w:szCs w:val="22"/>
          <w:u w:val="single" w:color="auto"/>
          <w:color w:val="auto"/>
        </w:rPr>
        <w:t>Section 2.23(c)</w:t>
      </w:r>
      <w:r>
        <w:rPr>
          <w:rFonts w:ascii="Arial" w:cs="Arial" w:eastAsia="Arial" w:hAnsi="Arial"/>
          <w:sz w:val="22"/>
          <w:szCs w:val="22"/>
          <w:color w:val="auto"/>
        </w:rPr>
        <w:t xml:space="preserve"> shall apply.</w:t>
      </w:r>
    </w:p>
    <w:p>
      <w:pPr>
        <w:spacing w:after="0" w:line="175" w:lineRule="exact"/>
        <w:rPr>
          <w:sz w:val="20"/>
          <w:szCs w:val="20"/>
          <w:color w:val="auto"/>
        </w:rPr>
      </w:pPr>
    </w:p>
    <w:p>
      <w:pPr>
        <w:jc w:val="both"/>
        <w:ind w:firstLine="1505"/>
        <w:spacing w:after="0" w:line="275" w:lineRule="auto"/>
        <w:tabs>
          <w:tab w:leader="none" w:pos="2172" w:val="left"/>
        </w:tabs>
        <w:numPr>
          <w:ilvl w:val="0"/>
          <w:numId w:val="284"/>
        </w:numPr>
        <w:rPr>
          <w:rFonts w:ascii="Arial" w:cs="Arial" w:eastAsia="Arial" w:hAnsi="Arial"/>
          <w:sz w:val="19"/>
          <w:szCs w:val="19"/>
          <w:color w:val="auto"/>
        </w:rPr>
      </w:pPr>
      <w:r>
        <w:rPr>
          <w:rFonts w:ascii="Arial" w:cs="Arial" w:eastAsia="Arial" w:hAnsi="Arial"/>
          <w:sz w:val="19"/>
          <w:szCs w:val="19"/>
          <w:color w:val="auto"/>
        </w:rPr>
        <w:t xml:space="preserve">In accordance with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each Subsidiary that becomes a Designated Borrower pursuant to this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hereby irrevocably appoints the Company as its agent for all purposes relevant to the Loan Documents, including (i) the giving and receipt of notices and (ii) the execution and delivery of all documents, instruments and certificates contemplated herein and all modifications hereto.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Borrower.</w:t>
      </w:r>
    </w:p>
    <w:p>
      <w:pPr>
        <w:spacing w:after="0" w:line="157" w:lineRule="exact"/>
        <w:rPr>
          <w:rFonts w:ascii="Arial" w:cs="Arial" w:eastAsia="Arial" w:hAnsi="Arial"/>
          <w:sz w:val="19"/>
          <w:szCs w:val="19"/>
          <w:color w:val="auto"/>
        </w:rPr>
      </w:pPr>
    </w:p>
    <w:p>
      <w:pPr>
        <w:jc w:val="both"/>
        <w:ind w:firstLine="1505"/>
        <w:spacing w:after="0" w:line="235" w:lineRule="auto"/>
        <w:tabs>
          <w:tab w:leader="none" w:pos="2182" w:val="left"/>
        </w:tabs>
        <w:numPr>
          <w:ilvl w:val="0"/>
          <w:numId w:val="284"/>
        </w:numPr>
        <w:rPr>
          <w:rFonts w:ascii="Arial" w:cs="Arial" w:eastAsia="Arial" w:hAnsi="Arial"/>
          <w:sz w:val="22"/>
          <w:szCs w:val="22"/>
          <w:color w:val="auto"/>
        </w:rPr>
      </w:pPr>
      <w:r>
        <w:rPr>
          <w:rFonts w:ascii="Arial" w:cs="Arial" w:eastAsia="Arial" w:hAnsi="Arial"/>
          <w:sz w:val="22"/>
          <w:szCs w:val="22"/>
          <w:color w:val="auto"/>
        </w:rPr>
        <w:t xml:space="preserve">The Company may from time to time, upon not less than fifteen (15) Business Days’ notice from the Company to the Administrative Agent (or such shorter period as may be agreed by the Administrative Agent in its sole discretion), terminate a Designated Borrower’s status as such,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there are no outstanding Revolving Loans payable by such Designated Borrower, or other amounts payable by such Designated Borrower on account of any Revolving Loans made to it, as of the effective date of such termination. The Administrative Agent will promptly notify the Lenders of any such termination of a Designated Borrower’s status.</w:t>
      </w:r>
    </w:p>
    <w:p>
      <w:pPr>
        <w:spacing w:after="0" w:line="187" w:lineRule="exact"/>
        <w:rPr>
          <w:rFonts w:ascii="Arial" w:cs="Arial" w:eastAsia="Arial" w:hAnsi="Arial"/>
          <w:sz w:val="22"/>
          <w:szCs w:val="22"/>
          <w:color w:val="auto"/>
        </w:rPr>
      </w:pPr>
    </w:p>
    <w:p>
      <w:pPr>
        <w:jc w:val="both"/>
        <w:ind w:firstLine="1505"/>
        <w:spacing w:after="0" w:line="246" w:lineRule="auto"/>
        <w:tabs>
          <w:tab w:leader="none" w:pos="2188" w:val="left"/>
        </w:tabs>
        <w:numPr>
          <w:ilvl w:val="0"/>
          <w:numId w:val="284"/>
        </w:numPr>
        <w:rPr>
          <w:rFonts w:ascii="Arial" w:cs="Arial" w:eastAsia="Arial" w:hAnsi="Arial"/>
          <w:sz w:val="21"/>
          <w:szCs w:val="21"/>
          <w:color w:val="auto"/>
        </w:rPr>
      </w:pPr>
      <w:r>
        <w:rPr>
          <w:rFonts w:ascii="Arial" w:cs="Arial" w:eastAsia="Arial" w:hAnsi="Arial"/>
          <w:sz w:val="21"/>
          <w:szCs w:val="21"/>
          <w:color w:val="auto"/>
        </w:rPr>
        <w:t xml:space="preserve">If the selection of a particular Designated Borrower results (or is reasonably anticipated to result) in amounts becoming payable under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the Company, on behalf of the Borrowers, may make a written request to the Administrative Agent for an amendment to this Agreement that would create a separate tranche of Lenders to provide credit to such Designated Borrower in a manner that would eliminate or minimize amounts payable under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The Administrative Agent and the Lenders agree to consider such amendment request in good faith. The Company and the applicable Designated Borrower hereby agree to pay (or to cause the applicable Borrower to pay) all reasonable costs and expenses incurred by the Administrative Agent or any Lender in connection with any such amendment, subject to compliance by the Lenders with the applicable provisions of </w:t>
      </w:r>
      <w:r>
        <w:rPr>
          <w:rFonts w:ascii="Arial" w:cs="Arial" w:eastAsia="Arial" w:hAnsi="Arial"/>
          <w:sz w:val="21"/>
          <w:szCs w:val="21"/>
          <w:u w:val="single" w:color="auto"/>
          <w:color w:val="auto"/>
        </w:rPr>
        <w:t>Section 2.17(f)</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firstLine="1505"/>
        <w:spacing w:after="0" w:line="273" w:lineRule="auto"/>
        <w:tabs>
          <w:tab w:leader="none" w:pos="2170" w:val="left"/>
        </w:tabs>
        <w:numPr>
          <w:ilvl w:val="0"/>
          <w:numId w:val="284"/>
        </w:numPr>
        <w:rPr>
          <w:rFonts w:ascii="Arial" w:cs="Arial" w:eastAsia="Arial" w:hAnsi="Arial"/>
          <w:sz w:val="19"/>
          <w:szCs w:val="19"/>
          <w:color w:val="auto"/>
        </w:rPr>
      </w:pPr>
      <w:r>
        <w:rPr>
          <w:rFonts w:ascii="Arial" w:cs="Arial" w:eastAsia="Arial" w:hAnsi="Arial"/>
          <w:sz w:val="19"/>
          <w:szCs w:val="19"/>
          <w:u w:val="single" w:color="auto"/>
          <w:color w:val="auto"/>
        </w:rPr>
        <w:t>Illegality</w:t>
      </w:r>
      <w:r>
        <w:rPr>
          <w:rFonts w:ascii="Arial" w:cs="Arial" w:eastAsia="Arial" w:hAnsi="Arial"/>
          <w:sz w:val="19"/>
          <w:szCs w:val="19"/>
          <w:color w:val="auto"/>
        </w:rPr>
        <w:t>. If, in any applicable jurisdiction, the Administrative Agent or any Lender determines that any law has made it unlawful, or that any Governmental Authority has asserted that it is unlawful, for the Administrative Agent or any Lender to (i) perform any of its obligations hereunder or under any other Loan Document, (ii) fund or maintain its participation in any Loan or (iii) issue, make, maintain, fund or charge interest with respect to any Loan, in each of the foregoing cases to any Designated Borrower who is organized under the laws of a jurisdiction other than the United States, a state thereof or the District of Columbia, such Person shall promptly notify the Administrative Agent, then, upon the Administrative Agent notifying the Company, and until such notice by such Person is revoked, any obligation of such Person to issue, make, maintain, fund or charge interest with respect to any such Loan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 Administrative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9" w:name="page270"/>
    <w:bookmarkEnd w:id="269"/>
    <w:p>
      <w:pPr>
        <w:jc w:val="both"/>
        <w:spacing w:after="0"/>
        <w:rPr>
          <w:sz w:val="20"/>
          <w:szCs w:val="20"/>
          <w:color w:val="auto"/>
        </w:rPr>
      </w:pPr>
      <w:r>
        <w:rPr>
          <w:rFonts w:ascii="Arial" w:cs="Arial" w:eastAsia="Arial" w:hAnsi="Arial"/>
          <w:sz w:val="22"/>
          <w:szCs w:val="22"/>
          <w:color w:val="auto"/>
        </w:rPr>
        <w:t>Agent has notified the Company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8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 xml:space="preserve">SECTION 2.24 </w:t>
      </w:r>
      <w:r>
        <w:rPr>
          <w:rFonts w:ascii="Arial" w:cs="Arial" w:eastAsia="Arial" w:hAnsi="Arial"/>
          <w:sz w:val="19"/>
          <w:szCs w:val="19"/>
          <w:u w:val="single" w:color="auto"/>
          <w:color w:val="auto"/>
        </w:rPr>
        <w:t>Designation of Company as the Agent for the Borrowers</w:t>
      </w:r>
      <w:r>
        <w:rPr>
          <w:rFonts w:ascii="Arial" w:cs="Arial" w:eastAsia="Arial" w:hAnsi="Arial"/>
          <w:sz w:val="19"/>
          <w:szCs w:val="19"/>
          <w:color w:val="auto"/>
        </w:rPr>
        <w:t>. For purposes of this Agreement, each of the Borrowers hereby designates the Company as its agent and representative for all purposes hereunder (including with respect to (i) any notices, demands, communications or requests under this Agreement or the other Loan Documents and (ii) the execution and delivery of all documents, instruments and certificates contemplated herein and all modifications hereto) and the Company hereby accepts each such appointment. The Administrative Agent and each Lender may regard any notice or other communication pursuant to any Loan Document from the Company as a notice or communication from all the Borrowers, and may give any notice or communication required or permitted to be given to any Borrower or the Borrowers hereunder to the Company on behalf of such Borrower or the Borrowers, with a copy to the applicable Borrower. Each Borrower agrees that each notice, election, representation and warranty, covenant, agreement and undertaking made on its behalf by the Company shall be deemed for all purposes to have been made by such Borrower and shall be binding upon and enforceable against such Borrower to the same extent as if the same had been made directly by such Borrower. The Borrowers hereby empower and authorize the Company,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Compliance Certificates. Each Borrower agrees that any action taken by the Company or the Borrowers in accordance with the terms of this Agreement or the other Loan Documents, and the exercise by the Company of its powers set forth therein or herein, together with such other powers that are reasonably incidental thereto, shall be binding upon all of the Borrowers.</w:t>
      </w:r>
    </w:p>
    <w:p>
      <w:pPr>
        <w:spacing w:after="0" w:line="200" w:lineRule="exact"/>
        <w:rPr>
          <w:sz w:val="20"/>
          <w:szCs w:val="20"/>
          <w:color w:val="auto"/>
        </w:rPr>
      </w:pP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2.25 </w:t>
      </w:r>
      <w:r>
        <w:rPr>
          <w:rFonts w:ascii="Arial" w:cs="Arial" w:eastAsia="Arial" w:hAnsi="Arial"/>
          <w:sz w:val="22"/>
          <w:szCs w:val="22"/>
          <w:u w:val="single" w:color="auto"/>
          <w:color w:val="auto"/>
        </w:rPr>
        <w:t>Foreign Obligor Obligations</w:t>
      </w:r>
      <w:r>
        <w:rPr>
          <w:rFonts w:ascii="Arial" w:cs="Arial" w:eastAsia="Arial" w:hAnsi="Arial"/>
          <w:sz w:val="22"/>
          <w:szCs w:val="22"/>
          <w:color w:val="auto"/>
        </w:rPr>
        <w:t>. The obligations of each Foreign Obligor shall be several and not joint with respect to any other Foreign Obligor.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and Warranties</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The Company (and each Borrower, solely as to itself and solely with respect to </w:t>
      </w:r>
      <w:r>
        <w:rPr>
          <w:rFonts w:ascii="Arial" w:cs="Arial" w:eastAsia="Arial" w:hAnsi="Arial"/>
          <w:sz w:val="22"/>
          <w:szCs w:val="22"/>
          <w:u w:val="single" w:color="auto"/>
          <w:color w:val="auto"/>
        </w:rPr>
        <w:t>Sections 3.01</w:t>
      </w:r>
      <w:r>
        <w:rPr>
          <w:rFonts w:ascii="Arial" w:cs="Arial" w:eastAsia="Arial" w:hAnsi="Arial"/>
          <w:sz w:val="22"/>
          <w:szCs w:val="22"/>
          <w:color w:val="auto"/>
        </w:rPr>
        <w:t xml:space="preserve">, </w:t>
      </w:r>
      <w:r>
        <w:rPr>
          <w:rFonts w:ascii="Arial" w:cs="Arial" w:eastAsia="Arial" w:hAnsi="Arial"/>
          <w:sz w:val="22"/>
          <w:szCs w:val="22"/>
          <w:u w:val="single" w:color="auto"/>
          <w:color w:val="auto"/>
        </w:rPr>
        <w:t>3.02</w:t>
      </w:r>
      <w:r>
        <w:rPr>
          <w:rFonts w:ascii="Arial" w:cs="Arial" w:eastAsia="Arial" w:hAnsi="Arial"/>
          <w:sz w:val="22"/>
          <w:szCs w:val="22"/>
          <w:color w:val="auto"/>
        </w:rPr>
        <w:t xml:space="preserve">, </w:t>
      </w:r>
      <w:r>
        <w:rPr>
          <w:rFonts w:ascii="Arial" w:cs="Arial" w:eastAsia="Arial" w:hAnsi="Arial"/>
          <w:sz w:val="22"/>
          <w:szCs w:val="22"/>
          <w:u w:val="single" w:color="auto"/>
          <w:color w:val="auto"/>
        </w:rPr>
        <w:t>3.03</w:t>
      </w:r>
      <w:r>
        <w:rPr>
          <w:rFonts w:ascii="Arial" w:cs="Arial" w:eastAsia="Arial" w:hAnsi="Arial"/>
          <w:sz w:val="22"/>
          <w:szCs w:val="22"/>
          <w:color w:val="auto"/>
        </w:rPr>
        <w:t xml:space="preserve">, </w:t>
      </w:r>
      <w:r>
        <w:rPr>
          <w:rFonts w:ascii="Arial" w:cs="Arial" w:eastAsia="Arial" w:hAnsi="Arial"/>
          <w:sz w:val="22"/>
          <w:szCs w:val="22"/>
          <w:u w:val="single" w:color="auto"/>
          <w:color w:val="auto"/>
        </w:rPr>
        <w:t>3.06(b)</w:t>
      </w:r>
      <w:r>
        <w:rPr>
          <w:rFonts w:ascii="Arial" w:cs="Arial" w:eastAsia="Arial" w:hAnsi="Arial"/>
          <w:sz w:val="22"/>
          <w:szCs w:val="22"/>
          <w:color w:val="auto"/>
        </w:rPr>
        <w:t xml:space="preserve">, </w:t>
      </w:r>
      <w:r>
        <w:rPr>
          <w:rFonts w:ascii="Arial" w:cs="Arial" w:eastAsia="Arial" w:hAnsi="Arial"/>
          <w:sz w:val="22"/>
          <w:szCs w:val="22"/>
          <w:u w:val="single" w:color="auto"/>
          <w:color w:val="auto"/>
        </w:rPr>
        <w:t>3.12</w:t>
      </w:r>
      <w:r>
        <w:rPr>
          <w:rFonts w:ascii="Arial" w:cs="Arial" w:eastAsia="Arial" w:hAnsi="Arial"/>
          <w:sz w:val="22"/>
          <w:szCs w:val="22"/>
          <w:color w:val="auto"/>
        </w:rPr>
        <w:t xml:space="preserve">, </w:t>
      </w:r>
      <w:r>
        <w:rPr>
          <w:rFonts w:ascii="Arial" w:cs="Arial" w:eastAsia="Arial" w:hAnsi="Arial"/>
          <w:sz w:val="22"/>
          <w:szCs w:val="22"/>
          <w:u w:val="single" w:color="auto"/>
          <w:color w:val="auto"/>
        </w:rPr>
        <w:t>3.13</w:t>
      </w:r>
      <w:r>
        <w:rPr>
          <w:rFonts w:ascii="Arial" w:cs="Arial" w:eastAsia="Arial" w:hAnsi="Arial"/>
          <w:sz w:val="22"/>
          <w:szCs w:val="22"/>
          <w:color w:val="auto"/>
        </w:rPr>
        <w:t xml:space="preserve">, </w:t>
      </w:r>
      <w:r>
        <w:rPr>
          <w:rFonts w:ascii="Arial" w:cs="Arial" w:eastAsia="Arial" w:hAnsi="Arial"/>
          <w:sz w:val="22"/>
          <w:szCs w:val="22"/>
          <w:u w:val="single" w:color="auto"/>
          <w:color w:val="auto"/>
        </w:rPr>
        <w:t>3.15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3.16</w:t>
      </w:r>
      <w:r>
        <w:rPr>
          <w:rFonts w:ascii="Arial" w:cs="Arial" w:eastAsia="Arial" w:hAnsi="Arial"/>
          <w:sz w:val="22"/>
          <w:szCs w:val="22"/>
          <w:color w:val="auto"/>
        </w:rPr>
        <w:t xml:space="preserve"> (solely with respect to the penultimate sentence therein and limited to such laws applicable to such Borrower individually and its Subsidiaries)) represents and warrants to the Lenders that:</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Organization; Powers</w:t>
      </w:r>
      <w:r>
        <w:rPr>
          <w:rFonts w:ascii="Arial" w:cs="Arial" w:eastAsia="Arial" w:hAnsi="Arial"/>
          <w:sz w:val="21"/>
          <w:szCs w:val="21"/>
          <w:color w:val="auto"/>
        </w:rPr>
        <w:t>. It (a) is duly organized or incorporated, validly existing and in good standing under the laws of the jurisdiction of its organization or incorporation,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qualified to do business in, and is licensed and in good standing under the laws of, every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0" w:name="page271"/>
    <w:bookmarkEnd w:id="270"/>
    <w:p>
      <w:pPr>
        <w:jc w:val="both"/>
        <w:spacing w:after="0" w:line="250" w:lineRule="auto"/>
        <w:rPr>
          <w:sz w:val="20"/>
          <w:szCs w:val="20"/>
          <w:color w:val="auto"/>
        </w:rPr>
      </w:pPr>
      <w:r>
        <w:rPr>
          <w:rFonts w:ascii="Arial" w:cs="Arial" w:eastAsia="Arial" w:hAnsi="Arial"/>
          <w:sz w:val="22"/>
          <w:szCs w:val="22"/>
          <w:color w:val="auto"/>
        </w:rPr>
        <w:t xml:space="preserve">jurisdiction where such qualification is required; except in each case referred to in </w:t>
      </w:r>
      <w:r>
        <w:rPr>
          <w:rFonts w:ascii="Arial" w:cs="Arial" w:eastAsia="Arial" w:hAnsi="Arial"/>
          <w:sz w:val="22"/>
          <w:szCs w:val="22"/>
          <w:u w:val="single" w:color="auto"/>
          <w:color w:val="auto"/>
        </w:rPr>
        <w:t>clause (b)(i)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to the extent that failure to do so could not reasonably be expected to have a Material Adverse Effect.</w:t>
      </w:r>
    </w:p>
    <w:p>
      <w:pPr>
        <w:spacing w:after="0" w:line="17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Authorization; Enforceability</w:t>
      </w:r>
      <w:r>
        <w:rPr>
          <w:rFonts w:ascii="Arial" w:cs="Arial" w:eastAsia="Arial" w:hAnsi="Arial"/>
          <w:sz w:val="22"/>
          <w:szCs w:val="22"/>
          <w:color w:val="auto"/>
        </w:rPr>
        <w:t>. The Transactions are within its corporate or other organizational powers and have been duly authorized by all necessary corporate or other organizational action and, if required, stockholder action. Each Loan Document has been duly executed and delivered by it and constitutes a legal, valid and binding obligation of it,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8"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u w:val="single" w:color="auto"/>
          <w:color w:val="auto"/>
        </w:rPr>
        <w:t>Governmental Approvals; No Conflicts</w:t>
      </w:r>
      <w:r>
        <w:rPr>
          <w:rFonts w:ascii="Arial" w:cs="Arial" w:eastAsia="Arial" w:hAnsi="Arial"/>
          <w:sz w:val="22"/>
          <w:szCs w:val="22"/>
          <w:color w:val="auto"/>
        </w:rPr>
        <w:t>. The Transactions do not and will not (a) require any consent or approval of, registration or filing with, or any other action by, any Governmental Authority (other than the required reporting to the Bank Indonesia by each Indonesian Borrower, which shall be obtained or completed prior to any applicable Indonesian Borrower submitting a Borrowing Request) or any other Person, (b) violate any applicable law, rule or regulation of any Governmental Authority or any Organization Document of it, and (c) conflict with or result in any material breach or contravention of, or the creation of any material Lien under, or require any material payment to be made under (i) any material Contractual Obligation to which it is a party or affecting it or its properties or any of its Subsidiaries or (ii) any order, injunction, writ or decree of any Governmental Authority or any arbitral award to which it or its properties or any of its Subsidiaries is subject.</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Financial Condition; No Material Adverse Change</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68" w:lineRule="auto"/>
        <w:tabs>
          <w:tab w:leader="none" w:pos="2173" w:val="left"/>
        </w:tabs>
        <w:numPr>
          <w:ilvl w:val="1"/>
          <w:numId w:val="285"/>
        </w:numPr>
        <w:rPr>
          <w:rFonts w:ascii="Arial" w:cs="Arial" w:eastAsia="Arial" w:hAnsi="Arial"/>
          <w:sz w:val="19"/>
          <w:szCs w:val="19"/>
          <w:color w:val="auto"/>
        </w:rPr>
      </w:pPr>
      <w:r>
        <w:rPr>
          <w:rFonts w:ascii="Arial" w:cs="Arial" w:eastAsia="Arial" w:hAnsi="Arial"/>
          <w:sz w:val="19"/>
          <w:szCs w:val="19"/>
          <w:color w:val="auto"/>
        </w:rPr>
        <w:t xml:space="preserve">The Company has heretofore furnished to the Lenders (i) its consolidated balance sheet and statements of income or operations, shareholders’ equity and cash flows as of and for the fiscal year ended September 30, 2022, reported on by Deloitte and Touche LLP, independent public accountants, (ii) its consolidated balance sheet and statements of income or operations, shareholders’ equity and cash flows as of and for the fiscal quarter and the portion of the fiscal year ended December 31, 2022 and (iii) the internally prepared consolidating balance sheet and statement of income or operations (which shall not be required to be in accordance with GAAP) of Cabot Luxembourg, Cabot Switzerland and Cabot Indonesia as of and for the fiscal quarter and the portion of the fiscal year ended December 31, 2022, certified by the Company’s chief financial officer. Such financial statements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present fairly, in all material respects, the financial position and results of operations and cash flows of the Company and its consolidated Subsidiaries as of such dates and for such periods in accordance with GAAP, subject to year-end audit adjustments and the absence of footnotes in the case of the statements referred to in </w:t>
      </w:r>
      <w:r>
        <w:rPr>
          <w:rFonts w:ascii="Arial" w:cs="Arial" w:eastAsia="Arial" w:hAnsi="Arial"/>
          <w:sz w:val="19"/>
          <w:szCs w:val="19"/>
          <w:u w:val="single" w:color="auto"/>
          <w:color w:val="auto"/>
        </w:rPr>
        <w:t>clause</w:t>
      </w:r>
    </w:p>
    <w:p>
      <w:pPr>
        <w:spacing w:after="0" w:line="8" w:lineRule="exact"/>
        <w:rPr>
          <w:rFonts w:ascii="Arial" w:cs="Arial" w:eastAsia="Arial" w:hAnsi="Arial"/>
          <w:sz w:val="19"/>
          <w:szCs w:val="19"/>
          <w:color w:val="auto"/>
        </w:rPr>
      </w:pPr>
    </w:p>
    <w:p>
      <w:pPr>
        <w:ind w:left="320" w:hanging="312"/>
        <w:spacing w:after="0"/>
        <w:tabs>
          <w:tab w:leader="none" w:pos="320" w:val="left"/>
        </w:tabs>
        <w:numPr>
          <w:ilvl w:val="0"/>
          <w:numId w:val="286"/>
        </w:numPr>
        <w:rPr>
          <w:rFonts w:ascii="Arial" w:cs="Arial" w:eastAsia="Arial" w:hAnsi="Arial"/>
          <w:sz w:val="22"/>
          <w:szCs w:val="22"/>
          <w:u w:val="single" w:color="auto"/>
          <w:color w:val="auto"/>
        </w:rPr>
      </w:pPr>
      <w:r>
        <w:rPr>
          <w:rFonts w:ascii="Arial" w:cs="Arial" w:eastAsia="Arial" w:hAnsi="Arial"/>
          <w:sz w:val="22"/>
          <w:szCs w:val="22"/>
          <w:color w:val="auto"/>
        </w:rPr>
        <w:t>above.</w:t>
      </w:r>
    </w:p>
    <w:p>
      <w:pPr>
        <w:spacing w:after="0" w:line="188" w:lineRule="exact"/>
        <w:rPr>
          <w:rFonts w:ascii="Arial" w:cs="Arial" w:eastAsia="Arial" w:hAnsi="Arial"/>
          <w:sz w:val="22"/>
          <w:szCs w:val="22"/>
          <w:u w:val="single" w:color="auto"/>
          <w:color w:val="auto"/>
        </w:rPr>
      </w:pPr>
    </w:p>
    <w:p>
      <w:pPr>
        <w:ind w:firstLine="1505"/>
        <w:spacing w:after="0" w:line="250" w:lineRule="auto"/>
        <w:tabs>
          <w:tab w:leader="none" w:pos="2166"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Since September 30, 2022, there has been no development, event or circumstance, either individually or in the aggregate, that has had or could reasonably be expected to have a Material Adverse Effect.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u w:val="single" w:color="auto"/>
          <w:color w:val="auto"/>
        </w:rPr>
        <w:t>Litigation and Environmental Matters</w:t>
      </w:r>
      <w:r>
        <w:rPr>
          <w:rFonts w:ascii="Arial" w:cs="Arial" w:eastAsia="Arial" w:hAnsi="Arial"/>
          <w:sz w:val="22"/>
          <w:szCs w:val="22"/>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1" w:name="page272"/>
    <w:bookmarkEnd w:id="271"/>
    <w:p>
      <w:pPr>
        <w:jc w:val="both"/>
        <w:ind w:firstLine="1505"/>
        <w:spacing w:after="0" w:line="273" w:lineRule="auto"/>
        <w:tabs>
          <w:tab w:leader="none" w:pos="2214" w:val="left"/>
        </w:tabs>
        <w:numPr>
          <w:ilvl w:val="1"/>
          <w:numId w:val="287"/>
        </w:numPr>
        <w:rPr>
          <w:rFonts w:ascii="Arial" w:cs="Arial" w:eastAsia="Arial" w:hAnsi="Arial"/>
          <w:sz w:val="19"/>
          <w:szCs w:val="19"/>
          <w:color w:val="auto"/>
        </w:rPr>
      </w:pPr>
      <w:r>
        <w:rPr>
          <w:rFonts w:ascii="Arial" w:cs="Arial" w:eastAsia="Arial" w:hAnsi="Arial"/>
          <w:sz w:val="19"/>
          <w:szCs w:val="19"/>
          <w:color w:val="auto"/>
        </w:rPr>
        <w:t>There are no actions, suits, proceedings, claims or disputes pending or, to the knowledge of the Company after due and diligent investigation, threatened or contemplated, at law, in equity, in arbitration or before any Governmental Authority, by or against the Company or any of its Subsidiaries or against any of their properties or revenues that</w:t>
      </w:r>
    </w:p>
    <w:p>
      <w:pPr>
        <w:spacing w:after="0" w:line="1" w:lineRule="exact"/>
        <w:rPr>
          <w:rFonts w:ascii="Arial" w:cs="Arial" w:eastAsia="Arial" w:hAnsi="Arial"/>
          <w:sz w:val="19"/>
          <w:szCs w:val="19"/>
          <w:color w:val="auto"/>
        </w:rPr>
      </w:pPr>
    </w:p>
    <w:p>
      <w:pPr>
        <w:jc w:val="both"/>
        <w:ind w:firstLine="8"/>
        <w:spacing w:after="0" w:line="248" w:lineRule="auto"/>
        <w:tabs>
          <w:tab w:leader="none" w:pos="260" w:val="left"/>
        </w:tabs>
        <w:numPr>
          <w:ilvl w:val="0"/>
          <w:numId w:val="288"/>
        </w:numPr>
        <w:rPr>
          <w:rFonts w:ascii="Arial" w:cs="Arial" w:eastAsia="Arial" w:hAnsi="Arial"/>
          <w:sz w:val="21"/>
          <w:szCs w:val="21"/>
          <w:color w:val="auto"/>
        </w:rPr>
      </w:pPr>
      <w:r>
        <w:rPr>
          <w:rFonts w:ascii="Arial" w:cs="Arial" w:eastAsia="Arial" w:hAnsi="Arial"/>
          <w:sz w:val="21"/>
          <w:szCs w:val="21"/>
          <w:color w:val="auto"/>
        </w:rPr>
        <w:t>except as described in the Company’s 2022 Form 10-K or any subsequent Form 10-Q or Form 8-K filing prior to the Effective Date (the “</w:t>
      </w:r>
      <w:r>
        <w:rPr>
          <w:rFonts w:ascii="Arial" w:cs="Arial" w:eastAsia="Arial" w:hAnsi="Arial"/>
          <w:sz w:val="21"/>
          <w:szCs w:val="21"/>
          <w:b w:val="1"/>
          <w:bCs w:val="1"/>
          <w:i w:val="1"/>
          <w:iCs w:val="1"/>
          <w:color w:val="auto"/>
        </w:rPr>
        <w:t>Disclosed Litigation</w:t>
      </w:r>
      <w:r>
        <w:rPr>
          <w:rFonts w:ascii="Arial" w:cs="Arial" w:eastAsia="Arial" w:hAnsi="Arial"/>
          <w:sz w:val="21"/>
          <w:szCs w:val="21"/>
          <w:color w:val="auto"/>
        </w:rPr>
        <w:t>”), could, either individually or in the aggregate, reasonably be expected to have a Material Adverse Effect, or (ii) purport to affect or pertain to any Loan Document or the Transactions.</w:t>
      </w:r>
    </w:p>
    <w:p>
      <w:pPr>
        <w:spacing w:after="0" w:line="178" w:lineRule="exact"/>
        <w:rPr>
          <w:rFonts w:ascii="Arial" w:cs="Arial" w:eastAsia="Arial" w:hAnsi="Arial"/>
          <w:sz w:val="21"/>
          <w:szCs w:val="21"/>
          <w:color w:val="auto"/>
        </w:rPr>
      </w:pPr>
    </w:p>
    <w:p>
      <w:pPr>
        <w:jc w:val="both"/>
        <w:ind w:firstLine="1505"/>
        <w:spacing w:after="0" w:line="249" w:lineRule="auto"/>
        <w:tabs>
          <w:tab w:leader="none" w:pos="2176" w:val="left"/>
        </w:tabs>
        <w:numPr>
          <w:ilvl w:val="1"/>
          <w:numId w:val="288"/>
        </w:numPr>
        <w:rPr>
          <w:rFonts w:ascii="Arial" w:cs="Arial" w:eastAsia="Arial" w:hAnsi="Arial"/>
          <w:sz w:val="21"/>
          <w:szCs w:val="21"/>
          <w:color w:val="auto"/>
        </w:rPr>
      </w:pPr>
      <w:r>
        <w:rPr>
          <w:rFonts w:ascii="Arial" w:cs="Arial" w:eastAsia="Arial" w:hAnsi="Arial"/>
          <w:sz w:val="21"/>
          <w:szCs w:val="21"/>
          <w:color w:val="auto"/>
        </w:rPr>
        <w:t>The Company and its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Company and its Subsidiaries have reasonably concluded that, except for the Disclosed Litigation, violation of such Environmental Laws and claims could not, individually or in the aggregate, reasonably be expected to have a Material Adverse Effect.</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Compliance with Laws and Agreements; No Default</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80" w:lineRule="auto"/>
        <w:tabs>
          <w:tab w:leader="none" w:pos="2167" w:val="left"/>
        </w:tabs>
        <w:numPr>
          <w:ilvl w:val="0"/>
          <w:numId w:val="289"/>
        </w:numPr>
        <w:rPr>
          <w:rFonts w:ascii="Arial" w:cs="Arial" w:eastAsia="Arial" w:hAnsi="Arial"/>
          <w:sz w:val="19"/>
          <w:szCs w:val="19"/>
          <w:color w:val="auto"/>
        </w:rPr>
      </w:pPr>
      <w:r>
        <w:rPr>
          <w:rFonts w:ascii="Arial" w:cs="Arial" w:eastAsia="Arial" w:hAnsi="Arial"/>
          <w:sz w:val="19"/>
          <w:szCs w:val="19"/>
          <w:color w:val="auto"/>
        </w:rPr>
        <w:t>Each of the Loan Parties and their Significant Subsidiaries is in compliance with the requirements of all laws, rules and regulations and orders, writs and decrees of any Governmental Authority applicable to it or its properties, except to the extent that (i) failure to comply therewith could not, individually or in the aggregate, reasonably be expected to result in a Material Adverse Effect and (ii) such requirement is being contested in good faith by appropriate proceedings diligently conducted. Each Loan Party is in compliance with all material Contractual Obligations to which such Loan Party is a party or affecting such Loan Party or the properties of such Loan Party or any of their respective Subsidiaries, except to the extent that failure to comply therewith could not reasonably be expected to result in a Material Adverse Effect.</w:t>
      </w:r>
    </w:p>
    <w:p>
      <w:pPr>
        <w:spacing w:after="0" w:line="146" w:lineRule="exact"/>
        <w:rPr>
          <w:rFonts w:ascii="Arial" w:cs="Arial" w:eastAsia="Arial" w:hAnsi="Arial"/>
          <w:sz w:val="19"/>
          <w:szCs w:val="19"/>
          <w:color w:val="auto"/>
        </w:rPr>
      </w:pPr>
    </w:p>
    <w:p>
      <w:pPr>
        <w:ind w:left="760" w:right="180" w:firstLine="745"/>
        <w:spacing w:after="0" w:line="435" w:lineRule="auto"/>
        <w:tabs>
          <w:tab w:leader="none" w:pos="2171" w:val="left"/>
        </w:tabs>
        <w:numPr>
          <w:ilvl w:val="0"/>
          <w:numId w:val="289"/>
        </w:numPr>
        <w:rPr>
          <w:rFonts w:ascii="Arial" w:cs="Arial" w:eastAsia="Arial" w:hAnsi="Arial"/>
          <w:sz w:val="22"/>
          <w:szCs w:val="22"/>
          <w:color w:val="auto"/>
        </w:rPr>
      </w:pPr>
      <w:r>
        <w:rPr>
          <w:rFonts w:ascii="Arial" w:cs="Arial" w:eastAsia="Arial" w:hAnsi="Arial"/>
          <w:sz w:val="22"/>
          <w:szCs w:val="22"/>
          <w:color w:val="auto"/>
        </w:rPr>
        <w:t xml:space="preserve">No Default has occurred and is continuing or would result from the consummation of the Transactions. SECTION 3.07 </w:t>
      </w:r>
      <w:r>
        <w:rPr>
          <w:rFonts w:ascii="Arial" w:cs="Arial" w:eastAsia="Arial" w:hAnsi="Arial"/>
          <w:sz w:val="22"/>
          <w:szCs w:val="22"/>
          <w:u w:val="single" w:color="auto"/>
          <w:color w:val="auto"/>
        </w:rPr>
        <w:t>Investment Company Status; Margin Regulations</w:t>
      </w:r>
      <w:r>
        <w:rPr>
          <w:rFonts w:ascii="Arial" w:cs="Arial" w:eastAsia="Arial" w:hAnsi="Arial"/>
          <w:sz w:val="22"/>
          <w:szCs w:val="22"/>
          <w:color w:val="auto"/>
        </w:rPr>
        <w:t>.</w:t>
      </w:r>
    </w:p>
    <w:p>
      <w:pPr>
        <w:spacing w:after="0" w:line="1" w:lineRule="exact"/>
        <w:rPr>
          <w:sz w:val="20"/>
          <w:szCs w:val="20"/>
          <w:color w:val="auto"/>
        </w:rPr>
      </w:pPr>
    </w:p>
    <w:p>
      <w:pPr>
        <w:ind w:firstLine="1505"/>
        <w:spacing w:after="0" w:line="250" w:lineRule="auto"/>
        <w:tabs>
          <w:tab w:leader="none" w:pos="2180" w:val="left"/>
        </w:tabs>
        <w:numPr>
          <w:ilvl w:val="0"/>
          <w:numId w:val="290"/>
        </w:numPr>
        <w:rPr>
          <w:rFonts w:ascii="Arial" w:cs="Arial" w:eastAsia="Arial" w:hAnsi="Arial"/>
          <w:sz w:val="22"/>
          <w:szCs w:val="22"/>
          <w:color w:val="auto"/>
        </w:rPr>
      </w:pPr>
      <w:r>
        <w:rPr>
          <w:rFonts w:ascii="Arial" w:cs="Arial" w:eastAsia="Arial" w:hAnsi="Arial"/>
          <w:sz w:val="22"/>
          <w:szCs w:val="22"/>
          <w:color w:val="auto"/>
        </w:rPr>
        <w:t>Neither the Loan Parties, nor any Person Controlling the Company nor any of its Subsidiaries is or is required to be registered as an “investment company” under the Investment Company Act of 1940.</w:t>
      </w:r>
    </w:p>
    <w:p>
      <w:pPr>
        <w:spacing w:after="0" w:line="174" w:lineRule="exact"/>
        <w:rPr>
          <w:rFonts w:ascii="Arial" w:cs="Arial" w:eastAsia="Arial" w:hAnsi="Arial"/>
          <w:sz w:val="22"/>
          <w:szCs w:val="22"/>
          <w:color w:val="auto"/>
        </w:rPr>
      </w:pPr>
    </w:p>
    <w:p>
      <w:pPr>
        <w:jc w:val="both"/>
        <w:ind w:firstLine="1505"/>
        <w:spacing w:after="0"/>
        <w:tabs>
          <w:tab w:leader="none" w:pos="2163" w:val="left"/>
        </w:tabs>
        <w:numPr>
          <w:ilvl w:val="0"/>
          <w:numId w:val="290"/>
        </w:numPr>
        <w:rPr>
          <w:rFonts w:ascii="Arial" w:cs="Arial" w:eastAsia="Arial" w:hAnsi="Arial"/>
          <w:sz w:val="22"/>
          <w:szCs w:val="22"/>
          <w:color w:val="auto"/>
        </w:rPr>
      </w:pPr>
      <w:r>
        <w:rPr>
          <w:rFonts w:ascii="Arial" w:cs="Arial" w:eastAsia="Arial" w:hAnsi="Arial"/>
          <w:sz w:val="22"/>
          <w:szCs w:val="22"/>
          <w:color w:val="auto"/>
        </w:rPr>
        <w:t>No Loan Party is engaged or will engage, principally or as one of its important activities, in the business of purchasing or carrying margin stock (within the meaning of Regulation U of the Board), or extending credit for the purpose of purchasing or carrying margin stock.</w:t>
      </w:r>
    </w:p>
    <w:p>
      <w:pPr>
        <w:spacing w:after="0" w:line="18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Taxes</w:t>
      </w:r>
      <w:r>
        <w:rPr>
          <w:rFonts w:ascii="Arial" w:cs="Arial" w:eastAsia="Arial" w:hAnsi="Arial"/>
          <w:sz w:val="22"/>
          <w:szCs w:val="22"/>
          <w:color w:val="auto"/>
        </w:rPr>
        <w:t>. Each of the Loan Parties and their Significant Subsidiaries has timely filed or caused to be filed all federal, state and other material Tax returns and reports required to have been filed and have paid or caused to be paid all federal, state and other material Taxes required to have been paid by it, except Taxes that are being contested in good faith by appropriate proceedings diligently conducted and for which such Loan Party or such Significant Subsidiary, as applicable, has set aside on its books adequate reserves. There is no proposed Tax</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2" w:name="page273"/>
    <w:bookmarkEnd w:id="272"/>
    <w:p>
      <w:pPr>
        <w:spacing w:after="0"/>
        <w:rPr>
          <w:sz w:val="20"/>
          <w:szCs w:val="20"/>
          <w:color w:val="auto"/>
        </w:rPr>
      </w:pPr>
      <w:r>
        <w:rPr>
          <w:rFonts w:ascii="Arial" w:cs="Arial" w:eastAsia="Arial" w:hAnsi="Arial"/>
          <w:sz w:val="19"/>
          <w:szCs w:val="19"/>
          <w:color w:val="auto"/>
        </w:rPr>
        <w:t>assessment against any Loan Party or any of their respective Subsidiaries that would, if made, have a Material Adverse Effect.</w:t>
      </w:r>
    </w:p>
    <w:p>
      <w:pPr>
        <w:spacing w:after="0" w:line="241"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ERISA</w:t>
      </w:r>
      <w:r>
        <w:rPr>
          <w:rFonts w:ascii="Arial" w:cs="Arial" w:eastAsia="Arial" w:hAnsi="Arial"/>
          <w:sz w:val="19"/>
          <w:szCs w:val="19"/>
          <w:color w:val="auto"/>
        </w:rPr>
        <w:t>. No ERISA Event has occurred or is reasonably expected to occur that, when taken together with all other such ERISA Events for which liability is reasonably expected to occur, could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the fair market value of the assets of such Plan by an amount that could reasonably be expected to result in a Material Adverse Effect, and the present value of all accumulated benefit obligations of all underfunded Plans (based on the assumptions used for purposes of Statement of Financial Accounting Standards No. 87) did not, as of the date of the most recent financial statements reflecting such amounts, exceed the fair market value of the assets of all such underfunded Plans by an amount that could reasonably be expected to result in a Material Adverse Effect.</w:t>
      </w:r>
    </w:p>
    <w:p>
      <w:pPr>
        <w:spacing w:after="0" w:line="15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Disclosure</w:t>
      </w:r>
      <w:r>
        <w:rPr>
          <w:rFonts w:ascii="Arial" w:cs="Arial" w:eastAsia="Arial" w:hAnsi="Arial"/>
          <w:sz w:val="19"/>
          <w:szCs w:val="19"/>
          <w:color w:val="auto"/>
        </w:rPr>
        <w:t>. All information heretofore furnished by the Loan Parties to the Administrative Agent or any Lender for purposes of or in connection with the Loan Documents or the Transactions is, and all such information hereafter furnished by the Loan Parties to the Administrative Agent or any Lender will be, true and accurate in all material respects on the date as of which such information is stated or certified. The Loan Parties have disclosed to the Lenders in writing any and all facts known to the Company’s management and known in good faith to the Loan Parties’ management which could reasonably be expected to result in a Material Adverse Effect. As of the Effective Date, to the best knowledge of the Company, the information included in the Beneficial Ownership Certification provided on or prior to the Effective Date is true and correct.</w:t>
      </w:r>
    </w:p>
    <w:p>
      <w:pPr>
        <w:spacing w:after="0" w:line="15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3.11 </w:t>
      </w:r>
      <w:r>
        <w:rPr>
          <w:rFonts w:ascii="Arial" w:cs="Arial" w:eastAsia="Arial" w:hAnsi="Arial"/>
          <w:sz w:val="22"/>
          <w:szCs w:val="22"/>
          <w:u w:val="single" w:color="auto"/>
          <w:color w:val="auto"/>
        </w:rPr>
        <w:t>Subsidiaries</w:t>
      </w:r>
      <w:r>
        <w:rPr>
          <w:rFonts w:ascii="Arial" w:cs="Arial" w:eastAsia="Arial" w:hAnsi="Arial"/>
          <w:sz w:val="22"/>
          <w:szCs w:val="22"/>
          <w:color w:val="auto"/>
        </w:rPr>
        <w:t xml:space="preserve">. Each Significant Subsidiary (a) is duly organized or incorporated, validly existing and in good standing under the laws of the jurisdiction of its organization or incorporation, and (b) has all requisite power and authority and all requisite governmental licenses, authorizations, consents and approvals to own or lease its assets and carry on its business, except in each case referred to in this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to the extent that failure to do so could not reasonably be expected to have a Material Adverse Effect.</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SECTION 3.12 </w:t>
      </w:r>
      <w:r>
        <w:rPr>
          <w:rFonts w:ascii="Arial" w:cs="Arial" w:eastAsia="Arial" w:hAnsi="Arial"/>
          <w:sz w:val="19"/>
          <w:szCs w:val="19"/>
          <w:u w:val="single" w:color="auto"/>
          <w:color w:val="auto"/>
        </w:rPr>
        <w:t>Representations as to Foreign Obligors</w:t>
      </w:r>
      <w:r>
        <w:rPr>
          <w:rFonts w:ascii="Arial" w:cs="Arial" w:eastAsia="Arial" w:hAnsi="Arial"/>
          <w:sz w:val="19"/>
          <w:szCs w:val="19"/>
          <w:color w:val="auto"/>
        </w:rPr>
        <w:t>. Each of the Company and each Borrower (solely as to itself)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represents and warrants to the Lenders that:</w:t>
      </w:r>
    </w:p>
    <w:p>
      <w:pPr>
        <w:spacing w:after="0" w:line="188" w:lineRule="exact"/>
        <w:rPr>
          <w:sz w:val="20"/>
          <w:szCs w:val="20"/>
          <w:color w:val="auto"/>
        </w:rPr>
      </w:pPr>
    </w:p>
    <w:p>
      <w:pPr>
        <w:jc w:val="both"/>
        <w:ind w:firstLine="1505"/>
        <w:spacing w:after="0" w:line="277" w:lineRule="auto"/>
        <w:tabs>
          <w:tab w:leader="none" w:pos="2213" w:val="left"/>
        </w:tabs>
        <w:numPr>
          <w:ilvl w:val="0"/>
          <w:numId w:val="291"/>
        </w:numPr>
        <w:rPr>
          <w:rFonts w:ascii="Arial" w:cs="Arial" w:eastAsia="Arial" w:hAnsi="Arial"/>
          <w:sz w:val="19"/>
          <w:szCs w:val="19"/>
          <w:color w:val="auto"/>
        </w:rPr>
      </w:pPr>
      <w:r>
        <w:rPr>
          <w:rFonts w:ascii="Arial" w:cs="Arial" w:eastAsia="Arial" w:hAnsi="Arial"/>
          <w:sz w:val="19"/>
          <w:szCs w:val="19"/>
          <w:color w:val="auto"/>
        </w:rPr>
        <w:t>Such Borrower is subject to civil and commercial laws, rules and regulations with respect to its obligations under the Loan Documents to which it is a party (collectively, the “</w:t>
      </w:r>
      <w:r>
        <w:rPr>
          <w:rFonts w:ascii="Arial" w:cs="Arial" w:eastAsia="Arial" w:hAnsi="Arial"/>
          <w:sz w:val="19"/>
          <w:szCs w:val="19"/>
          <w:b w:val="1"/>
          <w:bCs w:val="1"/>
          <w:i w:val="1"/>
          <w:iCs w:val="1"/>
          <w:color w:val="auto"/>
        </w:rPr>
        <w:t>Applicable Foreign Borrower Documents</w:t>
      </w:r>
      <w:r>
        <w:rPr>
          <w:rFonts w:ascii="Arial" w:cs="Arial" w:eastAsia="Arial" w:hAnsi="Arial"/>
          <w:sz w:val="19"/>
          <w:szCs w:val="19"/>
          <w:color w:val="auto"/>
        </w:rPr>
        <w:t>”), and the execution, delivery and performance by such Borrower of the Applicable Foreign Borrower Documents constitute and will constitute private and commercial acts and not public or governmental acts. Neither any Borrower nor any of its property has any immunity from jurisdiction of any court or from any legal process (whether through service or notice, attachment prior to judgment, attachment in aid of execution, execution or otherwise) under the laws of the jurisdiction in which such Borrower is organized or incorporated and existing in respect of its obligations under the Applicable Foreign Borrower Documents.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3" w:name="page274"/>
    <w:bookmarkEnd w:id="273"/>
    <w:p>
      <w:pPr>
        <w:jc w:val="both"/>
        <w:ind w:firstLine="1505"/>
        <w:spacing w:after="0" w:line="244" w:lineRule="auto"/>
        <w:tabs>
          <w:tab w:leader="none" w:pos="2213" w:val="left"/>
        </w:tabs>
        <w:numPr>
          <w:ilvl w:val="0"/>
          <w:numId w:val="292"/>
        </w:numPr>
        <w:rPr>
          <w:rFonts w:ascii="Arial" w:cs="Arial" w:eastAsia="Arial" w:hAnsi="Arial"/>
          <w:sz w:val="21"/>
          <w:szCs w:val="21"/>
          <w:color w:val="auto"/>
        </w:rPr>
      </w:pPr>
      <w:r>
        <w:rPr>
          <w:rFonts w:ascii="Arial" w:cs="Arial" w:eastAsia="Arial" w:hAnsi="Arial"/>
          <w:sz w:val="21"/>
          <w:szCs w:val="21"/>
          <w:color w:val="auto"/>
        </w:rPr>
        <w:t>The Applicable Foreign Borrower Documents are in proper legal form under the laws, rules and regulations of the jurisdiction in which such Borrower is organized or incorporated and existing for the enforcement thereof against such Borrower under the laws, rules and regulations of such jurisdiction, and to ensure the legality, validity, enforceability, priority or admissibility in evidence of the Applicable Foreign Borrower Documents. It is not necessary to ensure the legality, validity, enforceability, priority or admissibility in evidence of the Applicable Foreign Borrower Documents that the Applicable Foreign Borrower Documents be filed, registered or recorded with, or executed or notarized before, any court or other authority in the jurisdiction in which any Borrower is organized or incorporated and existing or that any registration charge or stamp or similar tax be paid on or in respect of the Applicable Foreign Borrower Documents or any other document, except for (i) any such filing, registration, recording, execution or notarization as has been made or is not required to be made until the Applicable Foreign Borrower Document or any other document is sought to be enforced and (ii) any charge or tax as has been timely paid.</w:t>
      </w:r>
    </w:p>
    <w:p>
      <w:pPr>
        <w:spacing w:after="0" w:line="188" w:lineRule="exact"/>
        <w:rPr>
          <w:rFonts w:ascii="Arial" w:cs="Arial" w:eastAsia="Arial" w:hAnsi="Arial"/>
          <w:sz w:val="21"/>
          <w:szCs w:val="21"/>
          <w:color w:val="auto"/>
        </w:rPr>
      </w:pPr>
    </w:p>
    <w:p>
      <w:pPr>
        <w:jc w:val="both"/>
        <w:ind w:firstLine="1505"/>
        <w:spacing w:after="0" w:line="244" w:lineRule="auto"/>
        <w:tabs>
          <w:tab w:leader="none" w:pos="2196" w:val="left"/>
        </w:tabs>
        <w:numPr>
          <w:ilvl w:val="0"/>
          <w:numId w:val="292"/>
        </w:numPr>
        <w:rPr>
          <w:rFonts w:ascii="Arial" w:cs="Arial" w:eastAsia="Arial" w:hAnsi="Arial"/>
          <w:sz w:val="21"/>
          <w:szCs w:val="21"/>
          <w:color w:val="auto"/>
        </w:rPr>
      </w:pPr>
      <w:r>
        <w:rPr>
          <w:rFonts w:ascii="Arial" w:cs="Arial" w:eastAsia="Arial" w:hAnsi="Arial"/>
          <w:sz w:val="21"/>
          <w:szCs w:val="21"/>
          <w:color w:val="auto"/>
        </w:rPr>
        <w:t xml:space="preserve">Subject to compliance with </w:t>
      </w:r>
      <w:r>
        <w:rPr>
          <w:rFonts w:ascii="Arial" w:cs="Arial" w:eastAsia="Arial" w:hAnsi="Arial"/>
          <w:sz w:val="21"/>
          <w:szCs w:val="21"/>
          <w:u w:val="single" w:color="auto"/>
          <w:color w:val="auto"/>
        </w:rPr>
        <w:t>Section 3.13</w:t>
      </w:r>
      <w:r>
        <w:rPr>
          <w:rFonts w:ascii="Arial" w:cs="Arial" w:eastAsia="Arial" w:hAnsi="Arial"/>
          <w:sz w:val="21"/>
          <w:szCs w:val="21"/>
          <w:color w:val="auto"/>
        </w:rPr>
        <w:t xml:space="preserve"> (Swiss Non-Bank Rules), there is no Tax imposed by any Governmental Authority in or of the jurisdiction in which such Borrower is organized and existing either (i) on or by virtue of the execution or delivery of the Applicable Foreign Borrower Documents or (ii) on any payment to be made by such Borrower pursuant to the Applicable Foreign Borrower Documents, except (A) as has been disclosed to the Administrative Agent or (B) for Luxembourg, in case where (i) the Applicable Foreign Borrower Documents are subject to mandatory registration within a fixed cut-off date (délai de rigueur) and are referred to in a public deed or used before a Luxembourg official authority or any autorité constituée or before Luxembourg court, notably by being referred to in a writ; (ii) the Applicable Foreign Borrower Documents are physically attached (annexé(s)) to a public deed or any other document(s) that require mandatory registration; or (iii) the Applicable Foreign Borrower Documents are subject to registration in accordance with a contractual agreement, where a fixed or an ad valorem registration duty will become payable; (C) Taxes imposed by Governmental Authorities of Indonesia on payments to be made by any Indonesian Borrower; or (D) a deduction or withholding for or on account of Taxes imposed by the United Kingdom may be required from any payment a UK Borrower may make under any Loan Document to a Lender unless such Lender is:</w:t>
      </w:r>
    </w:p>
    <w:p>
      <w:pPr>
        <w:spacing w:after="0" w:line="183" w:lineRule="exact"/>
        <w:rPr>
          <w:sz w:val="20"/>
          <w:szCs w:val="20"/>
          <w:color w:val="auto"/>
        </w:rPr>
      </w:pPr>
    </w:p>
    <w:p>
      <w:pPr>
        <w:ind w:left="3660" w:hanging="657"/>
        <w:spacing w:after="0"/>
        <w:tabs>
          <w:tab w:leader="none" w:pos="3660" w:val="left"/>
        </w:tabs>
        <w:numPr>
          <w:ilvl w:val="1"/>
          <w:numId w:val="293"/>
        </w:numPr>
        <w:rPr>
          <w:rFonts w:ascii="Arial" w:cs="Arial" w:eastAsia="Arial" w:hAnsi="Arial"/>
          <w:sz w:val="22"/>
          <w:szCs w:val="22"/>
          <w:color w:val="auto"/>
        </w:rPr>
      </w:pPr>
      <w:r>
        <w:rPr>
          <w:rFonts w:ascii="Arial" w:cs="Arial" w:eastAsia="Arial" w:hAnsi="Arial"/>
          <w:sz w:val="22"/>
          <w:szCs w:val="22"/>
          <w:color w:val="auto"/>
        </w:rPr>
        <w:t>a UK Qualifying Lender:</w:t>
      </w:r>
    </w:p>
    <w:p>
      <w:pPr>
        <w:spacing w:after="0" w:line="206" w:lineRule="exact"/>
        <w:rPr>
          <w:rFonts w:ascii="Arial" w:cs="Arial" w:eastAsia="Arial" w:hAnsi="Arial"/>
          <w:sz w:val="22"/>
          <w:szCs w:val="22"/>
          <w:color w:val="auto"/>
        </w:rPr>
      </w:pPr>
    </w:p>
    <w:p>
      <w:pPr>
        <w:ind w:left="2060" w:hanging="555"/>
        <w:spacing w:after="0"/>
        <w:tabs>
          <w:tab w:leader="none" w:pos="206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 xml:space="preserve">falling within </w:t>
      </w:r>
      <w:r>
        <w:rPr>
          <w:rFonts w:ascii="Arial" w:cs="Arial" w:eastAsia="Arial" w:hAnsi="Arial"/>
          <w:sz w:val="22"/>
          <w:szCs w:val="22"/>
          <w:u w:val="single" w:color="auto"/>
          <w:color w:val="auto"/>
        </w:rPr>
        <w:t>paragraph (a)(i)(A)</w:t>
      </w:r>
      <w:r>
        <w:rPr>
          <w:rFonts w:ascii="Arial" w:cs="Arial" w:eastAsia="Arial" w:hAnsi="Arial"/>
          <w:sz w:val="22"/>
          <w:szCs w:val="22"/>
          <w:color w:val="auto"/>
        </w:rPr>
        <w:t xml:space="preserve"> of the definition of "UK Qualifying Lender"; or</w:t>
      </w:r>
    </w:p>
    <w:p>
      <w:pPr>
        <w:spacing w:after="0" w:line="206" w:lineRule="exact"/>
        <w:rPr>
          <w:rFonts w:ascii="Arial" w:cs="Arial" w:eastAsia="Arial" w:hAnsi="Arial"/>
          <w:sz w:val="22"/>
          <w:szCs w:val="22"/>
          <w:color w:val="auto"/>
        </w:rPr>
      </w:pPr>
    </w:p>
    <w:p>
      <w:pPr>
        <w:ind w:left="760" w:firstLine="745"/>
        <w:spacing w:after="0" w:line="250" w:lineRule="auto"/>
        <w:tabs>
          <w:tab w:leader="none" w:pos="2108" w:val="left"/>
        </w:tabs>
        <w:numPr>
          <w:ilvl w:val="0"/>
          <w:numId w:val="294"/>
        </w:numPr>
        <w:rPr>
          <w:rFonts w:ascii="Arial" w:cs="Arial" w:eastAsia="Arial" w:hAnsi="Arial"/>
          <w:sz w:val="22"/>
          <w:szCs w:val="22"/>
          <w:color w:val="auto"/>
        </w:rPr>
      </w:pPr>
      <w:r>
        <w:rPr>
          <w:rFonts w:ascii="Arial" w:cs="Arial" w:eastAsia="Arial" w:hAnsi="Arial"/>
          <w:sz w:val="22"/>
          <w:szCs w:val="22"/>
          <w:color w:val="auto"/>
        </w:rPr>
        <w:t xml:space="preserve">except where a direction has been given under section 931 of the ITA in relation to the payment concerned, falling within </w:t>
      </w:r>
      <w:r>
        <w:rPr>
          <w:rFonts w:ascii="Arial" w:cs="Arial" w:eastAsia="Arial" w:hAnsi="Arial"/>
          <w:sz w:val="22"/>
          <w:szCs w:val="22"/>
          <w:u w:val="single" w:color="auto"/>
          <w:color w:val="auto"/>
        </w:rPr>
        <w:t>paragraph (a)(i)(B)</w:t>
      </w:r>
      <w:r>
        <w:rPr>
          <w:rFonts w:ascii="Arial" w:cs="Arial" w:eastAsia="Arial" w:hAnsi="Arial"/>
          <w:sz w:val="22"/>
          <w:szCs w:val="22"/>
          <w:color w:val="auto"/>
        </w:rPr>
        <w:t xml:space="preserve"> of the definition of "UK Qualifying Lender"; or</w:t>
      </w:r>
    </w:p>
    <w:p>
      <w:pPr>
        <w:spacing w:after="0" w:line="174" w:lineRule="exact"/>
        <w:rPr>
          <w:rFonts w:ascii="Arial" w:cs="Arial" w:eastAsia="Arial" w:hAnsi="Arial"/>
          <w:sz w:val="22"/>
          <w:szCs w:val="22"/>
          <w:color w:val="auto"/>
        </w:rPr>
      </w:pPr>
    </w:p>
    <w:p>
      <w:pPr>
        <w:ind w:left="2060" w:hanging="555"/>
        <w:spacing w:after="0"/>
        <w:tabs>
          <w:tab w:leader="none" w:pos="206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 xml:space="preserve">falling within </w:t>
      </w:r>
      <w:r>
        <w:rPr>
          <w:rFonts w:ascii="Arial" w:cs="Arial" w:eastAsia="Arial" w:hAnsi="Arial"/>
          <w:sz w:val="22"/>
          <w:szCs w:val="22"/>
          <w:u w:val="single" w:color="auto"/>
          <w:color w:val="auto"/>
        </w:rPr>
        <w:t>paragraph (a)(ii)</w:t>
      </w:r>
      <w:r>
        <w:rPr>
          <w:rFonts w:ascii="Arial" w:cs="Arial" w:eastAsia="Arial" w:hAnsi="Arial"/>
          <w:sz w:val="22"/>
          <w:szCs w:val="22"/>
          <w:color w:val="auto"/>
        </w:rPr>
        <w:t xml:space="preserve"> of the definition of "UK Qualifying Lender"; or</w:t>
      </w:r>
    </w:p>
    <w:p>
      <w:pPr>
        <w:spacing w:after="0" w:line="206" w:lineRule="exact"/>
        <w:rPr>
          <w:rFonts w:ascii="Arial" w:cs="Arial" w:eastAsia="Arial" w:hAnsi="Arial"/>
          <w:sz w:val="22"/>
          <w:szCs w:val="22"/>
          <w:color w:val="auto"/>
        </w:rPr>
      </w:pPr>
    </w:p>
    <w:p>
      <w:pPr>
        <w:ind w:left="1500" w:firstLine="1503"/>
        <w:spacing w:after="0" w:line="250" w:lineRule="auto"/>
        <w:tabs>
          <w:tab w:leader="none" w:pos="3701" w:val="left"/>
        </w:tabs>
        <w:numPr>
          <w:ilvl w:val="1"/>
          <w:numId w:val="294"/>
        </w:numPr>
        <w:rPr>
          <w:rFonts w:ascii="Arial" w:cs="Arial" w:eastAsia="Arial" w:hAnsi="Arial"/>
          <w:sz w:val="22"/>
          <w:szCs w:val="22"/>
          <w:color w:val="auto"/>
        </w:rPr>
      </w:pPr>
      <w:r>
        <w:rPr>
          <w:rFonts w:ascii="Arial" w:cs="Arial" w:eastAsia="Arial" w:hAnsi="Arial"/>
          <w:sz w:val="22"/>
          <w:szCs w:val="22"/>
          <w:color w:val="auto"/>
        </w:rPr>
        <w:t>a UK Treaty Lender and the payment is one specified in a direction given by the Commissioners of Revenue &amp; Customs under Regulation 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4" w:name="page275"/>
    <w:bookmarkEnd w:id="274"/>
    <w:p>
      <w:pPr>
        <w:ind w:left="1500"/>
        <w:spacing w:after="0"/>
        <w:rPr>
          <w:sz w:val="20"/>
          <w:szCs w:val="20"/>
          <w:color w:val="auto"/>
        </w:rPr>
      </w:pPr>
      <w:r>
        <w:rPr>
          <w:rFonts w:ascii="Arial" w:cs="Arial" w:eastAsia="Arial" w:hAnsi="Arial"/>
          <w:sz w:val="22"/>
          <w:szCs w:val="22"/>
          <w:color w:val="auto"/>
        </w:rPr>
        <w:t>of the Double Taxation Relief (Taxes on Income) (General) Regulations 1970 (SI 1970/488).</w:t>
      </w:r>
    </w:p>
    <w:p>
      <w:pPr>
        <w:spacing w:after="0" w:line="206" w:lineRule="exact"/>
        <w:rPr>
          <w:sz w:val="20"/>
          <w:szCs w:val="20"/>
          <w:color w:val="auto"/>
        </w:rPr>
      </w:pPr>
    </w:p>
    <w:p>
      <w:pPr>
        <w:jc w:val="both"/>
        <w:ind w:firstLine="1505"/>
        <w:spacing w:after="0" w:line="249" w:lineRule="auto"/>
        <w:tabs>
          <w:tab w:leader="none" w:pos="2178" w:val="left"/>
        </w:tabs>
        <w:numPr>
          <w:ilvl w:val="0"/>
          <w:numId w:val="295"/>
        </w:numPr>
        <w:rPr>
          <w:rFonts w:ascii="Arial" w:cs="Arial" w:eastAsia="Arial" w:hAnsi="Arial"/>
          <w:sz w:val="21"/>
          <w:szCs w:val="21"/>
          <w:color w:val="auto"/>
        </w:rPr>
      </w:pPr>
      <w:r>
        <w:rPr>
          <w:rFonts w:ascii="Arial" w:cs="Arial" w:eastAsia="Arial" w:hAnsi="Arial"/>
          <w:sz w:val="21"/>
          <w:szCs w:val="21"/>
          <w:color w:val="auto"/>
        </w:rPr>
        <w:t>The execution, delivery and performance of the Applicable Foreign Borrower Documents executed by such Borrower are, under applicable foreign exchange control regulations of the jurisdiction in which such Borrower is organized or incorporated and existing, not subject to any notification or authorization except (i) such as have been made or obtained or (ii) such as cannot be made or obtained until a later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notification or authorization described in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shall be made or obtained as soon as is reasonably practicable).</w:t>
      </w:r>
    </w:p>
    <w:p>
      <w:pPr>
        <w:spacing w:after="0" w:line="17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Swiss Non-Bank Rules</w:t>
      </w:r>
      <w:r>
        <w:rPr>
          <w:rFonts w:ascii="Arial" w:cs="Arial" w:eastAsia="Arial" w:hAnsi="Arial"/>
          <w:sz w:val="19"/>
          <w:szCs w:val="19"/>
          <w:color w:val="auto"/>
        </w:rPr>
        <w:t xml:space="preserve">. Each Swiss Borrower is in compliance with the Swiss Non-Bank Rules;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Swiss Borrower shall be in breach of this representation if its number of creditors that are not Swiss Qualifying Banks in respect of either the Swiss 10 Non-Bank Rule or the Swiss 20 Non-Bank Rule is exceeded solely because a Recipient has (i) made an incorrect declaration of its status as to whether or not it is a Swiss Qualifying Bank, (ii) failed to comply with its obligations under </w:t>
      </w:r>
      <w:r>
        <w:rPr>
          <w:rFonts w:ascii="Arial" w:cs="Arial" w:eastAsia="Arial" w:hAnsi="Arial"/>
          <w:sz w:val="19"/>
          <w:szCs w:val="19"/>
          <w:u w:val="single" w:color="auto"/>
          <w:color w:val="auto"/>
        </w:rPr>
        <w:t>Section 10.04</w:t>
      </w:r>
      <w:r>
        <w:rPr>
          <w:rFonts w:ascii="Arial" w:cs="Arial" w:eastAsia="Arial" w:hAnsi="Arial"/>
          <w:sz w:val="19"/>
          <w:szCs w:val="19"/>
          <w:color w:val="auto"/>
        </w:rPr>
        <w:t>, or (iii) ceased to be a Swiss Qualifying Bank other than as a result of any change in Applicable Law after the date it became a Lender under this Agreement. For the purposes of compliance with this representation, each Swiss Borrower shall assume that at any time during the term of this Agreement there may be up to ten Swiss Permitted Non-Qualifying Banks as Lenders (whether or not there are, at any time, any or less of such Swiss Permitted Non-Qualifying Banks as Lenders).</w:t>
      </w:r>
    </w:p>
    <w:p>
      <w:pPr>
        <w:spacing w:after="0" w:line="15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SECTION 3.14 </w:t>
      </w:r>
      <w:r>
        <w:rPr>
          <w:rFonts w:ascii="Arial" w:cs="Arial" w:eastAsia="Arial" w:hAnsi="Arial"/>
          <w:sz w:val="19"/>
          <w:szCs w:val="19"/>
          <w:u w:val="single" w:color="auto"/>
          <w:color w:val="auto"/>
        </w:rPr>
        <w:t>Swiss COVID Loans</w:t>
      </w:r>
      <w:r>
        <w:rPr>
          <w:rFonts w:ascii="Arial" w:cs="Arial" w:eastAsia="Arial" w:hAnsi="Arial"/>
          <w:sz w:val="19"/>
          <w:szCs w:val="19"/>
          <w:color w:val="auto"/>
        </w:rPr>
        <w:t>. No Swiss Borrower has been granted a loan under the Swiss Ordinance regarding the granting of loans and sureties in connection with Covid-19 (</w:t>
      </w:r>
      <w:r>
        <w:rPr>
          <w:rFonts w:ascii="Arial" w:cs="Arial" w:eastAsia="Arial" w:hAnsi="Arial"/>
          <w:sz w:val="19"/>
          <w:szCs w:val="19"/>
          <w:i w:val="1"/>
          <w:iCs w:val="1"/>
          <w:color w:val="auto"/>
        </w:rPr>
        <w:t>Verordnung zur Gewährung von Krediten und</w:t>
      </w:r>
      <w:r>
        <w:rPr>
          <w:rFonts w:ascii="Arial" w:cs="Arial" w:eastAsia="Arial" w:hAnsi="Arial"/>
          <w:sz w:val="19"/>
          <w:szCs w:val="19"/>
          <w:color w:val="auto"/>
        </w:rPr>
        <w:t xml:space="preserve"> </w:t>
      </w:r>
      <w:r>
        <w:rPr>
          <w:rFonts w:ascii="Arial" w:cs="Arial" w:eastAsia="Arial" w:hAnsi="Arial"/>
          <w:sz w:val="19"/>
          <w:szCs w:val="19"/>
          <w:i w:val="1"/>
          <w:iCs w:val="1"/>
          <w:color w:val="auto"/>
        </w:rPr>
        <w:t>Solidarbürgschaften in Folge des Coronavirus</w:t>
      </w:r>
      <w:r>
        <w:rPr>
          <w:rFonts w:ascii="Arial" w:cs="Arial" w:eastAsia="Arial" w:hAnsi="Arial"/>
          <w:sz w:val="19"/>
          <w:szCs w:val="19"/>
          <w:color w:val="auto"/>
        </w:rPr>
        <w:t>) of the Swiss Federal Council dated 25 March 2020, as amended (SR 951.261) or</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the Swiss Joint and Several Guarantee Act or under any similar federal or cantonal programme in Switzerland.</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SECTION 3.15  </w:t>
      </w:r>
      <w:r>
        <w:rPr>
          <w:rFonts w:ascii="Arial" w:cs="Arial" w:eastAsia="Arial" w:hAnsi="Arial"/>
          <w:sz w:val="19"/>
          <w:szCs w:val="19"/>
          <w:u w:val="single" w:color="auto"/>
          <w:color w:val="auto"/>
        </w:rPr>
        <w:t>Use of Proceeds</w:t>
      </w:r>
      <w:r>
        <w:rPr>
          <w:rFonts w:ascii="Arial" w:cs="Arial" w:eastAsia="Arial" w:hAnsi="Arial"/>
          <w:sz w:val="19"/>
          <w:szCs w:val="19"/>
          <w:color w:val="auto"/>
        </w:rPr>
        <w:t xml:space="preserve">.  The proceeds of the Loans will be used only for the purposes specified in </w:t>
      </w:r>
      <w:r>
        <w:rPr>
          <w:rFonts w:ascii="Arial" w:cs="Arial" w:eastAsia="Arial" w:hAnsi="Arial"/>
          <w:sz w:val="19"/>
          <w:szCs w:val="19"/>
          <w:u w:val="single" w:color="auto"/>
          <w:color w:val="auto"/>
        </w:rPr>
        <w:t>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5.08</w:t>
      </w:r>
      <w:r>
        <w:rPr>
          <w:rFonts w:ascii="Arial" w:cs="Arial" w:eastAsia="Arial" w:hAnsi="Arial"/>
          <w:sz w:val="22"/>
          <w:szCs w:val="22"/>
          <w:color w:val="auto"/>
        </w:rPr>
        <w:t>.</w:t>
      </w:r>
    </w:p>
    <w:p>
      <w:pPr>
        <w:spacing w:after="0" w:line="18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Anti-Corruption Laws, Anti-Money Laundering Laws and Sanctions</w:t>
      </w:r>
      <w:r>
        <w:rPr>
          <w:rFonts w:ascii="Arial" w:cs="Arial" w:eastAsia="Arial" w:hAnsi="Arial"/>
          <w:sz w:val="19"/>
          <w:szCs w:val="19"/>
          <w:color w:val="auto"/>
        </w:rPr>
        <w:t>. The Company has implemented and maintains in effect policies and procedures designed to ensure compliance by the Company, its Subsidiaries and their respective directors, officers, employees and agents with Anti-Corruption Laws, Anti-Money Laundering Laws and applicable Sanctions. The Company, its Subsidiaries and, to the knowledge of the Company, their respective employees, officers, directors and agents, are in compliance with Anti-Corruption Laws, Anti-Money Laundering Laws and applicable Sanctions in all material respects (except to the extent that (i) such noncompliance does not involve any executive officer or similar member of senior management of the Company or such Subsidiary and does not represent a systemic failure of compliance controls, (ii) the Company or such Subsidiary is diligently taking steps to cure such noncompliance and (iii) such noncompliance would not reasonably be expected to materially and adversely affect the Company or such Subsidiary or result in a violation of Anti-Corruption Laws, Anti-Money Laundering Laws or applicable Sanctions by the Administrative Agent, any Lender or their Affiliates) and are not knowingly engaged in any activity that would reasonably be expected to result in any Loan Party being designated as a Sanctioned Person. None of (a)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5" w:name="page276"/>
    <w:bookmarkEnd w:id="275"/>
    <w:p>
      <w:pPr>
        <w:jc w:val="both"/>
        <w:spacing w:after="0" w:line="249" w:lineRule="auto"/>
        <w:rPr>
          <w:sz w:val="20"/>
          <w:szCs w:val="20"/>
          <w:color w:val="auto"/>
        </w:rPr>
      </w:pPr>
      <w:r>
        <w:rPr>
          <w:rFonts w:ascii="Arial" w:cs="Arial" w:eastAsia="Arial" w:hAnsi="Arial"/>
          <w:sz w:val="21"/>
          <w:szCs w:val="21"/>
          <w:color w:val="auto"/>
        </w:rPr>
        <w:t>Company, any of its Subsidiaries, any of their respective officers or employees or, to the knowledge of any Loan Party, any of their respective directors, or (b) to the knowledge of the Loan Parties, any agent of such Loan Party or any of its Subsidiaries that will act in any capacity in connection with or benefit from the credit facility established hereby, is a Sanctioned Person so as to result in a violation of Anti-Corruption Laws, Anti-Money Laundering Laws or Sanctions. The Transactions will not violate any Anti-Corruption Laws, Anti-Money Laundering Laws or applicable Sanctions.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3.17 </w:t>
      </w:r>
      <w:r>
        <w:rPr>
          <w:rFonts w:ascii="Arial" w:cs="Arial" w:eastAsia="Arial" w:hAnsi="Arial"/>
          <w:sz w:val="22"/>
          <w:szCs w:val="22"/>
          <w:u w:val="single" w:color="auto"/>
          <w:color w:val="auto"/>
        </w:rPr>
        <w:t>Affected Financial Institutions</w:t>
      </w:r>
      <w:r>
        <w:rPr>
          <w:rFonts w:ascii="Arial" w:cs="Arial" w:eastAsia="Arial" w:hAnsi="Arial"/>
          <w:sz w:val="22"/>
          <w:szCs w:val="22"/>
          <w:color w:val="auto"/>
        </w:rPr>
        <w:t>. No Loan Party is an Affected Financial Institution.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3.18 </w:t>
      </w:r>
      <w:r>
        <w:rPr>
          <w:rFonts w:ascii="Arial" w:cs="Arial" w:eastAsia="Arial" w:hAnsi="Arial"/>
          <w:sz w:val="22"/>
          <w:szCs w:val="22"/>
          <w:u w:val="single" w:color="auto"/>
          <w:color w:val="auto"/>
        </w:rPr>
        <w:t>Solvency</w:t>
      </w:r>
      <w:r>
        <w:rPr>
          <w:rFonts w:ascii="Arial" w:cs="Arial" w:eastAsia="Arial" w:hAnsi="Arial"/>
          <w:sz w:val="22"/>
          <w:szCs w:val="22"/>
          <w:color w:val="auto"/>
        </w:rPr>
        <w:t>. The Company and its consolidated Subsidiaries, taken as a whole, are Solvent.</w:t>
      </w:r>
    </w:p>
    <w:p>
      <w:pPr>
        <w:spacing w:after="0" w:line="206"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Conditions</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The obligations of the Lenders to make Loans hereunder shall, in each case, be subject to the following conditions (unless waived in accordance with </w:t>
      </w:r>
      <w:r>
        <w:rPr>
          <w:rFonts w:ascii="Arial" w:cs="Arial" w:eastAsia="Arial" w:hAnsi="Arial"/>
          <w:sz w:val="22"/>
          <w:szCs w:val="22"/>
          <w:u w:val="single" w:color="auto"/>
          <w:color w:val="auto"/>
        </w:rPr>
        <w:t>Section 10.02</w:t>
      </w:r>
      <w:r>
        <w:rPr>
          <w:rFonts w:ascii="Arial" w:cs="Arial" w:eastAsia="Arial" w:hAnsi="Arial"/>
          <w:sz w:val="22"/>
          <w:szCs w:val="22"/>
          <w:color w:val="auto"/>
        </w:rPr>
        <w:t>):</w:t>
      </w:r>
    </w:p>
    <w:p>
      <w:pPr>
        <w:spacing w:after="0" w:line="175" w:lineRule="exact"/>
        <w:rPr>
          <w:sz w:val="20"/>
          <w:szCs w:val="20"/>
          <w:color w:val="auto"/>
        </w:rPr>
      </w:pPr>
    </w:p>
    <w:p>
      <w:pPr>
        <w:jc w:val="both"/>
        <w:ind w:firstLine="1505"/>
        <w:spacing w:after="0" w:line="238" w:lineRule="auto"/>
        <w:tabs>
          <w:tab w:leader="none" w:pos="2177" w:val="left"/>
        </w:tabs>
        <w:numPr>
          <w:ilvl w:val="0"/>
          <w:numId w:val="296"/>
        </w:numPr>
        <w:rPr>
          <w:rFonts w:ascii="Arial" w:cs="Arial" w:eastAsia="Arial" w:hAnsi="Arial"/>
          <w:sz w:val="22"/>
          <w:szCs w:val="22"/>
          <w:color w:val="auto"/>
        </w:rPr>
      </w:pPr>
      <w:r>
        <w:rPr>
          <w:rFonts w:ascii="Arial" w:cs="Arial" w:eastAsia="Arial" w:hAnsi="Arial"/>
          <w:sz w:val="22"/>
          <w:szCs w:val="22"/>
          <w:color w:val="auto"/>
        </w:rPr>
        <w:t>The Administrative Agent (or its counsel) shall have received from each party to the Loan Documents either (i) a counterpart of this Agreement or (ii) written evidence satisfactory to the Administrative Agent (which may include telecopy or electronic mail transmission of a signed signature page of each Loan Document to which such Person is a party) that such Person has signed a counterpart of this Agreement.</w:t>
      </w:r>
    </w:p>
    <w:p>
      <w:pPr>
        <w:spacing w:after="0" w:line="184" w:lineRule="exact"/>
        <w:rPr>
          <w:rFonts w:ascii="Arial" w:cs="Arial" w:eastAsia="Arial" w:hAnsi="Arial"/>
          <w:sz w:val="22"/>
          <w:szCs w:val="22"/>
          <w:color w:val="auto"/>
        </w:rPr>
      </w:pPr>
    </w:p>
    <w:p>
      <w:pPr>
        <w:jc w:val="both"/>
        <w:ind w:firstLine="1505"/>
        <w:spacing w:after="0" w:line="238" w:lineRule="auto"/>
        <w:tabs>
          <w:tab w:leader="none" w:pos="2253" w:val="left"/>
        </w:tabs>
        <w:numPr>
          <w:ilvl w:val="0"/>
          <w:numId w:val="296"/>
        </w:numPr>
        <w:rPr>
          <w:rFonts w:ascii="Arial" w:cs="Arial" w:eastAsia="Arial" w:hAnsi="Arial"/>
          <w:sz w:val="22"/>
          <w:szCs w:val="22"/>
          <w:color w:val="auto"/>
        </w:rPr>
      </w:pPr>
      <w:r>
        <w:rPr>
          <w:rFonts w:ascii="Arial" w:cs="Arial" w:eastAsia="Arial" w:hAnsi="Arial"/>
          <w:sz w:val="22"/>
          <w:szCs w:val="22"/>
          <w:color w:val="auto"/>
        </w:rPr>
        <w:t>The Administrative Agent shall have received a favorable written opinion (addressed to the Administrative Agent and the Lenders and dated the Effective Date) of counsel for the Loan Parties covering such matters relating to the Loan Parties, the Loan Documents and the Transactions as the Required Lenders shall reasonably request and otherwise in form and substance reasonably satisfactory to the Administrative Agent.</w:t>
      </w:r>
    </w:p>
    <w:p>
      <w:pPr>
        <w:spacing w:after="0" w:line="184" w:lineRule="exact"/>
        <w:rPr>
          <w:rFonts w:ascii="Arial" w:cs="Arial" w:eastAsia="Arial" w:hAnsi="Arial"/>
          <w:sz w:val="22"/>
          <w:szCs w:val="22"/>
          <w:color w:val="auto"/>
        </w:rPr>
      </w:pPr>
    </w:p>
    <w:p>
      <w:pPr>
        <w:jc w:val="both"/>
        <w:ind w:firstLine="1505"/>
        <w:spacing w:after="0" w:line="287" w:lineRule="auto"/>
        <w:tabs>
          <w:tab w:leader="none" w:pos="2193" w:val="left"/>
        </w:tabs>
        <w:numPr>
          <w:ilvl w:val="0"/>
          <w:numId w:val="296"/>
        </w:numPr>
        <w:rPr>
          <w:rFonts w:ascii="Arial" w:cs="Arial" w:eastAsia="Arial" w:hAnsi="Arial"/>
          <w:sz w:val="19"/>
          <w:szCs w:val="19"/>
          <w:color w:val="auto"/>
        </w:rPr>
      </w:pPr>
      <w:r>
        <w:rPr>
          <w:rFonts w:ascii="Arial" w:cs="Arial" w:eastAsia="Arial" w:hAnsi="Arial"/>
          <w:sz w:val="19"/>
          <w:szCs w:val="19"/>
          <w:color w:val="auto"/>
        </w:rPr>
        <w:t>The Administrative Agent shall have received such documents and certificates as the Administrative Agent or its counsel may reasonably request relating to the organization or incorporation, existence and good standing of each Loan Party, the authorization of the Transactions and any other legal matters relating to the Loan Parties, the Loan Documents and the Transactions, all in form and substance satisfactory to the Administrative Agent and its counsel.</w:t>
      </w:r>
    </w:p>
    <w:p>
      <w:pPr>
        <w:spacing w:after="0" w:line="142" w:lineRule="exact"/>
        <w:rPr>
          <w:rFonts w:ascii="Arial" w:cs="Arial" w:eastAsia="Arial" w:hAnsi="Arial"/>
          <w:sz w:val="19"/>
          <w:szCs w:val="19"/>
          <w:color w:val="auto"/>
        </w:rPr>
      </w:pPr>
    </w:p>
    <w:p>
      <w:pPr>
        <w:jc w:val="both"/>
        <w:ind w:firstLine="1505"/>
        <w:spacing w:after="0"/>
        <w:tabs>
          <w:tab w:leader="none" w:pos="2178" w:val="left"/>
        </w:tabs>
        <w:numPr>
          <w:ilvl w:val="0"/>
          <w:numId w:val="296"/>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a certificate, dated the Effective Date and signed by the President, a Vice President or a Financial Officer of the Company, confirming compliance with the conditions set forth in </w:t>
      </w:r>
      <w:r>
        <w:rPr>
          <w:rFonts w:ascii="Arial" w:cs="Arial" w:eastAsia="Arial" w:hAnsi="Arial"/>
          <w:sz w:val="22"/>
          <w:szCs w:val="22"/>
          <w:u w:val="single" w:color="auto"/>
          <w:color w:val="auto"/>
        </w:rPr>
        <w:t>paragraphs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4.02</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firstLine="1505"/>
        <w:spacing w:after="0" w:line="250" w:lineRule="auto"/>
        <w:tabs>
          <w:tab w:leader="none" w:pos="2200" w:val="left"/>
        </w:tabs>
        <w:numPr>
          <w:ilvl w:val="0"/>
          <w:numId w:val="296"/>
        </w:numPr>
        <w:rPr>
          <w:rFonts w:ascii="Arial" w:cs="Arial" w:eastAsia="Arial" w:hAnsi="Arial"/>
          <w:sz w:val="22"/>
          <w:szCs w:val="22"/>
          <w:color w:val="auto"/>
        </w:rPr>
      </w:pPr>
      <w:r>
        <w:rPr>
          <w:rFonts w:ascii="Arial" w:cs="Arial" w:eastAsia="Arial" w:hAnsi="Arial"/>
          <w:sz w:val="22"/>
          <w:szCs w:val="22"/>
          <w:color w:val="auto"/>
        </w:rPr>
        <w:t>The Administrative Agent and the Lenders shall have received all fees and other amounts due and payable pursuant to this Agreement on or prior to the Effective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6" w:name="page277"/>
    <w:bookmarkEnd w:id="276"/>
    <w:p>
      <w:pPr>
        <w:spacing w:after="0" w:line="250" w:lineRule="auto"/>
        <w:rPr>
          <w:sz w:val="20"/>
          <w:szCs w:val="20"/>
          <w:color w:val="auto"/>
        </w:rPr>
      </w:pPr>
      <w:r>
        <w:rPr>
          <w:rFonts w:ascii="Arial" w:cs="Arial" w:eastAsia="Arial" w:hAnsi="Arial"/>
          <w:sz w:val="22"/>
          <w:szCs w:val="22"/>
          <w:color w:val="auto"/>
        </w:rPr>
        <w:t>including, to the extent invoiced, reimbursement or payment of all out-of-pocket expenses required to be reimbursed or paid by the Borrowers hereunder.</w:t>
      </w:r>
    </w:p>
    <w:p>
      <w:pPr>
        <w:spacing w:after="0" w:line="175" w:lineRule="exact"/>
        <w:rPr>
          <w:sz w:val="20"/>
          <w:szCs w:val="20"/>
          <w:color w:val="auto"/>
        </w:rPr>
      </w:pPr>
    </w:p>
    <w:p>
      <w:pPr>
        <w:jc w:val="both"/>
        <w:ind w:firstLine="1505"/>
        <w:spacing w:after="0" w:line="245" w:lineRule="auto"/>
        <w:tabs>
          <w:tab w:leader="none" w:pos="2171" w:val="left"/>
        </w:tabs>
        <w:numPr>
          <w:ilvl w:val="0"/>
          <w:numId w:val="297"/>
        </w:numPr>
        <w:rPr>
          <w:rFonts w:ascii="Arial" w:cs="Arial" w:eastAsia="Arial" w:hAnsi="Arial"/>
          <w:sz w:val="21"/>
          <w:szCs w:val="21"/>
          <w:color w:val="auto"/>
        </w:rPr>
      </w:pPr>
      <w:r>
        <w:rPr>
          <w:rFonts w:ascii="Arial" w:cs="Arial" w:eastAsia="Arial" w:hAnsi="Arial"/>
          <w:sz w:val="21"/>
          <w:szCs w:val="21"/>
          <w:color w:val="auto"/>
        </w:rPr>
        <w:t>(i) The Administrative Agent shall have received, at least three (3) Business Days prior to the Effective Date, all documentation and other information regarding the Loan Parties reasonably requested in connection with applicable “know your customer” and anti-money laundering rules and regulations, including the Act, to the extent requested in writing of the Company at least ten (10) Business Days prior to the Effective Date and (ii) to the extent any Loan Party qualifies as a “legal entity customer” under the Beneficial Ownership Regulation, at least three (3) Business Days prior to the Effective Date, any Lender that has requested, in a written notice to the Company at least ten (10) Business Days prior to the Effective Date, a Beneficial Ownership Certification in relation to such Loan Party shall have received such Beneficial Ownership Certification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upon the execution and delivery by such Lender of its signature page to this Agreement, the conditions set forth in this </w:t>
      </w:r>
      <w:r>
        <w:rPr>
          <w:rFonts w:ascii="Arial" w:cs="Arial" w:eastAsia="Arial" w:hAnsi="Arial"/>
          <w:sz w:val="21"/>
          <w:szCs w:val="21"/>
          <w:u w:val="single" w:color="auto"/>
          <w:color w:val="auto"/>
        </w:rPr>
        <w:t>clause (f)</w:t>
      </w:r>
      <w:r>
        <w:rPr>
          <w:rFonts w:ascii="Arial" w:cs="Arial" w:eastAsia="Arial" w:hAnsi="Arial"/>
          <w:sz w:val="21"/>
          <w:szCs w:val="21"/>
          <w:color w:val="auto"/>
        </w:rPr>
        <w:t xml:space="preserve"> shall be deemed to be satisfied).</w:t>
      </w:r>
    </w:p>
    <w:p>
      <w:pPr>
        <w:spacing w:after="0" w:line="184" w:lineRule="exact"/>
        <w:rPr>
          <w:rFonts w:ascii="Arial" w:cs="Arial" w:eastAsia="Arial" w:hAnsi="Arial"/>
          <w:sz w:val="21"/>
          <w:szCs w:val="21"/>
          <w:color w:val="auto"/>
        </w:rPr>
      </w:pPr>
    </w:p>
    <w:p>
      <w:pPr>
        <w:jc w:val="both"/>
        <w:ind w:firstLine="1505"/>
        <w:spacing w:after="0"/>
        <w:tabs>
          <w:tab w:leader="none" w:pos="2187" w:val="left"/>
        </w:tabs>
        <w:numPr>
          <w:ilvl w:val="0"/>
          <w:numId w:val="297"/>
        </w:numPr>
        <w:rPr>
          <w:rFonts w:ascii="Arial" w:cs="Arial" w:eastAsia="Arial" w:hAnsi="Arial"/>
          <w:sz w:val="22"/>
          <w:szCs w:val="22"/>
          <w:color w:val="auto"/>
        </w:rPr>
      </w:pPr>
      <w:r>
        <w:rPr>
          <w:rFonts w:ascii="Arial" w:cs="Arial" w:eastAsia="Arial" w:hAnsi="Arial"/>
          <w:sz w:val="22"/>
          <w:szCs w:val="22"/>
          <w:color w:val="auto"/>
        </w:rPr>
        <w:t>The Administrative Agent shall have received from such Indonesian Borrower documents evidencing that the Indonesian Borrower has obtained all corporate approvals as required in accordance with its Articles of Association, in connection with the borrowings as contemplated in this Agreement.</w:t>
      </w:r>
    </w:p>
    <w:p>
      <w:pPr>
        <w:spacing w:after="0" w:line="186" w:lineRule="exact"/>
        <w:rPr>
          <w:rFonts w:ascii="Arial" w:cs="Arial" w:eastAsia="Arial" w:hAnsi="Arial"/>
          <w:sz w:val="22"/>
          <w:szCs w:val="22"/>
          <w:color w:val="auto"/>
        </w:rPr>
      </w:pPr>
    </w:p>
    <w:p>
      <w:pPr>
        <w:ind w:left="2160" w:hanging="655"/>
        <w:spacing w:after="0"/>
        <w:tabs>
          <w:tab w:leader="none" w:pos="216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0"/>
          <w:numId w:val="297"/>
        </w:numPr>
        <w:rPr>
          <w:rFonts w:ascii="Arial" w:cs="Arial" w:eastAsia="Arial" w:hAnsi="Arial"/>
          <w:sz w:val="21"/>
          <w:szCs w:val="21"/>
          <w:color w:val="auto"/>
        </w:rPr>
      </w:pPr>
      <w:r>
        <w:rPr>
          <w:rFonts w:ascii="Arial" w:cs="Arial" w:eastAsia="Arial" w:hAnsi="Arial"/>
          <w:sz w:val="21"/>
          <w:szCs w:val="21"/>
          <w:color w:val="auto"/>
        </w:rPr>
        <w:t>The Indonesian version of this Agreement has been executed by the parties to this Agreement.</w:t>
      </w:r>
    </w:p>
    <w:p>
      <w:pPr>
        <w:spacing w:after="0" w:line="217" w:lineRule="exact"/>
        <w:rPr>
          <w:rFonts w:ascii="Arial" w:cs="Arial" w:eastAsia="Arial" w:hAnsi="Arial"/>
          <w:sz w:val="21"/>
          <w:szCs w:val="21"/>
          <w:color w:val="auto"/>
        </w:rPr>
      </w:pPr>
    </w:p>
    <w:p>
      <w:pPr>
        <w:ind w:left="2160" w:hanging="655"/>
        <w:spacing w:after="0"/>
        <w:tabs>
          <w:tab w:leader="none" w:pos="216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The Administrative Agent shall have received from each Luxembourg Loan Party:</w:t>
      </w:r>
    </w:p>
    <w:p>
      <w:pPr>
        <w:spacing w:after="0" w:line="206" w:lineRule="exact"/>
        <w:rPr>
          <w:rFonts w:ascii="Arial" w:cs="Arial" w:eastAsia="Arial" w:hAnsi="Arial"/>
          <w:sz w:val="22"/>
          <w:szCs w:val="22"/>
          <w:color w:val="auto"/>
        </w:rPr>
      </w:pPr>
    </w:p>
    <w:p>
      <w:pPr>
        <w:ind w:left="2940" w:hanging="686"/>
        <w:spacing w:after="0"/>
        <w:tabs>
          <w:tab w:leader="none" w:pos="2940" w:val="left"/>
        </w:tabs>
        <w:numPr>
          <w:ilvl w:val="1"/>
          <w:numId w:val="297"/>
        </w:numPr>
        <w:rPr>
          <w:rFonts w:ascii="Arial" w:cs="Arial" w:eastAsia="Arial" w:hAnsi="Arial"/>
          <w:sz w:val="19"/>
          <w:szCs w:val="19"/>
          <w:color w:val="auto"/>
        </w:rPr>
      </w:pPr>
      <w:r>
        <w:rPr>
          <w:rFonts w:ascii="Arial" w:cs="Arial" w:eastAsia="Arial" w:hAnsi="Arial"/>
          <w:sz w:val="19"/>
          <w:szCs w:val="19"/>
          <w:color w:val="auto"/>
        </w:rPr>
        <w:t>a copy of a resolution of the board of managers or the board of directors of that Luxembourg</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Loan Party:</w:t>
      </w:r>
    </w:p>
    <w:p>
      <w:pPr>
        <w:spacing w:after="0" w:line="188" w:lineRule="exact"/>
        <w:rPr>
          <w:rFonts w:ascii="Arial" w:cs="Arial" w:eastAsia="Arial" w:hAnsi="Arial"/>
          <w:sz w:val="19"/>
          <w:szCs w:val="19"/>
          <w:color w:val="auto"/>
        </w:rPr>
      </w:pPr>
    </w:p>
    <w:p>
      <w:pPr>
        <w:ind w:left="1500" w:firstLine="1503"/>
        <w:spacing w:after="0" w:line="328" w:lineRule="auto"/>
        <w:tabs>
          <w:tab w:leader="none" w:pos="3350" w:val="left"/>
        </w:tabs>
        <w:numPr>
          <w:ilvl w:val="2"/>
          <w:numId w:val="297"/>
        </w:numPr>
        <w:rPr>
          <w:rFonts w:ascii="Arial" w:cs="Arial" w:eastAsia="Arial" w:hAnsi="Arial"/>
          <w:sz w:val="19"/>
          <w:szCs w:val="19"/>
          <w:color w:val="auto"/>
        </w:rPr>
      </w:pPr>
      <w:r>
        <w:rPr>
          <w:rFonts w:ascii="Arial" w:cs="Arial" w:eastAsia="Arial" w:hAnsi="Arial"/>
          <w:sz w:val="19"/>
          <w:szCs w:val="19"/>
          <w:color w:val="auto"/>
        </w:rPr>
        <w:t>approving the terms of, and the transactions contemplated by, the Loan Documents to which it is a party and resolving that it execute the Loan Documents to which it is a party on its behalf; and</w:t>
      </w:r>
    </w:p>
    <w:p>
      <w:pPr>
        <w:spacing w:after="0" w:line="104" w:lineRule="exact"/>
        <w:rPr>
          <w:rFonts w:ascii="Arial" w:cs="Arial" w:eastAsia="Arial" w:hAnsi="Arial"/>
          <w:sz w:val="19"/>
          <w:szCs w:val="19"/>
          <w:color w:val="auto"/>
        </w:rPr>
      </w:pPr>
    </w:p>
    <w:p>
      <w:pPr>
        <w:ind w:left="1500" w:firstLine="1503"/>
        <w:spacing w:after="0" w:line="250" w:lineRule="auto"/>
        <w:tabs>
          <w:tab w:leader="none" w:pos="3326" w:val="left"/>
        </w:tabs>
        <w:numPr>
          <w:ilvl w:val="2"/>
          <w:numId w:val="297"/>
        </w:numPr>
        <w:rPr>
          <w:rFonts w:ascii="Arial" w:cs="Arial" w:eastAsia="Arial" w:hAnsi="Arial"/>
          <w:sz w:val="22"/>
          <w:szCs w:val="22"/>
          <w:color w:val="auto"/>
        </w:rPr>
      </w:pPr>
      <w:r>
        <w:rPr>
          <w:rFonts w:ascii="Arial" w:cs="Arial" w:eastAsia="Arial" w:hAnsi="Arial"/>
          <w:sz w:val="22"/>
          <w:szCs w:val="22"/>
          <w:color w:val="auto"/>
        </w:rPr>
        <w:t>authorising a specified person or persons to execute the Loan Documents to which it is party on its behalf; and</w:t>
      </w:r>
    </w:p>
    <w:p>
      <w:pPr>
        <w:spacing w:after="0" w:line="174" w:lineRule="exact"/>
        <w:rPr>
          <w:rFonts w:ascii="Arial" w:cs="Arial" w:eastAsia="Arial" w:hAnsi="Arial"/>
          <w:sz w:val="22"/>
          <w:szCs w:val="22"/>
          <w:color w:val="auto"/>
        </w:rPr>
      </w:pPr>
    </w:p>
    <w:p>
      <w:pPr>
        <w:jc w:val="both"/>
        <w:ind w:left="1500" w:firstLine="1503"/>
        <w:spacing w:after="0"/>
        <w:tabs>
          <w:tab w:leader="none" w:pos="3385" w:val="left"/>
        </w:tabs>
        <w:numPr>
          <w:ilvl w:val="2"/>
          <w:numId w:val="297"/>
        </w:numPr>
        <w:rPr>
          <w:rFonts w:ascii="Arial" w:cs="Arial" w:eastAsia="Arial" w:hAnsi="Arial"/>
          <w:sz w:val="22"/>
          <w:szCs w:val="22"/>
          <w:color w:val="auto"/>
        </w:rPr>
      </w:pPr>
      <w:r>
        <w:rPr>
          <w:rFonts w:ascii="Arial" w:cs="Arial" w:eastAsia="Arial" w:hAnsi="Arial"/>
          <w:sz w:val="22"/>
          <w:szCs w:val="22"/>
          <w:color w:val="auto"/>
        </w:rPr>
        <w:t>authorising a specified person or persons, on its behalf, to sign and/or despatch all documents and notices to be signed and/or despatched by it under or in connection with the Loan Documents to which it is a party;</w:t>
      </w:r>
    </w:p>
    <w:p>
      <w:pPr>
        <w:spacing w:after="0" w:line="186" w:lineRule="exact"/>
        <w:rPr>
          <w:rFonts w:ascii="Arial" w:cs="Arial" w:eastAsia="Arial" w:hAnsi="Arial"/>
          <w:sz w:val="22"/>
          <w:szCs w:val="22"/>
          <w:color w:val="auto"/>
        </w:rPr>
      </w:pPr>
    </w:p>
    <w:p>
      <w:pPr>
        <w:jc w:val="both"/>
        <w:ind w:left="760" w:firstLine="1494"/>
        <w:spacing w:after="0" w:line="238" w:lineRule="auto"/>
        <w:tabs>
          <w:tab w:leader="none" w:pos="2946" w:val="left"/>
        </w:tabs>
        <w:numPr>
          <w:ilvl w:val="1"/>
          <w:numId w:val="297"/>
        </w:numPr>
        <w:rPr>
          <w:rFonts w:ascii="Arial" w:cs="Arial" w:eastAsia="Arial" w:hAnsi="Arial"/>
          <w:sz w:val="22"/>
          <w:szCs w:val="22"/>
          <w:color w:val="auto"/>
        </w:rPr>
      </w:pPr>
      <w:r>
        <w:rPr>
          <w:rFonts w:ascii="Arial" w:cs="Arial" w:eastAsia="Arial" w:hAnsi="Arial"/>
          <w:sz w:val="22"/>
          <w:szCs w:val="22"/>
          <w:color w:val="auto"/>
        </w:rPr>
        <w:t>an excerpt (</w:t>
      </w:r>
      <w:r>
        <w:rPr>
          <w:rFonts w:ascii="Arial" w:cs="Arial" w:eastAsia="Arial" w:hAnsi="Arial"/>
          <w:sz w:val="22"/>
          <w:szCs w:val="22"/>
          <w:i w:val="1"/>
          <w:iCs w:val="1"/>
          <w:color w:val="auto"/>
        </w:rPr>
        <w:t>extrait</w:t>
      </w:r>
      <w:r>
        <w:rPr>
          <w:rFonts w:ascii="Arial" w:cs="Arial" w:eastAsia="Arial" w:hAnsi="Arial"/>
          <w:sz w:val="22"/>
          <w:szCs w:val="22"/>
          <w:color w:val="auto"/>
        </w:rPr>
        <w:t>) and a certificate of non-registration of judicial decision or administrative dissolution without liquidation (</w:t>
      </w:r>
      <w:r>
        <w:rPr>
          <w:rFonts w:ascii="Arial" w:cs="Arial" w:eastAsia="Arial" w:hAnsi="Arial"/>
          <w:sz w:val="22"/>
          <w:szCs w:val="22"/>
          <w:i w:val="1"/>
          <w:iCs w:val="1"/>
          <w:color w:val="auto"/>
        </w:rPr>
        <w:t>certificat de non-inscription d’une decision judiciaire ou de dissolution administrative</w:t>
      </w:r>
      <w:r>
        <w:rPr>
          <w:rFonts w:ascii="Arial" w:cs="Arial" w:eastAsia="Arial" w:hAnsi="Arial"/>
          <w:sz w:val="22"/>
          <w:szCs w:val="22"/>
          <w:color w:val="auto"/>
        </w:rPr>
        <w:t xml:space="preserve"> </w:t>
      </w:r>
      <w:r>
        <w:rPr>
          <w:rFonts w:ascii="Arial" w:cs="Arial" w:eastAsia="Arial" w:hAnsi="Arial"/>
          <w:sz w:val="22"/>
          <w:szCs w:val="22"/>
          <w:i w:val="1"/>
          <w:iCs w:val="1"/>
          <w:color w:val="auto"/>
        </w:rPr>
        <w:t>sans liquidation</w:t>
      </w:r>
      <w:r>
        <w:rPr>
          <w:rFonts w:ascii="Arial" w:cs="Arial" w:eastAsia="Arial" w:hAnsi="Arial"/>
          <w:sz w:val="22"/>
          <w:szCs w:val="22"/>
          <w:color w:val="auto"/>
        </w:rPr>
        <w:t>) issued by the Luxembourg Register of Commerce and Companies in relation to it, dated not earlier than</w:t>
      </w:r>
      <w:r>
        <w:rPr>
          <w:rFonts w:ascii="Arial" w:cs="Arial" w:eastAsia="Arial" w:hAnsi="Arial"/>
          <w:sz w:val="22"/>
          <w:szCs w:val="22"/>
          <w:i w:val="1"/>
          <w:iCs w:val="1"/>
          <w:color w:val="auto"/>
        </w:rPr>
        <w:t xml:space="preserve"> </w:t>
      </w:r>
      <w:r>
        <w:rPr>
          <w:rFonts w:ascii="Arial" w:cs="Arial" w:eastAsia="Arial" w:hAnsi="Arial"/>
          <w:sz w:val="22"/>
          <w:szCs w:val="22"/>
          <w:color w:val="auto"/>
        </w:rPr>
        <w:t>one Business Day prior to the date of this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7" w:name="page278"/>
    <w:bookmarkEnd w:id="277"/>
    <w:p>
      <w:pPr>
        <w:ind w:left="2980" w:hanging="726"/>
        <w:spacing w:after="0"/>
        <w:tabs>
          <w:tab w:leader="none" w:pos="2980" w:val="left"/>
        </w:tabs>
        <w:numPr>
          <w:ilvl w:val="0"/>
          <w:numId w:val="298"/>
        </w:numPr>
        <w:rPr>
          <w:rFonts w:ascii="Arial" w:cs="Arial" w:eastAsia="Arial" w:hAnsi="Arial"/>
          <w:sz w:val="19"/>
          <w:szCs w:val="19"/>
          <w:color w:val="auto"/>
        </w:rPr>
      </w:pPr>
      <w:r>
        <w:rPr>
          <w:rFonts w:ascii="Arial" w:cs="Arial" w:eastAsia="Arial" w:hAnsi="Arial"/>
          <w:sz w:val="19"/>
          <w:szCs w:val="19"/>
          <w:color w:val="auto"/>
        </w:rPr>
        <w:t xml:space="preserve">a specimen of the signature of each person authorised by the resolution referred to in </w:t>
      </w:r>
      <w:r>
        <w:rPr>
          <w:rFonts w:ascii="Arial" w:cs="Arial" w:eastAsia="Arial" w:hAnsi="Arial"/>
          <w:sz w:val="19"/>
          <w:szCs w:val="19"/>
          <w:u w:val="single" w:color="auto"/>
          <w:color w:val="auto"/>
        </w:rPr>
        <w:t>clause (j)</w:t>
      </w:r>
    </w:p>
    <w:p>
      <w:pPr>
        <w:spacing w:after="0" w:line="43" w:lineRule="exact"/>
        <w:rPr>
          <w:sz w:val="20"/>
          <w:szCs w:val="20"/>
          <w:color w:val="auto"/>
        </w:rPr>
      </w:pPr>
    </w:p>
    <w:p>
      <w:pPr>
        <w:ind w:left="1020" w:hanging="263"/>
        <w:spacing w:after="0"/>
        <w:tabs>
          <w:tab w:leader="none" w:pos="1020" w:val="left"/>
        </w:tabs>
        <w:numPr>
          <w:ilvl w:val="0"/>
          <w:numId w:val="299"/>
        </w:numPr>
        <w:rPr>
          <w:rFonts w:ascii="Arial" w:cs="Arial" w:eastAsia="Arial" w:hAnsi="Arial"/>
          <w:sz w:val="22"/>
          <w:szCs w:val="22"/>
          <w:u w:val="single" w:color="auto"/>
          <w:color w:val="auto"/>
        </w:rPr>
      </w:pPr>
      <w:r>
        <w:rPr>
          <w:rFonts w:ascii="Arial" w:cs="Arial" w:eastAsia="Arial" w:hAnsi="Arial"/>
          <w:sz w:val="22"/>
          <w:szCs w:val="22"/>
          <w:color w:val="auto"/>
        </w:rPr>
        <w:t>above;</w:t>
      </w:r>
    </w:p>
    <w:p>
      <w:pPr>
        <w:spacing w:after="0" w:line="188" w:lineRule="exact"/>
        <w:rPr>
          <w:sz w:val="20"/>
          <w:szCs w:val="20"/>
          <w:color w:val="auto"/>
        </w:rPr>
      </w:pPr>
    </w:p>
    <w:p>
      <w:pPr>
        <w:ind w:left="760" w:firstLine="1494"/>
        <w:spacing w:after="0" w:line="274" w:lineRule="auto"/>
        <w:tabs>
          <w:tab w:leader="none" w:pos="3096" w:val="left"/>
        </w:tabs>
        <w:numPr>
          <w:ilvl w:val="0"/>
          <w:numId w:val="300"/>
        </w:numPr>
        <w:rPr>
          <w:rFonts w:ascii="Arial" w:cs="Arial" w:eastAsia="Arial" w:hAnsi="Arial"/>
          <w:sz w:val="21"/>
          <w:szCs w:val="21"/>
          <w:color w:val="auto"/>
        </w:rPr>
      </w:pPr>
      <w:r>
        <w:rPr>
          <w:rFonts w:ascii="Arial" w:cs="Arial" w:eastAsia="Arial" w:hAnsi="Arial"/>
          <w:sz w:val="21"/>
          <w:szCs w:val="21"/>
          <w:color w:val="auto"/>
        </w:rPr>
        <w:t>a certificate confirming that borrowing or guaranteeing or securing, as appropriate, the Commitments would not cause any borrowing, guarantee, security or similar limit binding on it to be exceeded;</w:t>
      </w:r>
    </w:p>
    <w:p>
      <w:pPr>
        <w:spacing w:after="0" w:line="150" w:lineRule="exact"/>
        <w:rPr>
          <w:rFonts w:ascii="Arial" w:cs="Arial" w:eastAsia="Arial" w:hAnsi="Arial"/>
          <w:sz w:val="21"/>
          <w:szCs w:val="21"/>
          <w:color w:val="auto"/>
        </w:rPr>
      </w:pPr>
    </w:p>
    <w:p>
      <w:pPr>
        <w:jc w:val="both"/>
        <w:ind w:left="760" w:firstLine="1494"/>
        <w:spacing w:after="0"/>
        <w:tabs>
          <w:tab w:leader="none" w:pos="2977" w:val="left"/>
        </w:tabs>
        <w:numPr>
          <w:ilvl w:val="0"/>
          <w:numId w:val="300"/>
        </w:numPr>
        <w:rPr>
          <w:rFonts w:ascii="Arial" w:cs="Arial" w:eastAsia="Arial" w:hAnsi="Arial"/>
          <w:sz w:val="22"/>
          <w:szCs w:val="22"/>
          <w:color w:val="auto"/>
        </w:rPr>
      </w:pPr>
      <w:r>
        <w:rPr>
          <w:rFonts w:ascii="Arial" w:cs="Arial" w:eastAsia="Arial" w:hAnsi="Arial"/>
          <w:sz w:val="22"/>
          <w:szCs w:val="22"/>
          <w:color w:val="auto"/>
        </w:rPr>
        <w:t xml:space="preserve">a certificate of an authorised signatory certifying that each copy document relating to it specified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is correct, complete and in full force and effect as at a date no earlier than the date of this Agreement;</w:t>
      </w:r>
    </w:p>
    <w:p>
      <w:pPr>
        <w:spacing w:after="0" w:line="186" w:lineRule="exact"/>
        <w:rPr>
          <w:rFonts w:ascii="Arial" w:cs="Arial" w:eastAsia="Arial" w:hAnsi="Arial"/>
          <w:sz w:val="22"/>
          <w:szCs w:val="22"/>
          <w:color w:val="auto"/>
        </w:rPr>
      </w:pPr>
    </w:p>
    <w:p>
      <w:pPr>
        <w:jc w:val="both"/>
        <w:ind w:left="760" w:firstLine="1494"/>
        <w:spacing w:after="0" w:line="275" w:lineRule="auto"/>
        <w:tabs>
          <w:tab w:leader="none" w:pos="3017" w:val="left"/>
        </w:tabs>
        <w:numPr>
          <w:ilvl w:val="0"/>
          <w:numId w:val="300"/>
        </w:numPr>
        <w:rPr>
          <w:rFonts w:ascii="Arial" w:cs="Arial" w:eastAsia="Arial" w:hAnsi="Arial"/>
          <w:sz w:val="19"/>
          <w:szCs w:val="19"/>
          <w:color w:val="auto"/>
        </w:rPr>
      </w:pPr>
      <w:r>
        <w:rPr>
          <w:rFonts w:ascii="Arial" w:cs="Arial" w:eastAsia="Arial" w:hAnsi="Arial"/>
          <w:sz w:val="19"/>
          <w:szCs w:val="19"/>
          <w:color w:val="auto"/>
        </w:rPr>
        <w:t>a certificate confirming, inter alia that (a) it is not subject to bankruptcy (</w:t>
      </w:r>
      <w:r>
        <w:rPr>
          <w:rFonts w:ascii="Arial" w:cs="Arial" w:eastAsia="Arial" w:hAnsi="Arial"/>
          <w:sz w:val="19"/>
          <w:szCs w:val="19"/>
          <w:i w:val="1"/>
          <w:iCs w:val="1"/>
          <w:color w:val="auto"/>
        </w:rPr>
        <w:t>faillite</w:t>
      </w:r>
      <w:r>
        <w:rPr>
          <w:rFonts w:ascii="Arial" w:cs="Arial" w:eastAsia="Arial" w:hAnsi="Arial"/>
          <w:sz w:val="19"/>
          <w:szCs w:val="19"/>
          <w:color w:val="auto"/>
        </w:rPr>
        <w:t>), controlled management (</w:t>
      </w:r>
      <w:r>
        <w:rPr>
          <w:rFonts w:ascii="Arial" w:cs="Arial" w:eastAsia="Arial" w:hAnsi="Arial"/>
          <w:sz w:val="19"/>
          <w:szCs w:val="19"/>
          <w:i w:val="1"/>
          <w:iCs w:val="1"/>
          <w:color w:val="auto"/>
        </w:rPr>
        <w:t>gestion contrôlée</w:t>
      </w:r>
      <w:r>
        <w:rPr>
          <w:rFonts w:ascii="Arial" w:cs="Arial" w:eastAsia="Arial" w:hAnsi="Arial"/>
          <w:sz w:val="19"/>
          <w:szCs w:val="19"/>
          <w:color w:val="auto"/>
        </w:rPr>
        <w:t>), suspension of payments (</w:t>
      </w:r>
      <w:r>
        <w:rPr>
          <w:rFonts w:ascii="Arial" w:cs="Arial" w:eastAsia="Arial" w:hAnsi="Arial"/>
          <w:sz w:val="19"/>
          <w:szCs w:val="19"/>
          <w:i w:val="1"/>
          <w:iCs w:val="1"/>
          <w:color w:val="auto"/>
        </w:rPr>
        <w:t>sursis de paiement</w:t>
      </w:r>
      <w:r>
        <w:rPr>
          <w:rFonts w:ascii="Arial" w:cs="Arial" w:eastAsia="Arial" w:hAnsi="Arial"/>
          <w:sz w:val="19"/>
          <w:szCs w:val="19"/>
          <w:color w:val="auto"/>
        </w:rPr>
        <w:t>), arrangement with creditors (</w:t>
      </w:r>
      <w:r>
        <w:rPr>
          <w:rFonts w:ascii="Arial" w:cs="Arial" w:eastAsia="Arial" w:hAnsi="Arial"/>
          <w:sz w:val="19"/>
          <w:szCs w:val="19"/>
          <w:i w:val="1"/>
          <w:iCs w:val="1"/>
          <w:color w:val="auto"/>
        </w:rPr>
        <w:t>concordat</w:t>
      </w:r>
      <w:r>
        <w:rPr>
          <w:rFonts w:ascii="Arial" w:cs="Arial" w:eastAsia="Arial" w:hAnsi="Arial"/>
          <w:sz w:val="19"/>
          <w:szCs w:val="19"/>
          <w:color w:val="auto"/>
        </w:rPr>
        <w:t xml:space="preserve"> </w:t>
      </w:r>
      <w:r>
        <w:rPr>
          <w:rFonts w:ascii="Arial" w:cs="Arial" w:eastAsia="Arial" w:hAnsi="Arial"/>
          <w:sz w:val="19"/>
          <w:szCs w:val="19"/>
          <w:i w:val="1"/>
          <w:iCs w:val="1"/>
          <w:color w:val="auto"/>
        </w:rPr>
        <w:t>préventif de la faillite</w:t>
      </w:r>
      <w:r>
        <w:rPr>
          <w:rFonts w:ascii="Arial" w:cs="Arial" w:eastAsia="Arial" w:hAnsi="Arial"/>
          <w:sz w:val="19"/>
          <w:szCs w:val="19"/>
          <w:color w:val="auto"/>
        </w:rPr>
        <w:t>) or voluntary or judicial liquidation (</w:t>
      </w:r>
      <w:r>
        <w:rPr>
          <w:rFonts w:ascii="Arial" w:cs="Arial" w:eastAsia="Arial" w:hAnsi="Arial"/>
          <w:sz w:val="19"/>
          <w:szCs w:val="19"/>
          <w:i w:val="1"/>
          <w:iCs w:val="1"/>
          <w:color w:val="auto"/>
        </w:rPr>
        <w:t>liquidation volontaire ou judiciaire</w:t>
      </w:r>
      <w:r>
        <w:rPr>
          <w:rFonts w:ascii="Arial" w:cs="Arial" w:eastAsia="Arial" w:hAnsi="Arial"/>
          <w:sz w:val="19"/>
          <w:szCs w:val="19"/>
          <w:color w:val="auto"/>
        </w:rPr>
        <w:t>) proceedings, (b) it is not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 a state of cessation of payments </w:t>
      </w:r>
      <w:r>
        <w:rPr>
          <w:rFonts w:ascii="Arial" w:cs="Arial" w:eastAsia="Arial" w:hAnsi="Arial"/>
          <w:sz w:val="19"/>
          <w:szCs w:val="19"/>
          <w:i w:val="1"/>
          <w:iCs w:val="1"/>
          <w:color w:val="auto"/>
        </w:rPr>
        <w:t>(cessation de paiements)</w:t>
      </w:r>
      <w:r>
        <w:rPr>
          <w:rFonts w:ascii="Arial" w:cs="Arial" w:eastAsia="Arial" w:hAnsi="Arial"/>
          <w:sz w:val="19"/>
          <w:szCs w:val="19"/>
          <w:color w:val="auto"/>
        </w:rPr>
        <w:t xml:space="preserve"> and has not lost its commercial creditworthiness (</w:t>
      </w:r>
      <w:r>
        <w:rPr>
          <w:rFonts w:ascii="Arial" w:cs="Arial" w:eastAsia="Arial" w:hAnsi="Arial"/>
          <w:sz w:val="19"/>
          <w:szCs w:val="19"/>
          <w:i w:val="1"/>
          <w:iCs w:val="1"/>
          <w:color w:val="auto"/>
        </w:rPr>
        <w:t>ébranlement de credit</w:t>
      </w:r>
      <w:r>
        <w:rPr>
          <w:rFonts w:ascii="Arial" w:cs="Arial" w:eastAsia="Arial" w:hAnsi="Arial"/>
          <w:sz w:val="19"/>
          <w:szCs w:val="19"/>
          <w:color w:val="auto"/>
        </w:rPr>
        <w:t xml:space="preserve">), (c) no application has been made by it or, as far as it is aware, by any other entitled person for the appointment of a </w:t>
      </w:r>
      <w:r>
        <w:rPr>
          <w:rFonts w:ascii="Arial" w:cs="Arial" w:eastAsia="Arial" w:hAnsi="Arial"/>
          <w:sz w:val="19"/>
          <w:szCs w:val="19"/>
          <w:i w:val="1"/>
          <w:iCs w:val="1"/>
          <w:color w:val="auto"/>
        </w:rPr>
        <w:t>commissaire, juge-commissaire, liquidateur, curateur</w:t>
      </w:r>
      <w:r>
        <w:rPr>
          <w:rFonts w:ascii="Arial" w:cs="Arial" w:eastAsia="Arial" w:hAnsi="Arial"/>
          <w:sz w:val="19"/>
          <w:szCs w:val="19"/>
          <w:color w:val="auto"/>
        </w:rPr>
        <w:t xml:space="preserve"> or similar officer pursuant to any insolvency or similar proceedings, and (d) to the best of its knowledge, no petition for the opening of such proceedings has been presented by it or by any other person entitled to do so; and</w:t>
      </w:r>
    </w:p>
    <w:p>
      <w:pPr>
        <w:spacing w:after="0" w:line="157" w:lineRule="exact"/>
        <w:rPr>
          <w:rFonts w:ascii="Arial" w:cs="Arial" w:eastAsia="Arial" w:hAnsi="Arial"/>
          <w:sz w:val="19"/>
          <w:szCs w:val="19"/>
          <w:color w:val="auto"/>
        </w:rPr>
      </w:pPr>
    </w:p>
    <w:p>
      <w:pPr>
        <w:ind w:left="2920" w:hanging="666"/>
        <w:spacing w:after="0"/>
        <w:tabs>
          <w:tab w:leader="none" w:pos="292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if applicable, a certificate of the domiciliation agent of that Luxembourg Loan Party.</w:t>
      </w:r>
    </w:p>
    <w:p>
      <w:pPr>
        <w:spacing w:after="0" w:line="206" w:lineRule="exact"/>
        <w:rPr>
          <w:sz w:val="20"/>
          <w:szCs w:val="20"/>
          <w:color w:val="auto"/>
        </w:rPr>
      </w:pPr>
    </w:p>
    <w:p>
      <w:pPr>
        <w:jc w:val="both"/>
        <w:ind w:firstLine="1505"/>
        <w:spacing w:after="0" w:line="297" w:lineRule="auto"/>
        <w:tabs>
          <w:tab w:leader="none" w:pos="2266" w:val="left"/>
        </w:tabs>
        <w:numPr>
          <w:ilvl w:val="0"/>
          <w:numId w:val="301"/>
        </w:numPr>
        <w:rPr>
          <w:rFonts w:ascii="Arial" w:cs="Arial" w:eastAsia="Arial" w:hAnsi="Arial"/>
          <w:sz w:val="19"/>
          <w:szCs w:val="19"/>
          <w:color w:val="auto"/>
        </w:rPr>
      </w:pPr>
      <w:r>
        <w:rPr>
          <w:rFonts w:ascii="Arial" w:cs="Arial" w:eastAsia="Arial" w:hAnsi="Arial"/>
          <w:sz w:val="19"/>
          <w:szCs w:val="19"/>
          <w:color w:val="auto"/>
        </w:rPr>
        <w:t>The Administrative Agent shall have received evidence satisfactory to it that, substantially simultaneously with the funding of Loans on the Effective Date, the Borrowers shall have repaid the principal of all outstanding loans under the Existing Credit Agreement and paid all accrued interest, fees and other amounts owing thereunder.</w:t>
      </w:r>
    </w:p>
    <w:p>
      <w:pPr>
        <w:spacing w:after="0" w:line="134" w:lineRule="exact"/>
        <w:rPr>
          <w:sz w:val="20"/>
          <w:szCs w:val="20"/>
          <w:color w:val="auto"/>
        </w:rPr>
      </w:pPr>
    </w:p>
    <w:p>
      <w:pPr>
        <w:ind w:firstLine="60"/>
        <w:spacing w:after="0" w:line="250" w:lineRule="auto"/>
        <w:rPr>
          <w:sz w:val="20"/>
          <w:szCs w:val="20"/>
          <w:color w:val="auto"/>
        </w:rPr>
      </w:pPr>
      <w:r>
        <w:rPr>
          <w:rFonts w:ascii="Arial" w:cs="Arial" w:eastAsia="Arial" w:hAnsi="Arial"/>
          <w:sz w:val="22"/>
          <w:szCs w:val="22"/>
          <w:color w:val="auto"/>
        </w:rPr>
        <w:t>The Administrative Agent shall notify the Company, the Borrowers, and the Lenders of the Effective Date, and such notice shall be conclusive and binding.</w:t>
      </w:r>
    </w:p>
    <w:p>
      <w:pPr>
        <w:spacing w:after="0" w:line="17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Each Credit Event</w:t>
      </w:r>
      <w:r>
        <w:rPr>
          <w:rFonts w:ascii="Arial" w:cs="Arial" w:eastAsia="Arial" w:hAnsi="Arial"/>
          <w:sz w:val="22"/>
          <w:szCs w:val="22"/>
          <w:color w:val="auto"/>
        </w:rPr>
        <w:t>. The obligation of each Lender to make a Loan on the occasion of any Borrowing is subject to the satisfaction of the following conditions:</w:t>
      </w:r>
    </w:p>
    <w:p>
      <w:pPr>
        <w:spacing w:after="0" w:line="175" w:lineRule="exact"/>
        <w:rPr>
          <w:sz w:val="20"/>
          <w:szCs w:val="20"/>
          <w:color w:val="auto"/>
        </w:rPr>
      </w:pPr>
    </w:p>
    <w:p>
      <w:pPr>
        <w:jc w:val="both"/>
        <w:ind w:firstLine="1505"/>
        <w:spacing w:after="0" w:line="252" w:lineRule="auto"/>
        <w:tabs>
          <w:tab w:leader="none" w:pos="2172" w:val="left"/>
        </w:tabs>
        <w:numPr>
          <w:ilvl w:val="0"/>
          <w:numId w:val="302"/>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the Loan Parties set forth in the Loan Documents (other than the representations and warranties set forth in </w:t>
      </w:r>
      <w:r>
        <w:rPr>
          <w:rFonts w:ascii="Arial" w:cs="Arial" w:eastAsia="Arial" w:hAnsi="Arial"/>
          <w:sz w:val="21"/>
          <w:szCs w:val="21"/>
          <w:u w:val="single" w:color="auto"/>
          <w:color w:val="auto"/>
        </w:rPr>
        <w:t>Sections 3.04(b)</w:t>
      </w:r>
      <w:r>
        <w:rPr>
          <w:rFonts w:ascii="Arial" w:cs="Arial" w:eastAsia="Arial" w:hAnsi="Arial"/>
          <w:sz w:val="21"/>
          <w:szCs w:val="21"/>
          <w:color w:val="auto"/>
        </w:rPr>
        <w:t xml:space="preserve">, </w:t>
      </w:r>
      <w:r>
        <w:rPr>
          <w:rFonts w:ascii="Arial" w:cs="Arial" w:eastAsia="Arial" w:hAnsi="Arial"/>
          <w:sz w:val="21"/>
          <w:szCs w:val="21"/>
          <w:u w:val="single" w:color="auto"/>
          <w:color w:val="auto"/>
        </w:rPr>
        <w:t>3.05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3.09</w:t>
      </w:r>
      <w:r>
        <w:rPr>
          <w:rFonts w:ascii="Arial" w:cs="Arial" w:eastAsia="Arial" w:hAnsi="Arial"/>
          <w:sz w:val="21"/>
          <w:szCs w:val="21"/>
          <w:color w:val="auto"/>
        </w:rPr>
        <w:t xml:space="preserve"> with respect to any Borrowing after the Effective Date) shall be true and correct in all material respects (or in all respects if the applicable representation or warranty is already qualified by concepts of materiality) on and as of the date of such Borrowing.</w:t>
      </w:r>
    </w:p>
    <w:p>
      <w:pPr>
        <w:spacing w:after="0" w:line="173" w:lineRule="exact"/>
        <w:rPr>
          <w:rFonts w:ascii="Arial" w:cs="Arial" w:eastAsia="Arial" w:hAnsi="Arial"/>
          <w:sz w:val="21"/>
          <w:szCs w:val="21"/>
          <w:color w:val="auto"/>
        </w:rPr>
      </w:pPr>
    </w:p>
    <w:p>
      <w:pPr>
        <w:ind w:left="2180" w:hanging="675"/>
        <w:spacing w:after="0"/>
        <w:tabs>
          <w:tab w:leader="none" w:pos="2180" w:val="left"/>
        </w:tabs>
        <w:numPr>
          <w:ilvl w:val="0"/>
          <w:numId w:val="302"/>
        </w:numPr>
        <w:rPr>
          <w:rFonts w:ascii="Arial" w:cs="Arial" w:eastAsia="Arial" w:hAnsi="Arial"/>
          <w:sz w:val="19"/>
          <w:szCs w:val="19"/>
          <w:color w:val="auto"/>
        </w:rPr>
      </w:pPr>
      <w:r>
        <w:rPr>
          <w:rFonts w:ascii="Arial" w:cs="Arial" w:eastAsia="Arial" w:hAnsi="Arial"/>
          <w:sz w:val="19"/>
          <w:szCs w:val="19"/>
          <w:color w:val="auto"/>
        </w:rPr>
        <w:t>At the time of and immediately after giving effect to such Borrowing, no Default shall have occurred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be continuing.</w:t>
      </w:r>
    </w:p>
    <w:p>
      <w:pPr>
        <w:spacing w:after="0" w:line="188" w:lineRule="exact"/>
        <w:rPr>
          <w:rFonts w:ascii="Arial" w:cs="Arial" w:eastAsia="Arial" w:hAnsi="Arial"/>
          <w:sz w:val="19"/>
          <w:szCs w:val="19"/>
          <w:color w:val="auto"/>
        </w:rPr>
      </w:pPr>
    </w:p>
    <w:p>
      <w:pPr>
        <w:ind w:firstLine="1505"/>
        <w:spacing w:after="0" w:line="250" w:lineRule="auto"/>
        <w:tabs>
          <w:tab w:leader="none" w:pos="2168" w:val="left"/>
        </w:tabs>
        <w:numPr>
          <w:ilvl w:val="0"/>
          <w:numId w:val="302"/>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a Borrowing Request in accordance with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2.08</w:t>
      </w:r>
      <w:r>
        <w:rPr>
          <w:rFonts w:ascii="Arial" w:cs="Arial" w:eastAsia="Arial" w:hAnsi="Arial"/>
          <w:sz w:val="22"/>
          <w:szCs w:val="22"/>
          <w:color w:val="auto"/>
        </w:rPr>
        <w:t>, as applicable.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8" w:name="page279"/>
    <w:bookmarkEnd w:id="278"/>
    <w:p>
      <w:pPr>
        <w:ind w:firstLine="1505"/>
        <w:spacing w:after="0" w:line="250" w:lineRule="auto"/>
        <w:tabs>
          <w:tab w:leader="none" w:pos="216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The Administrative Agent shall have received a Notice of Account Designation specifying the account or accounts to which the proceeds of any Loans made on or after the Effective Date are to be disbursed.</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Each Borrowing shall be deemed to constitute a representation and warranty by the Loan Parties on the date thereof as to the matters specified in </w:t>
      </w:r>
      <w:r>
        <w:rPr>
          <w:rFonts w:ascii="Arial" w:cs="Arial" w:eastAsia="Arial" w:hAnsi="Arial"/>
          <w:sz w:val="22"/>
          <w:szCs w:val="22"/>
          <w:u w:val="single" w:color="auto"/>
          <w:color w:val="auto"/>
        </w:rPr>
        <w:t>paragraphs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Section.</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u w:val="single" w:color="auto"/>
          <w:color w:val="auto"/>
        </w:rPr>
        <w:t>Initial Credit Event for each Additional Borrower</w:t>
      </w:r>
      <w:r>
        <w:rPr>
          <w:rFonts w:ascii="Arial" w:cs="Arial" w:eastAsia="Arial" w:hAnsi="Arial"/>
          <w:sz w:val="22"/>
          <w:szCs w:val="22"/>
          <w:color w:val="auto"/>
        </w:rPr>
        <w:t>. The obligation of each Lender to make Loans to any Designated Borrower that becomes a Designated Borrower after the Effective Date is subject to the satisfaction of the following conditions:</w:t>
      </w:r>
    </w:p>
    <w:p>
      <w:pPr>
        <w:spacing w:after="0" w:line="186" w:lineRule="exact"/>
        <w:rPr>
          <w:sz w:val="20"/>
          <w:szCs w:val="20"/>
          <w:color w:val="auto"/>
        </w:rPr>
      </w:pPr>
    </w:p>
    <w:p>
      <w:pPr>
        <w:ind w:firstLine="1505"/>
        <w:spacing w:after="0" w:line="250" w:lineRule="auto"/>
        <w:tabs>
          <w:tab w:leader="none" w:pos="2178" w:val="left"/>
        </w:tabs>
        <w:numPr>
          <w:ilvl w:val="0"/>
          <w:numId w:val="304"/>
        </w:numPr>
        <w:rPr>
          <w:rFonts w:ascii="Arial" w:cs="Arial" w:eastAsia="Arial" w:hAnsi="Arial"/>
          <w:sz w:val="22"/>
          <w:szCs w:val="22"/>
          <w:color w:val="auto"/>
        </w:rPr>
      </w:pPr>
      <w:r>
        <w:rPr>
          <w:rFonts w:ascii="Arial" w:cs="Arial" w:eastAsia="Arial" w:hAnsi="Arial"/>
          <w:sz w:val="22"/>
          <w:szCs w:val="22"/>
          <w:color w:val="auto"/>
        </w:rPr>
        <w:t>The Administrative Agent (or its counsel) shall have received such Designated Borrower’s Designated Borrower Request and Assumption Agreement duly executed by all parties thereto.</w:t>
      </w:r>
    </w:p>
    <w:p>
      <w:pPr>
        <w:spacing w:after="0" w:line="174" w:lineRule="exact"/>
        <w:rPr>
          <w:rFonts w:ascii="Arial" w:cs="Arial" w:eastAsia="Arial" w:hAnsi="Arial"/>
          <w:sz w:val="22"/>
          <w:szCs w:val="22"/>
          <w:color w:val="auto"/>
        </w:rPr>
      </w:pPr>
    </w:p>
    <w:p>
      <w:pPr>
        <w:jc w:val="both"/>
        <w:ind w:firstLine="1505"/>
        <w:spacing w:after="0" w:line="246" w:lineRule="auto"/>
        <w:tabs>
          <w:tab w:leader="none" w:pos="2188" w:val="left"/>
        </w:tabs>
        <w:numPr>
          <w:ilvl w:val="0"/>
          <w:numId w:val="304"/>
        </w:numPr>
        <w:rPr>
          <w:rFonts w:ascii="Arial" w:cs="Arial" w:eastAsia="Arial" w:hAnsi="Arial"/>
          <w:sz w:val="21"/>
          <w:szCs w:val="21"/>
          <w:color w:val="auto"/>
        </w:rPr>
      </w:pPr>
      <w:r>
        <w:rPr>
          <w:rFonts w:ascii="Arial" w:cs="Arial" w:eastAsia="Arial" w:hAnsi="Arial"/>
          <w:sz w:val="21"/>
          <w:szCs w:val="21"/>
          <w:color w:val="auto"/>
        </w:rPr>
        <w:t>The Administrative Agent shall have received such documents (including such legal opinions) as the Administrative Agent or its counsel may reasonably request relating to the formation, existence and good standing of such Designated Borrower, the authorization of the Transactions insofar as they relate to such Designated Borrower and any other legal matters relating to such Designated Borrower, its Designated Borrower Request and Assumption Agreement or such Transactions, including, with respect to any Designated Borrower organized under the laws of any jurisdiction outside of the United States of America, a legal opinion from such Designated Borrower’s counsel in such jurisdiction, all in form and substance satisfactory to the Administrative Agent and its counsel.</w:t>
      </w:r>
    </w:p>
    <w:p>
      <w:pPr>
        <w:spacing w:after="0" w:line="184" w:lineRule="exact"/>
        <w:rPr>
          <w:rFonts w:ascii="Arial" w:cs="Arial" w:eastAsia="Arial" w:hAnsi="Arial"/>
          <w:sz w:val="21"/>
          <w:szCs w:val="21"/>
          <w:color w:val="auto"/>
        </w:rPr>
      </w:pPr>
    </w:p>
    <w:p>
      <w:pPr>
        <w:jc w:val="both"/>
        <w:ind w:firstLine="1505"/>
        <w:spacing w:after="0" w:line="236" w:lineRule="auto"/>
        <w:tabs>
          <w:tab w:leader="none" w:pos="2228" w:val="left"/>
        </w:tabs>
        <w:numPr>
          <w:ilvl w:val="0"/>
          <w:numId w:val="304"/>
        </w:numPr>
        <w:rPr>
          <w:rFonts w:ascii="Arial" w:cs="Arial" w:eastAsia="Arial" w:hAnsi="Arial"/>
          <w:sz w:val="22"/>
          <w:szCs w:val="22"/>
          <w:color w:val="auto"/>
        </w:rPr>
      </w:pPr>
      <w:r>
        <w:rPr>
          <w:rFonts w:ascii="Arial" w:cs="Arial" w:eastAsia="Arial" w:hAnsi="Arial"/>
          <w:sz w:val="22"/>
          <w:szCs w:val="22"/>
          <w:color w:val="auto"/>
        </w:rPr>
        <w:t>The Administrative Agent and the Lenders shall have received (i) all documentation and other information reasonably requested by the Lenders or the Administrative Agent under applicable “know your customer” and any Anti-Money Laundering Laws, including the Act and (ii) a Beneficial Ownership Certification in relation to such Designated Borrower (or a certification that such Designated Borrower qualifies for an express exclusion from the “legal entity customer” definition under the Beneficial Ownership Regulations).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Affirmative Covenants</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Until the Commitments have expired or been terminated and the principal of and interest on each Loan and all fees payable hereunder shall have been paid in full, the Company (and each Borrower, solely as to itself and solely with respect to </w:t>
      </w:r>
      <w:r>
        <w:rPr>
          <w:rFonts w:ascii="Arial" w:cs="Arial" w:eastAsia="Arial" w:hAnsi="Arial"/>
          <w:sz w:val="22"/>
          <w:szCs w:val="22"/>
          <w:u w:val="single" w:color="auto"/>
          <w:color w:val="auto"/>
        </w:rPr>
        <w:t>Sections 5.05(b)</w:t>
      </w:r>
      <w:r>
        <w:rPr>
          <w:rFonts w:ascii="Arial" w:cs="Arial" w:eastAsia="Arial" w:hAnsi="Arial"/>
          <w:sz w:val="22"/>
          <w:szCs w:val="22"/>
          <w:color w:val="auto"/>
        </w:rPr>
        <w:t xml:space="preserve">, </w:t>
      </w:r>
      <w:r>
        <w:rPr>
          <w:rFonts w:ascii="Arial" w:cs="Arial" w:eastAsia="Arial" w:hAnsi="Arial"/>
          <w:sz w:val="22"/>
          <w:szCs w:val="22"/>
          <w:u w:val="single" w:color="auto"/>
          <w:color w:val="auto"/>
        </w:rPr>
        <w:t>5.06(b), 5.08</w:t>
      </w:r>
      <w:r>
        <w:rPr>
          <w:rFonts w:ascii="Arial" w:cs="Arial" w:eastAsia="Arial" w:hAnsi="Arial"/>
          <w:sz w:val="22"/>
          <w:szCs w:val="22"/>
          <w:color w:val="auto"/>
        </w:rPr>
        <w:t xml:space="preserve">, </w:t>
      </w:r>
      <w:r>
        <w:rPr>
          <w:rFonts w:ascii="Arial" w:cs="Arial" w:eastAsia="Arial" w:hAnsi="Arial"/>
          <w:sz w:val="22"/>
          <w:szCs w:val="22"/>
          <w:u w:val="single" w:color="auto"/>
          <w:color w:val="auto"/>
        </w:rPr>
        <w:t>5.09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5.10</w:t>
      </w:r>
      <w:r>
        <w:rPr>
          <w:rFonts w:ascii="Arial" w:cs="Arial" w:eastAsia="Arial" w:hAnsi="Arial"/>
          <w:sz w:val="22"/>
          <w:szCs w:val="22"/>
          <w:color w:val="auto"/>
        </w:rPr>
        <w:t>) covenants and agrees with the Lenders that:</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Financial Statements and Other Information</w:t>
      </w:r>
      <w:r>
        <w:rPr>
          <w:rFonts w:ascii="Arial" w:cs="Arial" w:eastAsia="Arial" w:hAnsi="Arial"/>
          <w:sz w:val="22"/>
          <w:szCs w:val="22"/>
          <w:color w:val="auto"/>
        </w:rPr>
        <w:t>. The Company will furnish to the Administrative Agent and each Lender:</w:t>
      </w:r>
    </w:p>
    <w:p>
      <w:pPr>
        <w:spacing w:after="0" w:line="175" w:lineRule="exact"/>
        <w:rPr>
          <w:sz w:val="20"/>
          <w:szCs w:val="20"/>
          <w:color w:val="auto"/>
        </w:rPr>
      </w:pPr>
    </w:p>
    <w:p>
      <w:pPr>
        <w:jc w:val="both"/>
        <w:ind w:firstLine="1505"/>
        <w:spacing w:after="0" w:line="238" w:lineRule="auto"/>
        <w:tabs>
          <w:tab w:leader="none" w:pos="2179" w:val="left"/>
        </w:tabs>
        <w:numPr>
          <w:ilvl w:val="0"/>
          <w:numId w:val="305"/>
        </w:numPr>
        <w:rPr>
          <w:rFonts w:ascii="Arial" w:cs="Arial" w:eastAsia="Arial" w:hAnsi="Arial"/>
          <w:sz w:val="22"/>
          <w:szCs w:val="22"/>
          <w:color w:val="auto"/>
        </w:rPr>
      </w:pPr>
      <w:r>
        <w:rPr>
          <w:rFonts w:ascii="Arial" w:cs="Arial" w:eastAsia="Arial" w:hAnsi="Arial"/>
          <w:sz w:val="22"/>
          <w:szCs w:val="22"/>
          <w:color w:val="auto"/>
        </w:rPr>
        <w:t>within seven (7) Business Days following the date such information is filed with the SEC, and in any event not later than ninety-seven (97) days after the end of each fiscal year of the Company, its audited consolidated balance sheet and related statements of income or operations, shareholders’ equity and cash flows as of the end of and for such year, setting forth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9" w:name="page280"/>
    <w:bookmarkEnd w:id="279"/>
    <w:p>
      <w:pPr>
        <w:jc w:val="both"/>
        <w:spacing w:after="0" w:line="236" w:lineRule="auto"/>
        <w:rPr>
          <w:sz w:val="20"/>
          <w:szCs w:val="20"/>
          <w:color w:val="auto"/>
        </w:rPr>
      </w:pPr>
      <w:r>
        <w:rPr>
          <w:rFonts w:ascii="Arial" w:cs="Arial" w:eastAsia="Arial" w:hAnsi="Arial"/>
          <w:sz w:val="22"/>
          <w:szCs w:val="22"/>
          <w:color w:val="auto"/>
        </w:rPr>
        <w:t>each case in comparative form the figures for the previous fiscal year, all reported on by Deloitte &amp; Touche LLP or other independent public accountants of recognized national standing (without a “going concern” or like qualification or exception or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w:t>
      </w:r>
    </w:p>
    <w:p>
      <w:pPr>
        <w:spacing w:after="0" w:line="187" w:lineRule="exact"/>
        <w:rPr>
          <w:sz w:val="20"/>
          <w:szCs w:val="20"/>
          <w:color w:val="auto"/>
        </w:rPr>
      </w:pPr>
    </w:p>
    <w:p>
      <w:pPr>
        <w:jc w:val="both"/>
        <w:ind w:firstLine="1505"/>
        <w:spacing w:after="0" w:line="273" w:lineRule="auto"/>
        <w:tabs>
          <w:tab w:leader="none" w:pos="2179" w:val="left"/>
        </w:tabs>
        <w:numPr>
          <w:ilvl w:val="0"/>
          <w:numId w:val="306"/>
        </w:numPr>
        <w:rPr>
          <w:rFonts w:ascii="Arial" w:cs="Arial" w:eastAsia="Arial" w:hAnsi="Arial"/>
          <w:sz w:val="19"/>
          <w:szCs w:val="19"/>
          <w:color w:val="auto"/>
        </w:rPr>
      </w:pPr>
      <w:r>
        <w:rPr>
          <w:rFonts w:ascii="Arial" w:cs="Arial" w:eastAsia="Arial" w:hAnsi="Arial"/>
          <w:sz w:val="19"/>
          <w:szCs w:val="19"/>
          <w:color w:val="auto"/>
        </w:rPr>
        <w:t xml:space="preserve">within seven (7) Business Days following the date such information is filed with the SEC, and in any event not later than fifty-two (52) days after the end of each of the first three (3) fiscal quarters of each fiscal year of the Company, (i) its consolidated balance sheet and related statements of income or operations, shareholders’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and (ii) the internally prepared consolidating balance sheets and statements of income or operations for each of Cabot Luxembourg, Cabot Switzerland and Cabot Indonesia, all certified by a Financial Officer of the Company as presenting fairly in all material respects, and, in the case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the financial condition and results of operations of the Company and its consolidated Subsidiaries on a consolidated basis in accordance with GAAP, as of such dates and for such periods, in each case, subject to normal year-end audit adjustments and the absence of footnotes;</w:t>
      </w:r>
    </w:p>
    <w:p>
      <w:pPr>
        <w:spacing w:after="0" w:line="160" w:lineRule="exact"/>
        <w:rPr>
          <w:rFonts w:ascii="Arial" w:cs="Arial" w:eastAsia="Arial" w:hAnsi="Arial"/>
          <w:sz w:val="19"/>
          <w:szCs w:val="19"/>
          <w:color w:val="auto"/>
        </w:rPr>
      </w:pPr>
    </w:p>
    <w:p>
      <w:pPr>
        <w:ind w:firstLine="1505"/>
        <w:spacing w:after="0" w:line="250" w:lineRule="auto"/>
        <w:tabs>
          <w:tab w:leader="none" w:pos="2177" w:val="left"/>
        </w:tabs>
        <w:numPr>
          <w:ilvl w:val="0"/>
          <w:numId w:val="306"/>
        </w:numPr>
        <w:rPr>
          <w:rFonts w:ascii="Arial" w:cs="Arial" w:eastAsia="Arial" w:hAnsi="Arial"/>
          <w:sz w:val="22"/>
          <w:szCs w:val="22"/>
          <w:color w:val="auto"/>
        </w:rPr>
      </w:pPr>
      <w:r>
        <w:rPr>
          <w:rFonts w:ascii="Arial" w:cs="Arial" w:eastAsia="Arial" w:hAnsi="Arial"/>
          <w:sz w:val="22"/>
          <w:szCs w:val="22"/>
          <w:color w:val="auto"/>
        </w:rPr>
        <w:t xml:space="preserve">concurrently with any delivery of financial statements under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 a duly completed Compliance Certificate signed by a Financial Officer of the Company;</w:t>
      </w:r>
    </w:p>
    <w:p>
      <w:pPr>
        <w:spacing w:after="0" w:line="174" w:lineRule="exact"/>
        <w:rPr>
          <w:rFonts w:ascii="Arial" w:cs="Arial" w:eastAsia="Arial" w:hAnsi="Arial"/>
          <w:sz w:val="22"/>
          <w:szCs w:val="22"/>
          <w:color w:val="auto"/>
        </w:rPr>
      </w:pPr>
    </w:p>
    <w:p>
      <w:pPr>
        <w:jc w:val="both"/>
        <w:ind w:firstLine="1505"/>
        <w:spacing w:after="0"/>
        <w:tabs>
          <w:tab w:leader="none" w:pos="2164" w:val="left"/>
        </w:tabs>
        <w:numPr>
          <w:ilvl w:val="0"/>
          <w:numId w:val="306"/>
        </w:numPr>
        <w:rPr>
          <w:rFonts w:ascii="Arial" w:cs="Arial" w:eastAsia="Arial" w:hAnsi="Arial"/>
          <w:sz w:val="22"/>
          <w:szCs w:val="22"/>
          <w:color w:val="auto"/>
        </w:rPr>
      </w:pPr>
      <w:r>
        <w:rPr>
          <w:rFonts w:ascii="Arial" w:cs="Arial" w:eastAsia="Arial" w:hAnsi="Arial"/>
          <w:sz w:val="22"/>
          <w:szCs w:val="22"/>
          <w:color w:val="auto"/>
        </w:rPr>
        <w:t>promptly after the same become available, copies of all periodic and other reports, proxy statements and other materials filed by the Company or any Subsidiary with the SEC or with any national securities exchange, or distributed by the Company to its shareholders generally, as the case may be;</w:t>
      </w:r>
    </w:p>
    <w:p>
      <w:pPr>
        <w:spacing w:after="0" w:line="186" w:lineRule="exact"/>
        <w:rPr>
          <w:rFonts w:ascii="Arial" w:cs="Arial" w:eastAsia="Arial" w:hAnsi="Arial"/>
          <w:sz w:val="22"/>
          <w:szCs w:val="22"/>
          <w:color w:val="auto"/>
        </w:rPr>
      </w:pPr>
    </w:p>
    <w:p>
      <w:pPr>
        <w:jc w:val="both"/>
        <w:ind w:firstLine="1505"/>
        <w:spacing w:after="0" w:line="238" w:lineRule="auto"/>
        <w:tabs>
          <w:tab w:leader="none" w:pos="2168" w:val="left"/>
        </w:tabs>
        <w:numPr>
          <w:ilvl w:val="0"/>
          <w:numId w:val="306"/>
        </w:numPr>
        <w:rPr>
          <w:rFonts w:ascii="Arial" w:cs="Arial" w:eastAsia="Arial" w:hAnsi="Arial"/>
          <w:sz w:val="22"/>
          <w:szCs w:val="22"/>
          <w:color w:val="auto"/>
        </w:rPr>
      </w:pPr>
      <w:r>
        <w:rPr>
          <w:rFonts w:ascii="Arial" w:cs="Arial" w:eastAsia="Arial" w:hAnsi="Arial"/>
          <w:sz w:val="22"/>
          <w:szCs w:val="22"/>
          <w:color w:val="auto"/>
        </w:rPr>
        <w:t>promptly, and in any event within seven (7) Business Days after receipt thereof by the Company or any Subsidiary, copies of each notice or other correspondence received from the SEC (or comparable agency in any applicable foreign jurisdiction) concerning any investigation or possible investigation or other inquiry by such agency regarding financial or other operational results of the Company or any Subsidiary; and</w:t>
      </w:r>
    </w:p>
    <w:p>
      <w:pPr>
        <w:spacing w:after="0" w:line="184" w:lineRule="exact"/>
        <w:rPr>
          <w:rFonts w:ascii="Arial" w:cs="Arial" w:eastAsia="Arial" w:hAnsi="Arial"/>
          <w:sz w:val="22"/>
          <w:szCs w:val="22"/>
          <w:color w:val="auto"/>
        </w:rPr>
      </w:pPr>
    </w:p>
    <w:p>
      <w:pPr>
        <w:jc w:val="both"/>
        <w:ind w:firstLine="1505"/>
        <w:spacing w:after="0"/>
        <w:tabs>
          <w:tab w:leader="none" w:pos="2206" w:val="left"/>
        </w:tabs>
        <w:numPr>
          <w:ilvl w:val="0"/>
          <w:numId w:val="306"/>
        </w:numPr>
        <w:rPr>
          <w:rFonts w:ascii="Arial" w:cs="Arial" w:eastAsia="Arial" w:hAnsi="Arial"/>
          <w:sz w:val="22"/>
          <w:szCs w:val="22"/>
          <w:color w:val="auto"/>
        </w:rPr>
      </w:pPr>
      <w:r>
        <w:rPr>
          <w:rFonts w:ascii="Arial" w:cs="Arial" w:eastAsia="Arial" w:hAnsi="Arial"/>
          <w:sz w:val="22"/>
          <w:szCs w:val="22"/>
          <w:color w:val="auto"/>
        </w:rPr>
        <w:t>promptly following any request therefor, such other information regarding the operations, business affairs and financial condition of the Company or any Subsidiary, or compliance with the terms of the Loan Documents, as the Administrative Agent or any Lender may reasonably request.</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Documents required to be delivered pursuant to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(d)</w:t>
      </w:r>
      <w:r>
        <w:rPr>
          <w:rFonts w:ascii="Arial" w:cs="Arial" w:eastAsia="Arial" w:hAnsi="Arial"/>
          <w:sz w:val="21"/>
          <w:szCs w:val="21"/>
          <w:color w:val="auto"/>
        </w:rPr>
        <w:t xml:space="preserve"> of this Section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21"/>
          <w:szCs w:val="21"/>
          <w:u w:val="single" w:color="auto"/>
          <w:color w:val="auto"/>
        </w:rPr>
        <w:t>provided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0" w:name="page281"/>
    <w:bookmarkEnd w:id="280"/>
    <w:p>
      <w:pPr>
        <w:jc w:val="both"/>
        <w:ind w:firstLine="62"/>
        <w:spacing w:after="0" w:line="234" w:lineRule="auto"/>
        <w:rPr>
          <w:sz w:val="20"/>
          <w:szCs w:val="20"/>
          <w:color w:val="auto"/>
        </w:rPr>
      </w:pPr>
      <w:r>
        <w:rPr>
          <w:rFonts w:ascii="Arial" w:cs="Arial" w:eastAsia="Arial" w:hAnsi="Arial"/>
          <w:sz w:val="22"/>
          <w:szCs w:val="22"/>
          <w:color w:val="auto"/>
        </w:rPr>
        <w:t>that: (x) the Company shall deliver paper copies of such documents to the Administrative Agent or any Lender that requests the Company to deliver such paper copies until a written request to cease delivering paper copies is given by the Administrative Agent or such Lender and (y) the Company shall notify the Administrative Agent and each Lender (by telecopier or electronic mail) of the posting of any such documents and provide to the Administrative Agent by electronic mail electronic versions (</w:t>
      </w:r>
      <w:r>
        <w:rPr>
          <w:rFonts w:ascii="Arial" w:cs="Arial" w:eastAsia="Arial" w:hAnsi="Arial"/>
          <w:sz w:val="22"/>
          <w:szCs w:val="22"/>
          <w:u w:val="single" w:color="auto"/>
          <w:color w:val="auto"/>
        </w:rPr>
        <w:t>i.e.</w:t>
      </w:r>
      <w:r>
        <w:rPr>
          <w:rFonts w:ascii="Arial" w:cs="Arial" w:eastAsia="Arial" w:hAnsi="Arial"/>
          <w:sz w:val="22"/>
          <w:szCs w:val="22"/>
          <w:color w:val="auto"/>
        </w:rPr>
        <w:t>, soft copies) of such documents.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8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Notices of Material Events</w:t>
      </w:r>
      <w:r>
        <w:rPr>
          <w:rFonts w:ascii="Arial" w:cs="Arial" w:eastAsia="Arial" w:hAnsi="Arial"/>
          <w:sz w:val="22"/>
          <w:szCs w:val="22"/>
          <w:color w:val="auto"/>
        </w:rPr>
        <w:t>. The Company will furnish to the Administrative Agent and each Lender prompt written notice of the following:</w:t>
      </w:r>
    </w:p>
    <w:p>
      <w:pPr>
        <w:spacing w:after="0" w:line="175" w:lineRule="exact"/>
        <w:rPr>
          <w:sz w:val="20"/>
          <w:szCs w:val="20"/>
          <w:color w:val="auto"/>
        </w:rPr>
      </w:pPr>
    </w:p>
    <w:p>
      <w:pPr>
        <w:ind w:left="2160" w:hanging="655"/>
        <w:spacing w:after="0"/>
        <w:tabs>
          <w:tab w:leader="none" w:pos="2160" w:val="left"/>
        </w:tabs>
        <w:numPr>
          <w:ilvl w:val="0"/>
          <w:numId w:val="307"/>
        </w:numPr>
        <w:rPr>
          <w:rFonts w:ascii="Arial" w:cs="Arial" w:eastAsia="Arial" w:hAnsi="Arial"/>
          <w:sz w:val="22"/>
          <w:szCs w:val="22"/>
          <w:color w:val="auto"/>
        </w:rPr>
      </w:pPr>
      <w:r>
        <w:rPr>
          <w:rFonts w:ascii="Arial" w:cs="Arial" w:eastAsia="Arial" w:hAnsi="Arial"/>
          <w:sz w:val="22"/>
          <w:szCs w:val="22"/>
          <w:color w:val="auto"/>
        </w:rPr>
        <w:t>the occurrence of any Default;</w:t>
      </w:r>
    </w:p>
    <w:p>
      <w:pPr>
        <w:spacing w:after="0" w:line="206" w:lineRule="exact"/>
        <w:rPr>
          <w:rFonts w:ascii="Arial" w:cs="Arial" w:eastAsia="Arial" w:hAnsi="Arial"/>
          <w:sz w:val="22"/>
          <w:szCs w:val="22"/>
          <w:color w:val="auto"/>
        </w:rPr>
      </w:pPr>
    </w:p>
    <w:p>
      <w:pPr>
        <w:jc w:val="both"/>
        <w:ind w:firstLine="1505"/>
        <w:spacing w:after="0"/>
        <w:tabs>
          <w:tab w:leader="none" w:pos="2174" w:val="left"/>
        </w:tabs>
        <w:numPr>
          <w:ilvl w:val="0"/>
          <w:numId w:val="307"/>
        </w:numPr>
        <w:rPr>
          <w:rFonts w:ascii="Arial" w:cs="Arial" w:eastAsia="Arial" w:hAnsi="Arial"/>
          <w:sz w:val="22"/>
          <w:szCs w:val="22"/>
          <w:color w:val="auto"/>
        </w:rPr>
      </w:pPr>
      <w:r>
        <w:rPr>
          <w:rFonts w:ascii="Arial" w:cs="Arial" w:eastAsia="Arial" w:hAnsi="Arial"/>
          <w:sz w:val="22"/>
          <w:szCs w:val="22"/>
          <w:color w:val="auto"/>
        </w:rPr>
        <w:t xml:space="preserve">the occurrence of any ERISA Event (other than an ERISA Event under any of </w:t>
      </w:r>
      <w:r>
        <w:rPr>
          <w:rFonts w:ascii="Arial" w:cs="Arial" w:eastAsia="Arial" w:hAnsi="Arial"/>
          <w:sz w:val="22"/>
          <w:szCs w:val="22"/>
          <w:u w:val="single" w:color="auto"/>
          <w:color w:val="auto"/>
        </w:rPr>
        <w:t>clauses (j)</w:t>
      </w:r>
      <w:r>
        <w:rPr>
          <w:rFonts w:ascii="Arial" w:cs="Arial" w:eastAsia="Arial" w:hAnsi="Arial"/>
          <w:sz w:val="22"/>
          <w:szCs w:val="22"/>
          <w:color w:val="auto"/>
        </w:rPr>
        <w:t xml:space="preserve">, </w:t>
      </w:r>
      <w:r>
        <w:rPr>
          <w:rFonts w:ascii="Arial" w:cs="Arial" w:eastAsia="Arial" w:hAnsi="Arial"/>
          <w:sz w:val="22"/>
          <w:szCs w:val="22"/>
          <w:u w:val="single" w:color="auto"/>
          <w:color w:val="auto"/>
        </w:rPr>
        <w:t>(l)</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(m)</w:t>
      </w:r>
      <w:r>
        <w:rPr>
          <w:rFonts w:ascii="Arial" w:cs="Arial" w:eastAsia="Arial" w:hAnsi="Arial"/>
          <w:sz w:val="22"/>
          <w:szCs w:val="22"/>
          <w:color w:val="auto"/>
        </w:rPr>
        <w:t xml:space="preserve"> of the definition thereof that could not, individually or in the aggregate, reasonably be expected to result in a Material Adverse Effect);</w:t>
      </w:r>
    </w:p>
    <w:p>
      <w:pPr>
        <w:spacing w:after="0" w:line="186" w:lineRule="exact"/>
        <w:rPr>
          <w:rFonts w:ascii="Arial" w:cs="Arial" w:eastAsia="Arial" w:hAnsi="Arial"/>
          <w:sz w:val="22"/>
          <w:szCs w:val="22"/>
          <w:color w:val="auto"/>
        </w:rPr>
      </w:pPr>
    </w:p>
    <w:p>
      <w:pPr>
        <w:ind w:firstLine="1505"/>
        <w:spacing w:after="0" w:line="250" w:lineRule="auto"/>
        <w:tabs>
          <w:tab w:leader="none" w:pos="2199" w:val="left"/>
        </w:tabs>
        <w:numPr>
          <w:ilvl w:val="0"/>
          <w:numId w:val="307"/>
        </w:numPr>
        <w:rPr>
          <w:rFonts w:ascii="Arial" w:cs="Arial" w:eastAsia="Arial" w:hAnsi="Arial"/>
          <w:sz w:val="22"/>
          <w:szCs w:val="22"/>
          <w:color w:val="auto"/>
        </w:rPr>
      </w:pPr>
      <w:r>
        <w:rPr>
          <w:rFonts w:ascii="Arial" w:cs="Arial" w:eastAsia="Arial" w:hAnsi="Arial"/>
          <w:sz w:val="22"/>
          <w:szCs w:val="22"/>
          <w:color w:val="auto"/>
        </w:rPr>
        <w:t>any material change in accounting policies or financial reporting practices by the Company or any Subsidiary not otherwise reported in the Company’s SEC filings;</w:t>
      </w:r>
    </w:p>
    <w:p>
      <w:pPr>
        <w:spacing w:after="0" w:line="174" w:lineRule="exact"/>
        <w:rPr>
          <w:rFonts w:ascii="Arial" w:cs="Arial" w:eastAsia="Arial" w:hAnsi="Arial"/>
          <w:sz w:val="22"/>
          <w:szCs w:val="22"/>
          <w:color w:val="auto"/>
        </w:rPr>
      </w:pPr>
    </w:p>
    <w:p>
      <w:pPr>
        <w:ind w:firstLine="1505"/>
        <w:spacing w:after="0" w:line="250" w:lineRule="auto"/>
        <w:tabs>
          <w:tab w:leader="none" w:pos="2207" w:val="left"/>
        </w:tabs>
        <w:numPr>
          <w:ilvl w:val="0"/>
          <w:numId w:val="307"/>
        </w:numPr>
        <w:rPr>
          <w:rFonts w:ascii="Arial" w:cs="Arial" w:eastAsia="Arial" w:hAnsi="Arial"/>
          <w:sz w:val="22"/>
          <w:szCs w:val="22"/>
          <w:color w:val="auto"/>
        </w:rPr>
      </w:pPr>
      <w:r>
        <w:rPr>
          <w:rFonts w:ascii="Arial" w:cs="Arial" w:eastAsia="Arial" w:hAnsi="Arial"/>
          <w:sz w:val="22"/>
          <w:szCs w:val="22"/>
          <w:color w:val="auto"/>
        </w:rPr>
        <w:t>any published announcement by Moody’s or S&amp;P of any change or possible change in the rating established or deemed to have been established for the Index Debt;</w:t>
      </w:r>
    </w:p>
    <w:p>
      <w:pPr>
        <w:spacing w:after="0" w:line="174" w:lineRule="exact"/>
        <w:rPr>
          <w:rFonts w:ascii="Arial" w:cs="Arial" w:eastAsia="Arial" w:hAnsi="Arial"/>
          <w:sz w:val="22"/>
          <w:szCs w:val="22"/>
          <w:color w:val="auto"/>
        </w:rPr>
      </w:pPr>
    </w:p>
    <w:p>
      <w:pPr>
        <w:jc w:val="both"/>
        <w:ind w:firstLine="1505"/>
        <w:spacing w:after="0" w:line="282" w:lineRule="auto"/>
        <w:tabs>
          <w:tab w:leader="none" w:pos="2175" w:val="left"/>
        </w:tabs>
        <w:numPr>
          <w:ilvl w:val="0"/>
          <w:numId w:val="307"/>
        </w:numPr>
        <w:rPr>
          <w:rFonts w:ascii="Arial" w:cs="Arial" w:eastAsia="Arial" w:hAnsi="Arial"/>
          <w:sz w:val="19"/>
          <w:szCs w:val="19"/>
          <w:color w:val="auto"/>
        </w:rPr>
      </w:pPr>
      <w:r>
        <w:rPr>
          <w:rFonts w:ascii="Arial" w:cs="Arial" w:eastAsia="Arial" w:hAnsi="Arial"/>
          <w:sz w:val="19"/>
          <w:szCs w:val="19"/>
          <w:color w:val="auto"/>
        </w:rPr>
        <w:t>any other development that results in, or could reasonably be expected to result in, a Material Adverse Effect, including (i) breach or non-performance of, or any default under, a Contractual Obligation of the Company or any Subsidiary; (ii) any dispute, litigation, investigation, proceeding or suspension between the Company or any Subsidiary and any Governmental Authority; and (iii) the commencement of, or any material development in, any litigation or proceeding affecting the Company or any Subsidiary, including pursuant to any applicable Environmental Laws;</w:t>
      </w:r>
    </w:p>
    <w:p>
      <w:pPr>
        <w:spacing w:after="0" w:line="147" w:lineRule="exact"/>
        <w:rPr>
          <w:rFonts w:ascii="Arial" w:cs="Arial" w:eastAsia="Arial" w:hAnsi="Arial"/>
          <w:sz w:val="19"/>
          <w:szCs w:val="19"/>
          <w:color w:val="auto"/>
        </w:rPr>
      </w:pPr>
    </w:p>
    <w:p>
      <w:pPr>
        <w:jc w:val="both"/>
        <w:ind w:firstLine="1505"/>
        <w:spacing w:after="0" w:line="297" w:lineRule="auto"/>
        <w:tabs>
          <w:tab w:leader="none" w:pos="2167" w:val="left"/>
        </w:tabs>
        <w:numPr>
          <w:ilvl w:val="0"/>
          <w:numId w:val="307"/>
        </w:numPr>
        <w:rPr>
          <w:rFonts w:ascii="Arial" w:cs="Arial" w:eastAsia="Arial" w:hAnsi="Arial"/>
          <w:sz w:val="19"/>
          <w:szCs w:val="19"/>
          <w:color w:val="auto"/>
        </w:rPr>
      </w:pPr>
      <w:r>
        <w:rPr>
          <w:rFonts w:ascii="Arial" w:cs="Arial" w:eastAsia="Arial" w:hAnsi="Arial"/>
          <w:sz w:val="19"/>
          <w:szCs w:val="19"/>
          <w:color w:val="auto"/>
        </w:rPr>
        <w:t>promptly upon the request thereof, such other information and documentation required under applicable “know your customer” rules and regulations, the PATRIOT Act or any applicable Anti-Money Laundering Laws or Anti-Corruption Laws, in each case as from time to time reasonably requested by the Administrative Agent or any Lender; and</w:t>
      </w:r>
    </w:p>
    <w:p>
      <w:pPr>
        <w:spacing w:after="0" w:line="133" w:lineRule="exact"/>
        <w:rPr>
          <w:rFonts w:ascii="Arial" w:cs="Arial" w:eastAsia="Arial" w:hAnsi="Arial"/>
          <w:sz w:val="19"/>
          <w:szCs w:val="19"/>
          <w:color w:val="auto"/>
        </w:rPr>
      </w:pPr>
    </w:p>
    <w:p>
      <w:pPr>
        <w:ind w:firstLine="1505"/>
        <w:spacing w:after="0" w:line="250" w:lineRule="auto"/>
        <w:tabs>
          <w:tab w:leader="none" w:pos="2170" w:val="left"/>
        </w:tabs>
        <w:numPr>
          <w:ilvl w:val="0"/>
          <w:numId w:val="307"/>
        </w:numPr>
        <w:rPr>
          <w:rFonts w:ascii="Arial" w:cs="Arial" w:eastAsia="Arial" w:hAnsi="Arial"/>
          <w:sz w:val="22"/>
          <w:szCs w:val="22"/>
          <w:color w:val="auto"/>
        </w:rPr>
      </w:pPr>
      <w:r>
        <w:rPr>
          <w:rFonts w:ascii="Arial" w:cs="Arial" w:eastAsia="Arial" w:hAnsi="Arial"/>
          <w:sz w:val="22"/>
          <w:szCs w:val="22"/>
          <w:color w:val="auto"/>
        </w:rPr>
        <w:t>any change in the information provided in the Beneficial Ownership Certification that would result in a change to the list of beneficial owners identified in parts (c) or (d) of such certification.</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1" w:name="page282"/>
    <w:bookmarkEnd w:id="281"/>
    <w:p>
      <w:pPr>
        <w:jc w:val="both"/>
        <w:ind w:firstLine="749"/>
        <w:spacing w:after="0" w:line="246"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Existence; Conduct of Business</w:t>
      </w:r>
      <w:r>
        <w:rPr>
          <w:rFonts w:ascii="Arial" w:cs="Arial" w:eastAsia="Arial" w:hAnsi="Arial"/>
          <w:sz w:val="21"/>
          <w:szCs w:val="21"/>
          <w:color w:val="auto"/>
        </w:rPr>
        <w:t xml:space="preserve">. It will, and will cause each of its Subsidiaries to, (a) preserve, renew and keep in full force and effect its legal existence, (b) preserve, renew and keep in full force and effect its good standing under the laws of the jurisdiction of its organization or incorporation except as permitted under </w:t>
      </w:r>
      <w:r>
        <w:rPr>
          <w:rFonts w:ascii="Arial" w:cs="Arial" w:eastAsia="Arial" w:hAnsi="Arial"/>
          <w:sz w:val="21"/>
          <w:szCs w:val="21"/>
          <w:u w:val="single" w:color="auto"/>
          <w:color w:val="auto"/>
        </w:rPr>
        <w:t>Section 6.02</w:t>
      </w:r>
      <w:r>
        <w:rPr>
          <w:rFonts w:ascii="Arial" w:cs="Arial" w:eastAsia="Arial" w:hAnsi="Arial"/>
          <w:sz w:val="21"/>
          <w:szCs w:val="21"/>
          <w:color w:val="auto"/>
        </w:rPr>
        <w:t xml:space="preserve">, (c) take all reasonable action to maintain all rights, licenses, permits, privileges and franchises necessary or desirable in the normal conduct of its business, except to the extent that failure to do so could not reasonably be expected to have a Material Adverse Effect; and (d) preserve and renew all of its registered patents, trademarks, trade names and service marks, the non-preservation of which could reasonably be expected to have a Material Adverse Effect;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prohibit any merger, consolidation, sale, liquidation or dissolution permitted under </w:t>
      </w:r>
      <w:r>
        <w:rPr>
          <w:rFonts w:ascii="Arial" w:cs="Arial" w:eastAsia="Arial" w:hAnsi="Arial"/>
          <w:sz w:val="21"/>
          <w:szCs w:val="21"/>
          <w:u w:val="single" w:color="auto"/>
          <w:color w:val="auto"/>
        </w:rPr>
        <w:t>Section 6.02</w:t>
      </w:r>
      <w:r>
        <w:rPr>
          <w:rFonts w:ascii="Arial" w:cs="Arial" w:eastAsia="Arial" w:hAnsi="Arial"/>
          <w:sz w:val="21"/>
          <w:szCs w:val="21"/>
          <w:color w:val="auto"/>
        </w:rPr>
        <w:t>.</w:t>
      </w:r>
    </w:p>
    <w:p>
      <w:pPr>
        <w:spacing w:after="0" w:line="18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xml:space="preserve">. It will, and will cause each of its Subsidiaries to, pay its material obligations and liabilities, including (a) all Tax liabilities, except where (i) the validity or amount thereof is being contested in good faith by appropriate proceedings diligently conducted and (ii) such Loan Party or such Subsidiary has set aside on its books adequate reserves with respect thereto in accordance with GAAP, (b) all lawful material claims which, if unpaid, would by law become a Lien upon its property (other than Liens permitted by </w:t>
      </w:r>
      <w:r>
        <w:rPr>
          <w:rFonts w:ascii="Arial" w:cs="Arial" w:eastAsia="Arial" w:hAnsi="Arial"/>
          <w:sz w:val="19"/>
          <w:szCs w:val="19"/>
          <w:u w:val="single" w:color="auto"/>
          <w:color w:val="auto"/>
        </w:rPr>
        <w:t>Section 6.01</w:t>
      </w:r>
      <w:r>
        <w:rPr>
          <w:rFonts w:ascii="Arial" w:cs="Arial" w:eastAsia="Arial" w:hAnsi="Arial"/>
          <w:sz w:val="19"/>
          <w:szCs w:val="19"/>
          <w:color w:val="auto"/>
        </w:rPr>
        <w:t>), and (c) all Indebtedness, as and when due and payable, but subject to any subordination provisions contained in any instrument or agreement evidencing such Indebtedness.</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Maintenance of Properties; Insurance</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5" w:lineRule="auto"/>
        <w:tabs>
          <w:tab w:leader="none" w:pos="2193" w:val="left"/>
        </w:tabs>
        <w:numPr>
          <w:ilvl w:val="0"/>
          <w:numId w:val="308"/>
        </w:numPr>
        <w:rPr>
          <w:rFonts w:ascii="Arial" w:cs="Arial" w:eastAsia="Arial" w:hAnsi="Arial"/>
          <w:sz w:val="19"/>
          <w:szCs w:val="19"/>
          <w:color w:val="auto"/>
        </w:rPr>
      </w:pPr>
      <w:r>
        <w:rPr>
          <w:rFonts w:ascii="Arial" w:cs="Arial" w:eastAsia="Arial" w:hAnsi="Arial"/>
          <w:sz w:val="19"/>
          <w:szCs w:val="19"/>
          <w:color w:val="auto"/>
        </w:rPr>
        <w:t xml:space="preserve">It will, and will cause each of its Subsidiaries to, (i) keep and maintain all property material to the conduct of its business in good working order and condition, ordinary wear and tear excepted, and (ii) make all necessary repairs thereto and renewals and replacements thereof except where the failure to do so could not reasonably be expected to have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5.05(a)</w:t>
      </w:r>
      <w:r>
        <w:rPr>
          <w:rFonts w:ascii="Arial" w:cs="Arial" w:eastAsia="Arial" w:hAnsi="Arial"/>
          <w:sz w:val="19"/>
          <w:szCs w:val="19"/>
          <w:color w:val="auto"/>
        </w:rPr>
        <w:t xml:space="preserve"> shall prevent the Company or any Subsidiary from discontinuing the operations and maintenance of any of its properties or those of its Subsidiaries if such discontinuance is, in the judgment of the Company or such Subsidiary, desirable in the conduct of its or their business and which do not in the aggregate cause a Material Adverse Effect. Except as provided above, the Company shall maintain direct ownership of the majority of the tangible and intangible assets employed in connection with the Company’s United States domestic carbon black business.</w:t>
      </w:r>
    </w:p>
    <w:p>
      <w:pPr>
        <w:spacing w:after="0" w:line="157" w:lineRule="exact"/>
        <w:rPr>
          <w:rFonts w:ascii="Arial" w:cs="Arial" w:eastAsia="Arial" w:hAnsi="Arial"/>
          <w:sz w:val="19"/>
          <w:szCs w:val="19"/>
          <w:color w:val="auto"/>
        </w:rPr>
      </w:pPr>
    </w:p>
    <w:p>
      <w:pPr>
        <w:jc w:val="both"/>
        <w:ind w:firstLine="1505"/>
        <w:spacing w:after="0"/>
        <w:tabs>
          <w:tab w:leader="none" w:pos="2202" w:val="left"/>
        </w:tabs>
        <w:numPr>
          <w:ilvl w:val="0"/>
          <w:numId w:val="308"/>
        </w:numPr>
        <w:rPr>
          <w:rFonts w:ascii="Arial" w:cs="Arial" w:eastAsia="Arial" w:hAnsi="Arial"/>
          <w:sz w:val="22"/>
          <w:szCs w:val="22"/>
          <w:color w:val="auto"/>
        </w:rPr>
      </w:pPr>
      <w:r>
        <w:rPr>
          <w:rFonts w:ascii="Arial" w:cs="Arial" w:eastAsia="Arial" w:hAnsi="Arial"/>
          <w:sz w:val="22"/>
          <w:szCs w:val="22"/>
          <w:color w:val="auto"/>
        </w:rPr>
        <w:t>It will, and will cause each of its Significant Subsidiaries to, maintain, with financially sound and reputable insurance companies that are not Affiliates of the Company, insurance in such amounts and against such risks as are customarily maintained by companies engaged in the same or similar businesses.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u w:val="single" w:color="auto"/>
          <w:color w:val="auto"/>
        </w:rPr>
        <w:t>Books and Records; Inspection Rights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tabs>
          <w:tab w:leader="none" w:pos="2164" w:val="left"/>
        </w:tabs>
        <w:numPr>
          <w:ilvl w:val="0"/>
          <w:numId w:val="309"/>
        </w:numPr>
        <w:rPr>
          <w:rFonts w:ascii="Arial" w:cs="Arial" w:eastAsia="Arial" w:hAnsi="Arial"/>
          <w:sz w:val="22"/>
          <w:szCs w:val="22"/>
          <w:color w:val="auto"/>
        </w:rPr>
      </w:pPr>
      <w:r>
        <w:rPr>
          <w:rFonts w:ascii="Arial" w:cs="Arial" w:eastAsia="Arial" w:hAnsi="Arial"/>
          <w:sz w:val="22"/>
          <w:szCs w:val="22"/>
          <w:color w:val="auto"/>
        </w:rPr>
        <w:t>It will, and will cause each of its Subsidiaries to, keep proper books of record and account in which full, true and correct entries in conformity with GAAP are made of all financial dealings and transactions in relation to its business and activities.</w:t>
      </w:r>
    </w:p>
    <w:p>
      <w:pPr>
        <w:spacing w:after="0" w:line="186" w:lineRule="exact"/>
        <w:rPr>
          <w:rFonts w:ascii="Arial" w:cs="Arial" w:eastAsia="Arial" w:hAnsi="Arial"/>
          <w:sz w:val="22"/>
          <w:szCs w:val="22"/>
          <w:color w:val="auto"/>
        </w:rPr>
      </w:pPr>
    </w:p>
    <w:p>
      <w:pPr>
        <w:ind w:firstLine="1505"/>
        <w:spacing w:after="0" w:line="250" w:lineRule="auto"/>
        <w:tabs>
          <w:tab w:leader="none" w:pos="2164" w:val="left"/>
        </w:tabs>
        <w:numPr>
          <w:ilvl w:val="0"/>
          <w:numId w:val="309"/>
        </w:numPr>
        <w:rPr>
          <w:rFonts w:ascii="Arial" w:cs="Arial" w:eastAsia="Arial" w:hAnsi="Arial"/>
          <w:sz w:val="22"/>
          <w:szCs w:val="22"/>
          <w:color w:val="auto"/>
        </w:rPr>
      </w:pPr>
      <w:r>
        <w:rPr>
          <w:rFonts w:ascii="Arial" w:cs="Arial" w:eastAsia="Arial" w:hAnsi="Arial"/>
          <w:sz w:val="22"/>
          <w:szCs w:val="22"/>
          <w:color w:val="auto"/>
        </w:rPr>
        <w:t>It will, and will cause each of its Subsidiaries to, permit any representatives and independent contractors designated by the Administrative Agent or any Lender, upon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2" w:name="page283"/>
    <w:bookmarkEnd w:id="282"/>
    <w:p>
      <w:pPr>
        <w:jc w:val="both"/>
        <w:spacing w:after="0" w:line="282" w:lineRule="auto"/>
        <w:rPr>
          <w:sz w:val="20"/>
          <w:szCs w:val="20"/>
          <w:color w:val="auto"/>
        </w:rPr>
      </w:pPr>
      <w:r>
        <w:rPr>
          <w:rFonts w:ascii="Arial" w:cs="Arial" w:eastAsia="Arial" w:hAnsi="Arial"/>
          <w:sz w:val="19"/>
          <w:szCs w:val="19"/>
          <w:color w:val="auto"/>
        </w:rPr>
        <w:t xml:space="preserve">reasonable prior notice, to visit and inspect its properties, to examine and make extracts from its books and records, and to discuss its affairs, finances and accounts with its directors, officers and independent accountants, all at the expense of the Borrowers and at such reasonable times during normal business hours and not more than once each fiscal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 Event of Default has occurred and is continuing, such representatives and independent contractors may do any of the foregoing at the expense of the Borrowers at any time during normal business hours and without prior notice.</w:t>
      </w:r>
    </w:p>
    <w:p>
      <w:pPr>
        <w:spacing w:after="0" w:line="14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It will, and will cause each of its Subsidiaries to, comply with all laws, rules and regulations and orders, injunctions, writs and decrees of any Governmental Authority applicable to it or its property, except where (a) the failure to do so could not reasonably be expected to result in a Material Adverse Effect and (b) the requirement to do so is being contested in good faith by appropriate proceedings diligently conducted. The Company will maintain in effect and enforce policies and procedures designed to ensure compliance by the Company, its Subsidiaries and their respective directors, officers, employees and agents with Anti-Corruption Laws, Anti-Money Laundering Laws and applicable Sanctions.</w:t>
      </w:r>
    </w:p>
    <w:p>
      <w:pPr>
        <w:spacing w:after="0" w:line="150"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Use of Proceeds</w:t>
      </w:r>
      <w:r>
        <w:rPr>
          <w:rFonts w:ascii="Arial" w:cs="Arial" w:eastAsia="Arial" w:hAnsi="Arial"/>
          <w:sz w:val="19"/>
          <w:szCs w:val="19"/>
          <w:color w:val="auto"/>
        </w:rPr>
        <w:t>. The proceeds of the Loans will be used (i) for the repatriation of earnings of the Company’s Foreign Subsidiaries to the United States, (ii) for the repayment of Indebtedness of any Borrower or Subsidiary of a Borrower owing to the Company or any of its Subsidiaries and (iii) for working capital and general corporate purposes (including capital expenditures). No Borrower will request any Borrowing, and no Borrower shall use the proceeds of any Borrowing, and each Loan Party shall ensure that its Subsidiaries and its or their respective directors, officers, employees and agents shall not use the proceeds of any Borrowing (a) in furtherance of an offer, payment, promise to pay, or authorization of the payment or giving of money, or anything else of value, to any Person in violation of any Anti-Corruption Laws or Anti-Money Laundering Laws, (b)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in the United States or in a European Union member state, or (c) in any other manner that would result in the violation of any Sanctions applicable to any party hereto.</w:t>
      </w:r>
    </w:p>
    <w:p>
      <w:pPr>
        <w:spacing w:after="0" w:line="15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Swiss Non-Bank Rules</w:t>
      </w:r>
      <w:r>
        <w:rPr>
          <w:rFonts w:ascii="Arial" w:cs="Arial" w:eastAsia="Arial" w:hAnsi="Arial"/>
          <w:sz w:val="19"/>
          <w:szCs w:val="19"/>
          <w:color w:val="auto"/>
        </w:rPr>
        <w:t xml:space="preserve">. Each Swiss Borrower will ensure that it remains at all times in compliance with the Swiss Non-Bank Rules;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Swiss Borrower shall not be in breach of this representation if its number of creditors that are not Swiss Qualifying Banks in respect of either the Swiss 10 Non-Bank Rule or the Swiss 20 Non-Bank Rule is exceeded solely because a Recipient has (i) made an incorrect declaration of its status as to whether or not it is a Swiss Qualifying Bank,</w:t>
      </w:r>
    </w:p>
    <w:p>
      <w:pPr>
        <w:spacing w:after="0" w:line="3" w:lineRule="exact"/>
        <w:rPr>
          <w:sz w:val="20"/>
          <w:szCs w:val="20"/>
          <w:color w:val="auto"/>
        </w:rPr>
      </w:pPr>
    </w:p>
    <w:p>
      <w:pPr>
        <w:jc w:val="both"/>
        <w:ind w:firstLine="8"/>
        <w:spacing w:after="0" w:line="233" w:lineRule="auto"/>
        <w:tabs>
          <w:tab w:leader="none" w:pos="326" w:val="left"/>
        </w:tabs>
        <w:numPr>
          <w:ilvl w:val="0"/>
          <w:numId w:val="310"/>
        </w:numPr>
        <w:rPr>
          <w:rFonts w:ascii="Arial" w:cs="Arial" w:eastAsia="Arial" w:hAnsi="Arial"/>
          <w:sz w:val="22"/>
          <w:szCs w:val="22"/>
          <w:color w:val="auto"/>
        </w:rPr>
      </w:pPr>
      <w:r>
        <w:rPr>
          <w:rFonts w:ascii="Arial" w:cs="Arial" w:eastAsia="Arial" w:hAnsi="Arial"/>
          <w:sz w:val="22"/>
          <w:szCs w:val="22"/>
          <w:color w:val="auto"/>
        </w:rPr>
        <w:t xml:space="preserve">failed to comply with its obligations under </w:t>
      </w:r>
      <w:r>
        <w:rPr>
          <w:rFonts w:ascii="Arial" w:cs="Arial" w:eastAsia="Arial" w:hAnsi="Arial"/>
          <w:sz w:val="22"/>
          <w:szCs w:val="22"/>
          <w:u w:val="single" w:color="auto"/>
          <w:color w:val="auto"/>
        </w:rPr>
        <w:t>Section 10.04</w:t>
      </w:r>
      <w:r>
        <w:rPr>
          <w:rFonts w:ascii="Arial" w:cs="Arial" w:eastAsia="Arial" w:hAnsi="Arial"/>
          <w:sz w:val="22"/>
          <w:szCs w:val="22"/>
          <w:color w:val="auto"/>
        </w:rPr>
        <w:t>, or (iii) ceased to be a Swiss Qualifying Bank other than as a result of any change in Applicable Law after the date it became a Lender under this Agreement. For the purposes of compliance with this covenant, each Swiss Borrower shall assume that at any time during the term of this Agreement there may be up to ten Swiss Permitted Non-Qualifying Banks as Lenders (whether or not there are, at any time, any or less of such Swiss Permitted Non-Qualifying Banks as Lenders).</w:t>
      </w:r>
    </w:p>
    <w:p>
      <w:pPr>
        <w:spacing w:after="0" w:line="18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Indonesian Translation; Indonesian Statement Letters</w:t>
      </w:r>
      <w:r>
        <w:rPr>
          <w:rFonts w:ascii="Arial" w:cs="Arial" w:eastAsia="Arial" w:hAnsi="Arial"/>
          <w:sz w:val="22"/>
          <w:szCs w:val="22"/>
          <w:color w:val="auto"/>
        </w:rPr>
        <w:t>. This Agreement is executed in a text using the English language and the Indonesian language. Both texts are the same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3" w:name="page284"/>
    <w:bookmarkEnd w:id="283"/>
    <w:p>
      <w:pPr>
        <w:jc w:val="both"/>
        <w:spacing w:after="0" w:line="273" w:lineRule="auto"/>
        <w:rPr>
          <w:sz w:val="20"/>
          <w:szCs w:val="20"/>
          <w:color w:val="auto"/>
        </w:rPr>
      </w:pPr>
      <w:r>
        <w:rPr>
          <w:rFonts w:ascii="Arial" w:cs="Arial" w:eastAsia="Arial" w:hAnsi="Arial"/>
          <w:sz w:val="19"/>
          <w:szCs w:val="19"/>
          <w:color w:val="auto"/>
        </w:rPr>
        <w:t>and effective as of the execution of this Agreement. Each of the parties hereto agrees that if there is any conflict between the English language text and the Indonesian language text of this Agreement, the English language text shall, to the extent permitted by applicable law, prevail. Each of the parties hereto confirms that it has read and understood the content and consequences of this Agreement and has no objection if the English language text prevails in the event of any such conflict. Each Indonesian Borrower will use commercially reasonable efforts to provide the Administrative Agent, within 30 days of the Effective Date (or such later date as the Administrative Agent may agree to in its sole discretion), with statement letters (surat keterangan) from the relevant district court, Indonesian National Arbitration Board, and commercial court having jurisdiction over the Indonesian Borrowers stipulating that the Indonesian Borrowers are not undergoing legal proceeding and the process of suspension of payments of creditor liabilities (known as Penundaan Kewajiban Pembayaran Utang or PKPU) or bankruptcy proceedings (known as Kepailitan) as a defaulting borrower, respectively.</w:t>
      </w:r>
    </w:p>
    <w:p>
      <w:pPr>
        <w:spacing w:after="0" w:line="16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 xml:space="preserve">SECTION 5.11 </w:t>
      </w:r>
      <w:r>
        <w:rPr>
          <w:rFonts w:ascii="Arial" w:cs="Arial" w:eastAsia="Arial" w:hAnsi="Arial"/>
          <w:sz w:val="21"/>
          <w:szCs w:val="21"/>
          <w:u w:val="single" w:color="auto"/>
          <w:color w:val="auto"/>
        </w:rPr>
        <w:t>Indonesian Filings</w:t>
      </w:r>
      <w:r>
        <w:rPr>
          <w:rFonts w:ascii="Arial" w:cs="Arial" w:eastAsia="Arial" w:hAnsi="Arial"/>
          <w:sz w:val="21"/>
          <w:szCs w:val="21"/>
          <w:color w:val="auto"/>
        </w:rPr>
        <w:t>. Within fourteen (14) calendar days of the Effective Date (or such later date as the Administrative Agent may agree in its sole discretion), the Administrative Agent shall have received from the Indonesian Borrower documents evidencing the filing of reports on the borrowings as contemplated by this Agreement with: (i) Bank Indonesia, as required under Bank Indonesia Regulation No. 21/2/PBI/2019 concerning Reporting of Foreign Exchange Traffic Activities, in conjunction with Circular Letter of Bank Indonesia Number 17/24/DSTA Year 2015 on the Amendment to Circular Letter of Bank Indonesia Number 17/3/DSTA Dated 6 March 2015 on the Reporting Activities Implementing Prudential Principles for the Management of Foreign Loans of Non-Bank Corporation, and (ii) Ministry of Finance, as required under Ministry of Finance Regulation No.261/MK/IV/5/1973 concerning the Guidelines in Receiving Offshore Borrowings, as lastly amended by Ministry of Finance Regulation No. 279/KMK.01/1991 in conjunction with the Regulation of the President of the Republic of Indonesia Number 82 of 2020 on the Corona Virus Disease 2019 (COVID-19) Handling Committee and the Restoration of the National Economy as amended by the Regulation of the President of the Republic of Indonesia Number 108 of 2020.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Negative Covenants</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Until the Commitments have expired or terminated and the principal of and interest on each Loan and all fees payable hereunder have been paid in full, the Company covenants and agrees with the Lenders that:</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Liens</w:t>
      </w:r>
      <w:r>
        <w:rPr>
          <w:rFonts w:ascii="Arial" w:cs="Arial" w:eastAsia="Arial" w:hAnsi="Arial"/>
          <w:sz w:val="22"/>
          <w:szCs w:val="22"/>
          <w:color w:val="auto"/>
        </w:rPr>
        <w:t>. It will not, and will not permit any of its Subsidiaries to, create, incur, assume or permit to exist any Lien on any property, asset or revenue now owned or hereafter acquired by it, except:</w:t>
      </w:r>
    </w:p>
    <w:p>
      <w:pPr>
        <w:spacing w:after="0" w:line="175" w:lineRule="exact"/>
        <w:rPr>
          <w:sz w:val="20"/>
          <w:szCs w:val="20"/>
          <w:color w:val="auto"/>
        </w:rPr>
      </w:pPr>
    </w:p>
    <w:p>
      <w:pPr>
        <w:ind w:left="2160" w:hanging="655"/>
        <w:spacing w:after="0"/>
        <w:tabs>
          <w:tab w:leader="none" w:pos="2160" w:val="left"/>
        </w:tabs>
        <w:numPr>
          <w:ilvl w:val="0"/>
          <w:numId w:val="311"/>
        </w:numPr>
        <w:rPr>
          <w:rFonts w:ascii="Arial" w:cs="Arial" w:eastAsia="Arial" w:hAnsi="Arial"/>
          <w:sz w:val="22"/>
          <w:szCs w:val="22"/>
          <w:color w:val="auto"/>
        </w:rPr>
      </w:pPr>
      <w:r>
        <w:rPr>
          <w:rFonts w:ascii="Arial" w:cs="Arial" w:eastAsia="Arial" w:hAnsi="Arial"/>
          <w:sz w:val="22"/>
          <w:szCs w:val="22"/>
          <w:color w:val="auto"/>
        </w:rPr>
        <w:t>Permitted Encumbrances;</w:t>
      </w:r>
    </w:p>
    <w:p>
      <w:pPr>
        <w:spacing w:after="0" w:line="206" w:lineRule="exact"/>
        <w:rPr>
          <w:rFonts w:ascii="Arial" w:cs="Arial" w:eastAsia="Arial" w:hAnsi="Arial"/>
          <w:sz w:val="22"/>
          <w:szCs w:val="22"/>
          <w:color w:val="auto"/>
        </w:rPr>
      </w:pPr>
    </w:p>
    <w:p>
      <w:pPr>
        <w:jc w:val="both"/>
        <w:ind w:firstLine="1505"/>
        <w:spacing w:after="0"/>
        <w:tabs>
          <w:tab w:leader="none" w:pos="2183" w:val="left"/>
        </w:tabs>
        <w:numPr>
          <w:ilvl w:val="0"/>
          <w:numId w:val="311"/>
        </w:numPr>
        <w:rPr>
          <w:rFonts w:ascii="Arial" w:cs="Arial" w:eastAsia="Arial" w:hAnsi="Arial"/>
          <w:sz w:val="22"/>
          <w:szCs w:val="22"/>
          <w:color w:val="auto"/>
        </w:rPr>
      </w:pPr>
      <w:r>
        <w:rPr>
          <w:rFonts w:ascii="Arial" w:cs="Arial" w:eastAsia="Arial" w:hAnsi="Arial"/>
          <w:sz w:val="22"/>
          <w:szCs w:val="22"/>
          <w:color w:val="auto"/>
        </w:rPr>
        <w:t xml:space="preserve">Liens on any property or asset of the Company or any Subsidiary existing on the date hereof and set forth in </w:t>
      </w:r>
      <w:r>
        <w:rPr>
          <w:rFonts w:ascii="Arial" w:cs="Arial" w:eastAsia="Arial" w:hAnsi="Arial"/>
          <w:sz w:val="22"/>
          <w:szCs w:val="22"/>
          <w:u w:val="single" w:color="auto"/>
          <w:color w:val="auto"/>
        </w:rPr>
        <w:t>Schedule 6.01</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such Lien shall not apply to any other property or asset of the Company or any Subsidiary and (ii) such Lien shall secure only those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4" w:name="page285"/>
    <w:bookmarkEnd w:id="284"/>
    <w:p>
      <w:pPr>
        <w:spacing w:after="0" w:line="250" w:lineRule="auto"/>
        <w:rPr>
          <w:sz w:val="20"/>
          <w:szCs w:val="20"/>
          <w:color w:val="auto"/>
        </w:rPr>
      </w:pPr>
      <w:r>
        <w:rPr>
          <w:rFonts w:ascii="Arial" w:cs="Arial" w:eastAsia="Arial" w:hAnsi="Arial"/>
          <w:sz w:val="22"/>
          <w:szCs w:val="22"/>
          <w:color w:val="auto"/>
        </w:rPr>
        <w:t>obligations which it secures on the date hereof and extensions, renewals and replacements thereof that do not increase the outstanding principal amount thereof;</w:t>
      </w:r>
    </w:p>
    <w:p>
      <w:pPr>
        <w:spacing w:after="0" w:line="175" w:lineRule="exact"/>
        <w:rPr>
          <w:sz w:val="20"/>
          <w:szCs w:val="20"/>
          <w:color w:val="auto"/>
        </w:rPr>
      </w:pPr>
    </w:p>
    <w:p>
      <w:pPr>
        <w:jc w:val="both"/>
        <w:ind w:firstLine="1505"/>
        <w:spacing w:after="0" w:line="277" w:lineRule="auto"/>
        <w:tabs>
          <w:tab w:leader="none" w:pos="2161" w:val="left"/>
        </w:tabs>
        <w:numPr>
          <w:ilvl w:val="0"/>
          <w:numId w:val="312"/>
        </w:numPr>
        <w:rPr>
          <w:rFonts w:ascii="Arial" w:cs="Arial" w:eastAsia="Arial" w:hAnsi="Arial"/>
          <w:sz w:val="19"/>
          <w:szCs w:val="19"/>
          <w:color w:val="auto"/>
        </w:rPr>
      </w:pPr>
      <w:r>
        <w:rPr>
          <w:rFonts w:ascii="Arial" w:cs="Arial" w:eastAsia="Arial" w:hAnsi="Arial"/>
          <w:sz w:val="19"/>
          <w:szCs w:val="19"/>
          <w:color w:val="auto"/>
        </w:rPr>
        <w:t xml:space="preserve">any Lien existing on any property or asset of a Person prior to the acquisition thereof by the Company or any Subsidiary or prior to merger or consolidation of such Person into the Company or any Subsidiary, or existing on any property or asset of any Person that becomes a Subsidiary after the date hereof prior to the time such Person becomes a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(i) such Lien is not created in contemplation of or in connection with such acquisition, merger or consolidation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w:t>
      </w:r>
    </w:p>
    <w:p>
      <w:pPr>
        <w:spacing w:after="0" w:line="151" w:lineRule="exact"/>
        <w:rPr>
          <w:rFonts w:ascii="Arial" w:cs="Arial" w:eastAsia="Arial" w:hAnsi="Arial"/>
          <w:sz w:val="19"/>
          <w:szCs w:val="19"/>
          <w:color w:val="auto"/>
        </w:rPr>
      </w:pPr>
    </w:p>
    <w:p>
      <w:pPr>
        <w:jc w:val="both"/>
        <w:ind w:firstLine="1505"/>
        <w:spacing w:after="0" w:line="297" w:lineRule="auto"/>
        <w:tabs>
          <w:tab w:leader="none" w:pos="2169" w:val="left"/>
        </w:tabs>
        <w:numPr>
          <w:ilvl w:val="0"/>
          <w:numId w:val="312"/>
        </w:numPr>
        <w:rPr>
          <w:rFonts w:ascii="Arial" w:cs="Arial" w:eastAsia="Arial" w:hAnsi="Arial"/>
          <w:sz w:val="19"/>
          <w:szCs w:val="19"/>
          <w:color w:val="auto"/>
        </w:rPr>
      </w:pPr>
      <w:r>
        <w:rPr>
          <w:rFonts w:ascii="Arial" w:cs="Arial" w:eastAsia="Arial" w:hAnsi="Arial"/>
          <w:sz w:val="19"/>
          <w:szCs w:val="19"/>
          <w:color w:val="auto"/>
        </w:rPr>
        <w:t xml:space="preserve">Liens securing purchase money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133" w:lineRule="exact"/>
        <w:rPr>
          <w:rFonts w:ascii="Arial" w:cs="Arial" w:eastAsia="Arial" w:hAnsi="Arial"/>
          <w:sz w:val="19"/>
          <w:szCs w:val="19"/>
          <w:color w:val="auto"/>
        </w:rPr>
      </w:pPr>
    </w:p>
    <w:p>
      <w:pPr>
        <w:ind w:firstLine="1505"/>
        <w:spacing w:after="0" w:line="274" w:lineRule="auto"/>
        <w:tabs>
          <w:tab w:leader="none" w:pos="2178" w:val="left"/>
        </w:tabs>
        <w:numPr>
          <w:ilvl w:val="0"/>
          <w:numId w:val="312"/>
        </w:numPr>
        <w:rPr>
          <w:rFonts w:ascii="Arial" w:cs="Arial" w:eastAsia="Arial" w:hAnsi="Arial"/>
          <w:sz w:val="21"/>
          <w:szCs w:val="21"/>
          <w:color w:val="auto"/>
        </w:rPr>
      </w:pPr>
      <w:r>
        <w:rPr>
          <w:rFonts w:ascii="Arial" w:cs="Arial" w:eastAsia="Arial" w:hAnsi="Arial"/>
          <w:sz w:val="21"/>
          <w:szCs w:val="21"/>
          <w:color w:val="auto"/>
        </w:rPr>
        <w:t>any interest of title of a lessor under, and Liens arising from UCC financing statements (or equivalent filings, registrations or agreements in foreign jurisdictions) relating to, leases permitted by this Agreement;</w:t>
      </w:r>
    </w:p>
    <w:p>
      <w:pPr>
        <w:spacing w:after="0" w:line="150" w:lineRule="exact"/>
        <w:rPr>
          <w:rFonts w:ascii="Arial" w:cs="Arial" w:eastAsia="Arial" w:hAnsi="Arial"/>
          <w:sz w:val="21"/>
          <w:szCs w:val="21"/>
          <w:color w:val="auto"/>
        </w:rPr>
      </w:pPr>
    </w:p>
    <w:p>
      <w:pPr>
        <w:ind w:firstLine="1505"/>
        <w:spacing w:after="0" w:line="250" w:lineRule="auto"/>
        <w:tabs>
          <w:tab w:leader="none" w:pos="2192" w:val="left"/>
        </w:tabs>
        <w:numPr>
          <w:ilvl w:val="0"/>
          <w:numId w:val="312"/>
        </w:numPr>
        <w:rPr>
          <w:rFonts w:ascii="Arial" w:cs="Arial" w:eastAsia="Arial" w:hAnsi="Arial"/>
          <w:sz w:val="22"/>
          <w:szCs w:val="22"/>
          <w:color w:val="auto"/>
        </w:rPr>
      </w:pPr>
      <w:r>
        <w:rPr>
          <w:rFonts w:ascii="Arial" w:cs="Arial" w:eastAsia="Arial" w:hAnsi="Arial"/>
          <w:sz w:val="22"/>
          <w:szCs w:val="22"/>
          <w:color w:val="auto"/>
        </w:rPr>
        <w:t>leases or subleases granted to others not interfering in any material respect with the business of the Company or any Subsidiary;</w:t>
      </w:r>
    </w:p>
    <w:p>
      <w:pPr>
        <w:spacing w:after="0" w:line="174" w:lineRule="exact"/>
        <w:rPr>
          <w:rFonts w:ascii="Arial" w:cs="Arial" w:eastAsia="Arial" w:hAnsi="Arial"/>
          <w:sz w:val="22"/>
          <w:szCs w:val="22"/>
          <w:color w:val="auto"/>
        </w:rPr>
      </w:pPr>
    </w:p>
    <w:p>
      <w:pPr>
        <w:jc w:val="both"/>
        <w:ind w:firstLine="1505"/>
        <w:spacing w:after="0" w:line="236" w:lineRule="auto"/>
        <w:tabs>
          <w:tab w:leader="none" w:pos="2173" w:val="left"/>
        </w:tabs>
        <w:numPr>
          <w:ilvl w:val="0"/>
          <w:numId w:val="312"/>
        </w:numPr>
        <w:rPr>
          <w:rFonts w:ascii="Arial" w:cs="Arial" w:eastAsia="Arial" w:hAnsi="Arial"/>
          <w:sz w:val="22"/>
          <w:szCs w:val="22"/>
          <w:color w:val="auto"/>
        </w:rPr>
      </w:pPr>
      <w:r>
        <w:rPr>
          <w:rFonts w:ascii="Arial" w:cs="Arial" w:eastAsia="Arial" w:hAnsi="Arial"/>
          <w:sz w:val="22"/>
          <w:szCs w:val="22"/>
          <w:color w:val="auto"/>
        </w:rPr>
        <w:t>Liens created or deemed to exist in connection with a Securitization Transaction (including any related filings of any UCC financing statements (or equivalent filings, registrations or agreements in foreign jurisdictions)) securing Indebtedness in an aggregate amount not to exceed $200,000,000 during the term of this Agreement, but only to the extent that any such Lien relates to the applicable property actually sold, contributed, financed or otherwise conveyed or pledged pursuant to such transaction;</w:t>
      </w:r>
    </w:p>
    <w:p>
      <w:pPr>
        <w:spacing w:after="0" w:line="187" w:lineRule="exact"/>
        <w:rPr>
          <w:rFonts w:ascii="Arial" w:cs="Arial" w:eastAsia="Arial" w:hAnsi="Arial"/>
          <w:sz w:val="22"/>
          <w:szCs w:val="22"/>
          <w:color w:val="auto"/>
        </w:rPr>
      </w:pPr>
    </w:p>
    <w:p>
      <w:pPr>
        <w:ind w:left="2200" w:hanging="695"/>
        <w:spacing w:after="0"/>
        <w:tabs>
          <w:tab w:leader="none" w:pos="2200" w:val="left"/>
        </w:tabs>
        <w:numPr>
          <w:ilvl w:val="0"/>
          <w:numId w:val="312"/>
        </w:numPr>
        <w:rPr>
          <w:rFonts w:ascii="Arial" w:cs="Arial" w:eastAsia="Arial" w:hAnsi="Arial"/>
          <w:sz w:val="21"/>
          <w:szCs w:val="21"/>
          <w:color w:val="auto"/>
        </w:rPr>
      </w:pPr>
      <w:r>
        <w:rPr>
          <w:rFonts w:ascii="Arial" w:cs="Arial" w:eastAsia="Arial" w:hAnsi="Arial"/>
          <w:sz w:val="21"/>
          <w:szCs w:val="21"/>
          <w:color w:val="auto"/>
        </w:rPr>
        <w:t>normal and customary rights of setoff upon deposits of cash in favor of banks or other depository</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institutions;</w:t>
      </w:r>
    </w:p>
    <w:p>
      <w:pPr>
        <w:spacing w:after="0" w:line="188" w:lineRule="exact"/>
        <w:rPr>
          <w:rFonts w:ascii="Arial" w:cs="Arial" w:eastAsia="Arial" w:hAnsi="Arial"/>
          <w:sz w:val="21"/>
          <w:szCs w:val="21"/>
          <w:color w:val="auto"/>
        </w:rPr>
      </w:pPr>
    </w:p>
    <w:p>
      <w:pPr>
        <w:ind w:left="2160" w:hanging="655"/>
        <w:spacing w:after="0"/>
        <w:tabs>
          <w:tab w:leader="none" w:pos="2160" w:val="left"/>
        </w:tabs>
        <w:numPr>
          <w:ilvl w:val="0"/>
          <w:numId w:val="312"/>
        </w:numPr>
        <w:rPr>
          <w:rFonts w:ascii="Arial" w:cs="Arial" w:eastAsia="Arial" w:hAnsi="Arial"/>
          <w:sz w:val="22"/>
          <w:szCs w:val="22"/>
          <w:color w:val="auto"/>
        </w:rPr>
      </w:pPr>
      <w:r>
        <w:rPr>
          <w:rFonts w:ascii="Arial" w:cs="Arial" w:eastAsia="Arial" w:hAnsi="Arial"/>
          <w:sz w:val="22"/>
          <w:szCs w:val="22"/>
          <w:color w:val="auto"/>
        </w:rPr>
        <w:t xml:space="preserve">Liens on commodities subject to any arrangement permitted under </w:t>
      </w:r>
      <w:r>
        <w:rPr>
          <w:rFonts w:ascii="Arial" w:cs="Arial" w:eastAsia="Arial" w:hAnsi="Arial"/>
          <w:sz w:val="22"/>
          <w:szCs w:val="22"/>
          <w:u w:val="single" w:color="auto"/>
          <w:color w:val="auto"/>
        </w:rPr>
        <w:t>Section 6.03</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505"/>
        <w:spacing w:after="0" w:line="250" w:lineRule="auto"/>
        <w:tabs>
          <w:tab w:leader="none" w:pos="2180" w:val="left"/>
        </w:tabs>
        <w:numPr>
          <w:ilvl w:val="0"/>
          <w:numId w:val="312"/>
        </w:numPr>
        <w:rPr>
          <w:rFonts w:ascii="Arial" w:cs="Arial" w:eastAsia="Arial" w:hAnsi="Arial"/>
          <w:sz w:val="22"/>
          <w:szCs w:val="22"/>
          <w:color w:val="auto"/>
        </w:rPr>
      </w:pPr>
      <w:r>
        <w:rPr>
          <w:rFonts w:ascii="Arial" w:cs="Arial" w:eastAsia="Arial" w:hAnsi="Arial"/>
          <w:sz w:val="22"/>
          <w:szCs w:val="22"/>
          <w:color w:val="auto"/>
        </w:rPr>
        <w:t>Liens securing Indebtedness (for working capital purposes) of any Foreign Subsidiary, but only to the extent that any such Lien relates to the property or assets of such Foreign Subsidiary;</w:t>
      </w:r>
    </w:p>
    <w:p>
      <w:pPr>
        <w:spacing w:after="0" w:line="174" w:lineRule="exact"/>
        <w:rPr>
          <w:rFonts w:ascii="Arial" w:cs="Arial" w:eastAsia="Arial" w:hAnsi="Arial"/>
          <w:sz w:val="22"/>
          <w:szCs w:val="22"/>
          <w:color w:val="auto"/>
        </w:rPr>
      </w:pPr>
    </w:p>
    <w:p>
      <w:pPr>
        <w:ind w:left="2160" w:hanging="655"/>
        <w:spacing w:after="0"/>
        <w:tabs>
          <w:tab w:leader="none" w:pos="2160" w:val="left"/>
        </w:tabs>
        <w:numPr>
          <w:ilvl w:val="0"/>
          <w:numId w:val="312"/>
        </w:numPr>
        <w:rPr>
          <w:rFonts w:ascii="Arial" w:cs="Arial" w:eastAsia="Arial" w:hAnsi="Arial"/>
          <w:sz w:val="22"/>
          <w:szCs w:val="22"/>
          <w:color w:val="auto"/>
        </w:rPr>
      </w:pPr>
      <w:r>
        <w:rPr>
          <w:rFonts w:ascii="Arial" w:cs="Arial" w:eastAsia="Arial" w:hAnsi="Arial"/>
          <w:sz w:val="22"/>
          <w:szCs w:val="22"/>
          <w:color w:val="auto"/>
        </w:rPr>
        <w:t>Liens arising pursuant to any Swap Agreement;</w:t>
      </w:r>
    </w:p>
    <w:p>
      <w:pPr>
        <w:spacing w:after="0" w:line="206" w:lineRule="exact"/>
        <w:rPr>
          <w:rFonts w:ascii="Arial" w:cs="Arial" w:eastAsia="Arial" w:hAnsi="Arial"/>
          <w:sz w:val="22"/>
          <w:szCs w:val="22"/>
          <w:color w:val="auto"/>
        </w:rPr>
      </w:pPr>
    </w:p>
    <w:p>
      <w:pPr>
        <w:jc w:val="both"/>
        <w:ind w:firstLine="1505"/>
        <w:spacing w:after="0"/>
        <w:tabs>
          <w:tab w:leader="none" w:pos="2168" w:val="left"/>
        </w:tabs>
        <w:numPr>
          <w:ilvl w:val="0"/>
          <w:numId w:val="312"/>
        </w:numPr>
        <w:rPr>
          <w:rFonts w:ascii="Arial" w:cs="Arial" w:eastAsia="Arial" w:hAnsi="Arial"/>
          <w:sz w:val="22"/>
          <w:szCs w:val="22"/>
          <w:color w:val="auto"/>
        </w:rPr>
      </w:pPr>
      <w:r>
        <w:rPr>
          <w:rFonts w:ascii="Arial" w:cs="Arial" w:eastAsia="Arial" w:hAnsi="Arial"/>
          <w:sz w:val="22"/>
          <w:szCs w:val="22"/>
          <w:color w:val="auto"/>
        </w:rPr>
        <w:t xml:space="preserve">any Lien arising out of the refinancing, extension, renewal or refunding of any Indebtedness secured by any Lien permitted by any of the foregoing clauses of this Section,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Indebtedness is not increased and is not secured by any additional assets;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5" w:name="page286"/>
    <w:bookmarkEnd w:id="285"/>
    <w:p>
      <w:pPr>
        <w:jc w:val="both"/>
        <w:ind w:firstLine="1505"/>
        <w:spacing w:after="0" w:line="257" w:lineRule="auto"/>
        <w:tabs>
          <w:tab w:leader="none" w:pos="2161" w:val="left"/>
        </w:tabs>
        <w:numPr>
          <w:ilvl w:val="0"/>
          <w:numId w:val="313"/>
        </w:numPr>
        <w:rPr>
          <w:rFonts w:ascii="Arial" w:cs="Arial" w:eastAsia="Arial" w:hAnsi="Arial"/>
          <w:sz w:val="21"/>
          <w:szCs w:val="21"/>
          <w:color w:val="auto"/>
        </w:rPr>
      </w:pPr>
      <w:r>
        <w:rPr>
          <w:rFonts w:ascii="Arial" w:cs="Arial" w:eastAsia="Arial" w:hAnsi="Arial"/>
          <w:sz w:val="21"/>
          <w:szCs w:val="21"/>
          <w:color w:val="auto"/>
        </w:rPr>
        <w:t>Liens arising in the ordinary course of business that (i) do not secure Indebtedness, (ii) do not secure any single obligation exceeding $50,000,000 and (iii) do not in the aggregate materially detract from the value of the assets of the Company or any Subsidiary or materially impair the use thereof in the operation of its business;</w:t>
      </w:r>
    </w:p>
    <w:p>
      <w:pPr>
        <w:spacing w:after="0" w:line="169" w:lineRule="exact"/>
        <w:rPr>
          <w:rFonts w:ascii="Arial" w:cs="Arial" w:eastAsia="Arial" w:hAnsi="Arial"/>
          <w:sz w:val="21"/>
          <w:szCs w:val="21"/>
          <w:color w:val="auto"/>
        </w:rPr>
      </w:pPr>
    </w:p>
    <w:p>
      <w:pPr>
        <w:ind w:left="2160" w:hanging="655"/>
        <w:spacing w:after="0"/>
        <w:tabs>
          <w:tab w:leader="none" w:pos="216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Liens on cash collateral created hereunder in favor of any Credit Party; and</w:t>
      </w:r>
    </w:p>
    <w:p>
      <w:pPr>
        <w:spacing w:after="0" w:line="206" w:lineRule="exact"/>
        <w:rPr>
          <w:rFonts w:ascii="Arial" w:cs="Arial" w:eastAsia="Arial" w:hAnsi="Arial"/>
          <w:sz w:val="22"/>
          <w:szCs w:val="22"/>
          <w:color w:val="auto"/>
        </w:rPr>
      </w:pPr>
    </w:p>
    <w:p>
      <w:pPr>
        <w:jc w:val="both"/>
        <w:ind w:firstLine="1505"/>
        <w:spacing w:after="0"/>
        <w:tabs>
          <w:tab w:leader="none" w:pos="2199" w:val="left"/>
        </w:tabs>
        <w:numPr>
          <w:ilvl w:val="0"/>
          <w:numId w:val="313"/>
        </w:numPr>
        <w:rPr>
          <w:rFonts w:ascii="Arial" w:cs="Arial" w:eastAsia="Arial" w:hAnsi="Arial"/>
          <w:sz w:val="22"/>
          <w:szCs w:val="22"/>
          <w:color w:val="auto"/>
        </w:rPr>
      </w:pPr>
      <w:r>
        <w:rPr>
          <w:rFonts w:ascii="Arial" w:cs="Arial" w:eastAsia="Arial" w:hAnsi="Arial"/>
          <w:sz w:val="22"/>
          <w:szCs w:val="22"/>
          <w:color w:val="auto"/>
        </w:rPr>
        <w:t>Liens not otherwise permitted by the foregoing clauses of this Section securing Indebtedness in an aggregate principal amount at any time outstanding not to exceed ten percent (10%) of Consolidated Tangible Net Worth at any time.</w:t>
      </w:r>
    </w:p>
    <w:p>
      <w:pPr>
        <w:spacing w:after="0" w:line="18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Fundamental Changes</w:t>
      </w:r>
      <w:r>
        <w:rPr>
          <w:rFonts w:ascii="Arial" w:cs="Arial" w:eastAsia="Arial" w:hAnsi="Arial"/>
          <w:sz w:val="22"/>
          <w:szCs w:val="22"/>
          <w:color w:val="auto"/>
        </w:rPr>
        <w:t>. It will not, and will not permit any of its Subsidiaries to, merge into or consolidate with any other Person, or permit any other Person to merge into or consolidate with it, or sell, transfer, lease or otherwise dispose of (in one transaction or in a series of transactions) all or substantially all of its assets, or all or substantially all of the Equity Interests of any Subsidiary (in each case, whether now owned or hereafter acquired), or divide, liquidate or dissolve, except that, if at the time thereof and immediately after giving effect thereto no Default shall have occurred and be continuing:</w:t>
      </w:r>
    </w:p>
    <w:p>
      <w:pPr>
        <w:spacing w:after="0" w:line="188" w:lineRule="exact"/>
        <w:rPr>
          <w:sz w:val="20"/>
          <w:szCs w:val="20"/>
          <w:color w:val="auto"/>
        </w:rPr>
      </w:pPr>
    </w:p>
    <w:p>
      <w:pPr>
        <w:jc w:val="both"/>
        <w:ind w:firstLine="1505"/>
        <w:spacing w:after="0" w:line="297" w:lineRule="auto"/>
        <w:tabs>
          <w:tab w:leader="none" w:pos="2160" w:val="left"/>
        </w:tabs>
        <w:numPr>
          <w:ilvl w:val="0"/>
          <w:numId w:val="314"/>
        </w:numPr>
        <w:rPr>
          <w:rFonts w:ascii="Arial" w:cs="Arial" w:eastAsia="Arial" w:hAnsi="Arial"/>
          <w:sz w:val="19"/>
          <w:szCs w:val="19"/>
          <w:color w:val="auto"/>
        </w:rPr>
      </w:pPr>
      <w:r>
        <w:rPr>
          <w:rFonts w:ascii="Arial" w:cs="Arial" w:eastAsia="Arial" w:hAnsi="Arial"/>
          <w:sz w:val="19"/>
          <w:szCs w:val="19"/>
          <w:color w:val="auto"/>
        </w:rPr>
        <w:t xml:space="preserve">any Subsidiary (i) that is not a Borrower may merge with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be the continuing or surviving Person, (ii) may merge with any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Borrower shall be the continuing or surviving Person, or (iii) that is not a Borrower may merge with or into any other Subsidiary that is not a Borrower;</w:t>
      </w:r>
    </w:p>
    <w:p>
      <w:pPr>
        <w:spacing w:after="0" w:line="133" w:lineRule="exact"/>
        <w:rPr>
          <w:rFonts w:ascii="Arial" w:cs="Arial" w:eastAsia="Arial" w:hAnsi="Arial"/>
          <w:sz w:val="19"/>
          <w:szCs w:val="19"/>
          <w:color w:val="auto"/>
        </w:rPr>
      </w:pPr>
    </w:p>
    <w:p>
      <w:pPr>
        <w:jc w:val="both"/>
        <w:ind w:firstLine="1505"/>
        <w:spacing w:after="0"/>
        <w:tabs>
          <w:tab w:leader="none" w:pos="2166" w:val="left"/>
        </w:tabs>
        <w:numPr>
          <w:ilvl w:val="0"/>
          <w:numId w:val="314"/>
        </w:numPr>
        <w:rPr>
          <w:rFonts w:ascii="Arial" w:cs="Arial" w:eastAsia="Arial" w:hAnsi="Arial"/>
          <w:sz w:val="22"/>
          <w:szCs w:val="22"/>
          <w:color w:val="auto"/>
        </w:rPr>
      </w:pPr>
      <w:r>
        <w:rPr>
          <w:rFonts w:ascii="Arial" w:cs="Arial" w:eastAsia="Arial" w:hAnsi="Arial"/>
          <w:sz w:val="22"/>
          <w:szCs w:val="22"/>
          <w:color w:val="auto"/>
        </w:rPr>
        <w:t xml:space="preserve">any Subsidiary may sell, transfer, lease or otherwise dispose of all or substantially all of its assets (upon voluntary liquidation or otherwise) to the Company or to another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transferor in such a transaction is a Borrower, then the transferee must be a Borrower; and</w:t>
      </w:r>
    </w:p>
    <w:p>
      <w:pPr>
        <w:spacing w:after="0" w:line="186" w:lineRule="exact"/>
        <w:rPr>
          <w:rFonts w:ascii="Arial" w:cs="Arial" w:eastAsia="Arial" w:hAnsi="Arial"/>
          <w:sz w:val="22"/>
          <w:szCs w:val="22"/>
          <w:color w:val="auto"/>
        </w:rPr>
      </w:pPr>
    </w:p>
    <w:p>
      <w:pPr>
        <w:jc w:val="both"/>
        <w:ind w:firstLine="1505"/>
        <w:spacing w:after="0" w:line="234" w:lineRule="auto"/>
        <w:tabs>
          <w:tab w:leader="none" w:pos="2189" w:val="left"/>
        </w:tabs>
        <w:numPr>
          <w:ilvl w:val="0"/>
          <w:numId w:val="314"/>
        </w:numPr>
        <w:rPr>
          <w:rFonts w:ascii="Arial" w:cs="Arial" w:eastAsia="Arial" w:hAnsi="Arial"/>
          <w:sz w:val="22"/>
          <w:szCs w:val="22"/>
          <w:color w:val="auto"/>
        </w:rPr>
      </w:pPr>
      <w:r>
        <w:rPr>
          <w:rFonts w:ascii="Arial" w:cs="Arial" w:eastAsia="Arial" w:hAnsi="Arial"/>
          <w:sz w:val="22"/>
          <w:szCs w:val="22"/>
          <w:color w:val="auto"/>
        </w:rPr>
        <w:t>the Company may sell, transfer, lease or otherwise dispose of its assets, or any Subsidiary may sell, transfer, lease or otherwise dispose of all or substantially all of its assets, so long as the aggregate net book value of all such assets sold, transferred, leased or otherwise disposed of by the Company and its Subsidiaries in all transactions occurring from and after the date of this Agreement shall not exceed an amount equal to twenty-five percent (25%) of Consolidated Total Tangible Assets, measured as the sum of the percentages for each such transaction, in each case based upon the Consolidated Total Tangible Assets as of the end of the most recently completed fiscal year prior to the applicable sale, transfer, lease or other disposition.</w:t>
      </w:r>
    </w:p>
    <w:p>
      <w:pPr>
        <w:spacing w:after="0" w:line="191"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Investments, Loans, Advances, Guarantees and Acquisitions</w:t>
      </w:r>
      <w:r>
        <w:rPr>
          <w:rFonts w:ascii="Arial" w:cs="Arial" w:eastAsia="Arial" w:hAnsi="Arial"/>
          <w:sz w:val="22"/>
          <w:szCs w:val="22"/>
          <w:color w:val="auto"/>
        </w:rPr>
        <w:t>. It will not, and will not permit any of its Subsidiaries to, make any Investment where the aggregate consideration for such Investment exceeds $200,000,000, other than Permitted Investments and Permitted Acquisitions.</w:t>
      </w:r>
    </w:p>
    <w:p>
      <w:pPr>
        <w:spacing w:after="0" w:line="18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 xml:space="preserve">SECTION 6.04 </w:t>
      </w:r>
      <w:r>
        <w:rPr>
          <w:rFonts w:ascii="Arial" w:cs="Arial" w:eastAsia="Arial" w:hAnsi="Arial"/>
          <w:sz w:val="21"/>
          <w:szCs w:val="21"/>
          <w:u w:val="single" w:color="auto"/>
          <w:color w:val="auto"/>
        </w:rPr>
        <w:t>Transactions with Affiliates</w:t>
      </w:r>
      <w:r>
        <w:rPr>
          <w:rFonts w:ascii="Arial" w:cs="Arial" w:eastAsia="Arial" w:hAnsi="Arial"/>
          <w:sz w:val="21"/>
          <w:szCs w:val="21"/>
          <w:color w:val="auto"/>
        </w:rPr>
        <w:t>. It will not, and will not permit any of its Subsidiaries to, enter into any transaction of any kind with any Affiliate of the Company, whether or not in the ordinary course of business, other than (a) reasonable and customary fees paid to members of the board of directors of the Company and its Subsidiaries, (b) transactions otherwise expressly permitted hereunder between the Company or any Subsidiary and any such Affiliate 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6" w:name="page287"/>
    <w:bookmarkEnd w:id="286"/>
    <w:p>
      <w:pPr>
        <w:ind w:firstLine="8"/>
        <w:spacing w:after="0" w:line="328" w:lineRule="auto"/>
        <w:tabs>
          <w:tab w:leader="none" w:pos="320" w:val="left"/>
        </w:tabs>
        <w:numPr>
          <w:ilvl w:val="0"/>
          <w:numId w:val="315"/>
        </w:numPr>
        <w:rPr>
          <w:rFonts w:ascii="Arial" w:cs="Arial" w:eastAsia="Arial" w:hAnsi="Arial"/>
          <w:sz w:val="19"/>
          <w:szCs w:val="19"/>
          <w:color w:val="auto"/>
        </w:rPr>
      </w:pPr>
      <w:r>
        <w:rPr>
          <w:rFonts w:ascii="Arial" w:cs="Arial" w:eastAsia="Arial" w:hAnsi="Arial"/>
          <w:sz w:val="19"/>
          <w:szCs w:val="19"/>
          <w:color w:val="auto"/>
        </w:rPr>
        <w:t>on fair and reasonable terms substantially as favorable to the Company or such Subsidiary as would be obtainable by the Company or such Subsidiary at the time in a comparable arm’s length transaction with a Person other than an Affiliate.</w:t>
      </w:r>
    </w:p>
    <w:p>
      <w:pPr>
        <w:spacing w:after="0" w:line="10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u w:val="single" w:color="auto"/>
          <w:color w:val="auto"/>
        </w:rPr>
        <w:t>Financial Covenant</w:t>
      </w:r>
      <w:r>
        <w:rPr>
          <w:rFonts w:ascii="Arial" w:cs="Arial" w:eastAsia="Arial" w:hAnsi="Arial"/>
          <w:sz w:val="19"/>
          <w:szCs w:val="19"/>
          <w:color w:val="auto"/>
        </w:rPr>
        <w:t xml:space="preserve">. It will not permit the Consolidated Net Leverage Ratio as of the last day of any Reference Period to be greater than 3.50:1.00, commencing with the Reference Period ending June 30, 2023 and tested for all quarters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at the election of the Company (prior written notice of which shall be given to the Administrative Agent), following the consummation of any Material Acquisition, the Consolidated Net Leverage Ratio (x) as at the end of the fiscal quarter in which such Material Acquisition occurs and the three fiscal quarters immediately thereafter, shall not be greater than 4.00:1.00 and (y) as at the end of any fiscal quarter thereafter, shall not be greater than 3.50:1.00.</w:t>
      </w:r>
    </w:p>
    <w:p>
      <w:pPr>
        <w:spacing w:after="0" w:line="150"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u w:val="single" w:color="auto"/>
          <w:color w:val="auto"/>
        </w:rPr>
        <w:t>Organization Documents</w:t>
      </w:r>
      <w:r>
        <w:rPr>
          <w:rFonts w:ascii="Arial" w:cs="Arial" w:eastAsia="Arial" w:hAnsi="Arial"/>
          <w:sz w:val="22"/>
          <w:szCs w:val="22"/>
          <w:color w:val="auto"/>
        </w:rPr>
        <w:t>. It will not, and will not permit any of its Subsidiaries to, amend, modify or change its Organization Documents in any manner which could materially adversely affect the rights of the Credit Parties under the Loan Documents.</w:t>
      </w:r>
    </w:p>
    <w:p>
      <w:pPr>
        <w:spacing w:after="0" w:line="18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Use of Proceeds</w:t>
      </w:r>
      <w:r>
        <w:rPr>
          <w:rFonts w:ascii="Arial" w:cs="Arial" w:eastAsia="Arial" w:hAnsi="Arial"/>
          <w:sz w:val="19"/>
          <w:szCs w:val="19"/>
          <w:color w:val="auto"/>
        </w:rPr>
        <w:t>. It will not, and will not permit any of its Subsidiaries to, use any part of the proceeds of any Loan to be used, whether directly or indirectly, and whether immediately, incidentally or ultimately, for any purpose that entails a violation of any of the Regulations of the Board (including Regulations T, U and X), including to purchase or carry margin stock (within the meaning of Regulation U) other than stock of the Company or to extend credit to others for the purpose of purchasing or carrying margin stock or to refund indebtedness originally incurred for such purpose.</w:t>
      </w:r>
    </w:p>
    <w:p>
      <w:pPr>
        <w:spacing w:after="0" w:line="14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u w:val="single" w:color="auto"/>
          <w:color w:val="auto"/>
        </w:rPr>
        <w:t>Subsidiary Indebtedness</w:t>
      </w:r>
      <w:r>
        <w:rPr>
          <w:rFonts w:ascii="Arial" w:cs="Arial" w:eastAsia="Arial" w:hAnsi="Arial"/>
          <w:sz w:val="22"/>
          <w:szCs w:val="22"/>
          <w:color w:val="auto"/>
        </w:rPr>
        <w:t>. It will not permit, at any time, the aggregate Indebtedness of all Subsidiaries (excluding Indebtedness of a Subsidiary owing to a Borrower or to another Subsidiary but including the Indebtedness under this Agreement) to exceed 30% of Total Capitalization.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33"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Events of Default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Events of Default</w:t>
      </w:r>
      <w:r>
        <w:rPr>
          <w:rFonts w:ascii="Arial" w:cs="Arial" w:eastAsia="Arial" w:hAnsi="Arial"/>
          <w:sz w:val="22"/>
          <w:szCs w:val="22"/>
          <w:color w:val="auto"/>
        </w:rPr>
        <w:t>. If any of the following events (“</w:t>
      </w:r>
      <w:r>
        <w:rPr>
          <w:rFonts w:ascii="Arial" w:cs="Arial" w:eastAsia="Arial" w:hAnsi="Arial"/>
          <w:sz w:val="22"/>
          <w:szCs w:val="22"/>
          <w:b w:val="1"/>
          <w:bCs w:val="1"/>
          <w:i w:val="1"/>
          <w:iCs w:val="1"/>
          <w:color w:val="auto"/>
        </w:rPr>
        <w:t>Events of Default</w:t>
      </w:r>
      <w:r>
        <w:rPr>
          <w:rFonts w:ascii="Arial" w:cs="Arial" w:eastAsia="Arial" w:hAnsi="Arial"/>
          <w:sz w:val="22"/>
          <w:szCs w:val="22"/>
          <w:color w:val="auto"/>
        </w:rPr>
        <w:t>”) shall occur:</w:t>
      </w:r>
    </w:p>
    <w:p>
      <w:pPr>
        <w:spacing w:after="0" w:line="206" w:lineRule="exact"/>
        <w:rPr>
          <w:sz w:val="20"/>
          <w:szCs w:val="20"/>
          <w:color w:val="auto"/>
        </w:rPr>
      </w:pPr>
    </w:p>
    <w:p>
      <w:pPr>
        <w:ind w:firstLine="1505"/>
        <w:spacing w:after="0" w:line="250" w:lineRule="auto"/>
        <w:tabs>
          <w:tab w:leader="none" w:pos="2171" w:val="left"/>
        </w:tabs>
        <w:numPr>
          <w:ilvl w:val="0"/>
          <w:numId w:val="316"/>
        </w:numPr>
        <w:rPr>
          <w:rFonts w:ascii="Arial" w:cs="Arial" w:eastAsia="Arial" w:hAnsi="Arial"/>
          <w:sz w:val="22"/>
          <w:szCs w:val="22"/>
          <w:color w:val="auto"/>
        </w:rPr>
      </w:pPr>
      <w:r>
        <w:rPr>
          <w:rFonts w:ascii="Arial" w:cs="Arial" w:eastAsia="Arial" w:hAnsi="Arial"/>
          <w:sz w:val="22"/>
          <w:szCs w:val="22"/>
          <w:color w:val="auto"/>
        </w:rPr>
        <w:t>any Loan Party shall fail to pay any principal of any Loan when and as the same shall become due and payable, whether at the due date thereof or otherwise;</w:t>
      </w:r>
    </w:p>
    <w:p>
      <w:pPr>
        <w:spacing w:after="0" w:line="174" w:lineRule="exact"/>
        <w:rPr>
          <w:rFonts w:ascii="Arial" w:cs="Arial" w:eastAsia="Arial" w:hAnsi="Arial"/>
          <w:sz w:val="22"/>
          <w:szCs w:val="22"/>
          <w:color w:val="auto"/>
        </w:rPr>
      </w:pPr>
    </w:p>
    <w:p>
      <w:pPr>
        <w:jc w:val="both"/>
        <w:ind w:firstLine="1505"/>
        <w:spacing w:after="0" w:line="257" w:lineRule="auto"/>
        <w:tabs>
          <w:tab w:leader="none" w:pos="2169" w:val="left"/>
        </w:tabs>
        <w:numPr>
          <w:ilvl w:val="0"/>
          <w:numId w:val="316"/>
        </w:numPr>
        <w:rPr>
          <w:rFonts w:ascii="Arial" w:cs="Arial" w:eastAsia="Arial" w:hAnsi="Arial"/>
          <w:sz w:val="21"/>
          <w:szCs w:val="21"/>
          <w:color w:val="auto"/>
        </w:rPr>
      </w:pPr>
      <w:r>
        <w:rPr>
          <w:rFonts w:ascii="Arial" w:cs="Arial" w:eastAsia="Arial" w:hAnsi="Arial"/>
          <w:sz w:val="21"/>
          <w:szCs w:val="21"/>
          <w:color w:val="auto"/>
        </w:rPr>
        <w:t xml:space="preserve">any Loan Party shall fail to pay any interest on any Loan or any fee or any other amount (other than an amount referred to in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of this Article) payable under this Agreement or any other Loan Document, when and as the same shall become due and payable, and such failure shall continue unremedied for a period of five (5) days;</w:t>
      </w:r>
    </w:p>
    <w:p>
      <w:pPr>
        <w:spacing w:after="0" w:line="169" w:lineRule="exact"/>
        <w:rPr>
          <w:rFonts w:ascii="Arial" w:cs="Arial" w:eastAsia="Arial" w:hAnsi="Arial"/>
          <w:sz w:val="21"/>
          <w:szCs w:val="21"/>
          <w:color w:val="auto"/>
        </w:rPr>
      </w:pPr>
    </w:p>
    <w:p>
      <w:pPr>
        <w:jc w:val="both"/>
        <w:ind w:firstLine="1505"/>
        <w:spacing w:after="0"/>
        <w:tabs>
          <w:tab w:leader="none" w:pos="2207" w:val="left"/>
        </w:tabs>
        <w:numPr>
          <w:ilvl w:val="0"/>
          <w:numId w:val="316"/>
        </w:numPr>
        <w:rPr>
          <w:rFonts w:ascii="Arial" w:cs="Arial" w:eastAsia="Arial" w:hAnsi="Arial"/>
          <w:sz w:val="22"/>
          <w:szCs w:val="22"/>
          <w:color w:val="auto"/>
        </w:rPr>
      </w:pPr>
      <w:r>
        <w:rPr>
          <w:rFonts w:ascii="Arial" w:cs="Arial" w:eastAsia="Arial" w:hAnsi="Arial"/>
          <w:sz w:val="22"/>
          <w:szCs w:val="22"/>
          <w:color w:val="auto"/>
        </w:rPr>
        <w:t>any representation or warranty made or deemed made by or on behalf of any Loan Party or any Subsidiary in or in connection with this Agreement or any other Loan Document or any amendment or modification hereof or thereof or waiver hereunder or thereunder, or in 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7" w:name="page288"/>
    <w:bookmarkEnd w:id="287"/>
    <w:p>
      <w:pPr>
        <w:jc w:val="both"/>
        <w:spacing w:after="0" w:line="238" w:lineRule="auto"/>
        <w:rPr>
          <w:sz w:val="20"/>
          <w:szCs w:val="20"/>
          <w:color w:val="auto"/>
        </w:rPr>
      </w:pPr>
      <w:r>
        <w:rPr>
          <w:rFonts w:ascii="Arial" w:cs="Arial" w:eastAsia="Arial" w:hAnsi="Arial"/>
          <w:sz w:val="22"/>
          <w:szCs w:val="22"/>
          <w:color w:val="auto"/>
        </w:rPr>
        <w:t>report, certificate, financial statement or other document furnished pursuant to or in connection with this Agreement or any other Loan Document or any amendment or modification hereof or thereof or waiver hereunder or thereunder, shall prove to have been incorrect in any material respect (or in any respect if such representation or warranty is already qualified by concepts of materiality) when made or deemed made;</w:t>
      </w:r>
    </w:p>
    <w:p>
      <w:pPr>
        <w:spacing w:after="0" w:line="185" w:lineRule="exact"/>
        <w:rPr>
          <w:sz w:val="20"/>
          <w:szCs w:val="20"/>
          <w:color w:val="auto"/>
        </w:rPr>
      </w:pPr>
    </w:p>
    <w:p>
      <w:pPr>
        <w:jc w:val="both"/>
        <w:ind w:firstLine="1505"/>
        <w:spacing w:after="0" w:line="282" w:lineRule="auto"/>
        <w:tabs>
          <w:tab w:leader="none" w:pos="2180" w:val="left"/>
        </w:tabs>
        <w:numPr>
          <w:ilvl w:val="0"/>
          <w:numId w:val="317"/>
        </w:numPr>
        <w:rPr>
          <w:rFonts w:ascii="Arial" w:cs="Arial" w:eastAsia="Arial" w:hAnsi="Arial"/>
          <w:sz w:val="19"/>
          <w:szCs w:val="19"/>
          <w:color w:val="auto"/>
        </w:rPr>
      </w:pPr>
      <w:r>
        <w:rPr>
          <w:rFonts w:ascii="Arial" w:cs="Arial" w:eastAsia="Arial" w:hAnsi="Arial"/>
          <w:sz w:val="19"/>
          <w:szCs w:val="19"/>
          <w:color w:val="auto"/>
        </w:rPr>
        <w:t xml:space="preserve">(i) any Loan Party shall fail to observe or perform any covenant, condition or agreement contained in </w:t>
      </w:r>
      <w:r>
        <w:rPr>
          <w:rFonts w:ascii="Arial" w:cs="Arial" w:eastAsia="Arial" w:hAnsi="Arial"/>
          <w:sz w:val="19"/>
          <w:szCs w:val="19"/>
          <w:u w:val="single" w:color="auto"/>
          <w:color w:val="auto"/>
        </w:rPr>
        <w:t>Section 5.03(a)</w:t>
      </w:r>
      <w:r>
        <w:rPr>
          <w:rFonts w:ascii="Arial" w:cs="Arial" w:eastAsia="Arial" w:hAnsi="Arial"/>
          <w:sz w:val="19"/>
          <w:szCs w:val="19"/>
          <w:color w:val="auto"/>
        </w:rPr>
        <w:t xml:space="preserve">, </w:t>
      </w:r>
      <w:r>
        <w:rPr>
          <w:rFonts w:ascii="Arial" w:cs="Arial" w:eastAsia="Arial" w:hAnsi="Arial"/>
          <w:sz w:val="19"/>
          <w:szCs w:val="19"/>
          <w:u w:val="single" w:color="auto"/>
          <w:color w:val="auto"/>
        </w:rPr>
        <w:t>5.06(b)</w:t>
      </w:r>
      <w:r>
        <w:rPr>
          <w:rFonts w:ascii="Arial" w:cs="Arial" w:eastAsia="Arial" w:hAnsi="Arial"/>
          <w:sz w:val="19"/>
          <w:szCs w:val="19"/>
          <w:color w:val="auto"/>
        </w:rPr>
        <w:t xml:space="preserve">, </w:t>
      </w:r>
      <w:r>
        <w:rPr>
          <w:rFonts w:ascii="Arial" w:cs="Arial" w:eastAsia="Arial" w:hAnsi="Arial"/>
          <w:sz w:val="19"/>
          <w:szCs w:val="19"/>
          <w:u w:val="single" w:color="auto"/>
          <w:color w:val="auto"/>
        </w:rPr>
        <w:t>5.08, 5.09</w:t>
      </w:r>
      <w:r>
        <w:rPr>
          <w:rFonts w:ascii="Arial" w:cs="Arial" w:eastAsia="Arial" w:hAnsi="Arial"/>
          <w:sz w:val="19"/>
          <w:szCs w:val="19"/>
          <w:color w:val="auto"/>
        </w:rPr>
        <w:t xml:space="preserve">, </w:t>
      </w:r>
      <w:r>
        <w:rPr>
          <w:rFonts w:ascii="Arial" w:cs="Arial" w:eastAsia="Arial" w:hAnsi="Arial"/>
          <w:sz w:val="19"/>
          <w:szCs w:val="19"/>
          <w:u w:val="single" w:color="auto"/>
          <w:color w:val="auto"/>
        </w:rPr>
        <w:t>5.10</w:t>
      </w:r>
      <w:r>
        <w:rPr>
          <w:rFonts w:ascii="Arial" w:cs="Arial" w:eastAsia="Arial" w:hAnsi="Arial"/>
          <w:sz w:val="19"/>
          <w:szCs w:val="19"/>
          <w:color w:val="auto"/>
        </w:rPr>
        <w:t xml:space="preserve">, </w:t>
      </w:r>
      <w:r>
        <w:rPr>
          <w:rFonts w:ascii="Arial" w:cs="Arial" w:eastAsia="Arial" w:hAnsi="Arial"/>
          <w:sz w:val="19"/>
          <w:szCs w:val="19"/>
          <w:u w:val="single" w:color="auto"/>
          <w:color w:val="auto"/>
        </w:rPr>
        <w:t>5.11</w:t>
      </w:r>
      <w:r>
        <w:rPr>
          <w:rFonts w:ascii="Arial" w:cs="Arial" w:eastAsia="Arial" w:hAnsi="Arial"/>
          <w:sz w:val="19"/>
          <w:szCs w:val="19"/>
          <w:color w:val="auto"/>
        </w:rPr>
        <w:t xml:space="preserve"> or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applicable to such Loan Party, or (ii) the Company shall fail to observe or perform any covenant, condition or agreement contained in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5.02</w:t>
      </w:r>
      <w:r>
        <w:rPr>
          <w:rFonts w:ascii="Arial" w:cs="Arial" w:eastAsia="Arial" w:hAnsi="Arial"/>
          <w:sz w:val="19"/>
          <w:szCs w:val="19"/>
          <w:color w:val="auto"/>
        </w:rPr>
        <w:t xml:space="preserve"> and such failure shall continue unremedied for a period of five (5) Business Days after the earlier of any of the chief executive officer, president or any Financial Officer of the Company becoming aware of such failure or notice thereof by the Administrative Agent;</w:t>
      </w:r>
    </w:p>
    <w:p>
      <w:pPr>
        <w:spacing w:after="0" w:line="147" w:lineRule="exact"/>
        <w:rPr>
          <w:rFonts w:ascii="Arial" w:cs="Arial" w:eastAsia="Arial" w:hAnsi="Arial"/>
          <w:sz w:val="19"/>
          <w:szCs w:val="19"/>
          <w:color w:val="auto"/>
        </w:rPr>
      </w:pPr>
    </w:p>
    <w:p>
      <w:pPr>
        <w:jc w:val="both"/>
        <w:ind w:firstLine="1505"/>
        <w:spacing w:after="0" w:line="297" w:lineRule="auto"/>
        <w:tabs>
          <w:tab w:leader="none" w:pos="2165" w:val="left"/>
        </w:tabs>
        <w:numPr>
          <w:ilvl w:val="0"/>
          <w:numId w:val="317"/>
        </w:numPr>
        <w:rPr>
          <w:rFonts w:ascii="Arial" w:cs="Arial" w:eastAsia="Arial" w:hAnsi="Arial"/>
          <w:sz w:val="19"/>
          <w:szCs w:val="19"/>
          <w:color w:val="auto"/>
        </w:rPr>
      </w:pPr>
      <w:r>
        <w:rPr>
          <w:rFonts w:ascii="Arial" w:cs="Arial" w:eastAsia="Arial" w:hAnsi="Arial"/>
          <w:sz w:val="19"/>
          <w:szCs w:val="19"/>
          <w:color w:val="auto"/>
        </w:rPr>
        <w:t xml:space="preserve">any Loan Party shall fail to observe or perform any covenant, condition or agreement applicable to such Loan Party contained in any Loan Document (other than those specified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Article), and such failure shall continue unremedied for a period of thirty (30) days after written notice from the Administrative Agent;</w:t>
      </w:r>
    </w:p>
    <w:p>
      <w:pPr>
        <w:spacing w:after="0" w:line="133" w:lineRule="exact"/>
        <w:rPr>
          <w:rFonts w:ascii="Arial" w:cs="Arial" w:eastAsia="Arial" w:hAnsi="Arial"/>
          <w:sz w:val="19"/>
          <w:szCs w:val="19"/>
          <w:color w:val="auto"/>
        </w:rPr>
      </w:pPr>
    </w:p>
    <w:p>
      <w:pPr>
        <w:jc w:val="both"/>
        <w:ind w:firstLine="1505"/>
        <w:spacing w:after="0" w:line="271" w:lineRule="auto"/>
        <w:tabs>
          <w:tab w:leader="none" w:pos="2173" w:val="left"/>
        </w:tabs>
        <w:numPr>
          <w:ilvl w:val="0"/>
          <w:numId w:val="317"/>
        </w:numPr>
        <w:rPr>
          <w:rFonts w:ascii="Arial" w:cs="Arial" w:eastAsia="Arial" w:hAnsi="Arial"/>
          <w:sz w:val="19"/>
          <w:szCs w:val="19"/>
          <w:color w:val="auto"/>
        </w:rPr>
      </w:pPr>
      <w:r>
        <w:rPr>
          <w:rFonts w:ascii="Arial" w:cs="Arial" w:eastAsia="Arial" w:hAnsi="Arial"/>
          <w:sz w:val="19"/>
          <w:szCs w:val="19"/>
          <w:color w:val="auto"/>
        </w:rPr>
        <w:t>any Loan Party or any Significant Subsidiary (i) shall fail to make any payment when due (whether by scheduled maturity, required prepayment, acceleration, demand or otherwise) in respect of any Indebtedness or Guarantee (other than any Indebtedness or Guarantee in connection with the JPM Credit Agreement) having an aggregate principal amount (including undrawn committed or available amounts and including amounts owing to all creditors under any combined or syndicated credit arrangement) of more than $50,000,000, or (ii) shall fail to observe or perform any other agreement or condition relating to any such Indebtedness or Guarantee (other than any Indebtedness or Guarantee in connection with the JPM Credit Agreement) having an aggregate principal amount (including undrawn committed or available amounts and including amounts owing to all creditors under any combined or syndicated credit arrangement) of more than $50,000,000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w:t>
      </w:r>
    </w:p>
    <w:p>
      <w:pPr>
        <w:spacing w:after="0" w:line="164" w:lineRule="exact"/>
        <w:rPr>
          <w:rFonts w:ascii="Arial" w:cs="Arial" w:eastAsia="Arial" w:hAnsi="Arial"/>
          <w:sz w:val="19"/>
          <w:szCs w:val="19"/>
          <w:color w:val="auto"/>
        </w:rPr>
      </w:pPr>
    </w:p>
    <w:p>
      <w:pPr>
        <w:jc w:val="both"/>
        <w:ind w:firstLine="1505"/>
        <w:spacing w:after="0" w:line="235" w:lineRule="auto"/>
        <w:tabs>
          <w:tab w:leader="none" w:pos="2165" w:val="left"/>
        </w:tabs>
        <w:numPr>
          <w:ilvl w:val="0"/>
          <w:numId w:val="317"/>
        </w:numPr>
        <w:rPr>
          <w:rFonts w:ascii="Arial" w:cs="Arial" w:eastAsia="Arial" w:hAnsi="Arial"/>
          <w:sz w:val="22"/>
          <w:szCs w:val="22"/>
          <w:color w:val="auto"/>
        </w:rPr>
      </w:pPr>
      <w:r>
        <w:rPr>
          <w:rFonts w:ascii="Arial" w:cs="Arial" w:eastAsia="Arial" w:hAnsi="Arial"/>
          <w:sz w:val="22"/>
          <w:szCs w:val="22"/>
          <w:color w:val="auto"/>
        </w:rPr>
        <w:t xml:space="preserve">any “event of default” shall occur under the terms of the JPM Credit Agreement, including as a result of the failure to make any payment when due or upon the date of maturity, termination or expiration of the JPM Credit Agreement (other than any such “event of default” under the JPM Credit Agreement which is cured or waived (including as a result of any amendment) under or with respect to the JPM Credit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cure or waiver under or with respect to JPM Credit Agreement shall not be deemed to cure or waive any Event of Default arising under the other provisions of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7.01</w:t>
      </w:r>
      <w:r>
        <w:rPr>
          <w:rFonts w:ascii="Arial" w:cs="Arial" w:eastAsia="Arial" w:hAnsi="Arial"/>
          <w:sz w:val="22"/>
          <w:szCs w:val="22"/>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8" w:name="page289"/>
    <w:bookmarkEnd w:id="288"/>
    <w:p>
      <w:pPr>
        <w:jc w:val="both"/>
        <w:ind w:firstLine="1505"/>
        <w:spacing w:after="0" w:line="234" w:lineRule="auto"/>
        <w:tabs>
          <w:tab w:leader="none" w:pos="2199" w:val="left"/>
        </w:tabs>
        <w:numPr>
          <w:ilvl w:val="0"/>
          <w:numId w:val="318"/>
        </w:numPr>
        <w:rPr>
          <w:rFonts w:ascii="Arial" w:cs="Arial" w:eastAsia="Arial" w:hAnsi="Arial"/>
          <w:sz w:val="22"/>
          <w:szCs w:val="22"/>
          <w:color w:val="auto"/>
        </w:rPr>
      </w:pPr>
      <w:r>
        <w:rPr>
          <w:rFonts w:ascii="Arial" w:cs="Arial" w:eastAsia="Arial" w:hAnsi="Arial"/>
          <w:sz w:val="22"/>
          <w:szCs w:val="22"/>
          <w:color w:val="auto"/>
        </w:rPr>
        <w:t>an involuntary proceeding shall be commenced or an involuntary petition shall be filed seeking (i) liquidation, reorganization or other relief in respect of any Loan Party or any Significant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Significant Subsidiary or for a substantial part of its assets, and, in any such case, such proceeding or petition shall continue undismissed or unstayed for sixty (60) days or an order or decree approving or ordering any of the foregoing shall be entered;</w:t>
      </w:r>
    </w:p>
    <w:p>
      <w:pPr>
        <w:spacing w:after="0" w:line="190" w:lineRule="exact"/>
        <w:rPr>
          <w:rFonts w:ascii="Arial" w:cs="Arial" w:eastAsia="Arial" w:hAnsi="Arial"/>
          <w:sz w:val="22"/>
          <w:szCs w:val="22"/>
          <w:color w:val="auto"/>
        </w:rPr>
      </w:pPr>
    </w:p>
    <w:p>
      <w:pPr>
        <w:jc w:val="both"/>
        <w:ind w:firstLine="1505"/>
        <w:spacing w:after="0" w:line="234" w:lineRule="auto"/>
        <w:tabs>
          <w:tab w:leader="none" w:pos="2169" w:val="left"/>
        </w:tabs>
        <w:numPr>
          <w:ilvl w:val="0"/>
          <w:numId w:val="318"/>
        </w:numPr>
        <w:rPr>
          <w:rFonts w:ascii="Arial" w:cs="Arial" w:eastAsia="Arial" w:hAnsi="Arial"/>
          <w:sz w:val="22"/>
          <w:szCs w:val="22"/>
          <w:color w:val="auto"/>
        </w:rPr>
      </w:pPr>
      <w:r>
        <w:rPr>
          <w:rFonts w:ascii="Arial" w:cs="Arial" w:eastAsia="Arial" w:hAnsi="Arial"/>
          <w:sz w:val="22"/>
          <w:szCs w:val="22"/>
          <w:color w:val="auto"/>
        </w:rPr>
        <w:t xml:space="preserve">any Loan Party or any Significant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22"/>
          <w:szCs w:val="22"/>
          <w:u w:val="single" w:color="auto"/>
          <w:color w:val="auto"/>
        </w:rPr>
        <w:t>clause (h)</w:t>
      </w:r>
      <w:r>
        <w:rPr>
          <w:rFonts w:ascii="Arial" w:cs="Arial" w:eastAsia="Arial" w:hAnsi="Arial"/>
          <w:sz w:val="22"/>
          <w:szCs w:val="22"/>
          <w:color w:val="auto"/>
        </w:rPr>
        <w:t xml:space="preserve"> of this Article, (iii) apply for or consent to the appointment of a receiver, trustee, custodian, sequestrator, conservator or similar official for any Loan Party or any Significant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6" w:lineRule="exact"/>
        <w:rPr>
          <w:rFonts w:ascii="Arial" w:cs="Arial" w:eastAsia="Arial" w:hAnsi="Arial"/>
          <w:sz w:val="22"/>
          <w:szCs w:val="22"/>
          <w:color w:val="auto"/>
        </w:rPr>
      </w:pPr>
    </w:p>
    <w:p>
      <w:pPr>
        <w:ind w:firstLine="1505"/>
        <w:spacing w:after="0" w:line="250" w:lineRule="auto"/>
        <w:tabs>
          <w:tab w:leader="none" w:pos="2175" w:val="left"/>
        </w:tabs>
        <w:numPr>
          <w:ilvl w:val="0"/>
          <w:numId w:val="318"/>
        </w:numPr>
        <w:rPr>
          <w:rFonts w:ascii="Arial" w:cs="Arial" w:eastAsia="Arial" w:hAnsi="Arial"/>
          <w:sz w:val="22"/>
          <w:szCs w:val="22"/>
          <w:color w:val="auto"/>
        </w:rPr>
      </w:pPr>
      <w:r>
        <w:rPr>
          <w:rFonts w:ascii="Arial" w:cs="Arial" w:eastAsia="Arial" w:hAnsi="Arial"/>
          <w:sz w:val="22"/>
          <w:szCs w:val="22"/>
          <w:color w:val="auto"/>
        </w:rPr>
        <w:t>any Loan Party or any Significant Subsidiary shall become unable, admit in writing its inability or fail generally to pay its debts as they become due;</w:t>
      </w:r>
    </w:p>
    <w:p>
      <w:pPr>
        <w:spacing w:after="0" w:line="174" w:lineRule="exact"/>
        <w:rPr>
          <w:rFonts w:ascii="Arial" w:cs="Arial" w:eastAsia="Arial" w:hAnsi="Arial"/>
          <w:sz w:val="22"/>
          <w:szCs w:val="22"/>
          <w:color w:val="auto"/>
        </w:rPr>
      </w:pPr>
    </w:p>
    <w:p>
      <w:pPr>
        <w:jc w:val="both"/>
        <w:ind w:firstLine="1505"/>
        <w:spacing w:after="0" w:line="235" w:lineRule="auto"/>
        <w:tabs>
          <w:tab w:leader="none" w:pos="2163" w:val="left"/>
        </w:tabs>
        <w:numPr>
          <w:ilvl w:val="0"/>
          <w:numId w:val="318"/>
        </w:numPr>
        <w:rPr>
          <w:rFonts w:ascii="Arial" w:cs="Arial" w:eastAsia="Arial" w:hAnsi="Arial"/>
          <w:sz w:val="22"/>
          <w:szCs w:val="22"/>
          <w:color w:val="auto"/>
        </w:rPr>
      </w:pPr>
      <w:r>
        <w:rPr>
          <w:rFonts w:ascii="Arial" w:cs="Arial" w:eastAsia="Arial" w:hAnsi="Arial"/>
          <w:sz w:val="22"/>
          <w:szCs w:val="22"/>
          <w:color w:val="auto"/>
        </w:rPr>
        <w:t>one or more final judgments for the payment of money in an aggregate amount in excess of $50,000,000 (to the extent not covered by independent third-party insurance as to which the insurer does not dispute coverage) shall be rendered against any Loan Party or any Subsidiary and (i) the same shall remain undischarged for a period of ten (10) consecutive days during which execution shall not be effectively stayed by reason or pending appeal or otherwise, or (ii) any action shall be legally taken by a judgment creditor to attach or levy upon any assets of any Loan Party or any Subsidiary to enforce any such judgment;</w:t>
      </w:r>
    </w:p>
    <w:p>
      <w:pPr>
        <w:spacing w:after="0" w:line="187" w:lineRule="exact"/>
        <w:rPr>
          <w:rFonts w:ascii="Arial" w:cs="Arial" w:eastAsia="Arial" w:hAnsi="Arial"/>
          <w:sz w:val="22"/>
          <w:szCs w:val="22"/>
          <w:color w:val="auto"/>
        </w:rPr>
      </w:pPr>
    </w:p>
    <w:p>
      <w:pPr>
        <w:jc w:val="both"/>
        <w:ind w:firstLine="1505"/>
        <w:spacing w:after="0"/>
        <w:tabs>
          <w:tab w:leader="none" w:pos="2179" w:val="left"/>
        </w:tabs>
        <w:numPr>
          <w:ilvl w:val="0"/>
          <w:numId w:val="318"/>
        </w:numPr>
        <w:rPr>
          <w:rFonts w:ascii="Arial" w:cs="Arial" w:eastAsia="Arial" w:hAnsi="Arial"/>
          <w:sz w:val="22"/>
          <w:szCs w:val="22"/>
          <w:color w:val="auto"/>
        </w:rPr>
      </w:pPr>
      <w:r>
        <w:rPr>
          <w:rFonts w:ascii="Arial" w:cs="Arial" w:eastAsia="Arial" w:hAnsi="Arial"/>
          <w:sz w:val="22"/>
          <w:szCs w:val="22"/>
          <w:color w:val="auto"/>
        </w:rPr>
        <w:t>an ERISA Event shall have occurred that, when taken together with all other ERISA Events that have occurred, could reasonably be expected to result in liability of the Company and its Subsidiaries in an aggregate amount exceeding $50,000,000 from and after the Effective Date;</w:t>
      </w:r>
    </w:p>
    <w:p>
      <w:pPr>
        <w:spacing w:after="0" w:line="186" w:lineRule="exact"/>
        <w:rPr>
          <w:rFonts w:ascii="Arial" w:cs="Arial" w:eastAsia="Arial" w:hAnsi="Arial"/>
          <w:sz w:val="22"/>
          <w:szCs w:val="22"/>
          <w:color w:val="auto"/>
        </w:rPr>
      </w:pPr>
    </w:p>
    <w:p>
      <w:pPr>
        <w:ind w:left="2160" w:hanging="655"/>
        <w:spacing w:after="0"/>
        <w:tabs>
          <w:tab w:leader="none" w:pos="2160" w:val="left"/>
        </w:tabs>
        <w:numPr>
          <w:ilvl w:val="0"/>
          <w:numId w:val="318"/>
        </w:numPr>
        <w:rPr>
          <w:rFonts w:ascii="Arial" w:cs="Arial" w:eastAsia="Arial" w:hAnsi="Arial"/>
          <w:sz w:val="22"/>
          <w:szCs w:val="22"/>
          <w:color w:val="auto"/>
        </w:rPr>
      </w:pPr>
      <w:r>
        <w:rPr>
          <w:rFonts w:ascii="Arial" w:cs="Arial" w:eastAsia="Arial" w:hAnsi="Arial"/>
          <w:sz w:val="22"/>
          <w:szCs w:val="22"/>
          <w:color w:val="auto"/>
        </w:rPr>
        <w:t>a Change in Control shall occur; or</w:t>
      </w:r>
    </w:p>
    <w:p>
      <w:pPr>
        <w:spacing w:after="0" w:line="206" w:lineRule="exact"/>
        <w:rPr>
          <w:rFonts w:ascii="Arial" w:cs="Arial" w:eastAsia="Arial" w:hAnsi="Arial"/>
          <w:sz w:val="22"/>
          <w:szCs w:val="22"/>
          <w:color w:val="auto"/>
        </w:rPr>
      </w:pPr>
    </w:p>
    <w:p>
      <w:pPr>
        <w:jc w:val="both"/>
        <w:ind w:firstLine="1505"/>
        <w:spacing w:after="0" w:line="282" w:lineRule="auto"/>
        <w:tabs>
          <w:tab w:leader="none" w:pos="2169" w:val="left"/>
        </w:tabs>
        <w:numPr>
          <w:ilvl w:val="0"/>
          <w:numId w:val="318"/>
        </w:numPr>
        <w:rPr>
          <w:rFonts w:ascii="Arial" w:cs="Arial" w:eastAsia="Arial" w:hAnsi="Arial"/>
          <w:sz w:val="19"/>
          <w:szCs w:val="19"/>
          <w:color w:val="auto"/>
        </w:rPr>
      </w:pPr>
      <w:r>
        <w:rPr>
          <w:rFonts w:ascii="Arial" w:cs="Arial" w:eastAsia="Arial" w:hAnsi="Arial"/>
          <w:sz w:val="19"/>
          <w:szCs w:val="19"/>
          <w:color w:val="auto"/>
        </w:rPr>
        <w:t>any material provisions of any Loan Document, at any time after its execution and delivery and for any reason other than as expressly permitted hereunder or satisfaction in full of all the Obligations, shall cease to be in full force and effect; or any Loan Party or any other Person shall contest in any manner the validity or enforceability of any material provision of any Loan Document; or any Loan Party shall deny that it has any or further liability or obligation under any material provisions of any Loan Document, or shall purport to revoke, terminate or rescind any material provision of any Loan Document;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9" w:name="page290"/>
    <w:bookmarkEnd w:id="289"/>
    <w:p>
      <w:pPr>
        <w:jc w:val="both"/>
        <w:spacing w:after="0" w:line="272" w:lineRule="auto"/>
        <w:rPr>
          <w:sz w:val="20"/>
          <w:szCs w:val="20"/>
          <w:color w:val="auto"/>
        </w:rPr>
      </w:pPr>
      <w:r>
        <w:rPr>
          <w:rFonts w:ascii="Arial" w:cs="Arial" w:eastAsia="Arial" w:hAnsi="Arial"/>
          <w:sz w:val="19"/>
          <w:szCs w:val="19"/>
          <w:color w:val="auto"/>
        </w:rPr>
        <w:t xml:space="preserve">then, and in every such event (other than an event with respect to any Loan Party described in </w:t>
      </w:r>
      <w:r>
        <w:rPr>
          <w:rFonts w:ascii="Arial" w:cs="Arial" w:eastAsia="Arial" w:hAnsi="Arial"/>
          <w:sz w:val="19"/>
          <w:szCs w:val="19"/>
          <w:u w:val="single" w:color="auto"/>
          <w:color w:val="auto"/>
        </w:rPr>
        <w:t>clause (h)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this Article), and at any time thereafter during the continuance of such event, the Administrative Agent may, and at the written request of the Required Lenders shall, by notice to the Borrowers and the Company, take any or all of the following actions, at the same or different times: (i) terminate the Commitments (including the Swingline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any Borrower described in </w:t>
      </w:r>
      <w:r>
        <w:rPr>
          <w:rFonts w:ascii="Arial" w:cs="Arial" w:eastAsia="Arial" w:hAnsi="Arial"/>
          <w:sz w:val="19"/>
          <w:szCs w:val="19"/>
          <w:u w:val="single" w:color="auto"/>
          <w:color w:val="auto"/>
        </w:rPr>
        <w:t>clause (h)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this Article, the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Administrative Agent</w:t>
      </w:r>
    </w:p>
    <w:p>
      <w:pPr>
        <w:spacing w:after="0" w:line="20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9"/>
          <w:szCs w:val="19"/>
          <w:u w:val="single" w:color="auto"/>
          <w:color w:val="auto"/>
        </w:rPr>
        <w:t>Appointment and Authority</w:t>
      </w:r>
      <w:r>
        <w:rPr>
          <w:rFonts w:ascii="Arial" w:cs="Arial" w:eastAsia="Arial" w:hAnsi="Arial"/>
          <w:sz w:val="19"/>
          <w:szCs w:val="19"/>
          <w:color w:val="auto"/>
        </w:rPr>
        <w:t xml:space="preserve">. Each of the Lenders hereby irrevocably appoints PNC Bank, National Association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provided in </w:t>
      </w:r>
      <w:r>
        <w:rPr>
          <w:rFonts w:ascii="Arial" w:cs="Arial" w:eastAsia="Arial" w:hAnsi="Arial"/>
          <w:sz w:val="19"/>
          <w:szCs w:val="19"/>
          <w:u w:val="single" w:color="auto"/>
          <w:color w:val="auto"/>
        </w:rPr>
        <w:t>Section 8.06(b)</w:t>
      </w:r>
      <w:r>
        <w:rPr>
          <w:rFonts w:ascii="Arial" w:cs="Arial" w:eastAsia="Arial" w:hAnsi="Arial"/>
          <w:sz w:val="19"/>
          <w:szCs w:val="19"/>
          <w:color w:val="auto"/>
        </w:rPr>
        <w:t xml:space="preserve"> the provisions of this Article are solely for the benefit of the Administrative Agent and the Lenders, and no Loan Party nor any Subsidiary thereof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Rights as a Lender</w:t>
      </w:r>
      <w:r>
        <w:rPr>
          <w:rFonts w:ascii="Arial" w:cs="Arial" w:eastAsia="Arial" w:hAnsi="Arial"/>
          <w:sz w:val="19"/>
          <w:szCs w:val="19"/>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Loan Parties or any Subsidiary or other Affiliate thereof as if such Person were not the Administrative Agent hereunder and without any duty to account therefor to the Lenders.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u w:val="single" w:color="auto"/>
          <w:color w:val="auto"/>
        </w:rPr>
        <w:t>Exculpatory Provisions</w:t>
      </w:r>
      <w:r>
        <w:rPr>
          <w:rFonts w:ascii="Arial" w:cs="Arial" w:eastAsia="Arial" w:hAnsi="Arial"/>
          <w:sz w:val="22"/>
          <w:szCs w:val="22"/>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0" w:name="page291"/>
    <w:bookmarkEnd w:id="290"/>
    <w:p>
      <w:pPr>
        <w:jc w:val="both"/>
        <w:ind w:firstLine="1505"/>
        <w:spacing w:after="0"/>
        <w:tabs>
          <w:tab w:leader="none" w:pos="2162" w:val="left"/>
        </w:tabs>
        <w:numPr>
          <w:ilvl w:val="0"/>
          <w:numId w:val="319"/>
        </w:numPr>
        <w:rPr>
          <w:rFonts w:ascii="Arial" w:cs="Arial" w:eastAsia="Arial" w:hAnsi="Arial"/>
          <w:sz w:val="22"/>
          <w:szCs w:val="22"/>
          <w:color w:val="auto"/>
        </w:rPr>
      </w:pPr>
      <w:r>
        <w:rPr>
          <w:rFonts w:ascii="Arial" w:cs="Arial" w:eastAsia="Arial" w:hAnsi="Arial"/>
          <w:sz w:val="22"/>
          <w:szCs w:val="22"/>
          <w:color w:val="auto"/>
        </w:rPr>
        <w:t>The Administrative Agent shall not have any duties or obligations except those expressly set forth herein and in the other Loan Documents, and its duties hereunder and thereunder shall be administrative in nature. Without limiting the generality of the foregoing, the Administrative Agent:</w:t>
      </w:r>
    </w:p>
    <w:p>
      <w:pPr>
        <w:spacing w:after="0" w:line="186" w:lineRule="exact"/>
        <w:rPr>
          <w:sz w:val="20"/>
          <w:szCs w:val="20"/>
          <w:color w:val="auto"/>
        </w:rPr>
      </w:pPr>
    </w:p>
    <w:p>
      <w:pPr>
        <w:ind w:left="2260" w:hanging="754"/>
        <w:spacing w:after="0" w:line="250" w:lineRule="auto"/>
        <w:tabs>
          <w:tab w:leader="none" w:pos="2303" w:val="left"/>
        </w:tabs>
        <w:numPr>
          <w:ilvl w:val="1"/>
          <w:numId w:val="320"/>
        </w:numPr>
        <w:rPr>
          <w:rFonts w:ascii="Arial" w:cs="Arial" w:eastAsia="Arial" w:hAnsi="Arial"/>
          <w:sz w:val="22"/>
          <w:szCs w:val="22"/>
          <w:color w:val="auto"/>
        </w:rPr>
      </w:pPr>
      <w:r>
        <w:rPr>
          <w:rFonts w:ascii="Arial" w:cs="Arial" w:eastAsia="Arial" w:hAnsi="Arial"/>
          <w:sz w:val="22"/>
          <w:szCs w:val="22"/>
          <w:color w:val="auto"/>
        </w:rPr>
        <w:t>shall not be subject to any fiduciary or other implied duties, regardless of whether a Default has occurred and is continuing;</w:t>
      </w:r>
    </w:p>
    <w:p>
      <w:pPr>
        <w:spacing w:after="0" w:line="174" w:lineRule="exact"/>
        <w:rPr>
          <w:rFonts w:ascii="Arial" w:cs="Arial" w:eastAsia="Arial" w:hAnsi="Arial"/>
          <w:sz w:val="22"/>
          <w:szCs w:val="22"/>
          <w:color w:val="auto"/>
        </w:rPr>
      </w:pPr>
    </w:p>
    <w:p>
      <w:pPr>
        <w:jc w:val="both"/>
        <w:ind w:left="2260" w:hanging="754"/>
        <w:spacing w:after="0" w:line="245" w:lineRule="auto"/>
        <w:tabs>
          <w:tab w:leader="none" w:pos="2281" w:val="left"/>
        </w:tabs>
        <w:numPr>
          <w:ilvl w:val="1"/>
          <w:numId w:val="321"/>
        </w:numPr>
        <w:rPr>
          <w:rFonts w:ascii="Arial" w:cs="Arial" w:eastAsia="Arial" w:hAnsi="Arial"/>
          <w:sz w:val="21"/>
          <w:szCs w:val="21"/>
          <w:color w:val="auto"/>
        </w:rPr>
      </w:pPr>
      <w:r>
        <w:rPr>
          <w:rFonts w:ascii="Arial" w:cs="Arial" w:eastAsia="Arial" w:hAnsi="Arial"/>
          <w:sz w:val="21"/>
          <w:szCs w:val="21"/>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w:t>
      </w:r>
    </w:p>
    <w:p>
      <w:pPr>
        <w:spacing w:after="0" w:line="180" w:lineRule="exact"/>
        <w:rPr>
          <w:rFonts w:ascii="Arial" w:cs="Arial" w:eastAsia="Arial" w:hAnsi="Arial"/>
          <w:sz w:val="21"/>
          <w:szCs w:val="21"/>
          <w:color w:val="auto"/>
        </w:rPr>
      </w:pPr>
    </w:p>
    <w:p>
      <w:pPr>
        <w:jc w:val="both"/>
        <w:ind w:left="2260" w:hanging="754"/>
        <w:spacing w:after="0" w:line="287" w:lineRule="auto"/>
        <w:tabs>
          <w:tab w:leader="none" w:pos="2703" w:val="left"/>
        </w:tabs>
        <w:numPr>
          <w:ilvl w:val="1"/>
          <w:numId w:val="322"/>
        </w:numPr>
        <w:rPr>
          <w:rFonts w:ascii="Arial" w:cs="Arial" w:eastAsia="Arial" w:hAnsi="Arial"/>
          <w:sz w:val="19"/>
          <w:szCs w:val="19"/>
          <w:color w:val="auto"/>
        </w:rPr>
      </w:pPr>
      <w:r>
        <w:rPr>
          <w:rFonts w:ascii="Arial" w:cs="Arial" w:eastAsia="Arial" w:hAnsi="Arial"/>
          <w:sz w:val="19"/>
          <w:szCs w:val="19"/>
          <w:color w:val="auto"/>
        </w:rPr>
        <w:t>shall not, except as expressly set forth herein and in the other Loan Documents, have any duty to disclose, and shall not be liable for the failure to disclose, any information relating to the Loan Parties or any of their respective Subsidiaries or Affiliates that is communicated to or obtained by the Person serving as the Administrative Agent or any of its Affiliates in any capacity.</w:t>
      </w:r>
    </w:p>
    <w:p>
      <w:pPr>
        <w:spacing w:after="0" w:line="142" w:lineRule="exact"/>
        <w:rPr>
          <w:rFonts w:ascii="Arial" w:cs="Arial" w:eastAsia="Arial" w:hAnsi="Arial"/>
          <w:sz w:val="19"/>
          <w:szCs w:val="19"/>
          <w:color w:val="auto"/>
        </w:rPr>
      </w:pPr>
    </w:p>
    <w:p>
      <w:pPr>
        <w:jc w:val="both"/>
        <w:ind w:firstLine="1505"/>
        <w:spacing w:after="0" w:line="235" w:lineRule="auto"/>
        <w:tabs>
          <w:tab w:leader="none" w:pos="2171" w:val="left"/>
        </w:tabs>
        <w:numPr>
          <w:ilvl w:val="1"/>
          <w:numId w:val="323"/>
        </w:numPr>
        <w:rPr>
          <w:rFonts w:ascii="Arial" w:cs="Arial" w:eastAsia="Arial" w:hAnsi="Arial"/>
          <w:sz w:val="22"/>
          <w:szCs w:val="22"/>
          <w:color w:val="auto"/>
        </w:rPr>
      </w:pPr>
      <w:r>
        <w:rPr>
          <w:rFonts w:ascii="Arial" w:cs="Arial" w:eastAsia="Arial" w:hAnsi="Arial"/>
          <w:sz w:val="22"/>
          <w:szCs w:val="22"/>
          <w:color w:val="auto"/>
        </w:rPr>
        <w:t xml:space="preserve">The Administrative Agent shall not be liable for any action taken or not taken by it (i) with the consent or at the request of the Required Lenders (or such other number or percentage of the Lenders as shall be necessary, under the circumstances as provided in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10.02</w:t>
      </w:r>
      <w:r>
        <w:rPr>
          <w:rFonts w:ascii="Arial" w:cs="Arial" w:eastAsia="Arial" w:hAnsi="Arial"/>
          <w:sz w:val="22"/>
          <w:szCs w:val="22"/>
          <w:color w:val="auto"/>
        </w:rPr>
        <w:t>) or (ii) in the absence of its own gross negligence or willful misconduct as determined by a court of competent jurisdiction by final non-appealable judgment. The Administrative Agent shall be deemed not to have knowledge of any Default unless and until notice describing such Default is given to the Administrative Agent by a Loan Party or a Lender.</w:t>
      </w:r>
    </w:p>
    <w:p>
      <w:pPr>
        <w:spacing w:after="0" w:line="187" w:lineRule="exact"/>
        <w:rPr>
          <w:rFonts w:ascii="Arial" w:cs="Arial" w:eastAsia="Arial" w:hAnsi="Arial"/>
          <w:sz w:val="22"/>
          <w:szCs w:val="22"/>
          <w:color w:val="auto"/>
        </w:rPr>
      </w:pPr>
    </w:p>
    <w:p>
      <w:pPr>
        <w:jc w:val="both"/>
        <w:ind w:firstLine="1505"/>
        <w:spacing w:after="0" w:line="273" w:lineRule="auto"/>
        <w:tabs>
          <w:tab w:leader="none" w:pos="2179" w:val="left"/>
        </w:tabs>
        <w:numPr>
          <w:ilvl w:val="1"/>
          <w:numId w:val="323"/>
        </w:numPr>
        <w:rPr>
          <w:rFonts w:ascii="Arial" w:cs="Arial" w:eastAsia="Arial" w:hAnsi="Arial"/>
          <w:sz w:val="19"/>
          <w:szCs w:val="19"/>
          <w:color w:val="auto"/>
        </w:rPr>
      </w:pPr>
      <w:r>
        <w:rPr>
          <w:rFonts w:ascii="Arial" w:cs="Arial" w:eastAsia="Arial" w:hAnsi="Arial"/>
          <w:sz w:val="19"/>
          <w:szCs w:val="19"/>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w:t>
      </w:r>
    </w:p>
    <w:p>
      <w:pPr>
        <w:spacing w:after="0" w:line="1" w:lineRule="exact"/>
        <w:rPr>
          <w:rFonts w:ascii="Arial" w:cs="Arial" w:eastAsia="Arial" w:hAnsi="Arial"/>
          <w:sz w:val="19"/>
          <w:szCs w:val="19"/>
          <w:color w:val="auto"/>
        </w:rPr>
      </w:pPr>
    </w:p>
    <w:p>
      <w:pPr>
        <w:jc w:val="both"/>
        <w:ind w:firstLine="8"/>
        <w:spacing w:after="0" w:line="280" w:lineRule="auto"/>
        <w:tabs>
          <w:tab w:leader="none" w:pos="382" w:val="left"/>
        </w:tabs>
        <w:numPr>
          <w:ilvl w:val="0"/>
          <w:numId w:val="324"/>
        </w:numPr>
        <w:rPr>
          <w:rFonts w:ascii="Arial" w:cs="Arial" w:eastAsia="Arial" w:hAnsi="Arial"/>
          <w:sz w:val="19"/>
          <w:szCs w:val="19"/>
          <w:color w:val="auto"/>
        </w:rPr>
      </w:pPr>
      <w:r>
        <w:rPr>
          <w:rFonts w:ascii="Arial" w:cs="Arial" w:eastAsia="Arial" w:hAnsi="Arial"/>
          <w:sz w:val="19"/>
          <w:szCs w:val="19"/>
          <w:color w:val="auto"/>
        </w:rPr>
        <w:t xml:space="preserve">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herein, other than to confirm receipt of items expressly required to be delivered to the Administrative Agent.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1" w:name="page292"/>
    <w:bookmarkEnd w:id="291"/>
    <w:p>
      <w:pPr>
        <w:jc w:val="both"/>
        <w:ind w:firstLine="749"/>
        <w:spacing w:after="0" w:line="244" w:lineRule="auto"/>
        <w:rPr>
          <w:sz w:val="20"/>
          <w:szCs w:val="20"/>
          <w:color w:val="auto"/>
        </w:rPr>
      </w:pPr>
      <w:r>
        <w:rPr>
          <w:rFonts w:ascii="Arial" w:cs="Arial" w:eastAsia="Arial" w:hAnsi="Arial"/>
          <w:sz w:val="21"/>
          <w:szCs w:val="21"/>
          <w:color w:val="auto"/>
        </w:rPr>
        <w:t xml:space="preserve">SECTION 8.04 </w:t>
      </w:r>
      <w:r>
        <w:rPr>
          <w:rFonts w:ascii="Arial" w:cs="Arial" w:eastAsia="Arial" w:hAnsi="Arial"/>
          <w:sz w:val="21"/>
          <w:szCs w:val="21"/>
          <w:u w:val="single" w:color="auto"/>
          <w:color w:val="auto"/>
        </w:rPr>
        <w:t>Reliance by the Administrative Agent</w:t>
      </w:r>
      <w:r>
        <w:rPr>
          <w:rFonts w:ascii="Arial" w:cs="Arial" w:eastAsia="Arial" w:hAnsi="Arial"/>
          <w:sz w:val="21"/>
          <w:szCs w:val="21"/>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88" w:lineRule="exact"/>
        <w:rPr>
          <w:sz w:val="20"/>
          <w:szCs w:val="20"/>
          <w:color w:val="auto"/>
        </w:rPr>
      </w:pPr>
    </w:p>
    <w:p>
      <w:pPr>
        <w:jc w:val="both"/>
        <w:ind w:firstLine="749"/>
        <w:spacing w:after="0" w:line="246" w:lineRule="exact"/>
        <w:rPr>
          <w:sz w:val="20"/>
          <w:szCs w:val="20"/>
          <w:color w:val="auto"/>
        </w:rPr>
      </w:pPr>
      <w:r>
        <w:rPr>
          <w:rFonts w:ascii="Arial" w:cs="Arial" w:eastAsia="Arial" w:hAnsi="Arial"/>
          <w:sz w:val="19"/>
          <w:szCs w:val="19"/>
          <w:color w:val="auto"/>
        </w:rPr>
        <w:t xml:space="preserve">SECTION 8.05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w:t>
      </w:r>
      <w:r>
        <w:rPr>
          <w:rFonts w:ascii="MS PGothic" w:cs="MS PGothic" w:eastAsia="MS PGothic" w:hAnsi="MS PGothic"/>
          <w:sz w:val="19"/>
          <w:szCs w:val="19"/>
          <w:color w:val="auto"/>
        </w:rPr>
        <w:t>‑</w:t>
      </w:r>
      <w:r>
        <w:rPr>
          <w:rFonts w:ascii="Arial" w:cs="Arial" w:eastAsia="Arial" w:hAnsi="Arial"/>
          <w:sz w:val="19"/>
          <w:szCs w:val="19"/>
          <w:color w:val="auto"/>
        </w:rPr>
        <w:t>agents.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8.06 </w:t>
      </w:r>
      <w:r>
        <w:rPr>
          <w:rFonts w:ascii="Arial" w:cs="Arial" w:eastAsia="Arial" w:hAnsi="Arial"/>
          <w:sz w:val="22"/>
          <w:szCs w:val="22"/>
          <w:u w:val="single" w:color="auto"/>
          <w:color w:val="auto"/>
        </w:rPr>
        <w:t>Resignation of Administrative Agent</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3" w:lineRule="auto"/>
        <w:tabs>
          <w:tab w:leader="none" w:pos="2213" w:val="left"/>
        </w:tabs>
        <w:numPr>
          <w:ilvl w:val="0"/>
          <w:numId w:val="325"/>
        </w:numPr>
        <w:rPr>
          <w:rFonts w:ascii="Arial" w:cs="Arial" w:eastAsia="Arial" w:hAnsi="Arial"/>
          <w:sz w:val="19"/>
          <w:szCs w:val="19"/>
          <w:color w:val="auto"/>
        </w:rPr>
      </w:pPr>
      <w:r>
        <w:rPr>
          <w:rFonts w:ascii="Arial" w:cs="Arial" w:eastAsia="Arial" w:hAnsi="Arial"/>
          <w:sz w:val="19"/>
          <w:szCs w:val="19"/>
          <w:color w:val="auto"/>
        </w:rPr>
        <w:t>The Administrative Agent may at any time give notice of its resignation to the Lenders and the Borrowers (or the Company, on behalf of the Borrowers). Upon receipt of any such notice of resignation, the Required Lenders shall have the right, in consultation with the Borrowers (or the Company, on behalf of the Borrowers),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9"/>
          <w:szCs w:val="19"/>
          <w:u w:val="single" w:color="auto"/>
          <w:color w:val="auto"/>
        </w:rPr>
        <w:t>Resignation Effective Date</w:t>
      </w:r>
      <w:r>
        <w:rPr>
          <w:rFonts w:ascii="Arial" w:cs="Arial" w:eastAsia="Arial" w:hAnsi="Arial"/>
          <w:sz w:val="19"/>
          <w:szCs w:val="19"/>
          <w:color w:val="auto"/>
        </w:rPr>
        <w:t xml:space="preserve">”), then the retiring Administrative Agent may (but shall not be obligated to), on behalf of the Lenders, appoint a successor Administrative Agent meeting the qualifications set forth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60" w:lineRule="exact"/>
        <w:rPr>
          <w:rFonts w:ascii="Arial" w:cs="Arial" w:eastAsia="Arial" w:hAnsi="Arial"/>
          <w:sz w:val="19"/>
          <w:szCs w:val="19"/>
          <w:color w:val="auto"/>
        </w:rPr>
      </w:pPr>
    </w:p>
    <w:p>
      <w:pPr>
        <w:jc w:val="both"/>
        <w:ind w:firstLine="1505"/>
        <w:spacing w:after="0"/>
        <w:tabs>
          <w:tab w:leader="none" w:pos="2200" w:val="left"/>
        </w:tabs>
        <w:numPr>
          <w:ilvl w:val="0"/>
          <w:numId w:val="325"/>
        </w:numPr>
        <w:rPr>
          <w:rFonts w:ascii="Arial" w:cs="Arial" w:eastAsia="Arial" w:hAnsi="Arial"/>
          <w:sz w:val="22"/>
          <w:szCs w:val="22"/>
          <w:color w:val="auto"/>
        </w:rPr>
      </w:pPr>
      <w:r>
        <w:rPr>
          <w:rFonts w:ascii="Arial" w:cs="Arial" w:eastAsia="Arial" w:hAnsi="Arial"/>
          <w:sz w:val="22"/>
          <w:szCs w:val="22"/>
          <w:color w:val="auto"/>
        </w:rPr>
        <w:t xml:space="preserve">If the Person serving as Administrative Agent is a Defaulting Lender pursuant to </w:t>
      </w:r>
      <w:r>
        <w:rPr>
          <w:rFonts w:ascii="Arial" w:cs="Arial" w:eastAsia="Arial" w:hAnsi="Arial"/>
          <w:sz w:val="22"/>
          <w:szCs w:val="22"/>
          <w:u w:val="single" w:color="auto"/>
          <w:color w:val="auto"/>
        </w:rPr>
        <w:t>clause (d)</w:t>
      </w:r>
      <w:r>
        <w:rPr>
          <w:rFonts w:ascii="Arial" w:cs="Arial" w:eastAsia="Arial" w:hAnsi="Arial"/>
          <w:sz w:val="22"/>
          <w:szCs w:val="22"/>
          <w:color w:val="auto"/>
        </w:rPr>
        <w:t xml:space="preserve"> of the definition thereof, the Required Lenders may, to the extent permitted by applicable law, by notice in writing to the Company, on behalf of the Borrowers, and such Person,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2" w:name="page293"/>
    <w:bookmarkEnd w:id="292"/>
    <w:p>
      <w:pPr>
        <w:jc w:val="both"/>
        <w:spacing w:after="0" w:line="287" w:lineRule="auto"/>
        <w:rPr>
          <w:sz w:val="20"/>
          <w:szCs w:val="20"/>
          <w:color w:val="auto"/>
        </w:rPr>
      </w:pPr>
      <w:r>
        <w:rPr>
          <w:rFonts w:ascii="Arial" w:cs="Arial" w:eastAsia="Arial" w:hAnsi="Arial"/>
          <w:sz w:val="19"/>
          <w:szCs w:val="19"/>
          <w:color w:val="auto"/>
        </w:rPr>
        <w:t xml:space="preserve">remove such Person as Administrative Agent and, in consultation with the Company, on behalf of the Borrowers, appoint a successor. If no such successor shall have been so appointed by the Required Lenders and shall have accepted such appointment within 30 days (or such earlier day as shall be agreed by the Required Lenders) (the “ </w:t>
      </w:r>
      <w:r>
        <w:rPr>
          <w:rFonts w:ascii="Arial" w:cs="Arial" w:eastAsia="Arial" w:hAnsi="Arial"/>
          <w:sz w:val="19"/>
          <w:szCs w:val="19"/>
          <w:u w:val="single" w:color="auto"/>
          <w:color w:val="auto"/>
        </w:rPr>
        <w:t>Removal Effective Date</w:t>
      </w:r>
      <w:r>
        <w:rPr>
          <w:rFonts w:ascii="Arial" w:cs="Arial" w:eastAsia="Arial" w:hAnsi="Arial"/>
          <w:sz w:val="19"/>
          <w:szCs w:val="19"/>
          <w:color w:val="auto"/>
        </w:rPr>
        <w:t>”), then such removal shall nonetheless become effective in accordance with such notice on the Removal Effective Date.</w:t>
      </w:r>
    </w:p>
    <w:p>
      <w:pPr>
        <w:spacing w:after="0" w:line="143" w:lineRule="exact"/>
        <w:rPr>
          <w:sz w:val="20"/>
          <w:szCs w:val="20"/>
          <w:color w:val="auto"/>
        </w:rPr>
      </w:pPr>
    </w:p>
    <w:p>
      <w:pPr>
        <w:jc w:val="both"/>
        <w:ind w:firstLine="1505"/>
        <w:spacing w:after="0" w:line="271" w:lineRule="auto"/>
        <w:tabs>
          <w:tab w:leader="none" w:pos="2178" w:val="left"/>
        </w:tabs>
        <w:numPr>
          <w:ilvl w:val="0"/>
          <w:numId w:val="326"/>
        </w:numPr>
        <w:rPr>
          <w:rFonts w:ascii="Arial" w:cs="Arial" w:eastAsia="Arial" w:hAnsi="Arial"/>
          <w:sz w:val="19"/>
          <w:szCs w:val="19"/>
          <w:color w:val="auto"/>
        </w:rPr>
      </w:pPr>
      <w:r>
        <w:rPr>
          <w:rFonts w:ascii="Arial" w:cs="Arial" w:eastAsia="Arial" w:hAnsi="Arial"/>
          <w:sz w:val="19"/>
          <w:szCs w:val="19"/>
          <w:color w:val="auto"/>
        </w:rPr>
        <w:t xml:space="preserve">With effect from the Resignation Effective Date or the Removal Effective Date (as applicable), (i) the retiring or removed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and </w:t>
      </w:r>
      <w:r>
        <w:rPr>
          <w:rFonts w:ascii="Arial" w:cs="Arial" w:eastAsia="Arial" w:hAnsi="Arial"/>
          <w:sz w:val="19"/>
          <w:szCs w:val="19"/>
          <w:u w:val="single" w:color="auto"/>
          <w:color w:val="auto"/>
        </w:rPr>
        <w:t>Section 10.03</w:t>
      </w:r>
      <w:r>
        <w:rPr>
          <w:rFonts w:ascii="Arial" w:cs="Arial" w:eastAsia="Arial" w:hAnsi="Arial"/>
          <w:sz w:val="19"/>
          <w:szCs w:val="19"/>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1505"/>
        <w:spacing w:after="0" w:line="249" w:lineRule="auto"/>
        <w:tabs>
          <w:tab w:leader="none" w:pos="2162" w:val="left"/>
        </w:tabs>
        <w:numPr>
          <w:ilvl w:val="0"/>
          <w:numId w:val="326"/>
        </w:numPr>
        <w:rPr>
          <w:rFonts w:ascii="Arial" w:cs="Arial" w:eastAsia="Arial" w:hAnsi="Arial"/>
          <w:sz w:val="21"/>
          <w:szCs w:val="21"/>
          <w:color w:val="auto"/>
        </w:rPr>
      </w:pPr>
      <w:r>
        <w:rPr>
          <w:rFonts w:ascii="Arial" w:cs="Arial" w:eastAsia="Arial" w:hAnsi="Arial"/>
          <w:sz w:val="21"/>
          <w:szCs w:val="21"/>
          <w:color w:val="auto"/>
        </w:rPr>
        <w:t>Any resignation by, or removal of, PNC Bank, National Association as Administrative Agent pursuant to this Section shall also constitute its resignation as a Swingline Lender. Upon the acceptance of a successor’s appointment as Administrative Agent hereunder, (i) such successor shall succeed to and become vested with all of the rights, powers, privileges and duties of the retiring Swingline Lender, and (ii) the retiring Swingline Lender shall be discharged from all of their respective duties and obligations hereunder or under the other Loan Documents.</w:t>
      </w:r>
    </w:p>
    <w:p>
      <w:pPr>
        <w:spacing w:after="0" w:line="17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 xml:space="preserve">SECTION 8.07 </w:t>
      </w:r>
      <w:r>
        <w:rPr>
          <w:rFonts w:ascii="Arial" w:cs="Arial" w:eastAsia="Arial" w:hAnsi="Arial"/>
          <w:sz w:val="19"/>
          <w:szCs w:val="19"/>
          <w:u w:val="single" w:color="auto"/>
          <w:color w:val="auto"/>
        </w:rPr>
        <w:t>Non-Reliance on Administrative Agent and Other Lenders</w:t>
      </w:r>
      <w:r>
        <w:rPr>
          <w:rFonts w:ascii="Arial" w:cs="Arial" w:eastAsia="Arial" w:hAnsi="Arial"/>
          <w:sz w:val="19"/>
          <w:szCs w:val="19"/>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3" w:name="page294"/>
    <w:bookmarkEnd w:id="293"/>
    <w:p>
      <w:pPr>
        <w:spacing w:after="0"/>
        <w:rPr>
          <w:sz w:val="20"/>
          <w:szCs w:val="20"/>
          <w:color w:val="auto"/>
        </w:rPr>
      </w:pPr>
      <w:r>
        <w:rPr>
          <w:rFonts w:ascii="Arial" w:cs="Arial" w:eastAsia="Arial" w:hAnsi="Arial"/>
          <w:sz w:val="22"/>
          <w:szCs w:val="22"/>
          <w:color w:val="auto"/>
        </w:rPr>
        <w:t>to, or be approved by or satisfactory to, the Administrative Agent or the Lenders on the Effective Date.</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8.08 </w:t>
      </w:r>
      <w:r>
        <w:rPr>
          <w:rFonts w:ascii="Arial" w:cs="Arial" w:eastAsia="Arial" w:hAnsi="Arial"/>
          <w:sz w:val="22"/>
          <w:szCs w:val="22"/>
          <w:u w:val="single" w:color="auto"/>
          <w:color w:val="auto"/>
        </w:rPr>
        <w:t>No Other Duties, Etc</w:t>
      </w:r>
      <w:r>
        <w:rPr>
          <w:rFonts w:ascii="Arial" w:cs="Arial" w:eastAsia="Arial" w:hAnsi="Arial"/>
          <w:sz w:val="22"/>
          <w:szCs w:val="22"/>
          <w:color w:val="auto"/>
        </w:rPr>
        <w:t>.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or a Lender hereunder.</w:t>
      </w:r>
    </w:p>
    <w:p>
      <w:pPr>
        <w:spacing w:after="0" w:line="18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SECTION 8.09 </w:t>
      </w:r>
      <w:r>
        <w:rPr>
          <w:rFonts w:ascii="Arial" w:cs="Arial" w:eastAsia="Arial" w:hAnsi="Arial"/>
          <w:sz w:val="21"/>
          <w:szCs w:val="21"/>
          <w:u w:val="single" w:color="auto"/>
          <w:color w:val="auto"/>
        </w:rPr>
        <w:t>Administrative Agent May File Proofs of Claim</w:t>
      </w:r>
      <w:r>
        <w:rPr>
          <w:rFonts w:ascii="Arial" w:cs="Arial" w:eastAsia="Arial" w:hAnsi="Arial"/>
          <w:sz w:val="21"/>
          <w:szCs w:val="21"/>
          <w:color w:val="auto"/>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Loan Party) shall be entitled and empowered (but not obligated) by intervention in such proceeding or otherwise:</w:t>
      </w:r>
    </w:p>
    <w:p>
      <w:pPr>
        <w:spacing w:after="0" w:line="178" w:lineRule="exact"/>
        <w:rPr>
          <w:sz w:val="20"/>
          <w:szCs w:val="20"/>
          <w:color w:val="auto"/>
        </w:rPr>
      </w:pPr>
    </w:p>
    <w:p>
      <w:pPr>
        <w:jc w:val="both"/>
        <w:ind w:firstLine="1505"/>
        <w:spacing w:after="0" w:line="235" w:lineRule="auto"/>
        <w:tabs>
          <w:tab w:leader="none" w:pos="2167" w:val="left"/>
        </w:tabs>
        <w:numPr>
          <w:ilvl w:val="0"/>
          <w:numId w:val="327"/>
        </w:numPr>
        <w:rPr>
          <w:rFonts w:ascii="Arial" w:cs="Arial" w:eastAsia="Arial" w:hAnsi="Arial"/>
          <w:sz w:val="22"/>
          <w:szCs w:val="22"/>
          <w:color w:val="auto"/>
        </w:rPr>
      </w:pPr>
      <w:r>
        <w:rPr>
          <w:rFonts w:ascii="Arial" w:cs="Arial" w:eastAsia="Arial" w:hAnsi="Arial"/>
          <w:sz w:val="22"/>
          <w:szCs w:val="22"/>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22"/>
          <w:szCs w:val="22"/>
          <w:u w:val="single" w:color="auto"/>
          <w:color w:val="auto"/>
        </w:rPr>
        <w:t>Sections 2.12</w:t>
      </w:r>
      <w:r>
        <w:rPr>
          <w:rFonts w:ascii="Arial" w:cs="Arial" w:eastAsia="Arial" w:hAnsi="Arial"/>
          <w:sz w:val="22"/>
          <w:szCs w:val="22"/>
          <w:color w:val="auto"/>
        </w:rPr>
        <w:t xml:space="preserve">, </w:t>
      </w:r>
      <w:r>
        <w:rPr>
          <w:rFonts w:ascii="Arial" w:cs="Arial" w:eastAsia="Arial" w:hAnsi="Arial"/>
          <w:sz w:val="22"/>
          <w:szCs w:val="22"/>
          <w:u w:val="single" w:color="auto"/>
          <w:color w:val="auto"/>
        </w:rPr>
        <w:t>2.13</w:t>
      </w:r>
      <w:r>
        <w:rPr>
          <w:rFonts w:ascii="Arial" w:cs="Arial" w:eastAsia="Arial" w:hAnsi="Arial"/>
          <w:sz w:val="22"/>
          <w:szCs w:val="22"/>
          <w:color w:val="auto"/>
        </w:rPr>
        <w:t xml:space="preserve">, </w:t>
      </w:r>
      <w:r>
        <w:rPr>
          <w:rFonts w:ascii="Arial" w:cs="Arial" w:eastAsia="Arial" w:hAnsi="Arial"/>
          <w:sz w:val="22"/>
          <w:szCs w:val="22"/>
          <w:u w:val="single" w:color="auto"/>
          <w:color w:val="auto"/>
        </w:rPr>
        <w:t>2.15</w:t>
      </w:r>
      <w:r>
        <w:rPr>
          <w:rFonts w:ascii="Arial" w:cs="Arial" w:eastAsia="Arial" w:hAnsi="Arial"/>
          <w:sz w:val="22"/>
          <w:szCs w:val="22"/>
          <w:color w:val="auto"/>
        </w:rPr>
        <w:t xml:space="preserve">, </w:t>
      </w:r>
      <w:r>
        <w:rPr>
          <w:rFonts w:ascii="Arial" w:cs="Arial" w:eastAsia="Arial" w:hAnsi="Arial"/>
          <w:sz w:val="22"/>
          <w:szCs w:val="22"/>
          <w:u w:val="single" w:color="auto"/>
          <w:color w:val="auto"/>
        </w:rPr>
        <w:t>2.17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10.03</w:t>
      </w:r>
      <w:r>
        <w:rPr>
          <w:rFonts w:ascii="Arial" w:cs="Arial" w:eastAsia="Arial" w:hAnsi="Arial"/>
          <w:sz w:val="22"/>
          <w:szCs w:val="22"/>
          <w:color w:val="auto"/>
        </w:rPr>
        <w:t>) allowed in such judicial proceeding; and</w:t>
      </w:r>
    </w:p>
    <w:p>
      <w:pPr>
        <w:spacing w:after="0" w:line="187" w:lineRule="exact"/>
        <w:rPr>
          <w:rFonts w:ascii="Arial" w:cs="Arial" w:eastAsia="Arial" w:hAnsi="Arial"/>
          <w:sz w:val="22"/>
          <w:szCs w:val="22"/>
          <w:color w:val="auto"/>
        </w:rPr>
      </w:pPr>
    </w:p>
    <w:p>
      <w:pPr>
        <w:ind w:left="2200" w:hanging="695"/>
        <w:spacing w:after="0"/>
        <w:tabs>
          <w:tab w:leader="none" w:pos="2200" w:val="left"/>
        </w:tabs>
        <w:numPr>
          <w:ilvl w:val="0"/>
          <w:numId w:val="327"/>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distribute the same;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to it, in its capacity as the Administrative Agent, under the Loan Documents (including under </w:t>
      </w:r>
      <w:r>
        <w:rPr>
          <w:rFonts w:ascii="Arial" w:cs="Arial" w:eastAsia="Arial" w:hAnsi="Arial"/>
          <w:sz w:val="19"/>
          <w:szCs w:val="19"/>
          <w:u w:val="single" w:color="auto"/>
          <w:color w:val="auto"/>
        </w:rPr>
        <w:t>Section 10.03</w:t>
      </w:r>
      <w:r>
        <w:rPr>
          <w:rFonts w:ascii="Arial" w:cs="Arial" w:eastAsia="Arial" w:hAnsi="Arial"/>
          <w:sz w:val="19"/>
          <w:szCs w:val="19"/>
          <w:color w:val="auto"/>
        </w:rPr>
        <w:t>).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8.10 </w:t>
      </w:r>
      <w:r>
        <w:rPr>
          <w:rFonts w:ascii="Arial" w:cs="Arial" w:eastAsia="Arial" w:hAnsi="Arial"/>
          <w:sz w:val="22"/>
          <w:szCs w:val="22"/>
          <w:u w:val="single" w:color="auto"/>
          <w:color w:val="auto"/>
        </w:rPr>
        <w:t>Certain ERISA Matters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52" w:lineRule="auto"/>
        <w:tabs>
          <w:tab w:leader="none" w:pos="2176" w:val="left"/>
        </w:tabs>
        <w:numPr>
          <w:ilvl w:val="0"/>
          <w:numId w:val="328"/>
        </w:numPr>
        <w:rPr>
          <w:rFonts w:ascii="Arial" w:cs="Arial" w:eastAsia="Arial" w:hAnsi="Arial"/>
          <w:sz w:val="21"/>
          <w:szCs w:val="21"/>
          <w:color w:val="auto"/>
        </w:rPr>
      </w:pPr>
      <w:r>
        <w:rPr>
          <w:rFonts w:ascii="Arial" w:cs="Arial" w:eastAsia="Arial" w:hAnsi="Arial"/>
          <w:sz w:val="21"/>
          <w:szCs w:val="21"/>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any Loan Party, that at least one of the following is and will be true: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4" w:name="page295"/>
    <w:bookmarkEnd w:id="294"/>
    <w:p>
      <w:pPr>
        <w:ind w:left="2620" w:hanging="1115"/>
        <w:spacing w:after="0"/>
        <w:tabs>
          <w:tab w:leader="none" w:pos="2204" w:val="left"/>
        </w:tabs>
        <w:numPr>
          <w:ilvl w:val="0"/>
          <w:numId w:val="329"/>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Plan Asset Regulations) of one or more Benefit Plans with respect to such Lender’s entrance into, participation in, administration of and performance of the Loans or the Commitments;</w:t>
      </w:r>
    </w:p>
    <w:p>
      <w:pPr>
        <w:spacing w:after="0" w:line="186" w:lineRule="exact"/>
        <w:rPr>
          <w:rFonts w:ascii="Arial" w:cs="Arial" w:eastAsia="Arial" w:hAnsi="Arial"/>
          <w:sz w:val="22"/>
          <w:szCs w:val="22"/>
          <w:color w:val="auto"/>
        </w:rPr>
      </w:pPr>
    </w:p>
    <w:p>
      <w:pPr>
        <w:jc w:val="both"/>
        <w:ind w:left="2620" w:hanging="1115"/>
        <w:spacing w:after="0" w:line="275" w:lineRule="auto"/>
        <w:tabs>
          <w:tab w:leader="none" w:pos="2624" w:val="left"/>
        </w:tabs>
        <w:numPr>
          <w:ilvl w:val="0"/>
          <w:numId w:val="329"/>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57" w:lineRule="exact"/>
        <w:rPr>
          <w:rFonts w:ascii="Arial" w:cs="Arial" w:eastAsia="Arial" w:hAnsi="Arial"/>
          <w:sz w:val="19"/>
          <w:szCs w:val="19"/>
          <w:color w:val="auto"/>
        </w:rPr>
      </w:pPr>
    </w:p>
    <w:p>
      <w:pPr>
        <w:jc w:val="both"/>
        <w:ind w:left="2620" w:hanging="1115"/>
        <w:spacing w:after="0" w:line="274" w:lineRule="auto"/>
        <w:tabs>
          <w:tab w:leader="none" w:pos="2656" w:val="left"/>
        </w:tabs>
        <w:numPr>
          <w:ilvl w:val="0"/>
          <w:numId w:val="329"/>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58" w:lineRule="exact"/>
        <w:rPr>
          <w:rFonts w:ascii="Arial" w:cs="Arial" w:eastAsia="Arial" w:hAnsi="Arial"/>
          <w:sz w:val="19"/>
          <w:szCs w:val="19"/>
          <w:color w:val="auto"/>
        </w:rPr>
      </w:pPr>
    </w:p>
    <w:p>
      <w:pPr>
        <w:ind w:left="2620" w:hanging="1115"/>
        <w:spacing w:after="0" w:line="250" w:lineRule="auto"/>
        <w:tabs>
          <w:tab w:leader="none" w:pos="2679" w:val="left"/>
        </w:tabs>
        <w:numPr>
          <w:ilvl w:val="0"/>
          <w:numId w:val="329"/>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75" w:lineRule="exact"/>
        <w:rPr>
          <w:sz w:val="20"/>
          <w:szCs w:val="20"/>
          <w:color w:val="auto"/>
        </w:rPr>
      </w:pPr>
    </w:p>
    <w:p>
      <w:pPr>
        <w:jc w:val="both"/>
        <w:ind w:firstLine="1505"/>
        <w:spacing w:after="0" w:line="274" w:lineRule="auto"/>
        <w:tabs>
          <w:tab w:leader="none" w:pos="2162" w:val="left"/>
        </w:tabs>
        <w:numPr>
          <w:ilvl w:val="0"/>
          <w:numId w:val="330"/>
        </w:numPr>
        <w:rPr>
          <w:rFonts w:ascii="Arial" w:cs="Arial" w:eastAsia="Arial" w:hAnsi="Arial"/>
          <w:sz w:val="19"/>
          <w:szCs w:val="19"/>
          <w:color w:val="auto"/>
        </w:rPr>
      </w:pPr>
      <w:r>
        <w:rPr>
          <w:rFonts w:ascii="Arial" w:cs="Arial" w:eastAsia="Arial" w:hAnsi="Arial"/>
          <w:sz w:val="19"/>
          <w:szCs w:val="19"/>
          <w:color w:val="auto"/>
        </w:rPr>
        <w:t xml:space="preserve">In addition, unless either (1) </w:t>
      </w:r>
      <w:r>
        <w:rPr>
          <w:rFonts w:ascii="Arial" w:cs="Arial" w:eastAsia="Arial" w:hAnsi="Arial"/>
          <w:sz w:val="19"/>
          <w:szCs w:val="19"/>
          <w:u w:val="single" w:color="auto"/>
          <w:color w:val="auto"/>
        </w:rPr>
        <w:t>sub-clause (i)</w:t>
      </w:r>
      <w:r>
        <w:rPr>
          <w:rFonts w:ascii="Arial" w:cs="Arial" w:eastAsia="Arial" w:hAnsi="Arial"/>
          <w:sz w:val="19"/>
          <w:szCs w:val="19"/>
          <w:color w:val="auto"/>
        </w:rPr>
        <w:t xml:space="preserve"> in the immediately preceding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is true with respect to a Lender or (2) a Lender has provided another representation, warranty and covenant in accordance with </w:t>
      </w:r>
      <w:r>
        <w:rPr>
          <w:rFonts w:ascii="Arial" w:cs="Arial" w:eastAsia="Arial" w:hAnsi="Arial"/>
          <w:sz w:val="19"/>
          <w:szCs w:val="19"/>
          <w:u w:val="single" w:color="auto"/>
          <w:color w:val="auto"/>
        </w:rPr>
        <w:t>sub-clause (iv)</w:t>
      </w:r>
      <w:r>
        <w:rPr>
          <w:rFonts w:ascii="Arial" w:cs="Arial" w:eastAsia="Arial" w:hAnsi="Arial"/>
          <w:sz w:val="19"/>
          <w:szCs w:val="19"/>
          <w:color w:val="auto"/>
        </w:rPr>
        <w:t xml:space="preserve"> in the immediately preceding </w:t>
      </w:r>
      <w:r>
        <w:rPr>
          <w:rFonts w:ascii="Arial" w:cs="Arial" w:eastAsia="Arial" w:hAnsi="Arial"/>
          <w:sz w:val="19"/>
          <w:szCs w:val="19"/>
          <w:u w:val="single" w:color="auto"/>
          <w:color w:val="auto"/>
        </w:rPr>
        <w:t>clause (a)</w:t>
      </w:r>
      <w:r>
        <w:rPr>
          <w:rFonts w:ascii="Arial" w:cs="Arial" w:eastAsia="Arial" w:hAnsi="Arial"/>
          <w:sz w:val="19"/>
          <w:szCs w:val="19"/>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5" w:name="page296"/>
    <w:bookmarkEnd w:id="295"/>
    <w:p>
      <w:pPr>
        <w:jc w:val="center"/>
        <w:spacing w:after="0"/>
        <w:rPr>
          <w:sz w:val="20"/>
          <w:szCs w:val="20"/>
          <w:color w:val="auto"/>
        </w:rPr>
      </w:pPr>
      <w:r>
        <w:rPr>
          <w:rFonts w:ascii="Arial" w:cs="Arial" w:eastAsia="Arial" w:hAnsi="Arial"/>
          <w:sz w:val="22"/>
          <w:szCs w:val="22"/>
          <w:color w:val="auto"/>
        </w:rPr>
        <w:t>ARTICLE IX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Guaranty</w:t>
      </w:r>
    </w:p>
    <w:p>
      <w:pPr>
        <w:spacing w:after="0" w:line="20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u w:val="single" w:color="auto"/>
          <w:color w:val="auto"/>
        </w:rPr>
        <w:t>Guaranty</w:t>
      </w:r>
      <w:r>
        <w:rPr>
          <w:rFonts w:ascii="Arial" w:cs="Arial" w:eastAsia="Arial" w:hAnsi="Arial"/>
          <w:sz w:val="19"/>
          <w:szCs w:val="19"/>
          <w:color w:val="auto"/>
        </w:rPr>
        <w:t>. The Guarantor hereby absolutely, irrevocably and unconditionally guarantees as a primary obligor and not merely as a surety to the Administrative Agent for the benefit of the Credit Parties, and their respective permitted successors, endorsees, transferees and assigns, the prompt payment and performance of all Obligations of the Borrowers and their Subsidiaries, whether primary or secondary (whether by way of endorsement or otherwise), whether now existing or hereafter arising, whether or not from time to time reduced or extinguished (except by payment thereof) or hereafter increased or incurred, whether enforceable or unenforceable as against the Borrowers or any of their Subsidiaries, whether or not discharged, stayed or otherwise affected by any Debtor Relief Law or proceeding thereunder, whether created directly with the Administrative Agent or any other Credit Party or acquired by the Administrative Agent or any other Credit Party through assignment or endorsement or otherwise, whether matured or unmatured, whether joint or several, as and when the same become due and payable (whether at maturity or earlier, by reason of acceleration, mandatory repayment or otherwise), in accordance with the terms of any such instruments evidencing any such obligations, including all renewals, extensions or modifications thereof (all of the foregoing being hereafter collectively referred to as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w:t>
      </w:r>
    </w:p>
    <w:p>
      <w:pPr>
        <w:spacing w:after="0" w:line="161"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Bankruptcy Limitations on the Guarantor</w:t>
      </w:r>
      <w:r>
        <w:rPr>
          <w:rFonts w:ascii="Arial" w:cs="Arial" w:eastAsia="Arial" w:hAnsi="Arial"/>
          <w:sz w:val="19"/>
          <w:szCs w:val="19"/>
          <w:color w:val="auto"/>
        </w:rPr>
        <w:t xml:space="preserve">. Notwithstanding anything to the contrary contained in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it is the intention of the Guarantor and the Credit Parties that, in any proceeding involving the bankruptcy, reorganization, arrangement, adjustment of debts, relief of debtors, dissolution or insolvency or any similar proceeding with respect to the Guarantor or its assets, the amount of the Guarantor’s obligations with respect to the Guaranteed Obligations (or any other obligations of the Guarantor to the Credit Parties) shall be equal to, but not in excess of, the maximum amount thereof not subject to avoidance or recovery by operation of Debtor Relief Laws. To that end, the Guarantor’s obligations with respect to the Guaranteed Obligations (or any other obligations of the Guarantor to the Credit Parties) or any payment made pursuant to such Guaranteed Obligations (or any other obligations of the Guarantor to the Credit Parties) would, but for the operation of the first sentence of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be subject to avoidance or recovery in any such proceeding under Debtor Relief Laws, the amount of the Guarantor’s obligations with respect to the Guaranteed Obligations (or any other obligations of the Guarantor to the Credit Parties) shall be limited to the largest amount which, after giving effect thereto, would not, under Debtor Relief Laws, render the Guarantor’s obligations with respect to the Guaranteed Obligations (or any other obligations of the Guarantor to the Credit Parties) unenforceable or avoidable or otherwise subject to recovery under Debtor Relief Laws. To the extent any payment actually made pursuant to the Guaranteed Obligations exceeds the limitation of the first sentence of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and is otherwise subject to avoidance and recovery in any such proceeding under Debtor Relief Laws, the amount subject to avoidance shall in all events be limited to the amount by which such actual payment exceeds such limitation and the Guaranteed Obligations as limited by the first sentence of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shall in all events remain in full force and effect and be fully enforceable against the Guarantor. The first sentence of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is intended solely to preserve the rights of the Credit Parties hereunder against the Guarantor in such proceeding to the maximum extent permitted by Debtor Relief Laws and neither the Guarantor, the Borrowers, any other Guarantor nor any other Person shall have any right or claim</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6" w:name="page297"/>
    <w:bookmarkEnd w:id="296"/>
    <w:p>
      <w:pPr>
        <w:spacing w:after="0"/>
        <w:rPr>
          <w:sz w:val="20"/>
          <w:szCs w:val="20"/>
          <w:color w:val="auto"/>
        </w:rPr>
      </w:pPr>
      <w:r>
        <w:rPr>
          <w:rFonts w:ascii="Arial" w:cs="Arial" w:eastAsia="Arial" w:hAnsi="Arial"/>
          <w:sz w:val="22"/>
          <w:szCs w:val="22"/>
          <w:color w:val="auto"/>
        </w:rPr>
        <w:t>under such sentence that would not otherwise be available under Debtor Relief Laws in such proceeding.</w:t>
      </w:r>
    </w:p>
    <w:p>
      <w:pPr>
        <w:spacing w:after="0" w:line="20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u w:val="single" w:color="auto"/>
          <w:color w:val="auto"/>
        </w:rPr>
        <w:t>No Subrogation</w:t>
      </w:r>
      <w:r>
        <w:rPr>
          <w:rFonts w:ascii="Arial" w:cs="Arial" w:eastAsia="Arial" w:hAnsi="Arial"/>
          <w:sz w:val="19"/>
          <w:szCs w:val="19"/>
          <w:color w:val="auto"/>
        </w:rPr>
        <w:t>. Notwithstanding any payment or payments by the Guarantor hereunder, or any setoff or application of funds of the Guarantor by the Administrative Agent or any other Credit Party, or the receipt of any amounts by the Administrative Agent or any other Credit Party with respect to any of the Guaranteed Obligations, the Guarantor shall not be entitled to be subrogated to any of the rights of the Administrative Agent or any other Credit Party against the Borrowers or against any collateral security held by the Administrative Agent or any other Credit Party for the payment of the Guaranteed Obligations nor shall the Guarantor seek any reimbursement or contribution from the Borrowers in respect of payments made by the Guarantor in connection with the Guaranteed Obligations, until all amounts owing to the Administrative Agent and the Credit Parties on account of the Guaranteed Obligations (other than contingent indemnification obligations) are indefeasibly paid in full in cash and the Commitments are terminated. If any amount shall be paid to the Guarantor on account of such subrogation reimbursement or contribution rights at any time when all of such Guaranteed Obligations shall not have been indefeasibly paid in full, such amount shall be held by the Guarantor in trust for the Administrative Agent, segregated from other funds of the Guarantor, and shall, forthwith upon receipt by the Guarantor, be turned over to the Administrative Agent in the exact form received by the Guarantor (duly endorsed by the Guarantor to the Administrative Agent, if required) to be applied against the Guaranteed Obligations, whether matured or unmatured, in such order as set forth in this Agreement.</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Nature of Guaranty</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tabs>
          <w:tab w:leader="none" w:pos="2215" w:val="left"/>
        </w:tabs>
        <w:numPr>
          <w:ilvl w:val="0"/>
          <w:numId w:val="331"/>
        </w:numPr>
        <w:rPr>
          <w:rFonts w:ascii="Arial" w:cs="Arial" w:eastAsia="Arial" w:hAnsi="Arial"/>
          <w:sz w:val="22"/>
          <w:szCs w:val="22"/>
          <w:color w:val="auto"/>
        </w:rPr>
      </w:pPr>
      <w:r>
        <w:rPr>
          <w:rFonts w:ascii="Arial" w:cs="Arial" w:eastAsia="Arial" w:hAnsi="Arial"/>
          <w:sz w:val="22"/>
          <w:szCs w:val="22"/>
          <w:color w:val="auto"/>
        </w:rPr>
        <w:t>The Guarantor agrees that this Guaranty is a continuing, unconditional guaranty of payment and performance and not of collection, and that its obligations under this Guaranty shall be primary, absolute and unconditional, irrespective of, and unaffected by:</w:t>
      </w:r>
    </w:p>
    <w:p>
      <w:pPr>
        <w:spacing w:after="0" w:line="186" w:lineRule="exact"/>
        <w:rPr>
          <w:sz w:val="20"/>
          <w:szCs w:val="20"/>
          <w:color w:val="auto"/>
        </w:rPr>
      </w:pPr>
    </w:p>
    <w:p>
      <w:pPr>
        <w:ind w:left="2620" w:hanging="1115"/>
        <w:spacing w:after="0" w:line="236" w:lineRule="auto"/>
        <w:tabs>
          <w:tab w:leader="none" w:pos="2188" w:val="left"/>
        </w:tabs>
        <w:numPr>
          <w:ilvl w:val="0"/>
          <w:numId w:val="332"/>
        </w:numPr>
        <w:rPr>
          <w:rFonts w:ascii="Arial" w:cs="Arial" w:eastAsia="Arial" w:hAnsi="Arial"/>
          <w:sz w:val="22"/>
          <w:szCs w:val="22"/>
          <w:color w:val="auto"/>
        </w:rPr>
      </w:pPr>
      <w:r>
        <w:rPr>
          <w:rFonts w:ascii="Arial" w:cs="Arial" w:eastAsia="Arial" w:hAnsi="Arial"/>
          <w:sz w:val="22"/>
          <w:szCs w:val="22"/>
          <w:color w:val="auto"/>
        </w:rPr>
        <w:t>the genuineness, legality, validity, regularity, enforceability or any future amendment of, or change in, or supplement to, this Agreement or any other Loan Document, or any other agreement, document or instrument to which the Borrowers, the Guarantor or any of its respective Subsidiaries or Affiliates is or may become a party, (including any increase in the Obligations resulting from any extension of additional credit or otherwise);</w:t>
      </w:r>
    </w:p>
    <w:p>
      <w:pPr>
        <w:spacing w:after="0" w:line="187" w:lineRule="exact"/>
        <w:rPr>
          <w:rFonts w:ascii="Arial" w:cs="Arial" w:eastAsia="Arial" w:hAnsi="Arial"/>
          <w:sz w:val="22"/>
          <w:szCs w:val="22"/>
          <w:color w:val="auto"/>
        </w:rPr>
      </w:pPr>
    </w:p>
    <w:p>
      <w:pPr>
        <w:jc w:val="both"/>
        <w:ind w:left="2620" w:hanging="1115"/>
        <w:spacing w:after="0" w:line="246" w:lineRule="auto"/>
        <w:tabs>
          <w:tab w:leader="none" w:pos="2640" w:val="left"/>
        </w:tabs>
        <w:numPr>
          <w:ilvl w:val="0"/>
          <w:numId w:val="332"/>
        </w:numPr>
        <w:rPr>
          <w:rFonts w:ascii="Arial" w:cs="Arial" w:eastAsia="Arial" w:hAnsi="Arial"/>
          <w:sz w:val="21"/>
          <w:szCs w:val="21"/>
          <w:color w:val="auto"/>
        </w:rPr>
      </w:pPr>
      <w:r>
        <w:rPr>
          <w:rFonts w:ascii="Arial" w:cs="Arial" w:eastAsia="Arial" w:hAnsi="Arial"/>
          <w:sz w:val="21"/>
          <w:szCs w:val="21"/>
          <w:color w:val="auto"/>
        </w:rPr>
        <w:t>any action under or in respect of this Agreement or any other Loan Document in the exercise of any remedy, power or privilege contained therein or available to any of them at law, in equity or otherwise, or waiver or refraining from exercising any such remedies, power or privileges (including any manner of sale, disposition or any application of any sums by whomever paid or however realized to any Guaranteed Obligations owing by the Borrowers or the Guarantor to the Administrative Agent or any other Credit Party in such manner as the Administrative Agent or any other Credit Party shall determine in its reasonable discretion);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7" w:name="page298"/>
    <w:bookmarkEnd w:id="297"/>
    <w:p>
      <w:pPr>
        <w:jc w:val="both"/>
        <w:ind w:left="2620" w:hanging="1115"/>
        <w:spacing w:after="0" w:line="297" w:lineRule="auto"/>
        <w:tabs>
          <w:tab w:leader="none" w:pos="2622" w:val="left"/>
        </w:tabs>
        <w:numPr>
          <w:ilvl w:val="0"/>
          <w:numId w:val="333"/>
        </w:numPr>
        <w:rPr>
          <w:rFonts w:ascii="Arial" w:cs="Arial" w:eastAsia="Arial" w:hAnsi="Arial"/>
          <w:sz w:val="19"/>
          <w:szCs w:val="19"/>
          <w:color w:val="auto"/>
        </w:rPr>
      </w:pPr>
      <w:r>
        <w:rPr>
          <w:rFonts w:ascii="Arial" w:cs="Arial" w:eastAsia="Arial" w:hAnsi="Arial"/>
          <w:sz w:val="19"/>
          <w:szCs w:val="19"/>
          <w:color w:val="auto"/>
        </w:rPr>
        <w:t>the absence of any action to enforce this Guaranty, this Agreement, or any other Loan Document or the waiver or consent by the Administrative Agent or any other Credit Party with respect to any of the provisions of this Guaranty, this Agreement or any other Loan Document;</w:t>
      </w:r>
    </w:p>
    <w:p>
      <w:pPr>
        <w:spacing w:after="0" w:line="133" w:lineRule="exact"/>
        <w:rPr>
          <w:rFonts w:ascii="Arial" w:cs="Arial" w:eastAsia="Arial" w:hAnsi="Arial"/>
          <w:sz w:val="19"/>
          <w:szCs w:val="19"/>
          <w:color w:val="auto"/>
        </w:rPr>
      </w:pPr>
    </w:p>
    <w:p>
      <w:pPr>
        <w:jc w:val="both"/>
        <w:ind w:left="2620" w:hanging="1115"/>
        <w:spacing w:after="0" w:line="252" w:lineRule="auto"/>
        <w:tabs>
          <w:tab w:leader="none" w:pos="2625" w:val="left"/>
        </w:tabs>
        <w:numPr>
          <w:ilvl w:val="0"/>
          <w:numId w:val="333"/>
        </w:numPr>
        <w:rPr>
          <w:rFonts w:ascii="Arial" w:cs="Arial" w:eastAsia="Arial" w:hAnsi="Arial"/>
          <w:sz w:val="21"/>
          <w:szCs w:val="21"/>
          <w:color w:val="auto"/>
        </w:rPr>
      </w:pPr>
      <w:r>
        <w:rPr>
          <w:rFonts w:ascii="Arial" w:cs="Arial" w:eastAsia="Arial" w:hAnsi="Arial"/>
          <w:sz w:val="21"/>
          <w:szCs w:val="21"/>
          <w:color w:val="auto"/>
        </w:rPr>
        <w:t>the existence, value or condition of, or failure to perfect its Lien against, any security for, if any, or other guaranty of the Guaranteed Obligations or any action, or the absence of any action, by the Administrative Agent or any other Credit Party in respect of such security, if any, or guaranty (including, without limitation, the release of any such security or guaranty);</w:t>
      </w:r>
    </w:p>
    <w:p>
      <w:pPr>
        <w:spacing w:after="0" w:line="173" w:lineRule="exact"/>
        <w:rPr>
          <w:rFonts w:ascii="Arial" w:cs="Arial" w:eastAsia="Arial" w:hAnsi="Arial"/>
          <w:sz w:val="21"/>
          <w:szCs w:val="21"/>
          <w:color w:val="auto"/>
        </w:rPr>
      </w:pPr>
    </w:p>
    <w:p>
      <w:pPr>
        <w:ind w:left="2620" w:hanging="1115"/>
        <w:spacing w:after="0" w:line="274" w:lineRule="auto"/>
        <w:tabs>
          <w:tab w:leader="none" w:pos="2208" w:val="left"/>
        </w:tabs>
        <w:numPr>
          <w:ilvl w:val="0"/>
          <w:numId w:val="333"/>
        </w:numPr>
        <w:rPr>
          <w:rFonts w:ascii="Arial" w:cs="Arial" w:eastAsia="Arial" w:hAnsi="Arial"/>
          <w:sz w:val="21"/>
          <w:szCs w:val="21"/>
          <w:color w:val="auto"/>
        </w:rPr>
      </w:pPr>
      <w:r>
        <w:rPr>
          <w:rFonts w:ascii="Arial" w:cs="Arial" w:eastAsia="Arial" w:hAnsi="Arial"/>
          <w:sz w:val="21"/>
          <w:szCs w:val="21"/>
          <w:color w:val="auto"/>
        </w:rPr>
        <w:t>any structural change in, restructuring of or other similar organizational change of the Borrowers, the Guarantor, any other guarantors or any of their respective Subsidiaries or Affiliates; or</w:t>
      </w:r>
    </w:p>
    <w:p>
      <w:pPr>
        <w:spacing w:after="0" w:line="150" w:lineRule="exact"/>
        <w:rPr>
          <w:rFonts w:ascii="Arial" w:cs="Arial" w:eastAsia="Arial" w:hAnsi="Arial"/>
          <w:sz w:val="21"/>
          <w:szCs w:val="21"/>
          <w:color w:val="auto"/>
        </w:rPr>
      </w:pPr>
    </w:p>
    <w:p>
      <w:pPr>
        <w:ind w:left="2620" w:hanging="1115"/>
        <w:spacing w:after="0" w:line="250" w:lineRule="auto"/>
        <w:tabs>
          <w:tab w:leader="none" w:pos="2634" w:val="left"/>
        </w:tabs>
        <w:numPr>
          <w:ilvl w:val="0"/>
          <w:numId w:val="333"/>
        </w:numPr>
        <w:rPr>
          <w:rFonts w:ascii="Arial" w:cs="Arial" w:eastAsia="Arial" w:hAnsi="Arial"/>
          <w:sz w:val="22"/>
          <w:szCs w:val="22"/>
          <w:color w:val="auto"/>
        </w:rPr>
      </w:pPr>
      <w:r>
        <w:rPr>
          <w:rFonts w:ascii="Arial" w:cs="Arial" w:eastAsia="Arial" w:hAnsi="Arial"/>
          <w:sz w:val="22"/>
          <w:szCs w:val="22"/>
          <w:color w:val="auto"/>
        </w:rPr>
        <w:t>any other action or circumstances which might otherwise constitute a legal or equitable discharge or defense of a surety or guarantor;</w:t>
      </w:r>
    </w:p>
    <w:p>
      <w:pPr>
        <w:spacing w:after="0" w:line="174" w:lineRule="exact"/>
        <w:rPr>
          <w:rFonts w:ascii="Arial" w:cs="Arial" w:eastAsia="Arial" w:hAnsi="Arial"/>
          <w:sz w:val="22"/>
          <w:szCs w:val="22"/>
          <w:color w:val="auto"/>
        </w:rPr>
      </w:pPr>
    </w:p>
    <w:p>
      <w:pPr>
        <w:jc w:val="both"/>
        <w:ind w:left="2620" w:hanging="1115"/>
        <w:spacing w:after="0" w:line="238" w:lineRule="auto"/>
        <w:tabs>
          <w:tab w:leader="none" w:pos="2637" w:val="left"/>
        </w:tabs>
        <w:numPr>
          <w:ilvl w:val="0"/>
          <w:numId w:val="333"/>
        </w:numPr>
        <w:rPr>
          <w:rFonts w:ascii="Arial" w:cs="Arial" w:eastAsia="Arial" w:hAnsi="Arial"/>
          <w:sz w:val="22"/>
          <w:szCs w:val="22"/>
          <w:color w:val="auto"/>
        </w:rPr>
      </w:pPr>
      <w:r>
        <w:rPr>
          <w:rFonts w:ascii="Arial" w:cs="Arial" w:eastAsia="Arial" w:hAnsi="Arial"/>
          <w:sz w:val="22"/>
          <w:szCs w:val="22"/>
          <w:color w:val="auto"/>
        </w:rPr>
        <w:t xml:space="preserve">it being agreed by the Guarantor that, subject to the first sentence of </w:t>
      </w:r>
      <w:r>
        <w:rPr>
          <w:rFonts w:ascii="Arial" w:cs="Arial" w:eastAsia="Arial" w:hAnsi="Arial"/>
          <w:sz w:val="22"/>
          <w:szCs w:val="22"/>
          <w:u w:val="single" w:color="auto"/>
          <w:color w:val="auto"/>
        </w:rPr>
        <w:t>Section 9.02</w:t>
      </w:r>
      <w:r>
        <w:rPr>
          <w:rFonts w:ascii="Arial" w:cs="Arial" w:eastAsia="Arial" w:hAnsi="Arial"/>
          <w:sz w:val="22"/>
          <w:szCs w:val="22"/>
          <w:color w:val="auto"/>
        </w:rPr>
        <w:t>, its obligations under this Guaranty shall not be discharged until the final indefeasible payment and performance, in full, of the Guaranteed Obligations (other than contingent indemnification obligations) and the termination of the Commitments.</w:t>
      </w:r>
    </w:p>
    <w:p>
      <w:pPr>
        <w:spacing w:after="0" w:line="185" w:lineRule="exact"/>
        <w:rPr>
          <w:sz w:val="20"/>
          <w:szCs w:val="20"/>
          <w:color w:val="auto"/>
        </w:rPr>
      </w:pPr>
    </w:p>
    <w:p>
      <w:pPr>
        <w:jc w:val="both"/>
        <w:ind w:firstLine="1505"/>
        <w:spacing w:after="0" w:line="238" w:lineRule="auto"/>
        <w:tabs>
          <w:tab w:leader="none" w:pos="2165" w:val="left"/>
        </w:tabs>
        <w:numPr>
          <w:ilvl w:val="0"/>
          <w:numId w:val="334"/>
        </w:numPr>
        <w:rPr>
          <w:rFonts w:ascii="Arial" w:cs="Arial" w:eastAsia="Arial" w:hAnsi="Arial"/>
          <w:sz w:val="22"/>
          <w:szCs w:val="22"/>
          <w:color w:val="auto"/>
        </w:rPr>
      </w:pPr>
      <w:r>
        <w:rPr>
          <w:rFonts w:ascii="Arial" w:cs="Arial" w:eastAsia="Arial" w:hAnsi="Arial"/>
          <w:sz w:val="22"/>
          <w:szCs w:val="22"/>
          <w:color w:val="auto"/>
        </w:rPr>
        <w:t>The Guarantor represents, warrants and agrees that the Guaranteed Obligations and its obligations under this Guaranty are not and shall not be subject to any counterclaims, offsets or defenses of any kind (other than the defense of payment) against the Administrative Agent, the other Credit Parties or the Borrowers whether now existing or which may arise in the future.</w:t>
      </w:r>
    </w:p>
    <w:p>
      <w:pPr>
        <w:spacing w:after="0" w:line="184" w:lineRule="exact"/>
        <w:rPr>
          <w:rFonts w:ascii="Arial" w:cs="Arial" w:eastAsia="Arial" w:hAnsi="Arial"/>
          <w:sz w:val="22"/>
          <w:szCs w:val="22"/>
          <w:color w:val="auto"/>
        </w:rPr>
      </w:pPr>
    </w:p>
    <w:p>
      <w:pPr>
        <w:jc w:val="both"/>
        <w:ind w:firstLine="1505"/>
        <w:spacing w:after="0" w:line="236" w:lineRule="auto"/>
        <w:tabs>
          <w:tab w:leader="none" w:pos="2166" w:val="left"/>
        </w:tabs>
        <w:numPr>
          <w:ilvl w:val="0"/>
          <w:numId w:val="334"/>
        </w:numPr>
        <w:rPr>
          <w:rFonts w:ascii="Arial" w:cs="Arial" w:eastAsia="Arial" w:hAnsi="Arial"/>
          <w:sz w:val="22"/>
          <w:szCs w:val="22"/>
          <w:color w:val="auto"/>
        </w:rPr>
      </w:pPr>
      <w:r>
        <w:rPr>
          <w:rFonts w:ascii="Arial" w:cs="Arial" w:eastAsia="Arial" w:hAnsi="Arial"/>
          <w:sz w:val="22"/>
          <w:szCs w:val="22"/>
          <w:color w:val="auto"/>
        </w:rPr>
        <w:t>The Guarantor hereby agrees and acknowledges that the Guaranteed Obligations, and any of them, shall conclusively be deemed to have been created, contracted or incurred, or renewed, extended, amended or waived, in reliance upon this Guaranty, and all dealings among the Borrowers and the Guarantor, on the one hand, and the Administrative Agent and the other Credit Parties, on the other hand, likewise shall be conclusively presumed to have been had or consummated in reliance upon this Guaranty.</w:t>
      </w:r>
    </w:p>
    <w:p>
      <w:pPr>
        <w:spacing w:after="0" w:line="187"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u w:val="single" w:color="auto"/>
          <w:color w:val="auto"/>
        </w:rPr>
        <w:t>Waivers</w:t>
      </w:r>
      <w:r>
        <w:rPr>
          <w:rFonts w:ascii="Arial" w:cs="Arial" w:eastAsia="Arial" w:hAnsi="Arial"/>
          <w:sz w:val="22"/>
          <w:szCs w:val="22"/>
          <w:color w:val="auto"/>
        </w:rPr>
        <w:t>. To the extent permitted by applicable law, the Guarantor expressly waives all of the following rights and defenses (and agrees not to take advantage of or assert any such right or defense):</w:t>
      </w:r>
    </w:p>
    <w:p>
      <w:pPr>
        <w:spacing w:after="0" w:line="175" w:lineRule="exact"/>
        <w:rPr>
          <w:sz w:val="20"/>
          <w:szCs w:val="20"/>
          <w:color w:val="auto"/>
        </w:rPr>
      </w:pPr>
    </w:p>
    <w:p>
      <w:pPr>
        <w:jc w:val="both"/>
        <w:ind w:firstLine="1505"/>
        <w:spacing w:after="0" w:line="252" w:lineRule="auto"/>
        <w:tabs>
          <w:tab w:leader="none" w:pos="2183" w:val="left"/>
        </w:tabs>
        <w:numPr>
          <w:ilvl w:val="0"/>
          <w:numId w:val="335"/>
        </w:numPr>
        <w:rPr>
          <w:rFonts w:ascii="Arial" w:cs="Arial" w:eastAsia="Arial" w:hAnsi="Arial"/>
          <w:sz w:val="21"/>
          <w:szCs w:val="21"/>
          <w:color w:val="auto"/>
        </w:rPr>
      </w:pPr>
      <w:r>
        <w:rPr>
          <w:rFonts w:ascii="Arial" w:cs="Arial" w:eastAsia="Arial" w:hAnsi="Arial"/>
          <w:sz w:val="21"/>
          <w:szCs w:val="21"/>
          <w:color w:val="auto"/>
        </w:rPr>
        <w:t>any rights it may now or in the future have under any statute, or at law or in equity, or otherwise, to compel the Administrative Agent or any other Credit Party to proceed in respect of the Guaranteed Obligations against the Borrowers or any other Person or against any security for or other guaranty of the payment and performance of the Guaranteed Obligations before proceeding against, or as a condition to proceeding against, the Guarantor;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8" w:name="page299"/>
    <w:bookmarkEnd w:id="298"/>
    <w:p>
      <w:pPr>
        <w:jc w:val="both"/>
        <w:ind w:firstLine="1505"/>
        <w:spacing w:after="0"/>
        <w:tabs>
          <w:tab w:leader="none" w:pos="2172" w:val="left"/>
        </w:tabs>
        <w:numPr>
          <w:ilvl w:val="0"/>
          <w:numId w:val="336"/>
        </w:numPr>
        <w:rPr>
          <w:rFonts w:ascii="Arial" w:cs="Arial" w:eastAsia="Arial" w:hAnsi="Arial"/>
          <w:sz w:val="22"/>
          <w:szCs w:val="22"/>
          <w:color w:val="auto"/>
        </w:rPr>
      </w:pPr>
      <w:r>
        <w:rPr>
          <w:rFonts w:ascii="Arial" w:cs="Arial" w:eastAsia="Arial" w:hAnsi="Arial"/>
          <w:sz w:val="22"/>
          <w:szCs w:val="22"/>
          <w:color w:val="auto"/>
        </w:rPr>
        <w:t>any defense based upon the failure of the Administrative Agent or any other Credit Party to commence an action in respect of the Guaranteed Obligations against the Borrowers, the Guarantor, any other guarantor or any other Person or any security for the payment and performance of the Guaranteed Obligations;</w:t>
      </w:r>
    </w:p>
    <w:p>
      <w:pPr>
        <w:spacing w:after="0" w:line="186" w:lineRule="exact"/>
        <w:rPr>
          <w:rFonts w:ascii="Arial" w:cs="Arial" w:eastAsia="Arial" w:hAnsi="Arial"/>
          <w:sz w:val="22"/>
          <w:szCs w:val="22"/>
          <w:color w:val="auto"/>
        </w:rPr>
      </w:pPr>
    </w:p>
    <w:p>
      <w:pPr>
        <w:jc w:val="both"/>
        <w:ind w:firstLine="1505"/>
        <w:spacing w:after="0" w:line="252" w:lineRule="auto"/>
        <w:tabs>
          <w:tab w:leader="none" w:pos="2168" w:val="left"/>
        </w:tabs>
        <w:numPr>
          <w:ilvl w:val="0"/>
          <w:numId w:val="336"/>
        </w:numPr>
        <w:rPr>
          <w:rFonts w:ascii="Arial" w:cs="Arial" w:eastAsia="Arial" w:hAnsi="Arial"/>
          <w:sz w:val="21"/>
          <w:szCs w:val="21"/>
          <w:color w:val="auto"/>
        </w:rPr>
      </w:pPr>
      <w:r>
        <w:rPr>
          <w:rFonts w:ascii="Arial" w:cs="Arial" w:eastAsia="Arial" w:hAnsi="Arial"/>
          <w:sz w:val="21"/>
          <w:szCs w:val="21"/>
          <w:color w:val="auto"/>
        </w:rPr>
        <w:t>any right to insist upon, plead or in any manner whatever claim or take the benefit or advantage of, any appraisal, valuation, stay, extension, marshalling of assets or redemption laws, or exemption, whether now or at any time hereafter in force, which may delay, prevent or otherwise affect the performance by the Guarantor of its obligations under, or the enforcement by the Administrative Agent or the other Credit Parties of this Guaranty;</w:t>
      </w:r>
    </w:p>
    <w:p>
      <w:pPr>
        <w:spacing w:after="0" w:line="173" w:lineRule="exact"/>
        <w:rPr>
          <w:rFonts w:ascii="Arial" w:cs="Arial" w:eastAsia="Arial" w:hAnsi="Arial"/>
          <w:sz w:val="21"/>
          <w:szCs w:val="21"/>
          <w:color w:val="auto"/>
        </w:rPr>
      </w:pPr>
    </w:p>
    <w:p>
      <w:pPr>
        <w:jc w:val="both"/>
        <w:ind w:firstLine="1505"/>
        <w:spacing w:after="0" w:line="282" w:lineRule="auto"/>
        <w:tabs>
          <w:tab w:leader="none" w:pos="2163" w:val="left"/>
        </w:tabs>
        <w:numPr>
          <w:ilvl w:val="0"/>
          <w:numId w:val="336"/>
        </w:numPr>
        <w:rPr>
          <w:rFonts w:ascii="Arial" w:cs="Arial" w:eastAsia="Arial" w:hAnsi="Arial"/>
          <w:sz w:val="19"/>
          <w:szCs w:val="19"/>
          <w:color w:val="auto"/>
        </w:rPr>
      </w:pPr>
      <w:r>
        <w:rPr>
          <w:rFonts w:ascii="Arial" w:cs="Arial" w:eastAsia="Arial" w:hAnsi="Arial"/>
          <w:sz w:val="19"/>
          <w:szCs w:val="19"/>
          <w:color w:val="auto"/>
        </w:rPr>
        <w:t>any right of diligence, presentment, demand, protest and notice (except as specifically required herein or in the other Loan Documents) of whatever kind or nature with respect to any of the Guaranteed Obligations or any requirement that any Credit Party protect, secure, perfect or insure any Lien or any property subject thereto and waives, to the fullest extent permitted by applicable law, the benefit of all provisions of applicable law which are or might be in conflict with the terms of this Guaranty, and also waives notice of acceptance of its obligations and notice of protest for nonpayment;</w:t>
      </w:r>
    </w:p>
    <w:p>
      <w:pPr>
        <w:spacing w:after="0" w:line="147" w:lineRule="exact"/>
        <w:rPr>
          <w:rFonts w:ascii="Arial" w:cs="Arial" w:eastAsia="Arial" w:hAnsi="Arial"/>
          <w:sz w:val="19"/>
          <w:szCs w:val="19"/>
          <w:color w:val="auto"/>
        </w:rPr>
      </w:pPr>
    </w:p>
    <w:p>
      <w:pPr>
        <w:jc w:val="both"/>
        <w:ind w:firstLine="1505"/>
        <w:spacing w:after="0" w:line="297" w:lineRule="auto"/>
        <w:tabs>
          <w:tab w:leader="none" w:pos="2179" w:val="left"/>
        </w:tabs>
        <w:numPr>
          <w:ilvl w:val="0"/>
          <w:numId w:val="336"/>
        </w:numPr>
        <w:rPr>
          <w:rFonts w:ascii="Arial" w:cs="Arial" w:eastAsia="Arial" w:hAnsi="Arial"/>
          <w:sz w:val="19"/>
          <w:szCs w:val="19"/>
          <w:color w:val="auto"/>
        </w:rPr>
      </w:pPr>
      <w:r>
        <w:rPr>
          <w:rFonts w:ascii="Arial" w:cs="Arial" w:eastAsia="Arial" w:hAnsi="Arial"/>
          <w:sz w:val="19"/>
          <w:szCs w:val="19"/>
          <w:color w:val="auto"/>
        </w:rPr>
        <w:t>any failure of any Credit Party to disclose to any Loan Party any information relating to the business, condition (financial or otherwise), operations, performance, properties or prospects of any other Loan Party now or hereafter known to such Credit Party; the Guarantor waiving any duty of the Credit Party to disclose such information;</w:t>
      </w:r>
    </w:p>
    <w:p>
      <w:pPr>
        <w:spacing w:after="0" w:line="133" w:lineRule="exact"/>
        <w:rPr>
          <w:rFonts w:ascii="Arial" w:cs="Arial" w:eastAsia="Arial" w:hAnsi="Arial"/>
          <w:sz w:val="19"/>
          <w:szCs w:val="19"/>
          <w:color w:val="auto"/>
        </w:rPr>
      </w:pPr>
    </w:p>
    <w:p>
      <w:pPr>
        <w:jc w:val="both"/>
        <w:ind w:firstLine="1505"/>
        <w:spacing w:after="0"/>
        <w:tabs>
          <w:tab w:leader="none" w:pos="2200" w:val="left"/>
        </w:tabs>
        <w:numPr>
          <w:ilvl w:val="0"/>
          <w:numId w:val="336"/>
        </w:numPr>
        <w:rPr>
          <w:rFonts w:ascii="Arial" w:cs="Arial" w:eastAsia="Arial" w:hAnsi="Arial"/>
          <w:sz w:val="22"/>
          <w:szCs w:val="22"/>
          <w:color w:val="auto"/>
        </w:rPr>
      </w:pPr>
      <w:r>
        <w:rPr>
          <w:rFonts w:ascii="Arial" w:cs="Arial" w:eastAsia="Arial" w:hAnsi="Arial"/>
          <w:sz w:val="22"/>
          <w:szCs w:val="22"/>
          <w:color w:val="auto"/>
        </w:rPr>
        <w:t>any and all right to notice of the creation, renewal, extension or accrual of any of the Guaranteed Obligations and notice of or proof of reliance by the Administrative Agent or any other Credit Party upon, or acceptance of, this Guaranty; and</w:t>
      </w:r>
    </w:p>
    <w:p>
      <w:pPr>
        <w:spacing w:after="0" w:line="186" w:lineRule="exact"/>
        <w:rPr>
          <w:rFonts w:ascii="Arial" w:cs="Arial" w:eastAsia="Arial" w:hAnsi="Arial"/>
          <w:sz w:val="22"/>
          <w:szCs w:val="22"/>
          <w:color w:val="auto"/>
        </w:rPr>
      </w:pPr>
    </w:p>
    <w:p>
      <w:pPr>
        <w:ind w:left="2160" w:hanging="655"/>
        <w:spacing w:after="0"/>
        <w:tabs>
          <w:tab w:leader="none" w:pos="2160" w:val="left"/>
        </w:tabs>
        <w:numPr>
          <w:ilvl w:val="0"/>
          <w:numId w:val="336"/>
        </w:numPr>
        <w:rPr>
          <w:rFonts w:ascii="Arial" w:cs="Arial" w:eastAsia="Arial" w:hAnsi="Arial"/>
          <w:sz w:val="19"/>
          <w:szCs w:val="19"/>
          <w:color w:val="auto"/>
        </w:rPr>
      </w:pPr>
      <w:r>
        <w:rPr>
          <w:rFonts w:ascii="Arial" w:cs="Arial" w:eastAsia="Arial" w:hAnsi="Arial"/>
          <w:sz w:val="19"/>
          <w:szCs w:val="19"/>
          <w:color w:val="auto"/>
        </w:rPr>
        <w:t>any right of setoff or recoupment or counterclaim against or in respect of the Guaranteed Obligations</w:t>
      </w:r>
    </w:p>
    <w:p>
      <w:pPr>
        <w:spacing w:after="0" w:line="24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The Guarantor agrees that any notice or directive given at any time to the Administrative Agent or any other Credit Party which is inconsistent with any of the foregoing waivers shall be null and void and may be ignored by the Administrative Agent or such Credit Party, and, in addition, may not be pleaded or introduced as evidence in any litigation relating to this Guaranty for the reason that such pleading or introduction would be at variance with the written terms of this Guaranty, unless the Administrative Agent and the Required Lenders have specifically agreed otherwise in writing. The foregoing waivers are of the essence of the transaction contemplated by this Agreement and the other Loan Documents and, but for this Guaranty and such waivers, the Administrative Agent and other Credit Parties would decline to enter into this Agreement and the other Loan Documents.</w:t>
      </w:r>
    </w:p>
    <w:p>
      <w:pPr>
        <w:spacing w:after="0" w:line="15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9.06 </w:t>
      </w:r>
      <w:r>
        <w:rPr>
          <w:rFonts w:ascii="Arial" w:cs="Arial" w:eastAsia="Arial" w:hAnsi="Arial"/>
          <w:sz w:val="22"/>
          <w:szCs w:val="22"/>
          <w:u w:val="single" w:color="auto"/>
          <w:color w:val="auto"/>
        </w:rPr>
        <w:t>Modification of Loan Documents, etc</w:t>
      </w:r>
      <w:r>
        <w:rPr>
          <w:rFonts w:ascii="Arial" w:cs="Arial" w:eastAsia="Arial" w:hAnsi="Arial"/>
          <w:sz w:val="22"/>
          <w:szCs w:val="22"/>
          <w:color w:val="auto"/>
        </w:rPr>
        <w:t>. Neither the Administrative Agent nor any other Credit Party shall incur any liability to the Guarantor as a result of any of the following, and none of the following shall impair or release this Guaranty or any of the obligations of the Guarantor under this Guaranty: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9" w:name="page300"/>
    <w:bookmarkEnd w:id="299"/>
    <w:p>
      <w:pPr>
        <w:ind w:firstLine="1505"/>
        <w:spacing w:after="0" w:line="250" w:lineRule="auto"/>
        <w:tabs>
          <w:tab w:leader="none" w:pos="2174" w:val="left"/>
        </w:tabs>
        <w:numPr>
          <w:ilvl w:val="0"/>
          <w:numId w:val="337"/>
        </w:numPr>
        <w:rPr>
          <w:rFonts w:ascii="Arial" w:cs="Arial" w:eastAsia="Arial" w:hAnsi="Arial"/>
          <w:sz w:val="22"/>
          <w:szCs w:val="22"/>
          <w:color w:val="auto"/>
        </w:rPr>
      </w:pPr>
      <w:r>
        <w:rPr>
          <w:rFonts w:ascii="Arial" w:cs="Arial" w:eastAsia="Arial" w:hAnsi="Arial"/>
          <w:sz w:val="22"/>
          <w:szCs w:val="22"/>
          <w:color w:val="auto"/>
        </w:rPr>
        <w:t>any change or extension of the manner, place or terms of payment of, or renewal or alteration of all or any portion of, the Guaranteed Obligations;</w:t>
      </w:r>
    </w:p>
    <w:p>
      <w:pPr>
        <w:spacing w:after="0" w:line="174" w:lineRule="exact"/>
        <w:rPr>
          <w:rFonts w:ascii="Arial" w:cs="Arial" w:eastAsia="Arial" w:hAnsi="Arial"/>
          <w:sz w:val="22"/>
          <w:szCs w:val="22"/>
          <w:color w:val="auto"/>
        </w:rPr>
      </w:pPr>
    </w:p>
    <w:p>
      <w:pPr>
        <w:jc w:val="both"/>
        <w:ind w:firstLine="1505"/>
        <w:spacing w:after="0"/>
        <w:tabs>
          <w:tab w:leader="none" w:pos="2184" w:val="left"/>
        </w:tabs>
        <w:numPr>
          <w:ilvl w:val="0"/>
          <w:numId w:val="337"/>
        </w:numPr>
        <w:rPr>
          <w:rFonts w:ascii="Arial" w:cs="Arial" w:eastAsia="Arial" w:hAnsi="Arial"/>
          <w:sz w:val="22"/>
          <w:szCs w:val="22"/>
          <w:color w:val="auto"/>
        </w:rPr>
      </w:pPr>
      <w:r>
        <w:rPr>
          <w:rFonts w:ascii="Arial" w:cs="Arial" w:eastAsia="Arial" w:hAnsi="Arial"/>
          <w:sz w:val="22"/>
          <w:szCs w:val="22"/>
          <w:color w:val="auto"/>
        </w:rPr>
        <w:t>any action under or in respect of this Agreement or any other Loan Document in the exercise of any remedy, power or privilege contained therein or available to any of them at law, in equity or otherwise, or waiver or refraining from exercising any such remedies, powers or privileges;</w:t>
      </w:r>
    </w:p>
    <w:p>
      <w:pPr>
        <w:spacing w:after="0" w:line="186" w:lineRule="exact"/>
        <w:rPr>
          <w:rFonts w:ascii="Arial" w:cs="Arial" w:eastAsia="Arial" w:hAnsi="Arial"/>
          <w:sz w:val="22"/>
          <w:szCs w:val="22"/>
          <w:color w:val="auto"/>
        </w:rPr>
      </w:pPr>
    </w:p>
    <w:p>
      <w:pPr>
        <w:ind w:left="2160" w:hanging="655"/>
        <w:spacing w:after="0"/>
        <w:tabs>
          <w:tab w:leader="none" w:pos="2160" w:val="left"/>
        </w:tabs>
        <w:numPr>
          <w:ilvl w:val="0"/>
          <w:numId w:val="337"/>
        </w:numPr>
        <w:rPr>
          <w:rFonts w:ascii="Arial" w:cs="Arial" w:eastAsia="Arial" w:hAnsi="Arial"/>
          <w:sz w:val="22"/>
          <w:szCs w:val="22"/>
          <w:color w:val="auto"/>
        </w:rPr>
      </w:pPr>
      <w:r>
        <w:rPr>
          <w:rFonts w:ascii="Arial" w:cs="Arial" w:eastAsia="Arial" w:hAnsi="Arial"/>
          <w:sz w:val="22"/>
          <w:szCs w:val="22"/>
          <w:color w:val="auto"/>
        </w:rPr>
        <w:t>any amendment to, or modification of, in any manner whatsoever, any Loan Document;</w:t>
      </w:r>
    </w:p>
    <w:p>
      <w:pPr>
        <w:spacing w:after="0" w:line="206" w:lineRule="exact"/>
        <w:rPr>
          <w:rFonts w:ascii="Arial" w:cs="Arial" w:eastAsia="Arial" w:hAnsi="Arial"/>
          <w:sz w:val="22"/>
          <w:szCs w:val="22"/>
          <w:color w:val="auto"/>
        </w:rPr>
      </w:pPr>
    </w:p>
    <w:p>
      <w:pPr>
        <w:jc w:val="both"/>
        <w:ind w:firstLine="1505"/>
        <w:spacing w:after="0" w:line="238" w:lineRule="auto"/>
        <w:tabs>
          <w:tab w:leader="none" w:pos="2216" w:val="left"/>
        </w:tabs>
        <w:numPr>
          <w:ilvl w:val="0"/>
          <w:numId w:val="337"/>
        </w:numPr>
        <w:rPr>
          <w:rFonts w:ascii="Arial" w:cs="Arial" w:eastAsia="Arial" w:hAnsi="Arial"/>
          <w:sz w:val="22"/>
          <w:szCs w:val="22"/>
          <w:color w:val="auto"/>
        </w:rPr>
      </w:pPr>
      <w:r>
        <w:rPr>
          <w:rFonts w:ascii="Arial" w:cs="Arial" w:eastAsia="Arial" w:hAnsi="Arial"/>
          <w:sz w:val="22"/>
          <w:szCs w:val="22"/>
          <w:color w:val="auto"/>
        </w:rPr>
        <w:t>any extension or waiver of the time for performance by the Guarantor, any other guarantor, the Borrowers or any other Person of, or compliance with, any term, covenant or agreement on its part to be performed or observed under a Loan Document, or waiver of such performance or compliance or consent to a failure of, or departure from, such performance or compliance;</w:t>
      </w:r>
    </w:p>
    <w:p>
      <w:pPr>
        <w:spacing w:after="0" w:line="184" w:lineRule="exact"/>
        <w:rPr>
          <w:rFonts w:ascii="Arial" w:cs="Arial" w:eastAsia="Arial" w:hAnsi="Arial"/>
          <w:sz w:val="22"/>
          <w:szCs w:val="22"/>
          <w:color w:val="auto"/>
        </w:rPr>
      </w:pPr>
    </w:p>
    <w:p>
      <w:pPr>
        <w:jc w:val="both"/>
        <w:ind w:firstLine="1505"/>
        <w:spacing w:after="0" w:line="238" w:lineRule="auto"/>
        <w:tabs>
          <w:tab w:leader="none" w:pos="2186" w:val="left"/>
        </w:tabs>
        <w:numPr>
          <w:ilvl w:val="0"/>
          <w:numId w:val="337"/>
        </w:numPr>
        <w:rPr>
          <w:rFonts w:ascii="Arial" w:cs="Arial" w:eastAsia="Arial" w:hAnsi="Arial"/>
          <w:sz w:val="22"/>
          <w:szCs w:val="22"/>
          <w:color w:val="auto"/>
        </w:rPr>
      </w:pPr>
      <w:r>
        <w:rPr>
          <w:rFonts w:ascii="Arial" w:cs="Arial" w:eastAsia="Arial" w:hAnsi="Arial"/>
          <w:sz w:val="22"/>
          <w:szCs w:val="22"/>
          <w:color w:val="auto"/>
        </w:rPr>
        <w:t>the taking and holding of security or collateral for the payment of the Guaranteed Obligations or the sale, exchange, release, disposal of, or other dealing with, any property pledged, mortgaged or conveyed, or in which the Administrative Agent or the other Credit Parties have been granted a Lien, to secure any Indebtedness of the Guarantor, any other guarantor or the Borrowers to the Administrative Agent or the other Credit Parties;</w:t>
      </w:r>
    </w:p>
    <w:p>
      <w:pPr>
        <w:spacing w:after="0" w:line="184" w:lineRule="exact"/>
        <w:rPr>
          <w:rFonts w:ascii="Arial" w:cs="Arial" w:eastAsia="Arial" w:hAnsi="Arial"/>
          <w:sz w:val="22"/>
          <w:szCs w:val="22"/>
          <w:color w:val="auto"/>
        </w:rPr>
      </w:pPr>
    </w:p>
    <w:p>
      <w:pPr>
        <w:ind w:firstLine="1505"/>
        <w:spacing w:after="0" w:line="250" w:lineRule="auto"/>
        <w:tabs>
          <w:tab w:leader="none" w:pos="2180" w:val="left"/>
        </w:tabs>
        <w:numPr>
          <w:ilvl w:val="0"/>
          <w:numId w:val="337"/>
        </w:numPr>
        <w:rPr>
          <w:rFonts w:ascii="Arial" w:cs="Arial" w:eastAsia="Arial" w:hAnsi="Arial"/>
          <w:sz w:val="22"/>
          <w:szCs w:val="22"/>
          <w:color w:val="auto"/>
        </w:rPr>
      </w:pPr>
      <w:r>
        <w:rPr>
          <w:rFonts w:ascii="Arial" w:cs="Arial" w:eastAsia="Arial" w:hAnsi="Arial"/>
          <w:sz w:val="22"/>
          <w:szCs w:val="22"/>
          <w:color w:val="auto"/>
        </w:rPr>
        <w:t>the release of anyone who may be liable in any manner for the payment of any amounts owed by the Guarantor, any other guarantor or the Borrowers to the Administrative Agent or any other Credit Party;</w:t>
      </w:r>
    </w:p>
    <w:p>
      <w:pPr>
        <w:spacing w:after="0" w:line="174" w:lineRule="exact"/>
        <w:rPr>
          <w:rFonts w:ascii="Arial" w:cs="Arial" w:eastAsia="Arial" w:hAnsi="Arial"/>
          <w:sz w:val="22"/>
          <w:szCs w:val="22"/>
          <w:color w:val="auto"/>
        </w:rPr>
      </w:pPr>
    </w:p>
    <w:p>
      <w:pPr>
        <w:jc w:val="both"/>
        <w:ind w:firstLine="1505"/>
        <w:spacing w:after="0"/>
        <w:tabs>
          <w:tab w:leader="none" w:pos="2164" w:val="left"/>
        </w:tabs>
        <w:numPr>
          <w:ilvl w:val="0"/>
          <w:numId w:val="337"/>
        </w:numPr>
        <w:rPr>
          <w:rFonts w:ascii="Arial" w:cs="Arial" w:eastAsia="Arial" w:hAnsi="Arial"/>
          <w:sz w:val="22"/>
          <w:szCs w:val="22"/>
          <w:color w:val="auto"/>
        </w:rPr>
      </w:pPr>
      <w:r>
        <w:rPr>
          <w:rFonts w:ascii="Arial" w:cs="Arial" w:eastAsia="Arial" w:hAnsi="Arial"/>
          <w:sz w:val="22"/>
          <w:szCs w:val="22"/>
          <w:color w:val="auto"/>
        </w:rPr>
        <w:t>any modification or termination of the terms of any intercreditor or subordination agreement pursuant to which claims of other creditors of the Guarantor, any other guarantor or the Borrowers are subordinated to the claims of the Administrative Agent or any other Credit Party; or</w:t>
      </w:r>
    </w:p>
    <w:p>
      <w:pPr>
        <w:spacing w:after="0" w:line="186" w:lineRule="exact"/>
        <w:rPr>
          <w:rFonts w:ascii="Arial" w:cs="Arial" w:eastAsia="Arial" w:hAnsi="Arial"/>
          <w:sz w:val="22"/>
          <w:szCs w:val="22"/>
          <w:color w:val="auto"/>
        </w:rPr>
      </w:pPr>
    </w:p>
    <w:p>
      <w:pPr>
        <w:jc w:val="both"/>
        <w:ind w:firstLine="1505"/>
        <w:spacing w:after="0" w:line="257" w:lineRule="auto"/>
        <w:tabs>
          <w:tab w:leader="none" w:pos="2195" w:val="left"/>
        </w:tabs>
        <w:numPr>
          <w:ilvl w:val="0"/>
          <w:numId w:val="337"/>
        </w:numPr>
        <w:rPr>
          <w:rFonts w:ascii="Arial" w:cs="Arial" w:eastAsia="Arial" w:hAnsi="Arial"/>
          <w:sz w:val="21"/>
          <w:szCs w:val="21"/>
          <w:color w:val="auto"/>
        </w:rPr>
      </w:pPr>
      <w:r>
        <w:rPr>
          <w:rFonts w:ascii="Arial" w:cs="Arial" w:eastAsia="Arial" w:hAnsi="Arial"/>
          <w:sz w:val="21"/>
          <w:szCs w:val="21"/>
          <w:color w:val="auto"/>
        </w:rPr>
        <w:t>any application of any sums by whomever paid or however realized to any Guaranteed Obligations owing by the Guarantor, any other guarantor or the Borrowers to the Administrative Agent or any other Credit Party in such manner as the Administrative Agent or any other Credit Party shall determine in its reasonable discretion.</w:t>
      </w:r>
    </w:p>
    <w:p>
      <w:pPr>
        <w:spacing w:after="0" w:line="169"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SECTION 9.07 </w:t>
      </w:r>
      <w:r>
        <w:rPr>
          <w:rFonts w:ascii="Arial" w:cs="Arial" w:eastAsia="Arial" w:hAnsi="Arial"/>
          <w:sz w:val="19"/>
          <w:szCs w:val="19"/>
          <w:u w:val="single" w:color="auto"/>
          <w:color w:val="auto"/>
        </w:rPr>
        <w:t>Demand by the Administrative Agent</w:t>
      </w:r>
      <w:r>
        <w:rPr>
          <w:rFonts w:ascii="Arial" w:cs="Arial" w:eastAsia="Arial" w:hAnsi="Arial"/>
          <w:sz w:val="19"/>
          <w:szCs w:val="19"/>
          <w:color w:val="auto"/>
        </w:rPr>
        <w:t xml:space="preserve">. In addition to the terms set forth in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in no manner imposing any limitation on such terms, if all or any portion of the then outstanding Guaranteed Obligations are declared to be immediately due and payable, then the Guarantor shall, upon demand in writing therefor by the Administrative Agent to the Guarantor, pay all or such portion of the outstanding Guaranteed Obligations due hereunder then declared due and payable.</w:t>
      </w:r>
    </w:p>
    <w:p>
      <w:pPr>
        <w:spacing w:after="0" w:line="143"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Remedies</w:t>
      </w:r>
      <w:r>
        <w:rPr>
          <w:rFonts w:ascii="Arial" w:cs="Arial" w:eastAsia="Arial" w:hAnsi="Arial"/>
          <w:sz w:val="19"/>
          <w:szCs w:val="19"/>
          <w:color w:val="auto"/>
        </w:rPr>
        <w:t>. Upon the occurrence and during the continuance of any Event of Default, with the consent of the Required Lenders, the Administrative Agent may, or upon the request of the Required Lenders, the Administrative Agent shall, enforce against the Guarantor its obligations and liabilities hereunder and exercise such other rights and remedies as may be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0" w:name="page301"/>
    <w:bookmarkEnd w:id="300"/>
    <w:p>
      <w:pPr>
        <w:spacing w:after="0"/>
        <w:rPr>
          <w:sz w:val="20"/>
          <w:szCs w:val="20"/>
          <w:color w:val="auto"/>
        </w:rPr>
      </w:pPr>
      <w:r>
        <w:rPr>
          <w:rFonts w:ascii="Arial" w:cs="Arial" w:eastAsia="Arial" w:hAnsi="Arial"/>
          <w:sz w:val="22"/>
          <w:szCs w:val="22"/>
          <w:color w:val="auto"/>
        </w:rPr>
        <w:t>available to the Administrative Agent hereunder, under this Agreement, the other Loan Documents or otherwise.</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SECTION 9.09 </w:t>
      </w:r>
      <w:r>
        <w:rPr>
          <w:rFonts w:ascii="Arial" w:cs="Arial" w:eastAsia="Arial" w:hAnsi="Arial"/>
          <w:sz w:val="21"/>
          <w:szCs w:val="21"/>
          <w:u w:val="single" w:color="auto"/>
          <w:color w:val="auto"/>
        </w:rPr>
        <w:t>Benefits of Guaranty</w:t>
      </w:r>
      <w:r>
        <w:rPr>
          <w:rFonts w:ascii="Arial" w:cs="Arial" w:eastAsia="Arial" w:hAnsi="Arial"/>
          <w:sz w:val="21"/>
          <w:szCs w:val="21"/>
          <w:color w:val="auto"/>
        </w:rPr>
        <w:t>. The provisions of this Guaranty are for the benefit of the Administrative Agent and the other Credit Parties and their respective permitted successors, transferees, endorsees and assigns, and nothing herein contained shall impair, as between the Borrowers and their Subsidiaries, the Administrative Agent and the other Credit Parties, the obligations of the Borrowers and their Subsidiaries under the Loan Documents. In the event all or any part of the Guaranteed Obligations are transferred, endorsed or assigned by the Administrative Agent or any other Credit Party to any Person or Persons as permitted under this Agreement, any reference to an “Administrative Agent”, or “Credit Party” herein shall be deemed to refer equally to such Person or Persons.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9.10 </w:t>
      </w:r>
      <w:r>
        <w:rPr>
          <w:rFonts w:ascii="Arial" w:cs="Arial" w:eastAsia="Arial" w:hAnsi="Arial"/>
          <w:sz w:val="22"/>
          <w:szCs w:val="22"/>
          <w:u w:val="single" w:color="auto"/>
          <w:color w:val="auto"/>
        </w:rPr>
        <w:t>Termination; Reinstatement</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tabs>
          <w:tab w:leader="none" w:pos="2176" w:val="left"/>
        </w:tabs>
        <w:numPr>
          <w:ilvl w:val="0"/>
          <w:numId w:val="338"/>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below, this Guaranty shall remain in full force and effect until all the Guaranteed Obligations (other than contingent indemnification obligations) and all the obligations of the Guarantor shall have been indefeasibly paid in full in cash and the Commitments terminated.</w:t>
      </w:r>
    </w:p>
    <w:p>
      <w:pPr>
        <w:spacing w:after="0" w:line="186" w:lineRule="exact"/>
        <w:rPr>
          <w:rFonts w:ascii="Arial" w:cs="Arial" w:eastAsia="Arial" w:hAnsi="Arial"/>
          <w:sz w:val="22"/>
          <w:szCs w:val="22"/>
          <w:color w:val="auto"/>
        </w:rPr>
      </w:pPr>
    </w:p>
    <w:p>
      <w:pPr>
        <w:jc w:val="both"/>
        <w:ind w:firstLine="1505"/>
        <w:spacing w:after="0" w:line="274" w:lineRule="auto"/>
        <w:tabs>
          <w:tab w:leader="none" w:pos="2165" w:val="left"/>
        </w:tabs>
        <w:numPr>
          <w:ilvl w:val="0"/>
          <w:numId w:val="338"/>
        </w:numPr>
        <w:rPr>
          <w:rFonts w:ascii="Arial" w:cs="Arial" w:eastAsia="Arial" w:hAnsi="Arial"/>
          <w:sz w:val="19"/>
          <w:szCs w:val="19"/>
          <w:color w:val="auto"/>
        </w:rPr>
      </w:pPr>
      <w:r>
        <w:rPr>
          <w:rFonts w:ascii="Arial" w:cs="Arial" w:eastAsia="Arial" w:hAnsi="Arial"/>
          <w:sz w:val="19"/>
          <w:szCs w:val="19"/>
          <w:color w:val="auto"/>
        </w:rPr>
        <w:t>No payment made by the Borrowers, the Guarantor, any other guarantor or any other Person received or collected by the Administrative Agent or any other Credit Party from the Borrowers, the Guarantor,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the Guarantor hereunder which shall, notwithstanding any such payment (other than any payment made by the Guarantor in respect of the obligations of the Guarantor or any payment received or collected from the Guarantor in respect of the obligations of the Guarantor), remain liable for the obligations of the Guarantor up to the maximum liability of the Guarantor hereunder until the Guaranteed Obligations (other than contingent indemnification obligations) and all the obligations of the Guarantor shall have been indefeasibly paid in full in cash and the Commitments terminated.</w:t>
      </w:r>
    </w:p>
    <w:p>
      <w:pPr>
        <w:spacing w:after="0" w:line="158" w:lineRule="exact"/>
        <w:rPr>
          <w:rFonts w:ascii="Arial" w:cs="Arial" w:eastAsia="Arial" w:hAnsi="Arial"/>
          <w:sz w:val="19"/>
          <w:szCs w:val="19"/>
          <w:color w:val="auto"/>
        </w:rPr>
      </w:pPr>
    </w:p>
    <w:p>
      <w:pPr>
        <w:jc w:val="both"/>
        <w:ind w:firstLine="1505"/>
        <w:spacing w:after="0" w:line="273" w:lineRule="auto"/>
        <w:tabs>
          <w:tab w:leader="none" w:pos="2181" w:val="left"/>
        </w:tabs>
        <w:numPr>
          <w:ilvl w:val="0"/>
          <w:numId w:val="338"/>
        </w:numPr>
        <w:rPr>
          <w:rFonts w:ascii="Arial" w:cs="Arial" w:eastAsia="Arial" w:hAnsi="Arial"/>
          <w:sz w:val="19"/>
          <w:szCs w:val="19"/>
          <w:color w:val="auto"/>
        </w:rPr>
      </w:pPr>
      <w:r>
        <w:rPr>
          <w:rFonts w:ascii="Arial" w:cs="Arial" w:eastAsia="Arial" w:hAnsi="Arial"/>
          <w:sz w:val="19"/>
          <w:szCs w:val="19"/>
          <w:color w:val="auto"/>
        </w:rPr>
        <w:t>The Guarantor agrees that, if any payment made by the Borrowers or any other Person applied to the Guaranteed Obligations is at any time avoided, annulled, set aside, rescinded, invalidated, declared to be fraudulent or preferential or otherwise required to be refunded or repaid, or is repaid in whole or in part pursuant to a good faith settlement of a pending or threatened avoidance claim, or the proceeds of any collateral are required to be refunded by the Administrative Agent or any other Credit Party to the Borrowers, its estate, trustee, receiver or any other Person, including, without limitation, the Guarantor, under any applicable law or equitable cause, then, to the extent of such payment or repayment, the Guarantor’s liability hereunder (and any Lien or collateral securing such liability, if any) shall be and remain in full force and effect, as fully as if such payment had never been made, and, if prior thereto, this Guaranty shall have been canceled or surrendered (and if any Lien or collateral securing the Guarantor’s liability hereunder shall have been released or terminated by virtue of such cancellation or surrender), this Guaranty (and such Lien or collateral, if any) shall be reinstated in full force and effect, and such prior cancellation or surrender shall not diminish, release, discharge, impair or otherwise affect the obligations of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1" w:name="page302"/>
    <w:bookmarkEnd w:id="301"/>
    <w:p>
      <w:pPr>
        <w:spacing w:after="0"/>
        <w:rPr>
          <w:sz w:val="20"/>
          <w:szCs w:val="20"/>
          <w:color w:val="auto"/>
        </w:rPr>
      </w:pPr>
      <w:r>
        <w:rPr>
          <w:rFonts w:ascii="Arial" w:cs="Arial" w:eastAsia="Arial" w:hAnsi="Arial"/>
          <w:sz w:val="22"/>
          <w:szCs w:val="22"/>
          <w:color w:val="auto"/>
        </w:rPr>
        <w:t>Guarantor in respect of the amount of such payment (or any Lien or collateral securing such obligation, if any).</w:t>
      </w:r>
    </w:p>
    <w:p>
      <w:pPr>
        <w:spacing w:after="0" w:line="20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SECTION 9.11 </w:t>
      </w: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Any payments by the Guarantor shall be made to the Administrative Agent, to be credited and applied to the Guaranteed Obligations in accordance with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in immediately available U.S. Dollars or such other currency specified by the Administrative Agent to an account designated by the Administrative Agent or at any address that may be specified in writing from time to time by the Administrative Agent. The Guarantor further agrees that if payment in respect of any Obligation shall be due in a Foreign Currency and/or at a place of payment other than New York and if, by reason of any Change in Law, disruption of currency or foreign exchange markets, war or civil disturbance or other event, payment of such Obligation in such currency or at such place of payment shall be impossible or, in the reasonable judgment of any Credit Party, not consistent with the protection of its rights or interests, then, at the election of the Administrative Agent, the Guarantor shall make payment of such Obligation in U.S. Dollars (based upon the applicable Exchange Rate in effect on the date of payment) and/or in New York, and shall indemnify the Credit Parties against any losses or reasonable out-of-pocket expenses that it shall sustain as a result of such alternative payment. The Guarantor shall pay and indemnify each Indemnitee against Indemnified Taxes and Other Taxes to the extent the Borrowers would be required to do so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w:t>
      </w:r>
    </w:p>
    <w:p>
      <w:pPr>
        <w:spacing w:after="0" w:line="161"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SECTION 9.12 </w:t>
      </w:r>
      <w:r>
        <w:rPr>
          <w:rFonts w:ascii="Arial" w:cs="Arial" w:eastAsia="Arial" w:hAnsi="Arial"/>
          <w:sz w:val="22"/>
          <w:szCs w:val="22"/>
          <w:u w:val="single" w:color="auto"/>
          <w:color w:val="auto"/>
        </w:rPr>
        <w:t>Injunctive Relief</w:t>
      </w:r>
      <w:r>
        <w:rPr>
          <w:rFonts w:ascii="Arial" w:cs="Arial" w:eastAsia="Arial" w:hAnsi="Arial"/>
          <w:sz w:val="22"/>
          <w:szCs w:val="22"/>
          <w:color w:val="auto"/>
        </w:rPr>
        <w:t>. The Guarantor and Borrowers recognize that, in the event the Guarantor and Borrowers fail to perform, observe or discharge any of its obligations or liabilities under this Guaranty, this Agreement or any other Loan Document, any remedy of law may prove to be inadequate relief to the Administrative Agent and the other Credit Parties. Therefore, the Guarantor and Borrowers agree that the Administrative Agent and the other Credit Parties, at the option of the Administrative Agent and the other Credit Parties, shall be entitled to temporary and permanent injunctive relief in any such case without the necessity of proving actual damages.</w:t>
      </w:r>
    </w:p>
    <w:p>
      <w:pPr>
        <w:spacing w:after="0" w:line="18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u w:val="single" w:color="auto"/>
          <w:color w:val="auto"/>
        </w:rPr>
        <w:t>No Waiver by Course of Conduct</w:t>
      </w:r>
      <w:r>
        <w:rPr>
          <w:rFonts w:ascii="Arial" w:cs="Arial" w:eastAsia="Arial" w:hAnsi="Arial"/>
          <w:sz w:val="19"/>
          <w:szCs w:val="19"/>
          <w:color w:val="auto"/>
        </w:rPr>
        <w:t>. No course of dealing between the Loan Parties, the Administrative Agent or any Credit Party or their respective agents or employees shall be effective to change, modify or discharge any provision of this Guaranty or any other Loan Documents or to constitute a waiver of any Default. The enumeration of the rights and remedies of the Administrative Agent and the other Credit Parties set forth in this Guaranty is not intended to be exhaustive and the exercise by the Administrative Agent and the other Credit Parties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w:t>
      </w:r>
    </w:p>
    <w:p>
      <w:pPr>
        <w:spacing w:after="0" w:line="15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SECTION 9.14 </w:t>
      </w:r>
      <w:r>
        <w:rPr>
          <w:rFonts w:ascii="Arial" w:cs="Arial" w:eastAsia="Arial" w:hAnsi="Arial"/>
          <w:sz w:val="22"/>
          <w:szCs w:val="22"/>
          <w:u w:val="single" w:color="auto"/>
          <w:color w:val="auto"/>
        </w:rPr>
        <w:t>Subordination of Intercompany Indebtedness</w:t>
      </w:r>
      <w:r>
        <w:rPr>
          <w:rFonts w:ascii="Arial" w:cs="Arial" w:eastAsia="Arial" w:hAnsi="Arial"/>
          <w:sz w:val="22"/>
          <w:szCs w:val="22"/>
          <w:color w:val="auto"/>
        </w:rPr>
        <w:t>. Any Indebtedness of any Borrowers or any other Credit Party now or hereafter held by the Guarantor is hereby subordinated in right of payment to the prior indefeasible payment in full in cash of all of the Guaranteed Obligations. Notwithstanding the foregoing, prior to the occurrence of a Default, any Borrowers or any other Credit Party may make any payments (whether principal, interest, fees, expenses or any other payment of any kind) to the Guarantor on account of any such Indebtedness. After the occurrence and during the continuance of a Default, the Guarantor will not demand, sue for, or otherwise attempt to collect any such Indebtedness until the indefeasible payment in full in cash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2" w:name="page303"/>
    <w:bookmarkEnd w:id="302"/>
    <w:p>
      <w:pPr>
        <w:jc w:val="both"/>
        <w:spacing w:after="0" w:line="287" w:lineRule="auto"/>
        <w:rPr>
          <w:sz w:val="20"/>
          <w:szCs w:val="20"/>
          <w:color w:val="auto"/>
        </w:rPr>
      </w:pPr>
      <w:r>
        <w:rPr>
          <w:rFonts w:ascii="Arial" w:cs="Arial" w:eastAsia="Arial" w:hAnsi="Arial"/>
          <w:sz w:val="19"/>
          <w:szCs w:val="19"/>
          <w:color w:val="auto"/>
        </w:rPr>
        <w:t>of the Guaranteed Obligations and termination or expiration of the Commitments under this Agreement. If any amount shall erroneously be paid to the Guarantor on account of any such Indebtedness of any Credit Party, such amount shall be held in trust for the benefit of the Credit Parties and shall forthwith be paid to the Administrative Agent to be credited against the payment of the Guaranteed Obligations, whether matured or unmatured, in accordance with the terms of this Agreement.</w:t>
      </w:r>
    </w:p>
    <w:p>
      <w:pPr>
        <w:spacing w:after="0" w:line="14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SECTION 9.15 </w:t>
      </w:r>
      <w:r>
        <w:rPr>
          <w:rFonts w:ascii="Arial" w:cs="Arial" w:eastAsia="Arial" w:hAnsi="Arial"/>
          <w:sz w:val="21"/>
          <w:szCs w:val="21"/>
          <w:u w:val="single" w:color="auto"/>
          <w:color w:val="auto"/>
        </w:rPr>
        <w:t>Advice of Counsel, No Strict Construction; Acknowledgements</w:t>
      </w:r>
      <w:r>
        <w:rPr>
          <w:rFonts w:ascii="Arial" w:cs="Arial" w:eastAsia="Arial" w:hAnsi="Arial"/>
          <w:sz w:val="21"/>
          <w:szCs w:val="21"/>
          <w:color w:val="auto"/>
        </w:rPr>
        <w:t>. Each of the parties represents to each other party hereto that it has discussed this Guaranty with its counsel. The parties hereto have participated jointly in the negotiation and drafting of this Guaranty. In the event an ambiguity or question of intent or interpretation arises, this Guaranty shall be construed as if drafted jointly by the parties hereto and no presumption or burden of proof shall arise favoring or disfavoring any party by virtue of the authorship of any provisions of this Guaranty. The Guarantor hereby acknowledges that no joint venture is created hereby or by the other Loan Documents or otherwise exists by virtue of the transactions contemplated hereby or thereby among the Credit Parties or among the Guarantor and the Credit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97" w:lineRule="auto"/>
        <w:tabs>
          <w:tab w:leader="none" w:pos="2181" w:val="left"/>
        </w:tabs>
        <w:numPr>
          <w:ilvl w:val="0"/>
          <w:numId w:val="339"/>
        </w:numPr>
        <w:rPr>
          <w:rFonts w:ascii="Arial" w:cs="Arial" w:eastAsia="Arial" w:hAnsi="Arial"/>
          <w:sz w:val="19"/>
          <w:szCs w:val="19"/>
          <w:color w:val="auto"/>
        </w:rPr>
      </w:pPr>
      <w:r>
        <w:rPr>
          <w:rFonts w:ascii="Arial" w:cs="Arial" w:eastAsia="Arial" w:hAnsi="Arial"/>
          <w:sz w:val="19"/>
          <w:szCs w:val="19"/>
          <w:color w:val="auto"/>
        </w:rPr>
        <w:t xml:space="preserve">Except in the case of notices and other communications expressly permitted to be given by telephone (and subject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below), all notices and other communications provided for herein shall be in writing and shall be delivered by hand or overnight courier service, mailed by certified or registered mail or sent by telecopy, as follows:</w:t>
      </w:r>
    </w:p>
    <w:p>
      <w:pPr>
        <w:spacing w:after="0" w:line="134" w:lineRule="exact"/>
        <w:rPr>
          <w:sz w:val="20"/>
          <w:szCs w:val="20"/>
          <w:color w:val="auto"/>
        </w:rPr>
      </w:pPr>
    </w:p>
    <w:p>
      <w:pPr>
        <w:ind w:left="2260" w:hanging="754"/>
        <w:spacing w:after="0" w:line="274" w:lineRule="auto"/>
        <w:tabs>
          <w:tab w:leader="none" w:pos="2269" w:val="left"/>
        </w:tabs>
        <w:numPr>
          <w:ilvl w:val="0"/>
          <w:numId w:val="340"/>
        </w:numPr>
        <w:rPr>
          <w:rFonts w:ascii="Arial" w:cs="Arial" w:eastAsia="Arial" w:hAnsi="Arial"/>
          <w:sz w:val="21"/>
          <w:szCs w:val="21"/>
          <w:color w:val="auto"/>
        </w:rPr>
      </w:pPr>
      <w:r>
        <w:rPr>
          <w:rFonts w:ascii="Arial" w:cs="Arial" w:eastAsia="Arial" w:hAnsi="Arial"/>
          <w:sz w:val="21"/>
          <w:szCs w:val="21"/>
          <w:color w:val="auto"/>
        </w:rPr>
        <w:t>if to any Loan Party, to the Company at Cabot Corporation, Two Seaport Lane, Boston, Massachusetts 02210-2019, Attention of Steven J. Delahunt (Telecopy No. (617) 342-6208);</w:t>
      </w:r>
    </w:p>
    <w:p>
      <w:pPr>
        <w:spacing w:after="0" w:line="150" w:lineRule="exact"/>
        <w:rPr>
          <w:rFonts w:ascii="Arial" w:cs="Arial" w:eastAsia="Arial" w:hAnsi="Arial"/>
          <w:sz w:val="21"/>
          <w:szCs w:val="21"/>
          <w:color w:val="auto"/>
        </w:rPr>
      </w:pPr>
    </w:p>
    <w:p>
      <w:pPr>
        <w:ind w:left="2260"/>
        <w:spacing w:after="0"/>
        <w:rPr>
          <w:rFonts w:ascii="Arial" w:cs="Arial" w:eastAsia="Arial" w:hAnsi="Arial"/>
          <w:sz w:val="21"/>
          <w:szCs w:val="21"/>
          <w:color w:val="auto"/>
        </w:rPr>
      </w:pPr>
      <w:r>
        <w:rPr>
          <w:rFonts w:ascii="Arial" w:cs="Arial" w:eastAsia="Arial" w:hAnsi="Arial"/>
          <w:sz w:val="22"/>
          <w:szCs w:val="22"/>
          <w:color w:val="auto"/>
        </w:rPr>
        <w:t>with copies to (which shall not constitute notice to any Loan Party):</w:t>
      </w:r>
    </w:p>
    <w:p>
      <w:pPr>
        <w:spacing w:after="0" w:line="206"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Ropes &amp; Gray LLP</w:t>
      </w:r>
    </w:p>
    <w:p>
      <w:pPr>
        <w:ind w:left="3760"/>
        <w:spacing w:after="0" w:line="238" w:lineRule="auto"/>
        <w:rPr>
          <w:sz w:val="20"/>
          <w:szCs w:val="20"/>
          <w:color w:val="auto"/>
        </w:rPr>
      </w:pPr>
      <w:r>
        <w:rPr>
          <w:rFonts w:ascii="Arial" w:cs="Arial" w:eastAsia="Arial" w:hAnsi="Arial"/>
          <w:sz w:val="22"/>
          <w:szCs w:val="22"/>
          <w:color w:val="auto"/>
        </w:rPr>
        <w:t>1211 Avenue of the Americas</w:t>
      </w:r>
    </w:p>
    <w:p>
      <w:pPr>
        <w:ind w:left="3760"/>
        <w:spacing w:after="0" w:line="230" w:lineRule="auto"/>
        <w:rPr>
          <w:sz w:val="20"/>
          <w:szCs w:val="20"/>
          <w:color w:val="auto"/>
        </w:rPr>
      </w:pPr>
      <w:r>
        <w:rPr>
          <w:rFonts w:ascii="Arial" w:cs="Arial" w:eastAsia="Arial" w:hAnsi="Arial"/>
          <w:sz w:val="22"/>
          <w:szCs w:val="22"/>
          <w:color w:val="auto"/>
        </w:rPr>
        <w:t>New York, NY 10031</w:t>
      </w:r>
    </w:p>
    <w:p>
      <w:pPr>
        <w:ind w:left="3760"/>
        <w:spacing w:after="0" w:line="231" w:lineRule="auto"/>
        <w:rPr>
          <w:sz w:val="20"/>
          <w:szCs w:val="20"/>
          <w:color w:val="auto"/>
        </w:rPr>
      </w:pPr>
      <w:r>
        <w:rPr>
          <w:rFonts w:ascii="Arial" w:cs="Arial" w:eastAsia="Arial" w:hAnsi="Arial"/>
          <w:sz w:val="22"/>
          <w:szCs w:val="22"/>
          <w:color w:val="auto"/>
        </w:rPr>
        <w:t>Attention: Jay Kim</w:t>
      </w:r>
    </w:p>
    <w:p>
      <w:pPr>
        <w:ind w:left="3760"/>
        <w:spacing w:after="0" w:line="230" w:lineRule="auto"/>
        <w:rPr>
          <w:sz w:val="20"/>
          <w:szCs w:val="20"/>
          <w:color w:val="auto"/>
        </w:rPr>
      </w:pPr>
      <w:r>
        <w:rPr>
          <w:rFonts w:ascii="Arial" w:cs="Arial" w:eastAsia="Arial" w:hAnsi="Arial"/>
          <w:sz w:val="22"/>
          <w:szCs w:val="22"/>
          <w:color w:val="auto"/>
        </w:rPr>
        <w:t>Email: jay.kim@ropesgray.com</w:t>
      </w:r>
    </w:p>
    <w:p>
      <w:pPr>
        <w:ind w:left="3760"/>
        <w:spacing w:after="0" w:line="231" w:lineRule="auto"/>
        <w:rPr>
          <w:sz w:val="20"/>
          <w:szCs w:val="20"/>
          <w:color w:val="auto"/>
        </w:rPr>
      </w:pPr>
      <w:r>
        <w:rPr>
          <w:rFonts w:ascii="Arial" w:cs="Arial" w:eastAsia="Arial" w:hAnsi="Arial"/>
          <w:sz w:val="22"/>
          <w:szCs w:val="22"/>
          <w:color w:val="auto"/>
        </w:rPr>
        <w:t>Telephone: (212) 497-3626</w:t>
      </w:r>
    </w:p>
    <w:p>
      <w:pPr>
        <w:ind w:left="3760"/>
        <w:spacing w:after="0"/>
        <w:rPr>
          <w:sz w:val="20"/>
          <w:szCs w:val="20"/>
          <w:color w:val="auto"/>
        </w:rPr>
      </w:pPr>
      <w:r>
        <w:rPr>
          <w:rFonts w:ascii="Arial" w:cs="Arial" w:eastAsia="Arial" w:hAnsi="Arial"/>
          <w:sz w:val="22"/>
          <w:szCs w:val="22"/>
          <w:color w:val="auto"/>
        </w:rPr>
        <w:t>Facsimile: (646) 728-1667</w:t>
      </w:r>
    </w:p>
    <w:p>
      <w:pPr>
        <w:spacing w:after="0" w:line="215" w:lineRule="exact"/>
        <w:rPr>
          <w:sz w:val="20"/>
          <w:szCs w:val="20"/>
          <w:color w:val="auto"/>
        </w:rPr>
      </w:pPr>
    </w:p>
    <w:p>
      <w:pPr>
        <w:ind w:left="2260" w:right="440" w:hanging="754"/>
        <w:spacing w:after="0" w:line="250" w:lineRule="auto"/>
        <w:tabs>
          <w:tab w:leader="none" w:pos="2260" w:val="left"/>
        </w:tabs>
        <w:numPr>
          <w:ilvl w:val="0"/>
          <w:numId w:val="341"/>
        </w:numPr>
        <w:rPr>
          <w:rFonts w:ascii="Arial" w:cs="Arial" w:eastAsia="Arial" w:hAnsi="Arial"/>
          <w:sz w:val="22"/>
          <w:szCs w:val="22"/>
          <w:color w:val="auto"/>
        </w:rPr>
      </w:pPr>
      <w:r>
        <w:rPr>
          <w:rFonts w:ascii="Arial" w:cs="Arial" w:eastAsia="Arial" w:hAnsi="Arial"/>
          <w:sz w:val="22"/>
          <w:szCs w:val="22"/>
          <w:color w:val="auto"/>
        </w:rPr>
        <w:t>if to the Administrative Agent or to PNC Bank, National Association, in its capacity as a Swingline Lender:</w:t>
      </w:r>
    </w:p>
    <w:p>
      <w:pPr>
        <w:spacing w:after="0" w:line="175"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PNC Bank, National Association</w:t>
      </w:r>
    </w:p>
    <w:p>
      <w:pPr>
        <w:ind w:left="3760"/>
        <w:spacing w:after="0" w:line="238" w:lineRule="auto"/>
        <w:rPr>
          <w:sz w:val="20"/>
          <w:szCs w:val="20"/>
          <w:color w:val="auto"/>
        </w:rPr>
      </w:pPr>
      <w:r>
        <w:rPr>
          <w:rFonts w:ascii="Arial" w:cs="Arial" w:eastAsia="Arial" w:hAnsi="Arial"/>
          <w:sz w:val="22"/>
          <w:szCs w:val="22"/>
          <w:color w:val="auto"/>
        </w:rPr>
        <w:t>Mail Stop: P7-PFSC-04-I</w:t>
      </w:r>
    </w:p>
    <w:p>
      <w:pPr>
        <w:ind w:left="3760"/>
        <w:spacing w:after="0" w:line="227" w:lineRule="auto"/>
        <w:rPr>
          <w:sz w:val="20"/>
          <w:szCs w:val="20"/>
          <w:color w:val="auto"/>
        </w:rPr>
      </w:pPr>
      <w:r>
        <w:rPr>
          <w:rFonts w:ascii="Arial" w:cs="Arial" w:eastAsia="Arial" w:hAnsi="Arial"/>
          <w:sz w:val="22"/>
          <w:szCs w:val="22"/>
          <w:color w:val="auto"/>
        </w:rPr>
        <w:t>500 First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3" w:name="page304"/>
    <w:bookmarkEnd w:id="303"/>
    <w:p>
      <w:pPr>
        <w:ind w:left="3760"/>
        <w:spacing w:after="0"/>
        <w:rPr>
          <w:sz w:val="20"/>
          <w:szCs w:val="20"/>
          <w:color w:val="auto"/>
        </w:rPr>
      </w:pPr>
      <w:r>
        <w:rPr>
          <w:rFonts w:ascii="Arial" w:cs="Arial" w:eastAsia="Arial" w:hAnsi="Arial"/>
          <w:sz w:val="22"/>
          <w:szCs w:val="22"/>
          <w:color w:val="auto"/>
        </w:rPr>
        <w:t>Pittsburgh, PA 15219</w:t>
      </w:r>
    </w:p>
    <w:p>
      <w:pPr>
        <w:ind w:left="3760"/>
        <w:spacing w:after="0" w:line="238" w:lineRule="auto"/>
        <w:rPr>
          <w:sz w:val="20"/>
          <w:szCs w:val="20"/>
          <w:color w:val="auto"/>
        </w:rPr>
      </w:pPr>
      <w:r>
        <w:rPr>
          <w:rFonts w:ascii="Arial" w:cs="Arial" w:eastAsia="Arial" w:hAnsi="Arial"/>
          <w:sz w:val="22"/>
          <w:szCs w:val="22"/>
          <w:color w:val="auto"/>
        </w:rPr>
        <w:t>Attention: Agency Services</w:t>
      </w:r>
    </w:p>
    <w:p>
      <w:pPr>
        <w:ind w:left="3760"/>
        <w:spacing w:after="0" w:line="230" w:lineRule="auto"/>
        <w:rPr>
          <w:sz w:val="20"/>
          <w:szCs w:val="20"/>
          <w:color w:val="auto"/>
        </w:rPr>
      </w:pPr>
      <w:r>
        <w:rPr>
          <w:rFonts w:ascii="Arial" w:cs="Arial" w:eastAsia="Arial" w:hAnsi="Arial"/>
          <w:sz w:val="22"/>
          <w:szCs w:val="22"/>
          <w:color w:val="auto"/>
        </w:rPr>
        <w:t>Telephone: (412)762-6442</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Facsimile: (412)762-8672</w:t>
      </w:r>
    </w:p>
    <w:p>
      <w:pPr>
        <w:spacing w:after="0" w:line="215"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with copies to:</w:t>
      </w:r>
    </w:p>
    <w:p>
      <w:pPr>
        <w:spacing w:after="0" w:line="233"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PNC Bank, National Association</w:t>
      </w:r>
    </w:p>
    <w:p>
      <w:pPr>
        <w:ind w:left="3760"/>
        <w:spacing w:after="0" w:line="238" w:lineRule="auto"/>
        <w:rPr>
          <w:sz w:val="20"/>
          <w:szCs w:val="20"/>
          <w:color w:val="auto"/>
        </w:rPr>
      </w:pPr>
      <w:r>
        <w:rPr>
          <w:rFonts w:ascii="Arial" w:cs="Arial" w:eastAsia="Arial" w:hAnsi="Arial"/>
          <w:sz w:val="22"/>
          <w:szCs w:val="22"/>
          <w:color w:val="auto"/>
        </w:rPr>
        <w:t>The Tower at PNC Plaza</w:t>
      </w:r>
    </w:p>
    <w:p>
      <w:pPr>
        <w:ind w:left="3760"/>
        <w:spacing w:after="0" w:line="230" w:lineRule="auto"/>
        <w:rPr>
          <w:sz w:val="20"/>
          <w:szCs w:val="20"/>
          <w:color w:val="auto"/>
        </w:rPr>
      </w:pPr>
      <w:r>
        <w:rPr>
          <w:rFonts w:ascii="Arial" w:cs="Arial" w:eastAsia="Arial" w:hAnsi="Arial"/>
          <w:sz w:val="22"/>
          <w:szCs w:val="22"/>
          <w:color w:val="auto"/>
        </w:rPr>
        <w:t>300 Fifth Avenue, 14th Floor</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Pittsburgh, PA 15222</w:t>
      </w:r>
    </w:p>
    <w:p>
      <w:pPr>
        <w:spacing w:after="0" w:line="215" w:lineRule="exact"/>
        <w:rPr>
          <w:sz w:val="20"/>
          <w:szCs w:val="20"/>
          <w:color w:val="auto"/>
        </w:rPr>
      </w:pPr>
    </w:p>
    <w:p>
      <w:pPr>
        <w:ind w:left="2260" w:right="280" w:hanging="754"/>
        <w:spacing w:after="0" w:line="250" w:lineRule="auto"/>
        <w:tabs>
          <w:tab w:leader="none" w:pos="2692" w:val="left"/>
        </w:tabs>
        <w:numPr>
          <w:ilvl w:val="0"/>
          <w:numId w:val="342"/>
        </w:numPr>
        <w:rPr>
          <w:rFonts w:ascii="Arial" w:cs="Arial" w:eastAsia="Arial" w:hAnsi="Arial"/>
          <w:sz w:val="22"/>
          <w:szCs w:val="22"/>
          <w:color w:val="auto"/>
        </w:rPr>
      </w:pPr>
      <w:r>
        <w:rPr>
          <w:rFonts w:ascii="Arial" w:cs="Arial" w:eastAsia="Arial" w:hAnsi="Arial"/>
          <w:sz w:val="22"/>
          <w:szCs w:val="22"/>
          <w:color w:val="auto"/>
        </w:rPr>
        <w:t>if to any other Swingline Lender, its address (or telecopy number) set forth in its Administrative Questionnaire;</w:t>
      </w:r>
    </w:p>
    <w:p>
      <w:pPr>
        <w:spacing w:after="0" w:line="174" w:lineRule="exact"/>
        <w:rPr>
          <w:rFonts w:ascii="Arial" w:cs="Arial" w:eastAsia="Arial" w:hAnsi="Arial"/>
          <w:sz w:val="22"/>
          <w:szCs w:val="22"/>
          <w:color w:val="auto"/>
        </w:rPr>
      </w:pPr>
    </w:p>
    <w:p>
      <w:pPr>
        <w:ind w:left="2260" w:right="660" w:hanging="754"/>
        <w:spacing w:after="0" w:line="250" w:lineRule="auto"/>
        <w:tabs>
          <w:tab w:leader="none" w:pos="2260" w:val="left"/>
        </w:tabs>
        <w:numPr>
          <w:ilvl w:val="0"/>
          <w:numId w:val="342"/>
        </w:numPr>
        <w:rPr>
          <w:rFonts w:ascii="Arial" w:cs="Arial" w:eastAsia="Arial" w:hAnsi="Arial"/>
          <w:sz w:val="22"/>
          <w:szCs w:val="22"/>
          <w:color w:val="auto"/>
        </w:rPr>
      </w:pPr>
      <w:r>
        <w:rPr>
          <w:rFonts w:ascii="Arial" w:cs="Arial" w:eastAsia="Arial" w:hAnsi="Arial"/>
          <w:sz w:val="22"/>
          <w:szCs w:val="22"/>
          <w:color w:val="auto"/>
        </w:rPr>
        <w:t>and if to any other Lender, to it at its address (or telecopy number) set forth in its Administrative Questionnaire.</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the Platform, to the extent provided in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below, shall be effective as provided in said </w:t>
      </w:r>
      <w:r>
        <w:rPr>
          <w:rFonts w:ascii="Arial" w:cs="Arial" w:eastAsia="Arial" w:hAnsi="Arial"/>
          <w:sz w:val="22"/>
          <w:szCs w:val="22"/>
          <w:u w:val="single" w:color="auto"/>
          <w:color w:val="auto"/>
        </w:rPr>
        <w:t>paragraph (b)</w:t>
      </w:r>
      <w:r>
        <w:rPr>
          <w:rFonts w:ascii="Arial" w:cs="Arial" w:eastAsia="Arial" w:hAnsi="Arial"/>
          <w:sz w:val="22"/>
          <w:szCs w:val="22"/>
          <w:color w:val="auto"/>
        </w:rPr>
        <w:t>.</w:t>
      </w:r>
    </w:p>
    <w:p>
      <w:pPr>
        <w:spacing w:after="0" w:line="187" w:lineRule="exact"/>
        <w:rPr>
          <w:sz w:val="20"/>
          <w:szCs w:val="20"/>
          <w:color w:val="auto"/>
        </w:rPr>
      </w:pPr>
    </w:p>
    <w:p>
      <w:pPr>
        <w:jc w:val="both"/>
        <w:ind w:firstLine="1505"/>
        <w:spacing w:after="0" w:line="244" w:lineRule="auto"/>
        <w:tabs>
          <w:tab w:leader="none" w:pos="2163" w:val="left"/>
        </w:tabs>
        <w:numPr>
          <w:ilvl w:val="0"/>
          <w:numId w:val="343"/>
        </w:numPr>
        <w:rPr>
          <w:rFonts w:ascii="Arial" w:cs="Arial" w:eastAsia="Arial" w:hAnsi="Arial"/>
          <w:sz w:val="21"/>
          <w:szCs w:val="21"/>
          <w:color w:val="auto"/>
        </w:rPr>
      </w:pPr>
      <w:r>
        <w:rPr>
          <w:rFonts w:ascii="Arial" w:cs="Arial" w:eastAsia="Arial" w:hAnsi="Arial"/>
          <w:sz w:val="21"/>
          <w:szCs w:val="21"/>
          <w:color w:val="auto"/>
        </w:rPr>
        <w:t xml:space="preserve">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apply to notices pursuant to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of notification that such notice or communication is available and identifying the website address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both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0" w:lineRule="exact"/>
        <w:rPr>
          <w:rFonts w:ascii="Arial" w:cs="Arial" w:eastAsia="Arial" w:hAnsi="Arial"/>
          <w:sz w:val="21"/>
          <w:szCs w:val="21"/>
          <w:color w:val="auto"/>
        </w:rPr>
      </w:pPr>
    </w:p>
    <w:p>
      <w:pPr>
        <w:ind w:firstLine="1505"/>
        <w:spacing w:after="0" w:line="250" w:lineRule="auto"/>
        <w:tabs>
          <w:tab w:leader="none" w:pos="2194" w:val="left"/>
        </w:tabs>
        <w:numPr>
          <w:ilvl w:val="0"/>
          <w:numId w:val="343"/>
        </w:numPr>
        <w:rPr>
          <w:rFonts w:ascii="Arial" w:cs="Arial" w:eastAsia="Arial" w:hAnsi="Arial"/>
          <w:sz w:val="22"/>
          <w:szCs w:val="22"/>
          <w:color w:val="auto"/>
        </w:rPr>
      </w:pPr>
      <w:r>
        <w:rPr>
          <w:rFonts w:ascii="Arial" w:cs="Arial" w:eastAsia="Arial" w:hAnsi="Arial"/>
          <w:sz w:val="22"/>
          <w:szCs w:val="22"/>
          <w:color w:val="auto"/>
        </w:rPr>
        <w:t>Any party hereto may change its address or telecopy number for notices and other communications hereunder by notice to the other parties hereto.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4" w:name="page305"/>
    <w:bookmarkEnd w:id="304"/>
    <w:p>
      <w:pPr>
        <w:ind w:left="2160" w:hanging="655"/>
        <w:spacing w:after="0"/>
        <w:tabs>
          <w:tab w:leader="none" w:pos="2160" w:val="left"/>
        </w:tabs>
        <w:numPr>
          <w:ilvl w:val="0"/>
          <w:numId w:val="344"/>
        </w:numPr>
        <w:rPr>
          <w:rFonts w:ascii="Arial" w:cs="Arial" w:eastAsia="Arial" w:hAnsi="Arial"/>
          <w:sz w:val="22"/>
          <w:szCs w:val="22"/>
          <w:color w:val="auto"/>
        </w:rPr>
      </w:pPr>
      <w:r>
        <w:rPr>
          <w:rFonts w:ascii="Arial" w:cs="Arial" w:eastAsia="Arial" w:hAnsi="Arial"/>
          <w:sz w:val="22"/>
          <w:szCs w:val="22"/>
          <w:color w:val="auto"/>
        </w:rPr>
        <w:t>Platform.</w:t>
      </w:r>
    </w:p>
    <w:p>
      <w:pPr>
        <w:spacing w:after="0" w:line="206" w:lineRule="exact"/>
        <w:rPr>
          <w:sz w:val="20"/>
          <w:szCs w:val="20"/>
          <w:color w:val="auto"/>
        </w:rPr>
      </w:pPr>
    </w:p>
    <w:p>
      <w:pPr>
        <w:ind w:left="2260" w:hanging="754"/>
        <w:spacing w:after="0" w:line="328" w:lineRule="auto"/>
        <w:tabs>
          <w:tab w:leader="none" w:pos="2291" w:val="left"/>
        </w:tabs>
        <w:numPr>
          <w:ilvl w:val="0"/>
          <w:numId w:val="345"/>
        </w:numPr>
        <w:rPr>
          <w:rFonts w:ascii="Arial" w:cs="Arial" w:eastAsia="Arial" w:hAnsi="Arial"/>
          <w:sz w:val="19"/>
          <w:szCs w:val="19"/>
          <w:color w:val="auto"/>
        </w:rPr>
      </w:pPr>
      <w:r>
        <w:rPr>
          <w:rFonts w:ascii="Arial" w:cs="Arial" w:eastAsia="Arial" w:hAnsi="Arial"/>
          <w:sz w:val="19"/>
          <w:szCs w:val="19"/>
          <w:color w:val="auto"/>
        </w:rPr>
        <w:t>Each Loan Party agrees that the Administrative Agent may, but shall not be obligated to, make the Borrower Materials available to the other Lenders by posting the Borrower Materials on the Platform.</w:t>
      </w:r>
    </w:p>
    <w:p>
      <w:pPr>
        <w:spacing w:after="0" w:line="104" w:lineRule="exact"/>
        <w:rPr>
          <w:rFonts w:ascii="Arial" w:cs="Arial" w:eastAsia="Arial" w:hAnsi="Arial"/>
          <w:sz w:val="19"/>
          <w:szCs w:val="19"/>
          <w:color w:val="auto"/>
        </w:rPr>
      </w:pPr>
    </w:p>
    <w:p>
      <w:pPr>
        <w:jc w:val="both"/>
        <w:ind w:left="2260" w:hanging="754"/>
        <w:spacing w:after="0" w:line="271" w:lineRule="auto"/>
        <w:tabs>
          <w:tab w:leader="none" w:pos="2294" w:val="left"/>
        </w:tabs>
        <w:numPr>
          <w:ilvl w:val="0"/>
          <w:numId w:val="345"/>
        </w:numPr>
        <w:rPr>
          <w:rFonts w:ascii="Arial" w:cs="Arial" w:eastAsia="Arial" w:hAnsi="Arial"/>
          <w:sz w:val="19"/>
          <w:szCs w:val="19"/>
          <w:color w:val="auto"/>
        </w:rPr>
      </w:pPr>
      <w:r>
        <w:rPr>
          <w:rFonts w:ascii="Arial" w:cs="Arial" w:eastAsia="Arial" w:hAnsi="Arial"/>
          <w:sz w:val="19"/>
          <w:szCs w:val="19"/>
          <w:color w:val="auto"/>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xml:space="preserve">”) have any liability to any Loan Party, any Lender or any other Person or entity for losses, claims, damages, liabilities or expenses of any kind (whether in tort, contract or otherwise) arising out of any Loan Party’s or the Administrative Agent’s transmission of communications through the Internet (including the Platform), except to the extent that such losses, claims, damages, liabilities or expenses are determined by a court of competent jurisdiction by final and non-appealable judgment to have resulted from the gross negligence or willful misconduct of such Agent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any Agent Party have any liability to any Loan Party, any Lender, any or other Person for indirect, special, incidental, consequential or punitive damages, losses or expenses (as opposed to actual damages, losses or expenses).</w:t>
      </w:r>
    </w:p>
    <w:p>
      <w:pPr>
        <w:spacing w:after="0" w:line="200" w:lineRule="exact"/>
        <w:rPr>
          <w:sz w:val="20"/>
          <w:szCs w:val="20"/>
          <w:color w:val="auto"/>
        </w:rPr>
      </w:pPr>
    </w:p>
    <w:p>
      <w:pPr>
        <w:spacing w:after="0" w:line="20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u w:val="single" w:color="auto"/>
          <w:color w:val="auto"/>
        </w:rPr>
        <w:t>Waivers; Amendments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45" w:lineRule="auto"/>
        <w:tabs>
          <w:tab w:leader="none" w:pos="2182" w:val="left"/>
        </w:tabs>
        <w:numPr>
          <w:ilvl w:val="0"/>
          <w:numId w:val="346"/>
        </w:numPr>
        <w:rPr>
          <w:rFonts w:ascii="Arial" w:cs="Arial" w:eastAsia="Arial" w:hAnsi="Arial"/>
          <w:sz w:val="21"/>
          <w:szCs w:val="21"/>
          <w:color w:val="auto"/>
        </w:rPr>
      </w:pPr>
      <w:r>
        <w:rPr>
          <w:rFonts w:ascii="Arial" w:cs="Arial" w:eastAsia="Arial" w:hAnsi="Arial"/>
          <w:sz w:val="21"/>
          <w:szCs w:val="21"/>
          <w:color w:val="auto"/>
        </w:rPr>
        <w:t xml:space="preserve">No failure or delay by any Credit Party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Credit Parties hereunder are cumulative and are not exclusive of any rights or remedies that they would otherwise have. No waiver of any provision of this Agreement or consent to any departure by any Borrower therefrom shall in any event be effective unless the same shall be permitted by </w:t>
      </w:r>
      <w:r>
        <w:rPr>
          <w:rFonts w:ascii="Arial" w:cs="Arial" w:eastAsia="Arial" w:hAnsi="Arial"/>
          <w:sz w:val="21"/>
          <w:szCs w:val="21"/>
          <w:u w:val="single" w:color="auto"/>
          <w:color w:val="auto"/>
        </w:rPr>
        <w:t>paragraph (b)</w:t>
      </w:r>
      <w:r>
        <w:rPr>
          <w:rFonts w:ascii="Arial" w:cs="Arial" w:eastAsia="Arial" w:hAnsi="Arial"/>
          <w:sz w:val="21"/>
          <w:szCs w:val="21"/>
          <w:color w:val="auto"/>
        </w:rPr>
        <w:t xml:space="preserve"> of this Section, and then such waiver or consent shall be effective only in the specific instance and for the purpose for which given. Without limiting the generality of the foregoing, the making of a Loan shall not be construed as a waiver of any Default, regardless of whether any Credit Party may have had notice or knowledge of such Default at the time.</w:t>
      </w:r>
    </w:p>
    <w:p>
      <w:pPr>
        <w:spacing w:after="0" w:line="18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5" w:name="page306"/>
    <w:bookmarkEnd w:id="305"/>
    <w:p>
      <w:pPr>
        <w:jc w:val="both"/>
        <w:spacing w:after="0" w:line="273" w:lineRule="auto"/>
        <w:rPr>
          <w:sz w:val="20"/>
          <w:szCs w:val="20"/>
          <w:color w:val="auto"/>
        </w:rPr>
      </w:pPr>
      <w:r>
        <w:rPr>
          <w:rFonts w:ascii="Arial" w:cs="Arial" w:eastAsia="Arial" w:hAnsi="Arial"/>
          <w:sz w:val="19"/>
          <w:szCs w:val="19"/>
          <w:color w:val="auto"/>
        </w:rPr>
        <w:t xml:space="preserve">Administrative Agent in accordance with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for the benefit of all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prohibit (i) the Administrative Agent from exercising on its own behalf the rights and remedies that inure to its benefit (solely in its capacity as Administrative Agent) hereunder and under the other Loan Documents, (ii) each Swingline Lender from exercising on its own behalf the rights and remedies that inure to its benefit (solely in its capacity as a Swingline Lender, as applicable) hereunder and under the other Loan Documents, (iii) any Lender from exercising setoff rights in accordance with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(subject to the terms of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or (iv) any Lender from filing proofs of claim or appearing and filing pleadings on its own behalf during the pendency of a proceeding relative to any Loan Party under any Debtor Relief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any time there is no Person acting as Administrative Agent hereunder and under the other Loan Documents, then (x) the Required Lenders shall have the rights otherwise provided to the Administrative Agent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and (y) in addition to the matters set forth in </w:t>
      </w:r>
      <w:r>
        <w:rPr>
          <w:rFonts w:ascii="Arial" w:cs="Arial" w:eastAsia="Arial" w:hAnsi="Arial"/>
          <w:sz w:val="19"/>
          <w:szCs w:val="19"/>
          <w:u w:val="single" w:color="auto"/>
          <w:color w:val="auto"/>
        </w:rPr>
        <w:t>clauses (ii)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of the preceding proviso and subject to </w:t>
      </w:r>
      <w:r>
        <w:rPr>
          <w:rFonts w:ascii="Arial" w:cs="Arial" w:eastAsia="Arial" w:hAnsi="Arial"/>
          <w:sz w:val="19"/>
          <w:szCs w:val="19"/>
          <w:u w:val="single" w:color="auto"/>
          <w:color w:val="auto"/>
        </w:rPr>
        <w:t>Section 2.18</w:t>
      </w:r>
      <w:r>
        <w:rPr>
          <w:rFonts w:ascii="Arial" w:cs="Arial" w:eastAsia="Arial" w:hAnsi="Arial"/>
          <w:sz w:val="19"/>
          <w:szCs w:val="19"/>
          <w:color w:val="auto"/>
        </w:rPr>
        <w:t>, any Lender may, with the consent of the Required Lenders, enforce any rights or remedies available to it and as authorized by the Required Lenders.</w:t>
      </w:r>
    </w:p>
    <w:p>
      <w:pPr>
        <w:spacing w:after="0" w:line="155" w:lineRule="exact"/>
        <w:rPr>
          <w:sz w:val="20"/>
          <w:szCs w:val="20"/>
          <w:color w:val="auto"/>
        </w:rPr>
      </w:pPr>
    </w:p>
    <w:p>
      <w:pPr>
        <w:jc w:val="both"/>
        <w:ind w:firstLine="1505"/>
        <w:spacing w:after="0" w:line="270" w:lineRule="auto"/>
        <w:tabs>
          <w:tab w:leader="none" w:pos="2163" w:val="left"/>
        </w:tabs>
        <w:numPr>
          <w:ilvl w:val="0"/>
          <w:numId w:val="34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10.02(c)</w:t>
      </w:r>
      <w:r>
        <w:rPr>
          <w:rFonts w:ascii="Arial" w:cs="Arial" w:eastAsia="Arial" w:hAnsi="Arial"/>
          <w:sz w:val="19"/>
          <w:szCs w:val="19"/>
          <w:color w:val="auto"/>
        </w:rPr>
        <w:t xml:space="preserve"> below and except as provided in </w:t>
      </w:r>
      <w:r>
        <w:rPr>
          <w:rFonts w:ascii="Arial" w:cs="Arial" w:eastAsia="Arial" w:hAnsi="Arial"/>
          <w:sz w:val="19"/>
          <w:szCs w:val="19"/>
          <w:u w:val="single" w:color="auto"/>
          <w:color w:val="auto"/>
        </w:rPr>
        <w:t>Section 2.14(b)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2.14(c),</w:t>
      </w:r>
      <w:r>
        <w:rPr>
          <w:rFonts w:ascii="Arial" w:cs="Arial" w:eastAsia="Arial" w:hAnsi="Arial"/>
          <w:sz w:val="19"/>
          <w:szCs w:val="19"/>
          <w:color w:val="auto"/>
        </w:rPr>
        <w:t xml:space="preserve">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agreement shall (i) increase the Commitment of any Lender without the written consent of such Lender (it being understood and agreed that a waiver of any condition precedent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or of any Default is not considered an increase in Commitments of any Lender), (ii) reduce the principal amount of any Loan or reduce the rate of interest thereon, or reduce any fees payable hereunder, without the written consent of each Lender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only the consent of the Required Lenders shall be necessary to amend the provisions with respect to the application of default rate interest described in </w:t>
      </w:r>
      <w:r>
        <w:rPr>
          <w:rFonts w:ascii="Arial" w:cs="Arial" w:eastAsia="Arial" w:hAnsi="Arial"/>
          <w:sz w:val="19"/>
          <w:szCs w:val="19"/>
          <w:u w:val="single" w:color="auto"/>
          <w:color w:val="auto"/>
        </w:rPr>
        <w:t>Section 2.13(d)</w:t>
      </w:r>
      <w:r>
        <w:rPr>
          <w:rFonts w:ascii="Arial" w:cs="Arial" w:eastAsia="Arial" w:hAnsi="Arial"/>
          <w:sz w:val="19"/>
          <w:szCs w:val="19"/>
          <w:color w:val="auto"/>
        </w:rPr>
        <w:t xml:space="preserve"> and the last paragraph of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or waive any obligation of any Borrower to pay interest or fees at such default rate, (iii) postpone the scheduled date of payment of the principal amount of any Loan, or any interest thereon, or any fees payable hereunder, or reduce the amount of, waive or excuse any such payment (in each case excluding, for the avoidance of doubt, mandatory prepayments under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or postpone the scheduled date of expiration of any Commitment, without the written consent of each Lender affected thereby, (iv) change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in a manner that would alter the pro rata sharing of payments required thereby, without the written consent of each Lender, (v) release the Company from its obligations under the Loan Documents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(vii) change any of the provisions of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or (viii) change the definition of “Agreed Currencies” without the written consent of each Lender;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agreement shall amend, modify or otherwise affect the rights or duties of the Administrative Agent or the Swingline Lenders hereunder without the prior written consent of the Administrative Agent or the Swingline Lenders, as the case may be.</w:t>
      </w:r>
    </w:p>
    <w:p>
      <w:pPr>
        <w:spacing w:after="0" w:line="157" w:lineRule="exact"/>
        <w:rPr>
          <w:rFonts w:ascii="Arial" w:cs="Arial" w:eastAsia="Arial" w:hAnsi="Arial"/>
          <w:sz w:val="19"/>
          <w:szCs w:val="19"/>
          <w:color w:val="auto"/>
        </w:rPr>
      </w:pPr>
    </w:p>
    <w:p>
      <w:pPr>
        <w:ind w:firstLine="1505"/>
        <w:spacing w:after="0" w:line="250" w:lineRule="auto"/>
        <w:tabs>
          <w:tab w:leader="none" w:pos="2202" w:val="left"/>
        </w:tabs>
        <w:numPr>
          <w:ilvl w:val="0"/>
          <w:numId w:val="347"/>
        </w:numPr>
        <w:rPr>
          <w:rFonts w:ascii="Arial" w:cs="Arial" w:eastAsia="Arial" w:hAnsi="Arial"/>
          <w:sz w:val="22"/>
          <w:szCs w:val="22"/>
          <w:color w:val="auto"/>
        </w:rPr>
      </w:pPr>
      <w:r>
        <w:rPr>
          <w:rFonts w:ascii="Arial" w:cs="Arial" w:eastAsia="Arial" w:hAnsi="Arial"/>
          <w:sz w:val="22"/>
          <w:szCs w:val="22"/>
          <w:color w:val="auto"/>
        </w:rPr>
        <w:t>If the Administrative Agent and the Loan Parties acting together identify any ambiguity, omission, mistake, typographical error or other defect in any provision of this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6" w:name="page307"/>
    <w:bookmarkEnd w:id="306"/>
    <w:p>
      <w:pPr>
        <w:jc w:val="both"/>
        <w:spacing w:after="0" w:line="236" w:lineRule="auto"/>
        <w:rPr>
          <w:sz w:val="20"/>
          <w:szCs w:val="20"/>
          <w:color w:val="auto"/>
        </w:rPr>
      </w:pPr>
      <w:r>
        <w:rPr>
          <w:rFonts w:ascii="Arial" w:cs="Arial" w:eastAsia="Arial" w:hAnsi="Arial"/>
          <w:sz w:val="22"/>
          <w:szCs w:val="22"/>
          <w:color w:val="auto"/>
        </w:rPr>
        <w:t>Agreement or any other Loan Document, then the Administrative Agent and the Loan Parties shall be permitted to amend, modify or supplement such provision to cure such ambiguity, omission, mistake, typographical error or other defect, and such amendment shall become effective without any further action or consent of any other party to this Agreement. If the Administrative Agent and the Loan Parties make or implement any such amendment, modification or supplement to any Loan Document, the Administrative Agent agrees (without limiting or affecting the validity of any such amendment, modification or supplement) to give prompt notice thereof to the Lenders including (if appropriate) a copy of such Loan Document as so amended, modified or supplemented.</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u w:val="single" w:color="auto"/>
          <w:color w:val="auto"/>
        </w:rPr>
        <w:t>Expenses; Indemnity; Damage Waiver</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3" w:lineRule="auto"/>
        <w:tabs>
          <w:tab w:leader="none" w:pos="2176" w:val="left"/>
        </w:tabs>
        <w:numPr>
          <w:ilvl w:val="0"/>
          <w:numId w:val="348"/>
        </w:numPr>
        <w:rPr>
          <w:rFonts w:ascii="Arial" w:cs="Arial" w:eastAsia="Arial" w:hAnsi="Arial"/>
          <w:sz w:val="19"/>
          <w:szCs w:val="19"/>
          <w:color w:val="auto"/>
        </w:rPr>
      </w:pPr>
      <w:r>
        <w:rPr>
          <w:rFonts w:ascii="Arial" w:cs="Arial" w:eastAsia="Arial" w:hAnsi="Arial"/>
          <w:sz w:val="19"/>
          <w:szCs w:val="19"/>
          <w:color w:val="auto"/>
        </w:rPr>
        <w:t>Each Borrower (in each case with several liability to the extent on account of such Borrower or to the extent of Loans made to such Borrower) and the Company shall pay (i) all reasonable out-of-pocket expenses incurred by the Administrative Agent, the Arranger and their respective Affiliates, including the reasonable fees, charges and disbursements of counsel for the Administrative Agent, in connection with the syndication of the credit facilities provided for herein, the preparation and administration of the Loan Documents and any amendments or waivers of the provisions hereof or thereof (whether or not the transactions contemplated hereby or thereby shall be consummated) and (ii) all reasonable out-of-pocket expenses incurred by the Credit Parties, including the reasonable fees, charges and disbursements of one counsel (and one local counsel in each relevant jurisdiction) for the Administrative Agent and one counsel (and one local counsel in each relevant jurisdiction) for all other Credit Parties, in connection with the enforcement or protection of their rights in connection with any Loan Document, including their rights under this Section, or in connection with the Loans hereunder, including all such out-of-pocket expenses incurred during any workout, restructuring or negotiations in respect of such Loans.</w:t>
      </w:r>
    </w:p>
    <w:p>
      <w:pPr>
        <w:spacing w:after="0" w:line="155" w:lineRule="exact"/>
        <w:rPr>
          <w:rFonts w:ascii="Arial" w:cs="Arial" w:eastAsia="Arial" w:hAnsi="Arial"/>
          <w:sz w:val="19"/>
          <w:szCs w:val="19"/>
          <w:color w:val="auto"/>
        </w:rPr>
      </w:pPr>
    </w:p>
    <w:p>
      <w:pPr>
        <w:jc w:val="both"/>
        <w:ind w:firstLine="1505"/>
        <w:spacing w:after="0" w:line="271" w:lineRule="auto"/>
        <w:tabs>
          <w:tab w:leader="none" w:pos="2176" w:val="left"/>
        </w:tabs>
        <w:numPr>
          <w:ilvl w:val="0"/>
          <w:numId w:val="348"/>
        </w:numPr>
        <w:rPr>
          <w:rFonts w:ascii="Arial" w:cs="Arial" w:eastAsia="Arial" w:hAnsi="Arial"/>
          <w:sz w:val="19"/>
          <w:szCs w:val="19"/>
          <w:color w:val="auto"/>
        </w:rPr>
      </w:pPr>
      <w:r>
        <w:rPr>
          <w:rFonts w:ascii="Arial" w:cs="Arial" w:eastAsia="Arial" w:hAnsi="Arial"/>
          <w:sz w:val="19"/>
          <w:szCs w:val="19"/>
          <w:color w:val="auto"/>
        </w:rPr>
        <w:t>Each Borrower (in each case with several liability to the extent on account of such Borrower or to the extent of Loans made to such Borrower) and the Company shall indemnify each Credit Party and its Related Parties (each such Person being called an “</w:t>
      </w:r>
      <w:r>
        <w:rPr>
          <w:rFonts w:ascii="Arial" w:cs="Arial" w:eastAsia="Arial" w:hAnsi="Arial"/>
          <w:sz w:val="19"/>
          <w:szCs w:val="19"/>
          <w:b w:val="1"/>
          <w:bCs w:val="1"/>
          <w:i w:val="1"/>
          <w:iCs w:val="1"/>
          <w:color w:val="auto"/>
        </w:rPr>
        <w:t>Indemnitee</w:t>
      </w:r>
      <w:r>
        <w:rPr>
          <w:rFonts w:ascii="Arial" w:cs="Arial" w:eastAsia="Arial" w:hAnsi="Arial"/>
          <w:sz w:val="19"/>
          <w:szCs w:val="19"/>
          <w:color w:val="auto"/>
        </w:rPr>
        <w:t xml:space="preserve">”) against, and hold each Indemnitee harmless from, any and all losses, claims, damages,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the performance by the parties to the Loan Documents of their respective obligations thereunder or the consummation of the Transactions or any other transactions contemplated hereby, (ii) any Loan or the use of the proceeds therefrom, (iii) any actual or alleged presence or release of Hazardous Materials on or from any property owned or operated by the Company or any Subsidiary, or any Environmental Liability related in any way to the Company or any Subsidiary, or (iv) any actual or prospective claim, litigation, investigation or proceeding relating to any of the foregoing, whether or not such claim, litigation, investigation or proceeding is brought by any Loan Party or its equity holders, Affiliates, creditors or any other third Person and whether based on contract, tort or any other theory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7" w:name="page308"/>
    <w:bookmarkEnd w:id="307"/>
    <w:p>
      <w:pPr>
        <w:jc w:val="both"/>
        <w:spacing w:after="0" w:line="277" w:lineRule="auto"/>
        <w:rPr>
          <w:sz w:val="20"/>
          <w:szCs w:val="20"/>
          <w:color w:val="auto"/>
        </w:rPr>
      </w:pPr>
      <w:r>
        <w:rPr>
          <w:rFonts w:ascii="Arial" w:cs="Arial" w:eastAsia="Arial" w:hAnsi="Arial"/>
          <w:sz w:val="19"/>
          <w:szCs w:val="19"/>
          <w:color w:val="auto"/>
        </w:rPr>
        <w:t xml:space="preserve">negligence or willful misconduct of such Indemnitee, (y) are determined by a court of competent jurisdiction by final and nonappealable judgment to have resulted from the breach by such Indemnitee of its funding obligations hereunder, to the extent caused by the inability of such Indemnitee to satisfy such funding obligations because of its status as a Defaulting Lender under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the definition thereof, or (z) result from a claim brought by any Loan Party against such Indemnitee for breach in bad faith of such Indemnitee’s obligations under any Loan Document, if such Loan Party has obtained a final and nonappealable judgment in its favor on such claim as determined by a court of competent jurisdiction. This </w:t>
      </w:r>
      <w:r>
        <w:rPr>
          <w:rFonts w:ascii="Arial" w:cs="Arial" w:eastAsia="Arial" w:hAnsi="Arial"/>
          <w:sz w:val="19"/>
          <w:szCs w:val="19"/>
          <w:u w:val="single" w:color="auto"/>
          <w:color w:val="auto"/>
        </w:rPr>
        <w:t>Section 10.03(b)</w:t>
      </w:r>
      <w:r>
        <w:rPr>
          <w:rFonts w:ascii="Arial" w:cs="Arial" w:eastAsia="Arial" w:hAnsi="Arial"/>
          <w:sz w:val="19"/>
          <w:szCs w:val="19"/>
          <w:color w:val="auto"/>
        </w:rPr>
        <w:t xml:space="preserve"> shall not apply with respect to Taxes other than any Taxes that represent losses, claims or damages arising from any non-Tax claim.</w:t>
      </w:r>
    </w:p>
    <w:p>
      <w:pPr>
        <w:spacing w:after="0" w:line="152" w:lineRule="exact"/>
        <w:rPr>
          <w:sz w:val="20"/>
          <w:szCs w:val="20"/>
          <w:color w:val="auto"/>
        </w:rPr>
      </w:pPr>
    </w:p>
    <w:p>
      <w:pPr>
        <w:jc w:val="both"/>
        <w:ind w:firstLine="1505"/>
        <w:spacing w:after="0" w:line="248" w:lineRule="auto"/>
        <w:tabs>
          <w:tab w:leader="none" w:pos="2166" w:val="left"/>
        </w:tabs>
        <w:numPr>
          <w:ilvl w:val="0"/>
          <w:numId w:val="349"/>
        </w:numPr>
        <w:rPr>
          <w:rFonts w:ascii="Arial" w:cs="Arial" w:eastAsia="Arial" w:hAnsi="Arial"/>
          <w:sz w:val="21"/>
          <w:szCs w:val="21"/>
          <w:color w:val="auto"/>
        </w:rPr>
      </w:pPr>
      <w:r>
        <w:rPr>
          <w:rFonts w:ascii="Arial" w:cs="Arial" w:eastAsia="Arial" w:hAnsi="Arial"/>
          <w:sz w:val="21"/>
          <w:szCs w:val="21"/>
          <w:color w:val="auto"/>
        </w:rPr>
        <w:t xml:space="preserve">To the extent that the Company or any Borrower fails to pay any amount required to be paid by it to the Administrative Agent or the Swingline Lenders under </w:t>
      </w:r>
      <w:r>
        <w:rPr>
          <w:rFonts w:ascii="Arial" w:cs="Arial" w:eastAsia="Arial" w:hAnsi="Arial"/>
          <w:sz w:val="21"/>
          <w:szCs w:val="21"/>
          <w:u w:val="single" w:color="auto"/>
          <w:color w:val="auto"/>
        </w:rPr>
        <w:t>paragraph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of this Section, each Lender severally agrees to pay to the Administrative Agent, each Swingline Lender, such Lender’s Applicable Percentage (determined as of the time that the applicable unreimbursed expense or indemnity payment is sought) of such unpaid amount;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unreimbursed expense or indemnified loss, claim, damage, liability or related expense, as the case may be, was incurred by or asserted against the Administrative Agent or the Swingline Lenders in their capacity as such.</w:t>
      </w:r>
    </w:p>
    <w:p>
      <w:pPr>
        <w:spacing w:after="0" w:line="176" w:lineRule="exact"/>
        <w:rPr>
          <w:rFonts w:ascii="Arial" w:cs="Arial" w:eastAsia="Arial" w:hAnsi="Arial"/>
          <w:sz w:val="21"/>
          <w:szCs w:val="21"/>
          <w:color w:val="auto"/>
        </w:rPr>
      </w:pPr>
    </w:p>
    <w:p>
      <w:pPr>
        <w:jc w:val="both"/>
        <w:ind w:firstLine="1505"/>
        <w:spacing w:after="0" w:line="279" w:lineRule="auto"/>
        <w:tabs>
          <w:tab w:leader="none" w:pos="2188" w:val="left"/>
        </w:tabs>
        <w:numPr>
          <w:ilvl w:val="0"/>
          <w:numId w:val="349"/>
        </w:numPr>
        <w:rPr>
          <w:rFonts w:ascii="Arial" w:cs="Arial" w:eastAsia="Arial" w:hAnsi="Arial"/>
          <w:sz w:val="19"/>
          <w:szCs w:val="19"/>
          <w:color w:val="auto"/>
        </w:rPr>
      </w:pPr>
      <w:r>
        <w:rPr>
          <w:rFonts w:ascii="Arial" w:cs="Arial" w:eastAsia="Arial" w:hAnsi="Arial"/>
          <w:sz w:val="19"/>
          <w:szCs w:val="19"/>
          <w:color w:val="auto"/>
        </w:rPr>
        <w:t xml:space="preserve">To the extent permitted by applicable law, no party hereto shall assert, and each party hereto hereby waives, any claim against any other party hereto, on any theory of liability, for special, indirect, consequential or punitive damages (as opposed to direct or actual damages) arising out of, in connection with, or as a result of, any Loan Document or any agreement or instrument contemplated hereby, the Transactions, any Loan or the use of the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shall relieve the Loan Parties of any obligation it may have to indemnify an Indemnitee against special, indirect, consequential or punitive damages asserted against such Indemnitee by a third party.</w:t>
      </w:r>
    </w:p>
    <w:p>
      <w:pPr>
        <w:spacing w:after="0" w:line="150" w:lineRule="exact"/>
        <w:rPr>
          <w:rFonts w:ascii="Arial" w:cs="Arial" w:eastAsia="Arial" w:hAnsi="Arial"/>
          <w:sz w:val="19"/>
          <w:szCs w:val="19"/>
          <w:color w:val="auto"/>
        </w:rPr>
      </w:pPr>
    </w:p>
    <w:p>
      <w:pPr>
        <w:ind w:left="2160" w:hanging="655"/>
        <w:spacing w:after="0"/>
        <w:tabs>
          <w:tab w:leader="none" w:pos="2160" w:val="left"/>
        </w:tabs>
        <w:numPr>
          <w:ilvl w:val="0"/>
          <w:numId w:val="349"/>
        </w:numPr>
        <w:rPr>
          <w:rFonts w:ascii="Arial" w:cs="Arial" w:eastAsia="Arial" w:hAnsi="Arial"/>
          <w:sz w:val="22"/>
          <w:szCs w:val="22"/>
          <w:color w:val="auto"/>
        </w:rPr>
      </w:pPr>
      <w:r>
        <w:rPr>
          <w:rFonts w:ascii="Arial" w:cs="Arial" w:eastAsia="Arial" w:hAnsi="Arial"/>
          <w:sz w:val="22"/>
          <w:szCs w:val="22"/>
          <w:color w:val="auto"/>
        </w:rPr>
        <w:t>All amounts due under this Section shall be payable promptly after written demand therefor.</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5" w:lineRule="auto"/>
        <w:tabs>
          <w:tab w:leader="none" w:pos="2163" w:val="left"/>
        </w:tabs>
        <w:numPr>
          <w:ilvl w:val="0"/>
          <w:numId w:val="350"/>
        </w:numPr>
        <w:rPr>
          <w:rFonts w:ascii="Arial" w:cs="Arial" w:eastAsia="Arial" w:hAnsi="Arial"/>
          <w:sz w:val="19"/>
          <w:szCs w:val="19"/>
          <w:color w:val="auto"/>
        </w:rPr>
      </w:pPr>
      <w:r>
        <w:rPr>
          <w:rFonts w:ascii="Arial" w:cs="Arial" w:eastAsia="Arial" w:hAnsi="Arial"/>
          <w:sz w:val="19"/>
          <w:szCs w:val="19"/>
          <w:color w:val="auto"/>
        </w:rPr>
        <w:t xml:space="preserve">The provisions of this Agreement shall be binding upon and inure to the benefit of the parties hereto and their respective successors and assigns permitted hereby, except that (i) no Loan Party may assign or otherwise transfer any of its rights or obligations hereunder without the prior written consent of each Lender (and any attempted assignment or transfer by any Loan Party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and, to the extent expressly contemplated hereby, the Related Parties of each of the Credit Parties) any legal or equitable right, remedy or claim under or by reason of this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8" w:name="page309"/>
    <w:bookmarkEnd w:id="308"/>
    <w:p>
      <w:pPr>
        <w:jc w:val="both"/>
        <w:ind w:firstLine="1505"/>
        <w:spacing w:after="0" w:line="238" w:lineRule="auto"/>
        <w:tabs>
          <w:tab w:leader="none" w:pos="2171" w:val="left"/>
        </w:tabs>
        <w:numPr>
          <w:ilvl w:val="0"/>
          <w:numId w:val="351"/>
        </w:numPr>
        <w:rPr>
          <w:rFonts w:ascii="Arial" w:cs="Arial" w:eastAsia="Arial" w:hAnsi="Arial"/>
          <w:sz w:val="22"/>
          <w:szCs w:val="22"/>
          <w:color w:val="auto"/>
        </w:rPr>
      </w:pPr>
      <w:r>
        <w:rPr>
          <w:rFonts w:ascii="Arial" w:cs="Arial" w:eastAsia="Arial" w:hAnsi="Arial"/>
          <w:sz w:val="22"/>
          <w:szCs w:val="22"/>
          <w:color w:val="auto"/>
        </w:rPr>
        <w:t xml:space="preserve">(i) Subject to the conditions set forth in </w:t>
      </w:r>
      <w:r>
        <w:rPr>
          <w:rFonts w:ascii="Arial" w:cs="Arial" w:eastAsia="Arial" w:hAnsi="Arial"/>
          <w:sz w:val="22"/>
          <w:szCs w:val="22"/>
          <w:u w:val="single" w:color="auto"/>
          <w:color w:val="auto"/>
        </w:rPr>
        <w:t>paragraph (b)(ii)</w:t>
      </w:r>
      <w:r>
        <w:rPr>
          <w:rFonts w:ascii="Arial" w:cs="Arial" w:eastAsia="Arial" w:hAnsi="Arial"/>
          <w:sz w:val="22"/>
          <w:szCs w:val="22"/>
          <w:color w:val="auto"/>
        </w:rPr>
        <w:t xml:space="preserve"> below, any Lender may assign to one or more Persons (other than an Ineligible Assignee) all or a portion of its rights and obligations under the Loan Documents (including all or a portion of its Commitment and the Loans at the time owing to it) with the prior written consent (such consent not to be unreasonably withheld, conditioned or delayed) of:</w:t>
      </w:r>
    </w:p>
    <w:p>
      <w:pPr>
        <w:spacing w:after="0" w:line="184" w:lineRule="exact"/>
        <w:rPr>
          <w:rFonts w:ascii="Arial" w:cs="Arial" w:eastAsia="Arial" w:hAnsi="Arial"/>
          <w:sz w:val="22"/>
          <w:szCs w:val="22"/>
          <w:color w:val="auto"/>
        </w:rPr>
      </w:pPr>
    </w:p>
    <w:p>
      <w:pPr>
        <w:jc w:val="both"/>
        <w:ind w:left="1500" w:firstLine="1503"/>
        <w:spacing w:after="0" w:line="235" w:lineRule="auto"/>
        <w:tabs>
          <w:tab w:leader="none" w:pos="3688" w:val="left"/>
        </w:tabs>
        <w:numPr>
          <w:ilvl w:val="1"/>
          <w:numId w:val="351"/>
        </w:numPr>
        <w:rPr>
          <w:rFonts w:ascii="Arial" w:cs="Arial" w:eastAsia="Arial" w:hAnsi="Arial"/>
          <w:sz w:val="22"/>
          <w:szCs w:val="22"/>
          <w:color w:val="auto"/>
        </w:rPr>
      </w:pPr>
      <w:r>
        <w:rPr>
          <w:rFonts w:ascii="Arial" w:cs="Arial" w:eastAsia="Arial" w:hAnsi="Arial"/>
          <w:sz w:val="22"/>
          <w:szCs w:val="22"/>
          <w:color w:val="auto"/>
        </w:rPr>
        <w:t xml:space="preserve">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shall be deemed to have consented to an assignment unless it shall have objected thereto by written notice to the Administrative Agent within five (5) Business Days after having received notice thereof;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no consent of the Company shall be required for an assignment to a Lender (other than a Defaulting Lender), an Affiliate of a Lender (other than a Defaulting Lender), an Approved Fund or, if an Event of Default has occurred and is continuing, any other assignee;</w:t>
      </w:r>
    </w:p>
    <w:p>
      <w:pPr>
        <w:spacing w:after="0" w:line="187" w:lineRule="exact"/>
        <w:rPr>
          <w:rFonts w:ascii="Arial" w:cs="Arial" w:eastAsia="Arial" w:hAnsi="Arial"/>
          <w:sz w:val="22"/>
          <w:szCs w:val="22"/>
          <w:color w:val="auto"/>
        </w:rPr>
      </w:pPr>
    </w:p>
    <w:p>
      <w:pPr>
        <w:jc w:val="both"/>
        <w:ind w:left="1500" w:firstLine="1503"/>
        <w:spacing w:after="0"/>
        <w:tabs>
          <w:tab w:leader="none" w:pos="3681" w:val="left"/>
        </w:tabs>
        <w:numPr>
          <w:ilvl w:val="1"/>
          <w:numId w:val="351"/>
        </w:numPr>
        <w:rPr>
          <w:rFonts w:ascii="Arial" w:cs="Arial" w:eastAsia="Arial" w:hAnsi="Arial"/>
          <w:sz w:val="22"/>
          <w:szCs w:val="22"/>
          <w:color w:val="auto"/>
        </w:rPr>
      </w:pPr>
      <w:r>
        <w:rPr>
          <w:rFonts w:ascii="Arial" w:cs="Arial" w:eastAsia="Arial" w:hAnsi="Arial"/>
          <w:sz w:val="22"/>
          <w:szCs w:val="22"/>
          <w:color w:val="auto"/>
        </w:rPr>
        <w:t xml:space="preserve">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Administrative Agent shall be required for an assignment to a Lender (other than a Defaulting Lender) or an Affiliate of a Lender (other than a Defaulting Lender); and</w:t>
      </w:r>
    </w:p>
    <w:p>
      <w:pPr>
        <w:spacing w:after="0" w:line="186" w:lineRule="exact"/>
        <w:rPr>
          <w:rFonts w:ascii="Arial" w:cs="Arial" w:eastAsia="Arial" w:hAnsi="Arial"/>
          <w:sz w:val="22"/>
          <w:szCs w:val="22"/>
          <w:color w:val="auto"/>
        </w:rPr>
      </w:pPr>
    </w:p>
    <w:p>
      <w:pPr>
        <w:ind w:left="3660" w:hanging="657"/>
        <w:spacing w:after="0"/>
        <w:tabs>
          <w:tab w:leader="none" w:pos="3660" w:val="left"/>
        </w:tabs>
        <w:numPr>
          <w:ilvl w:val="1"/>
          <w:numId w:val="351"/>
        </w:numPr>
        <w:rPr>
          <w:rFonts w:ascii="Arial" w:cs="Arial" w:eastAsia="Arial" w:hAnsi="Arial"/>
          <w:sz w:val="22"/>
          <w:szCs w:val="22"/>
          <w:color w:val="auto"/>
        </w:rPr>
      </w:pPr>
      <w:r>
        <w:rPr>
          <w:rFonts w:ascii="Arial" w:cs="Arial" w:eastAsia="Arial" w:hAnsi="Arial"/>
          <w:sz w:val="22"/>
          <w:szCs w:val="22"/>
          <w:color w:val="auto"/>
        </w:rPr>
        <w:t>each Swingline Lender.</w:t>
      </w:r>
    </w:p>
    <w:p>
      <w:pPr>
        <w:spacing w:after="0" w:line="206" w:lineRule="exact"/>
        <w:rPr>
          <w:sz w:val="20"/>
          <w:szCs w:val="20"/>
          <w:color w:val="auto"/>
        </w:rPr>
      </w:pPr>
    </w:p>
    <w:p>
      <w:pPr>
        <w:ind w:left="2620" w:hanging="1115"/>
        <w:spacing w:after="0"/>
        <w:tabs>
          <w:tab w:leader="none" w:pos="2620" w:val="left"/>
        </w:tabs>
        <w:numPr>
          <w:ilvl w:val="0"/>
          <w:numId w:val="352"/>
        </w:numPr>
        <w:rPr>
          <w:rFonts w:ascii="Arial" w:cs="Arial" w:eastAsia="Arial" w:hAnsi="Arial"/>
          <w:sz w:val="22"/>
          <w:szCs w:val="22"/>
          <w:color w:val="auto"/>
        </w:rPr>
      </w:pPr>
      <w:r>
        <w:rPr>
          <w:rFonts w:ascii="Arial" w:cs="Arial" w:eastAsia="Arial" w:hAnsi="Arial"/>
          <w:sz w:val="22"/>
          <w:szCs w:val="22"/>
          <w:color w:val="auto"/>
        </w:rPr>
        <w:t>Assignments shall be subject to the following additional conditions:</w:t>
      </w:r>
    </w:p>
    <w:p>
      <w:pPr>
        <w:spacing w:after="0" w:line="206" w:lineRule="exact"/>
        <w:rPr>
          <w:rFonts w:ascii="Arial" w:cs="Arial" w:eastAsia="Arial" w:hAnsi="Arial"/>
          <w:sz w:val="22"/>
          <w:szCs w:val="22"/>
          <w:color w:val="auto"/>
        </w:rPr>
      </w:pPr>
    </w:p>
    <w:p>
      <w:pPr>
        <w:jc w:val="both"/>
        <w:ind w:left="1500" w:firstLine="1503"/>
        <w:spacing w:after="0" w:line="246" w:lineRule="auto"/>
        <w:tabs>
          <w:tab w:leader="none" w:pos="3698" w:val="left"/>
        </w:tabs>
        <w:numPr>
          <w:ilvl w:val="1"/>
          <w:numId w:val="352"/>
        </w:numPr>
        <w:rPr>
          <w:rFonts w:ascii="Arial" w:cs="Arial" w:eastAsia="Arial" w:hAnsi="Arial"/>
          <w:sz w:val="21"/>
          <w:szCs w:val="21"/>
          <w:color w:val="auto"/>
        </w:rPr>
      </w:pPr>
      <w:r>
        <w:rPr>
          <w:rFonts w:ascii="Arial" w:cs="Arial" w:eastAsia="Arial" w:hAnsi="Arial"/>
          <w:sz w:val="21"/>
          <w:szCs w:val="21"/>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Company and the Administrative Agent otherwise consent,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consent of the Company shall be required if an Event of Default has occurred and is continuing;</w:t>
      </w:r>
    </w:p>
    <w:p>
      <w:pPr>
        <w:spacing w:after="0" w:line="184" w:lineRule="exact"/>
        <w:rPr>
          <w:rFonts w:ascii="Arial" w:cs="Arial" w:eastAsia="Arial" w:hAnsi="Arial"/>
          <w:sz w:val="21"/>
          <w:szCs w:val="21"/>
          <w:color w:val="auto"/>
        </w:rPr>
      </w:pPr>
    </w:p>
    <w:p>
      <w:pPr>
        <w:ind w:left="1500" w:firstLine="1503"/>
        <w:spacing w:after="0" w:line="250" w:lineRule="auto"/>
        <w:tabs>
          <w:tab w:leader="none" w:pos="3680" w:val="left"/>
        </w:tabs>
        <w:numPr>
          <w:ilvl w:val="1"/>
          <w:numId w:val="352"/>
        </w:numPr>
        <w:rPr>
          <w:rFonts w:ascii="Arial" w:cs="Arial" w:eastAsia="Arial" w:hAnsi="Arial"/>
          <w:sz w:val="22"/>
          <w:szCs w:val="22"/>
          <w:color w:val="auto"/>
        </w:rPr>
      </w:pPr>
      <w:r>
        <w:rPr>
          <w:rFonts w:ascii="Arial" w:cs="Arial" w:eastAsia="Arial" w:hAnsi="Arial"/>
          <w:sz w:val="22"/>
          <w:szCs w:val="22"/>
          <w:color w:val="auto"/>
        </w:rPr>
        <w:t>each partial assignment shall be made as an assignment of a proportionate part of all the assigning Lender’s rights and obligations under the Loan Documents;</w:t>
      </w:r>
    </w:p>
    <w:p>
      <w:pPr>
        <w:spacing w:after="0" w:line="174" w:lineRule="exact"/>
        <w:rPr>
          <w:rFonts w:ascii="Arial" w:cs="Arial" w:eastAsia="Arial" w:hAnsi="Arial"/>
          <w:sz w:val="22"/>
          <w:szCs w:val="22"/>
          <w:color w:val="auto"/>
        </w:rPr>
      </w:pPr>
    </w:p>
    <w:p>
      <w:pPr>
        <w:jc w:val="both"/>
        <w:ind w:left="1500" w:firstLine="1503"/>
        <w:spacing w:after="0" w:line="287" w:lineRule="auto"/>
        <w:tabs>
          <w:tab w:leader="none" w:pos="3663" w:val="left"/>
        </w:tabs>
        <w:numPr>
          <w:ilvl w:val="1"/>
          <w:numId w:val="352"/>
        </w:numPr>
        <w:rPr>
          <w:rFonts w:ascii="Arial" w:cs="Arial" w:eastAsia="Arial" w:hAnsi="Arial"/>
          <w:sz w:val="19"/>
          <w:szCs w:val="19"/>
          <w:color w:val="auto"/>
        </w:rPr>
      </w:pPr>
      <w:r>
        <w:rPr>
          <w:rFonts w:ascii="Arial" w:cs="Arial" w:eastAsia="Arial" w:hAnsi="Arial"/>
          <w:sz w:val="19"/>
          <w:szCs w:val="19"/>
          <w:color w:val="auto"/>
        </w:rPr>
        <w:t>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a processing and recordation fee of $3,500;</w:t>
      </w:r>
    </w:p>
    <w:p>
      <w:pPr>
        <w:spacing w:after="0" w:line="142" w:lineRule="exact"/>
        <w:rPr>
          <w:rFonts w:ascii="Arial" w:cs="Arial" w:eastAsia="Arial" w:hAnsi="Arial"/>
          <w:sz w:val="19"/>
          <w:szCs w:val="19"/>
          <w:color w:val="auto"/>
        </w:rPr>
      </w:pPr>
    </w:p>
    <w:p>
      <w:pPr>
        <w:ind w:left="1500" w:firstLine="1503"/>
        <w:spacing w:after="0" w:line="250" w:lineRule="auto"/>
        <w:tabs>
          <w:tab w:leader="none" w:pos="3690" w:val="left"/>
        </w:tabs>
        <w:numPr>
          <w:ilvl w:val="1"/>
          <w:numId w:val="352"/>
        </w:numPr>
        <w:rPr>
          <w:rFonts w:ascii="Arial" w:cs="Arial" w:eastAsia="Arial" w:hAnsi="Arial"/>
          <w:sz w:val="22"/>
          <w:szCs w:val="22"/>
          <w:color w:val="auto"/>
        </w:rPr>
      </w:pPr>
      <w:r>
        <w:rPr>
          <w:rFonts w:ascii="Arial" w:cs="Arial" w:eastAsia="Arial" w:hAnsi="Arial"/>
          <w:sz w:val="22"/>
          <w:szCs w:val="22"/>
          <w:color w:val="auto"/>
        </w:rPr>
        <w:t xml:space="preserve">the assignee shall deliver to the Administrative Agent, withholding agent and/or the Loan Parties, as applicable, any documentation required by </w:t>
      </w:r>
      <w:r>
        <w:rPr>
          <w:rFonts w:ascii="Arial" w:cs="Arial" w:eastAsia="Arial" w:hAnsi="Arial"/>
          <w:sz w:val="22"/>
          <w:szCs w:val="22"/>
          <w:u w:val="single" w:color="auto"/>
          <w:color w:val="auto"/>
        </w:rPr>
        <w:t>Sections 2.17(f)</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(g)</w:t>
      </w:r>
      <w:r>
        <w:rPr>
          <w:rFonts w:ascii="Arial" w:cs="Arial" w:eastAsia="Arial" w:hAnsi="Arial"/>
          <w:sz w:val="22"/>
          <w:szCs w:val="22"/>
          <w:color w:val="auto"/>
        </w:rPr>
        <w:t>;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9" w:name="page310"/>
    <w:bookmarkEnd w:id="309"/>
    <w:p>
      <w:pPr>
        <w:jc w:val="both"/>
        <w:ind w:left="380" w:firstLine="1503"/>
        <w:spacing w:after="0" w:line="235" w:lineRule="auto"/>
        <w:tabs>
          <w:tab w:leader="none" w:pos="2564" w:val="left"/>
        </w:tabs>
        <w:numPr>
          <w:ilvl w:val="1"/>
          <w:numId w:val="353"/>
        </w:numPr>
        <w:rPr>
          <w:rFonts w:ascii="Arial" w:cs="Arial" w:eastAsia="Arial" w:hAnsi="Arial"/>
          <w:sz w:val="22"/>
          <w:szCs w:val="22"/>
          <w:color w:val="auto"/>
        </w:rPr>
      </w:pPr>
      <w:r>
        <w:rPr>
          <w:rFonts w:ascii="Arial" w:cs="Arial" w:eastAsia="Arial" w:hAnsi="Arial"/>
          <w:sz w:val="22"/>
          <w:szCs w:val="22"/>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7" w:lineRule="exact"/>
        <w:rPr>
          <w:rFonts w:ascii="Arial" w:cs="Arial" w:eastAsia="Arial" w:hAnsi="Arial"/>
          <w:sz w:val="22"/>
          <w:szCs w:val="22"/>
          <w:color w:val="auto"/>
        </w:rPr>
      </w:pPr>
    </w:p>
    <w:p>
      <w:pPr>
        <w:jc w:val="both"/>
        <w:ind w:left="1500" w:hanging="1115"/>
        <w:spacing w:after="0" w:line="272" w:lineRule="auto"/>
        <w:tabs>
          <w:tab w:leader="none" w:pos="1505" w:val="left"/>
        </w:tabs>
        <w:numPr>
          <w:ilvl w:val="0"/>
          <w:numId w:val="354"/>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pursuant to </w:t>
      </w:r>
      <w:r>
        <w:rPr>
          <w:rFonts w:ascii="Arial" w:cs="Arial" w:eastAsia="Arial" w:hAnsi="Arial"/>
          <w:sz w:val="19"/>
          <w:szCs w:val="19"/>
          <w:u w:val="single" w:color="auto"/>
          <w:color w:val="auto"/>
        </w:rPr>
        <w:t>paragraph (b)(iv)</w:t>
      </w:r>
      <w:r>
        <w:rPr>
          <w:rFonts w:ascii="Arial" w:cs="Arial" w:eastAsia="Arial" w:hAnsi="Arial"/>
          <w:sz w:val="19"/>
          <w:szCs w:val="19"/>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the Loan Documents (and, in the case of an Assignment and Assumption covering all of the assigning Lender’s rights and obligations under the Loan Documents, such Lender shall cease to be a party thereto but shall continue to be entitled to the benefits of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10.03</w:t>
      </w:r>
      <w:r>
        <w:rPr>
          <w:rFonts w:ascii="Arial" w:cs="Arial" w:eastAsia="Arial" w:hAnsi="Arial"/>
          <w:sz w:val="19"/>
          <w:szCs w:val="19"/>
          <w:color w:val="auto"/>
        </w:rPr>
        <w:t xml:space="preserve">). Any assignment or transfer by a Lender of rights or obligations under the Loan Documents that does not comply with this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w:t>
      </w:r>
    </w:p>
    <w:p>
      <w:pPr>
        <w:spacing w:after="0" w:line="160" w:lineRule="exact"/>
        <w:rPr>
          <w:rFonts w:ascii="Arial" w:cs="Arial" w:eastAsia="Arial" w:hAnsi="Arial"/>
          <w:sz w:val="19"/>
          <w:szCs w:val="19"/>
          <w:color w:val="auto"/>
        </w:rPr>
      </w:pPr>
    </w:p>
    <w:p>
      <w:pPr>
        <w:jc w:val="both"/>
        <w:ind w:left="1500" w:hanging="1115"/>
        <w:spacing w:after="0" w:line="273" w:lineRule="auto"/>
        <w:tabs>
          <w:tab w:leader="none" w:pos="1503" w:val="left"/>
        </w:tabs>
        <w:numPr>
          <w:ilvl w:val="0"/>
          <w:numId w:val="354"/>
        </w:numPr>
        <w:rPr>
          <w:rFonts w:ascii="Arial" w:cs="Arial" w:eastAsia="Arial" w:hAnsi="Arial"/>
          <w:sz w:val="19"/>
          <w:szCs w:val="19"/>
          <w:color w:val="auto"/>
        </w:rPr>
      </w:pPr>
      <w:r>
        <w:rPr>
          <w:rFonts w:ascii="Arial" w:cs="Arial" w:eastAsia="Arial" w:hAnsi="Arial"/>
          <w:sz w:val="19"/>
          <w:szCs w:val="19"/>
          <w:color w:val="auto"/>
        </w:rPr>
        <w:t>The Administrative Agent, acting solely for this purpose as a non-fiduciary agent of the Borrowers, shall maintain at one of its offices a copy of each Assignment and Assumption delivered to it and a register for the recordation of the names and addresses of the Lenders, and the Commitment of, and principal amount (and stated interest) of the Loans owing to, each Lender pursuant to the terms hereof from time to time (the “</w:t>
      </w:r>
      <w:r>
        <w:rPr>
          <w:rFonts w:ascii="Arial" w:cs="Arial" w:eastAsia="Arial" w:hAnsi="Arial"/>
          <w:sz w:val="19"/>
          <w:szCs w:val="19"/>
          <w:b w:val="1"/>
          <w:bCs w:val="1"/>
          <w:i w:val="1"/>
          <w:iCs w:val="1"/>
          <w:color w:val="auto"/>
        </w:rPr>
        <w:t>Register</w:t>
      </w:r>
      <w:r>
        <w:rPr>
          <w:rFonts w:ascii="Arial" w:cs="Arial" w:eastAsia="Arial" w:hAnsi="Arial"/>
          <w:sz w:val="19"/>
          <w:szCs w:val="19"/>
          <w:color w:val="auto"/>
        </w:rPr>
        <w:t>”). The entries in the Register shall be conclusive absent manifest error, and the Borrowers and the Credit Parties shall treat each Person whose name is recorded in the Register pursuant to the terms hereof as a Lender hereunder for all purposes of this Agreement, notwithstanding notice to the contrary. The Register shall be available for inspection by the Company and the Borrowers and any Lender, at any reasonable time and from time to time upon reasonable prior notice.</w:t>
      </w:r>
    </w:p>
    <w:p>
      <w:pPr>
        <w:spacing w:after="0" w:line="160" w:lineRule="exact"/>
        <w:rPr>
          <w:rFonts w:ascii="Arial" w:cs="Arial" w:eastAsia="Arial" w:hAnsi="Arial"/>
          <w:sz w:val="19"/>
          <w:szCs w:val="19"/>
          <w:color w:val="auto"/>
        </w:rPr>
      </w:pPr>
    </w:p>
    <w:p>
      <w:pPr>
        <w:ind w:left="1500" w:hanging="1115"/>
        <w:spacing w:after="0" w:line="279" w:lineRule="auto"/>
        <w:tabs>
          <w:tab w:leader="none" w:pos="1075" w:val="left"/>
        </w:tabs>
        <w:numPr>
          <w:ilvl w:val="0"/>
          <w:numId w:val="354"/>
        </w:numPr>
        <w:rPr>
          <w:rFonts w:ascii="Arial" w:cs="Arial" w:eastAsia="Arial" w:hAnsi="Arial"/>
          <w:sz w:val="19"/>
          <w:szCs w:val="19"/>
          <w:color w:val="auto"/>
        </w:rPr>
      </w:pPr>
      <w:r>
        <w:rPr>
          <w:rFonts w:ascii="Arial" w:cs="Arial" w:eastAsia="Arial" w:hAnsi="Arial"/>
          <w:sz w:val="19"/>
          <w:szCs w:val="19"/>
          <w:color w:val="auto"/>
        </w:rPr>
        <w:t xml:space="preserve">Upon its receipt of a duly completed Assignment and Assumption executed by an assigning Lender and an assignee (or, to the extent applicable, an agreement incorporating an Assignment and Assumption by reference pursuant to a Platform as to which the Administrative Agent and the parties to the Assignment and Assumption are participants), any documentation required by </w:t>
      </w:r>
      <w:r>
        <w:rPr>
          <w:rFonts w:ascii="Arial" w:cs="Arial" w:eastAsia="Arial" w:hAnsi="Arial"/>
          <w:sz w:val="19"/>
          <w:szCs w:val="19"/>
          <w:u w:val="single" w:color="auto"/>
          <w:color w:val="auto"/>
        </w:rPr>
        <w:t>Sections 2.17(f)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the assignee’s completed Administrative Questionnaire (unless the assignee shall already be a Lender hereunder), the processing and</w:t>
      </w:r>
    </w:p>
    <w:p>
      <w:pPr>
        <w:spacing w:after="0" w:line="153"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154305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310" w:name="page311"/>
    <w:bookmarkEnd w:id="310"/>
    <w:p>
      <w:pPr>
        <w:jc w:val="both"/>
        <w:ind w:left="2620"/>
        <w:spacing w:after="0" w:line="274" w:lineRule="auto"/>
        <w:rPr>
          <w:sz w:val="20"/>
          <w:szCs w:val="20"/>
          <w:color w:val="auto"/>
        </w:rPr>
      </w:pPr>
      <w:r>
        <w:rPr>
          <w:rFonts w:ascii="Arial" w:cs="Arial" w:eastAsia="Arial" w:hAnsi="Arial"/>
          <w:sz w:val="19"/>
          <w:szCs w:val="19"/>
          <w:color w:val="auto"/>
        </w:rPr>
        <w:t xml:space="preserve">recordation fee referred to in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and any written consent to such assignment required by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either the assigning Lender or the assignee shall have failed to make any payment required to be made by it pursuant to </w:t>
      </w:r>
      <w:r>
        <w:rPr>
          <w:rFonts w:ascii="Arial" w:cs="Arial" w:eastAsia="Arial" w:hAnsi="Arial"/>
          <w:sz w:val="19"/>
          <w:szCs w:val="19"/>
          <w:u w:val="single" w:color="auto"/>
          <w:color w:val="auto"/>
        </w:rPr>
        <w:t>Sections 2.05(d)</w:t>
      </w:r>
      <w:r>
        <w:rPr>
          <w:rFonts w:ascii="Arial" w:cs="Arial" w:eastAsia="Arial" w:hAnsi="Arial"/>
          <w:sz w:val="19"/>
          <w:szCs w:val="19"/>
          <w:color w:val="auto"/>
        </w:rPr>
        <w:t xml:space="preserve">, </w:t>
      </w:r>
      <w:r>
        <w:rPr>
          <w:rFonts w:ascii="Arial" w:cs="Arial" w:eastAsia="Arial" w:hAnsi="Arial"/>
          <w:sz w:val="19"/>
          <w:szCs w:val="19"/>
          <w:u w:val="single" w:color="auto"/>
          <w:color w:val="auto"/>
        </w:rPr>
        <w:t>2.07(b)</w:t>
      </w:r>
      <w:r>
        <w:rPr>
          <w:rFonts w:ascii="Arial" w:cs="Arial" w:eastAsia="Arial" w:hAnsi="Arial"/>
          <w:sz w:val="19"/>
          <w:szCs w:val="19"/>
          <w:color w:val="auto"/>
        </w:rPr>
        <w:t xml:space="preserve">, </w:t>
      </w:r>
      <w:r>
        <w:rPr>
          <w:rFonts w:ascii="Arial" w:cs="Arial" w:eastAsia="Arial" w:hAnsi="Arial"/>
          <w:sz w:val="19"/>
          <w:szCs w:val="19"/>
          <w:u w:val="single" w:color="auto"/>
          <w:color w:val="auto"/>
        </w:rPr>
        <w:t>2.18(d)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10.03(c)</w:t>
      </w:r>
      <w:r>
        <w:rPr>
          <w:rFonts w:ascii="Arial" w:cs="Arial" w:eastAsia="Arial" w:hAnsi="Arial"/>
          <w:sz w:val="19"/>
          <w:szCs w:val="19"/>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58" w:lineRule="exact"/>
        <w:rPr>
          <w:sz w:val="20"/>
          <w:szCs w:val="20"/>
          <w:color w:val="auto"/>
        </w:rPr>
      </w:pPr>
    </w:p>
    <w:p>
      <w:pPr>
        <w:jc w:val="both"/>
        <w:ind w:firstLine="1505"/>
        <w:spacing w:after="0" w:line="269" w:lineRule="auto"/>
        <w:tabs>
          <w:tab w:leader="none" w:pos="2186" w:val="left"/>
        </w:tabs>
        <w:numPr>
          <w:ilvl w:val="0"/>
          <w:numId w:val="355"/>
        </w:numPr>
        <w:rPr>
          <w:rFonts w:ascii="Arial" w:cs="Arial" w:eastAsia="Arial" w:hAnsi="Arial"/>
          <w:sz w:val="19"/>
          <w:szCs w:val="19"/>
          <w:color w:val="auto"/>
        </w:rPr>
      </w:pPr>
      <w:r>
        <w:rPr>
          <w:rFonts w:ascii="Arial" w:cs="Arial" w:eastAsia="Arial" w:hAnsi="Arial"/>
          <w:sz w:val="19"/>
          <w:szCs w:val="19"/>
          <w:color w:val="auto"/>
        </w:rPr>
        <w:t>Any Lender may, without the consent of any Loan Party, the Administrative Agent, or the Swingline Lenders, sell participations to one or more banks or other entities (a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xml:space="preserve">”), other than an Ineligible Assignee, in all or a portion of such Lender’s rights and obligations under the Loan Documents (including all or a portion of its Commitment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the Loan Documents shall remain unchanged, (B) such Lender shall remain solely responsible to the other parties hereto for the performance of such obligations and (C) the Borrowers, the Administrative Agent and the other Lenders shall continue to deal solely and directly with such Lender in connection with such Lender’s rights and obligations under the Loan Documents.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9"/>
          <w:szCs w:val="19"/>
          <w:u w:val="single" w:color="auto"/>
          <w:color w:val="auto"/>
        </w:rPr>
        <w:t>Section 10.02(b)</w:t>
      </w:r>
      <w:r>
        <w:rPr>
          <w:rFonts w:ascii="Arial" w:cs="Arial" w:eastAsia="Arial" w:hAnsi="Arial"/>
          <w:sz w:val="19"/>
          <w:szCs w:val="19"/>
          <w:color w:val="auto"/>
        </w:rPr>
        <w:t xml:space="preserve"> that affects such Participant. Each Borrower agrees that each Participant shall be entitled to the benefits of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(subject to the requirements and limitations therein, including the requirements under </w:t>
      </w:r>
      <w:r>
        <w:rPr>
          <w:rFonts w:ascii="Arial" w:cs="Arial" w:eastAsia="Arial" w:hAnsi="Arial"/>
          <w:sz w:val="19"/>
          <w:szCs w:val="19"/>
          <w:u w:val="single" w:color="auto"/>
          <w:color w:val="auto"/>
        </w:rPr>
        <w:t>Sections 2.17(f)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xml:space="preserve"> (it being understood that the documentation required under </w:t>
      </w:r>
      <w:r>
        <w:rPr>
          <w:rFonts w:ascii="Arial" w:cs="Arial" w:eastAsia="Arial" w:hAnsi="Arial"/>
          <w:sz w:val="19"/>
          <w:szCs w:val="19"/>
          <w:u w:val="single" w:color="auto"/>
          <w:color w:val="auto"/>
        </w:rPr>
        <w:t>Section 2.17(f)</w:t>
      </w:r>
      <w:r>
        <w:rPr>
          <w:rFonts w:ascii="Arial" w:cs="Arial" w:eastAsia="Arial" w:hAnsi="Arial"/>
          <w:sz w:val="19"/>
          <w:szCs w:val="19"/>
          <w:color w:val="auto"/>
        </w:rPr>
        <w:t xml:space="preserve"> shall be delivered to the participating Lender)) to the same extent as if it were a Lender and had acquired its interest by assignment pursuant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 agrees to be subject to the provisions of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as if it were an assignee under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and (B) shall not be entitled to receive any greater payment under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with respect to any Participant. To the extent permitted by law, each Participant also shall be entitled to the benefits of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Participant agrees to be subject to </w:t>
      </w:r>
      <w:r>
        <w:rPr>
          <w:rFonts w:ascii="Arial" w:cs="Arial" w:eastAsia="Arial" w:hAnsi="Arial"/>
          <w:sz w:val="19"/>
          <w:szCs w:val="19"/>
          <w:u w:val="single" w:color="auto"/>
          <w:color w:val="auto"/>
        </w:rPr>
        <w:t>Section 2.18(c)</w:t>
      </w:r>
      <w:r>
        <w:rPr>
          <w:rFonts w:ascii="Arial" w:cs="Arial" w:eastAsia="Arial" w:hAnsi="Arial"/>
          <w:sz w:val="19"/>
          <w:szCs w:val="19"/>
          <w:color w:val="auto"/>
        </w:rPr>
        <w:t xml:space="preserve"> as though it were a Lender. Each Lender that sells a participation shall, acting solely for this purpose as a non-fiduciary agent of the Loan Parties, maintain a register complying with the provisions of Sections 163(f), 871(h) and 881(c)(2) of the Code and the Treasury regulations issued thereunder on which it enters the name and address of each Participant and the principal amounts (and stated interest) of each Participant’s interest in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1" w:name="page312"/>
    <w:bookmarkEnd w:id="311"/>
    <w:p>
      <w:pPr>
        <w:jc w:val="both"/>
        <w:spacing w:after="0" w:line="274" w:lineRule="auto"/>
        <w:rPr>
          <w:sz w:val="20"/>
          <w:szCs w:val="20"/>
          <w:color w:val="auto"/>
        </w:rPr>
      </w:pPr>
      <w:r>
        <w:rPr>
          <w:rFonts w:ascii="Arial" w:cs="Arial" w:eastAsia="Arial" w:hAnsi="Arial"/>
          <w:sz w:val="19"/>
          <w:szCs w:val="19"/>
          <w:color w:val="auto"/>
        </w:rPr>
        <w:t>Loans or other obligations under the Loan Documents (the “</w:t>
      </w:r>
      <w:r>
        <w:rPr>
          <w:rFonts w:ascii="Arial" w:cs="Arial" w:eastAsia="Arial" w:hAnsi="Arial"/>
          <w:sz w:val="19"/>
          <w:szCs w:val="19"/>
          <w:b w:val="1"/>
          <w:bCs w:val="1"/>
          <w:i w:val="1"/>
          <w:iCs w:val="1"/>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or Proposed Section 1.163-5(b) of the United States Treasury Regulations (or, in each case, any amended, successor or final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8" w:lineRule="exact"/>
        <w:rPr>
          <w:sz w:val="20"/>
          <w:szCs w:val="20"/>
          <w:color w:val="auto"/>
        </w:rPr>
      </w:pPr>
    </w:p>
    <w:p>
      <w:pPr>
        <w:jc w:val="both"/>
        <w:ind w:firstLine="1505"/>
        <w:spacing w:after="0" w:line="236" w:lineRule="auto"/>
        <w:tabs>
          <w:tab w:leader="none" w:pos="217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 xml:space="preserve">Any Lender may at any time pledge or assign a security interest in all or any portion of its rights under the Loan Documents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87" w:lineRule="exact"/>
        <w:rPr>
          <w:rFonts w:ascii="Arial" w:cs="Arial" w:eastAsia="Arial" w:hAnsi="Arial"/>
          <w:sz w:val="22"/>
          <w:szCs w:val="22"/>
          <w:color w:val="auto"/>
        </w:rPr>
      </w:pPr>
    </w:p>
    <w:p>
      <w:pPr>
        <w:ind w:left="2160" w:hanging="655"/>
        <w:spacing w:after="0"/>
        <w:tabs>
          <w:tab w:leader="none" w:pos="216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Notwithstanding the above, unless an Event of Default is continuing,</w:t>
      </w:r>
    </w:p>
    <w:p>
      <w:pPr>
        <w:spacing w:after="0" w:line="206" w:lineRule="exact"/>
        <w:rPr>
          <w:sz w:val="20"/>
          <w:szCs w:val="20"/>
          <w:color w:val="auto"/>
        </w:rPr>
      </w:pPr>
    </w:p>
    <w:p>
      <w:pPr>
        <w:jc w:val="both"/>
        <w:ind w:left="760" w:firstLine="745"/>
        <w:spacing w:after="0" w:line="238" w:lineRule="auto"/>
        <w:tabs>
          <w:tab w:leader="none" w:pos="2074" w:val="left"/>
        </w:tabs>
        <w:numPr>
          <w:ilvl w:val="0"/>
          <w:numId w:val="357"/>
        </w:numPr>
        <w:rPr>
          <w:rFonts w:ascii="Arial" w:cs="Arial" w:eastAsia="Arial" w:hAnsi="Arial"/>
          <w:sz w:val="22"/>
          <w:szCs w:val="22"/>
          <w:color w:val="auto"/>
        </w:rPr>
      </w:pPr>
      <w:r>
        <w:rPr>
          <w:rFonts w:ascii="Arial" w:cs="Arial" w:eastAsia="Arial" w:hAnsi="Arial"/>
          <w:sz w:val="22"/>
          <w:szCs w:val="22"/>
          <w:color w:val="auto"/>
        </w:rPr>
        <w:t>A Lender under this Agreement shall give each Swiss Borrower notice of any assignment or transfer of any rights or obligations hereunder in whole or in part (along with confirmation as to whether the assignee or transferee is (1) a Swiss Qualifying Bank or (2) not a Swiss Qualifying Bank) at least ten (10) Business Days prior to such assignment or transfer; and</w:t>
      </w:r>
    </w:p>
    <w:p>
      <w:pPr>
        <w:spacing w:after="0" w:line="184" w:lineRule="exact"/>
        <w:rPr>
          <w:rFonts w:ascii="Arial" w:cs="Arial" w:eastAsia="Arial" w:hAnsi="Arial"/>
          <w:sz w:val="22"/>
          <w:szCs w:val="22"/>
          <w:color w:val="auto"/>
        </w:rPr>
      </w:pPr>
    </w:p>
    <w:p>
      <w:pPr>
        <w:jc w:val="both"/>
        <w:ind w:left="760" w:firstLine="745"/>
        <w:spacing w:after="0"/>
        <w:tabs>
          <w:tab w:leader="none" w:pos="2091" w:val="left"/>
        </w:tabs>
        <w:numPr>
          <w:ilvl w:val="0"/>
          <w:numId w:val="357"/>
        </w:numPr>
        <w:rPr>
          <w:rFonts w:ascii="Arial" w:cs="Arial" w:eastAsia="Arial" w:hAnsi="Arial"/>
          <w:sz w:val="22"/>
          <w:szCs w:val="22"/>
          <w:color w:val="auto"/>
        </w:rPr>
      </w:pPr>
      <w:r>
        <w:rPr>
          <w:rFonts w:ascii="Arial" w:cs="Arial" w:eastAsia="Arial" w:hAnsi="Arial"/>
          <w:sz w:val="22"/>
          <w:szCs w:val="22"/>
          <w:color w:val="auto"/>
        </w:rPr>
        <w:t>A Swiss Borrower may make a written objection to such Lender under this Agreement prior to such assignment or transfer based on such Swiss Borrower’s reasonable belief that such assignment or transfer would violate the Swiss 10 Non-Bank Rule; and</w:t>
      </w:r>
    </w:p>
    <w:p>
      <w:pPr>
        <w:spacing w:after="0" w:line="186" w:lineRule="exact"/>
        <w:rPr>
          <w:rFonts w:ascii="Arial" w:cs="Arial" w:eastAsia="Arial" w:hAnsi="Arial"/>
          <w:sz w:val="22"/>
          <w:szCs w:val="22"/>
          <w:color w:val="auto"/>
        </w:rPr>
      </w:pPr>
    </w:p>
    <w:p>
      <w:pPr>
        <w:jc w:val="both"/>
        <w:ind w:left="760" w:firstLine="745"/>
        <w:spacing w:after="0" w:line="282" w:lineRule="auto"/>
        <w:tabs>
          <w:tab w:leader="none" w:pos="2066" w:val="left"/>
        </w:tabs>
        <w:numPr>
          <w:ilvl w:val="0"/>
          <w:numId w:val="357"/>
        </w:numPr>
        <w:rPr>
          <w:rFonts w:ascii="Arial" w:cs="Arial" w:eastAsia="Arial" w:hAnsi="Arial"/>
          <w:sz w:val="19"/>
          <w:szCs w:val="19"/>
          <w:color w:val="auto"/>
        </w:rPr>
      </w:pPr>
      <w:r>
        <w:rPr>
          <w:rFonts w:ascii="Arial" w:cs="Arial" w:eastAsia="Arial" w:hAnsi="Arial"/>
          <w:sz w:val="19"/>
          <w:szCs w:val="19"/>
          <w:color w:val="auto"/>
        </w:rPr>
        <w:t>if such objection is made, such assignment or transfer shall be effected only with such Swiss Borrower’s consent, not to be unreasonably withheld or delayed (it being unreasonable to withhold consent unless such assignment or transfer would violate the Swiss 10 Non-Bank Rule and assuming, for the avoidance of doubt, that at any time during the term of this Agreement there may be up to ten Swiss Permitted Non-Qualifying Banks as Lenders (whether or not there are, at any time, any or less of such Swiss Permitted Non-Qualifying Banks as Lenders)).</w:t>
      </w:r>
    </w:p>
    <w:p>
      <w:pPr>
        <w:spacing w:after="0" w:line="147" w:lineRule="exact"/>
        <w:rPr>
          <w:rFonts w:ascii="Arial" w:cs="Arial" w:eastAsia="Arial" w:hAnsi="Arial"/>
          <w:sz w:val="19"/>
          <w:szCs w:val="19"/>
          <w:color w:val="auto"/>
        </w:rPr>
      </w:pPr>
    </w:p>
    <w:p>
      <w:pPr>
        <w:jc w:val="both"/>
        <w:ind w:left="760" w:firstLine="745"/>
        <w:spacing w:after="0"/>
        <w:tabs>
          <w:tab w:leader="none" w:pos="2092" w:val="left"/>
        </w:tabs>
        <w:numPr>
          <w:ilvl w:val="0"/>
          <w:numId w:val="357"/>
        </w:numPr>
        <w:rPr>
          <w:rFonts w:ascii="Arial" w:cs="Arial" w:eastAsia="Arial" w:hAnsi="Arial"/>
          <w:sz w:val="22"/>
          <w:szCs w:val="22"/>
          <w:color w:val="auto"/>
        </w:rPr>
      </w:pPr>
      <w:r>
        <w:rPr>
          <w:rFonts w:ascii="Arial" w:cs="Arial" w:eastAsia="Arial" w:hAnsi="Arial"/>
          <w:sz w:val="22"/>
          <w:szCs w:val="22"/>
          <w:color w:val="auto"/>
        </w:rPr>
        <w:t>Each Person that becomes a party to this Agreement shall confirm prior to becoming a party to this Agreement which of the following categories it falls in: (1) a Swiss Qualifying Bank, or (2) not a Swiss Qualifying Bank.</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10.05 </w:t>
      </w:r>
      <w:r>
        <w:rPr>
          <w:rFonts w:ascii="Arial" w:cs="Arial" w:eastAsia="Arial" w:hAnsi="Arial"/>
          <w:sz w:val="22"/>
          <w:szCs w:val="22"/>
          <w:u w:val="single" w:color="auto"/>
          <w:color w:val="auto"/>
        </w:rPr>
        <w:t>Survival</w:t>
      </w:r>
      <w:r>
        <w:rPr>
          <w:rFonts w:ascii="Arial" w:cs="Arial" w:eastAsia="Arial" w:hAnsi="Arial"/>
          <w:sz w:val="22"/>
          <w:szCs w:val="22"/>
          <w:color w:val="auto"/>
        </w:rPr>
        <w:t>. All covenants, agreements, representations and warranties made by the Loan Parties herein and in the other Loan Documents and in the certificates or other instruments delivered in connection with or pursuant to any Loan Document shall be considered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2" w:name="page313"/>
    <w:bookmarkEnd w:id="312"/>
    <w:p>
      <w:pPr>
        <w:jc w:val="both"/>
        <w:spacing w:after="0" w:line="275" w:lineRule="auto"/>
        <w:rPr>
          <w:sz w:val="20"/>
          <w:szCs w:val="20"/>
          <w:color w:val="auto"/>
        </w:rPr>
      </w:pPr>
      <w:r>
        <w:rPr>
          <w:rFonts w:ascii="Arial" w:cs="Arial" w:eastAsia="Arial" w:hAnsi="Arial"/>
          <w:sz w:val="19"/>
          <w:szCs w:val="19"/>
          <w:color w:val="auto"/>
        </w:rPr>
        <w:t xml:space="preserve">to have been relied upon by the other parties hereto and shall survive the execution and delivery of the Loan Documents and the making of any Loans regardless of any investigation made by any such other party or on its behalf and notwithstanding that any Credit Party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shall survive and remain in full force and effect regardless of the consummation of the transactions contemplated hereby, the repayment of the Loans, the expiration or termination of the Commitments or the termination of this Agreement or any provision hereof.</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10.06 </w:t>
      </w:r>
      <w:r>
        <w:rPr>
          <w:rFonts w:ascii="Arial" w:cs="Arial" w:eastAsia="Arial" w:hAnsi="Arial"/>
          <w:sz w:val="22"/>
          <w:szCs w:val="22"/>
          <w:u w:val="single" w:color="auto"/>
          <w:color w:val="auto"/>
        </w:rPr>
        <w:t>Counterparts; Integration; Effectiveness; Electronic Execution</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4" w:lineRule="auto"/>
        <w:tabs>
          <w:tab w:leader="none" w:pos="2175" w:val="left"/>
        </w:tabs>
        <w:numPr>
          <w:ilvl w:val="0"/>
          <w:numId w:val="358"/>
        </w:numPr>
        <w:rPr>
          <w:rFonts w:ascii="Arial" w:cs="Arial" w:eastAsia="Arial" w:hAnsi="Arial"/>
          <w:sz w:val="19"/>
          <w:szCs w:val="19"/>
          <w:color w:val="auto"/>
        </w:rPr>
      </w:pPr>
      <w:r>
        <w:rPr>
          <w:rFonts w:ascii="Arial" w:cs="Arial" w:eastAsia="Arial" w:hAnsi="Arial"/>
          <w:sz w:val="19"/>
          <w:szCs w:val="19"/>
          <w:color w:val="auto"/>
        </w:rPr>
        <w:t xml:space="preserve">This Agreement (including the Indonesian version of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58" w:lineRule="exact"/>
        <w:rPr>
          <w:rFonts w:ascii="Arial" w:cs="Arial" w:eastAsia="Arial" w:hAnsi="Arial"/>
          <w:sz w:val="19"/>
          <w:szCs w:val="19"/>
          <w:color w:val="auto"/>
        </w:rPr>
      </w:pPr>
    </w:p>
    <w:p>
      <w:pPr>
        <w:jc w:val="both"/>
        <w:ind w:firstLine="1505"/>
        <w:spacing w:after="0" w:line="274" w:lineRule="auto"/>
        <w:tabs>
          <w:tab w:leader="none" w:pos="2172" w:val="left"/>
        </w:tabs>
        <w:numPr>
          <w:ilvl w:val="0"/>
          <w:numId w:val="358"/>
        </w:numPr>
        <w:rPr>
          <w:rFonts w:ascii="Arial" w:cs="Arial" w:eastAsia="Arial" w:hAnsi="Arial"/>
          <w:sz w:val="19"/>
          <w:szCs w:val="19"/>
          <w:color w:val="auto"/>
        </w:rPr>
      </w:pPr>
      <w:r>
        <w:rPr>
          <w:rFonts w:ascii="Arial" w:cs="Arial" w:eastAsia="Arial" w:hAnsi="Arial"/>
          <w:sz w:val="19"/>
          <w:szCs w:val="19"/>
          <w:color w:val="auto"/>
        </w:rPr>
        <w:t>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8" w:lineRule="exact"/>
        <w:rPr>
          <w:rFonts w:ascii="Arial" w:cs="Arial" w:eastAsia="Arial" w:hAnsi="Arial"/>
          <w:sz w:val="19"/>
          <w:szCs w:val="19"/>
          <w:color w:val="auto"/>
        </w:rPr>
      </w:pPr>
    </w:p>
    <w:p>
      <w:pPr>
        <w:jc w:val="both"/>
        <w:ind w:firstLine="1505"/>
        <w:spacing w:after="0" w:line="297" w:lineRule="auto"/>
        <w:tabs>
          <w:tab w:leader="none" w:pos="2176" w:val="left"/>
        </w:tabs>
        <w:numPr>
          <w:ilvl w:val="0"/>
          <w:numId w:val="358"/>
        </w:numPr>
        <w:rPr>
          <w:rFonts w:ascii="Arial" w:cs="Arial" w:eastAsia="Arial" w:hAnsi="Arial"/>
          <w:sz w:val="19"/>
          <w:szCs w:val="19"/>
          <w:color w:val="auto"/>
        </w:rPr>
      </w:pPr>
      <w:r>
        <w:rPr>
          <w:rFonts w:ascii="Arial" w:cs="Arial" w:eastAsia="Arial" w:hAnsi="Arial"/>
          <w:sz w:val="19"/>
          <w:szCs w:val="19"/>
          <w:color w:val="auto"/>
        </w:rPr>
        <w:t>The Indonesian version of this Agreement, when it is executed, shall not be construed by any Party as creating different rights and obligations, or duplications or multiplication of the rights and obligations of the Parties under any version of this Agreement, and shall be deemed to be effective from the date of execution of the English language version.</w:t>
      </w:r>
    </w:p>
    <w:p>
      <w:pPr>
        <w:spacing w:after="0" w:line="134"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10.07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3" w:name="page314"/>
    <w:bookmarkEnd w:id="313"/>
    <w:p>
      <w:pPr>
        <w:jc w:val="both"/>
        <w:spacing w:after="0" w:line="250" w:lineRule="auto"/>
        <w:rPr>
          <w:sz w:val="20"/>
          <w:szCs w:val="20"/>
          <w:color w:val="auto"/>
        </w:rPr>
      </w:pPr>
      <w:r>
        <w:rPr>
          <w:rFonts w:ascii="Arial" w:cs="Arial" w:eastAsia="Arial" w:hAnsi="Arial"/>
          <w:sz w:val="22"/>
          <w:szCs w:val="22"/>
          <w:color w:val="auto"/>
        </w:rPr>
        <w:t>enforceability of the remaining provisions hereof; and the invalidity of a particular provision in a particular jurisdiction shall not invalidate such provision in any other jurisdiction.</w:t>
      </w:r>
    </w:p>
    <w:p>
      <w:pPr>
        <w:spacing w:after="0" w:line="17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 xml:space="preserve">SECTION 10.08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each Lender and each of its respective Affiliates is hereby authorized at any time and from time to time, to the fullest extent permitted by applicable law, to setoff and apply any and all deposits (general or special, time or demand, provisional or final, and in whatever currency denominated) at any time held and other obligations (in whatever currency) at any time owing by such Lender or any such Affiliate to or for the credit or the account of a Borrower or any other Loan Party against any and all of the Obligations of such Borrower or such Loan Party, as applicable, now or hereafter existing under this Agreement or any other Loan Document to such Lender or any of its respective Affiliates, irrespective of whether or not such Lender or any such Affiliate shall have made any demand under this Agreement or any other Loan Document and although such obligations of a Borrower or any other Loan Party may be contingent or unmatured or are owed to a branch or office of such Lender or such Affiliate different from the branch, office or Affiliate holding such deposit or obligated on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or any Affiliate thereof shall exercise any such right of setoff, (x) all amounts so setoff shall be paid over immediately to the Administrative Agent for further application in accordance with the provisions of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and, pending such payment, shall be segregated by such Defaulting Lender or Affiliate of a Defaulting Lender from its other funds and deemed held in trust for the benefit of the Administrative Agent and the Lenders, and (y) the Defaulting Lender or its Affiliate shall provide promptly to the Administrative Agent a statement describing in reasonable detail the Obligations owing to such Defaulting Lender or any of its Affiliates as to which such right of setoff was exercised. The rights of each Lender and its respective Affiliates under this Section are in addition to other rights and remedies (including other rights of setoff) that such Lender or its respective Affiliates may have. Each Lender agrees to notify the Borrowers, the Company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10.09 </w:t>
      </w:r>
      <w:r>
        <w:rPr>
          <w:rFonts w:ascii="Arial" w:cs="Arial" w:eastAsia="Arial" w:hAnsi="Arial"/>
          <w:sz w:val="22"/>
          <w:szCs w:val="22"/>
          <w:u w:val="single" w:color="auto"/>
          <w:color w:val="auto"/>
        </w:rPr>
        <w:t>Governing Law; Jurisdiction; Consent to Service of Process; Language Choice</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52" w:lineRule="auto"/>
        <w:tabs>
          <w:tab w:leader="none" w:pos="2172" w:val="left"/>
        </w:tabs>
        <w:numPr>
          <w:ilvl w:val="0"/>
          <w:numId w:val="359"/>
        </w:numPr>
        <w:rPr>
          <w:rFonts w:ascii="Arial" w:cs="Arial" w:eastAsia="Arial" w:hAnsi="Arial"/>
          <w:sz w:val="21"/>
          <w:szCs w:val="21"/>
          <w:color w:val="auto"/>
        </w:rPr>
      </w:pPr>
      <w:r>
        <w:rPr>
          <w:rFonts w:ascii="Arial" w:cs="Arial" w:eastAsia="Arial" w:hAnsi="Arial"/>
          <w:sz w:val="21"/>
          <w:szCs w:val="21"/>
          <w:color w:val="auto"/>
        </w:rPr>
        <w:t>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73" w:lineRule="exact"/>
        <w:rPr>
          <w:rFonts w:ascii="Arial" w:cs="Arial" w:eastAsia="Arial" w:hAnsi="Arial"/>
          <w:sz w:val="21"/>
          <w:szCs w:val="21"/>
          <w:color w:val="auto"/>
        </w:rPr>
      </w:pPr>
    </w:p>
    <w:p>
      <w:pPr>
        <w:jc w:val="both"/>
        <w:ind w:firstLine="1505"/>
        <w:spacing w:after="0" w:line="234" w:lineRule="auto"/>
        <w:tabs>
          <w:tab w:leader="none" w:pos="2201" w:val="left"/>
        </w:tabs>
        <w:numPr>
          <w:ilvl w:val="0"/>
          <w:numId w:val="359"/>
        </w:numPr>
        <w:rPr>
          <w:rFonts w:ascii="Arial" w:cs="Arial" w:eastAsia="Arial" w:hAnsi="Arial"/>
          <w:sz w:val="22"/>
          <w:szCs w:val="22"/>
          <w:color w:val="auto"/>
        </w:rPr>
      </w:pPr>
      <w:r>
        <w:rPr>
          <w:rFonts w:ascii="Arial" w:cs="Arial" w:eastAsia="Arial" w:hAnsi="Arial"/>
          <w:sz w:val="22"/>
          <w:szCs w:val="22"/>
          <w:color w:val="auto"/>
        </w:rPr>
        <w:t>Each Loan Party hereby irrevocably and unconditionally submits, for itself and its property, to the nonexclusive jurisdiction of the Supreme Court of the State of New York sitting in the Borough of Manhattan, and of the United States District Court for the Southern District of New York sitting in the Borough of Manhattan,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4" w:name="page315"/>
    <w:bookmarkEnd w:id="314"/>
    <w:p>
      <w:pPr>
        <w:jc w:val="both"/>
        <w:spacing w:after="0" w:line="279" w:lineRule="auto"/>
        <w:rPr>
          <w:sz w:val="20"/>
          <w:szCs w:val="20"/>
          <w:color w:val="auto"/>
        </w:rPr>
      </w:pPr>
      <w:r>
        <w:rPr>
          <w:rFonts w:ascii="Arial" w:cs="Arial" w:eastAsia="Arial" w:hAnsi="Arial"/>
          <w:sz w:val="19"/>
          <w:szCs w:val="19"/>
          <w:color w:val="auto"/>
        </w:rPr>
        <w:t>Each of the parties hereto agrees that a final judgment in any such action or proceeding shall be conclusive and may be enforced in other jurisdictions by suit on the judgment or in any other manner provided by law. Nothing in this Agreement shall affect any right that any Credit Party may otherwise have to bring any action or proceeding relating to this Agreement against any Loan Party or its properties in the courts of any jurisdiction and with respect to the Luxembourg Loan Parties only, in any courts having jurisdiction where any assets of the Luxembourg Loan Parties are situated or where the head office, central administration, centre of main interests, place of effective management, domicile and/or establishment of the Luxembourg Loan Parties are situated.</w:t>
      </w:r>
    </w:p>
    <w:p>
      <w:pPr>
        <w:spacing w:after="0" w:line="150" w:lineRule="exact"/>
        <w:rPr>
          <w:sz w:val="20"/>
          <w:szCs w:val="20"/>
          <w:color w:val="auto"/>
        </w:rPr>
      </w:pPr>
    </w:p>
    <w:p>
      <w:pPr>
        <w:jc w:val="both"/>
        <w:ind w:firstLine="1505"/>
        <w:spacing w:after="0" w:line="236" w:lineRule="auto"/>
        <w:tabs>
          <w:tab w:leader="none" w:pos="2169" w:val="left"/>
        </w:tabs>
        <w:numPr>
          <w:ilvl w:val="0"/>
          <w:numId w:val="360"/>
        </w:numPr>
        <w:rPr>
          <w:rFonts w:ascii="Arial" w:cs="Arial" w:eastAsia="Arial" w:hAnsi="Arial"/>
          <w:sz w:val="22"/>
          <w:szCs w:val="22"/>
          <w:color w:val="auto"/>
        </w:rPr>
      </w:pPr>
      <w:r>
        <w:rPr>
          <w:rFonts w:ascii="Arial" w:cs="Arial" w:eastAsia="Arial" w:hAnsi="Arial"/>
          <w:sz w:val="22"/>
          <w:szCs w:val="22"/>
          <w:color w:val="auto"/>
        </w:rPr>
        <w:t xml:space="preserve">Each Loan Party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87" w:lineRule="exact"/>
        <w:rPr>
          <w:rFonts w:ascii="Arial" w:cs="Arial" w:eastAsia="Arial" w:hAnsi="Arial"/>
          <w:sz w:val="22"/>
          <w:szCs w:val="22"/>
          <w:color w:val="auto"/>
        </w:rPr>
      </w:pPr>
    </w:p>
    <w:p>
      <w:pPr>
        <w:jc w:val="both"/>
        <w:ind w:firstLine="1505"/>
        <w:spacing w:after="0"/>
        <w:tabs>
          <w:tab w:leader="none" w:pos="2193" w:val="left"/>
        </w:tabs>
        <w:numPr>
          <w:ilvl w:val="0"/>
          <w:numId w:val="360"/>
        </w:numPr>
        <w:rPr>
          <w:rFonts w:ascii="Arial" w:cs="Arial" w:eastAsia="Arial" w:hAnsi="Arial"/>
          <w:sz w:val="22"/>
          <w:szCs w:val="22"/>
          <w:color w:val="auto"/>
        </w:rPr>
      </w:pPr>
      <w:r>
        <w:rPr>
          <w:rFonts w:ascii="Arial" w:cs="Arial" w:eastAsia="Arial" w:hAnsi="Arial"/>
          <w:sz w:val="22"/>
          <w:szCs w:val="22"/>
          <w:color w:val="auto"/>
        </w:rPr>
        <w:t xml:space="preserve">Each party to this Agreement irrevocably consents to service of process in the manner provided for notices in </w:t>
      </w:r>
      <w:r>
        <w:rPr>
          <w:rFonts w:ascii="Arial" w:cs="Arial" w:eastAsia="Arial" w:hAnsi="Arial"/>
          <w:sz w:val="22"/>
          <w:szCs w:val="22"/>
          <w:u w:val="single" w:color="auto"/>
          <w:color w:val="auto"/>
        </w:rPr>
        <w:t>Section 10.01</w:t>
      </w:r>
      <w:r>
        <w:rPr>
          <w:rFonts w:ascii="Arial" w:cs="Arial" w:eastAsia="Arial" w:hAnsi="Arial"/>
          <w:sz w:val="22"/>
          <w:szCs w:val="22"/>
          <w:color w:val="auto"/>
        </w:rPr>
        <w:t>. Nothing in this Agreement will affect the right of any party to this Agreement to serve process in any other manner permitted by applicable law.</w:t>
      </w:r>
    </w:p>
    <w:p>
      <w:pPr>
        <w:spacing w:after="0" w:line="186" w:lineRule="exact"/>
        <w:rPr>
          <w:rFonts w:ascii="Arial" w:cs="Arial" w:eastAsia="Arial" w:hAnsi="Arial"/>
          <w:sz w:val="22"/>
          <w:szCs w:val="22"/>
          <w:color w:val="auto"/>
        </w:rPr>
      </w:pPr>
    </w:p>
    <w:p>
      <w:pPr>
        <w:jc w:val="both"/>
        <w:ind w:firstLine="1505"/>
        <w:spacing w:after="0" w:line="238" w:lineRule="auto"/>
        <w:tabs>
          <w:tab w:leader="none" w:pos="2213" w:val="left"/>
        </w:tabs>
        <w:numPr>
          <w:ilvl w:val="0"/>
          <w:numId w:val="360"/>
        </w:numPr>
        <w:rPr>
          <w:rFonts w:ascii="Arial" w:cs="Arial" w:eastAsia="Arial" w:hAnsi="Arial"/>
          <w:sz w:val="22"/>
          <w:szCs w:val="22"/>
          <w:color w:val="auto"/>
        </w:rPr>
      </w:pPr>
      <w:r>
        <w:rPr>
          <w:rFonts w:ascii="Arial" w:cs="Arial" w:eastAsia="Arial" w:hAnsi="Arial"/>
          <w:sz w:val="22"/>
          <w:szCs w:val="22"/>
          <w:color w:val="auto"/>
        </w:rPr>
        <w:t xml:space="preserve">Without limiting the foregoing, each Borrower hereby irrevocably designates the Company, at its address set forth in </w:t>
      </w:r>
      <w:r>
        <w:rPr>
          <w:rFonts w:ascii="Arial" w:cs="Arial" w:eastAsia="Arial" w:hAnsi="Arial"/>
          <w:sz w:val="22"/>
          <w:szCs w:val="22"/>
          <w:u w:val="single" w:color="auto"/>
          <w:color w:val="auto"/>
        </w:rPr>
        <w:t>Section 10.01</w:t>
      </w:r>
      <w:r>
        <w:rPr>
          <w:rFonts w:ascii="Arial" w:cs="Arial" w:eastAsia="Arial" w:hAnsi="Arial"/>
          <w:sz w:val="22"/>
          <w:szCs w:val="22"/>
          <w:color w:val="auto"/>
        </w:rPr>
        <w:t>, as the designee, appointee and agent of such Borrower to receive, for and on behalf of such Borrower, service of process in such respective jurisdictions in any legal action or proceeding with respect to this Agreement or any other Loan Document.</w:t>
      </w:r>
    </w:p>
    <w:p>
      <w:pPr>
        <w:spacing w:after="0" w:line="184" w:lineRule="exact"/>
        <w:rPr>
          <w:rFonts w:ascii="Arial" w:cs="Arial" w:eastAsia="Arial" w:hAnsi="Arial"/>
          <w:sz w:val="22"/>
          <w:szCs w:val="22"/>
          <w:color w:val="auto"/>
        </w:rPr>
      </w:pPr>
    </w:p>
    <w:p>
      <w:pPr>
        <w:jc w:val="both"/>
        <w:ind w:firstLine="1505"/>
        <w:spacing w:after="0" w:line="238" w:lineRule="auto"/>
        <w:tabs>
          <w:tab w:leader="none" w:pos="2177" w:val="left"/>
        </w:tabs>
        <w:numPr>
          <w:ilvl w:val="0"/>
          <w:numId w:val="360"/>
        </w:numPr>
        <w:rPr>
          <w:rFonts w:ascii="Arial" w:cs="Arial" w:eastAsia="Arial" w:hAnsi="Arial"/>
          <w:sz w:val="22"/>
          <w:szCs w:val="22"/>
          <w:color w:val="auto"/>
        </w:rPr>
      </w:pPr>
      <w:r>
        <w:rPr>
          <w:rFonts w:ascii="Arial" w:cs="Arial" w:eastAsia="Arial" w:hAnsi="Arial"/>
          <w:sz w:val="22"/>
          <w:szCs w:val="22"/>
          <w:color w:val="auto"/>
        </w:rPr>
        <w:t>The parties hereto have requested that this Agreement and any document relating thereto be drafted in English. In the event this Agreement is translated in order to comply with the laws and regulations of the Indonesian Borrowers and in the event that there is a discrepancy between the interpretation of English text with the translation, the parties agree that the English text will prevail.</w:t>
      </w:r>
    </w:p>
    <w:p>
      <w:pPr>
        <w:spacing w:after="0" w:line="18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 xml:space="preserve">SECTION 10.10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5" w:name="page316"/>
    <w:bookmarkEnd w:id="315"/>
    <w:p>
      <w:pPr>
        <w:jc w:val="both"/>
        <w:ind w:firstLine="749"/>
        <w:spacing w:after="0"/>
        <w:rPr>
          <w:sz w:val="20"/>
          <w:szCs w:val="20"/>
          <w:color w:val="auto"/>
        </w:rPr>
      </w:pPr>
      <w:r>
        <w:rPr>
          <w:rFonts w:ascii="Arial" w:cs="Arial" w:eastAsia="Arial" w:hAnsi="Arial"/>
          <w:sz w:val="22"/>
          <w:szCs w:val="22"/>
          <w:color w:val="auto"/>
        </w:rPr>
        <w:t xml:space="preserve">SECTION 10.11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10.12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0" w:lineRule="auto"/>
        <w:tabs>
          <w:tab w:leader="none" w:pos="2180" w:val="left"/>
        </w:tabs>
        <w:numPr>
          <w:ilvl w:val="1"/>
          <w:numId w:val="361"/>
        </w:numPr>
        <w:rPr>
          <w:rFonts w:ascii="Arial" w:cs="Arial" w:eastAsia="Arial" w:hAnsi="Arial"/>
          <w:sz w:val="19"/>
          <w:szCs w:val="19"/>
          <w:color w:val="auto"/>
        </w:rPr>
      </w:pPr>
      <w:r>
        <w:rPr>
          <w:rFonts w:ascii="Arial" w:cs="Arial" w:eastAsia="Arial" w:hAnsi="Arial"/>
          <w:sz w:val="19"/>
          <w:szCs w:val="19"/>
          <w:color w:val="auto"/>
        </w:rPr>
        <w:t>Each Credit Party agrees to maintain the confidentiality of the Information (as defined below), except that Information may be disclosed (i)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(ii) to the extent requested by any Governmental Authority (including any self-regulatory authority, such as the National Association of Insurance Commissioners),</w:t>
      </w:r>
    </w:p>
    <w:p>
      <w:pPr>
        <w:spacing w:after="0" w:line="4" w:lineRule="exact"/>
        <w:rPr>
          <w:rFonts w:ascii="Arial" w:cs="Arial" w:eastAsia="Arial" w:hAnsi="Arial"/>
          <w:sz w:val="19"/>
          <w:szCs w:val="19"/>
          <w:color w:val="auto"/>
        </w:rPr>
      </w:pPr>
    </w:p>
    <w:p>
      <w:pPr>
        <w:jc w:val="both"/>
        <w:ind w:firstLine="8"/>
        <w:spacing w:after="0" w:line="269" w:lineRule="auto"/>
        <w:tabs>
          <w:tab w:leader="none" w:pos="381" w:val="left"/>
        </w:tabs>
        <w:numPr>
          <w:ilvl w:val="0"/>
          <w:numId w:val="362"/>
        </w:numPr>
        <w:rPr>
          <w:rFonts w:ascii="Arial" w:cs="Arial" w:eastAsia="Arial" w:hAnsi="Arial"/>
          <w:sz w:val="19"/>
          <w:szCs w:val="19"/>
          <w:color w:val="auto"/>
        </w:rPr>
      </w:pPr>
      <w:r>
        <w:rPr>
          <w:rFonts w:ascii="Arial" w:cs="Arial" w:eastAsia="Arial" w:hAnsi="Arial"/>
          <w:sz w:val="19"/>
          <w:szCs w:val="19"/>
          <w:color w:val="auto"/>
        </w:rPr>
        <w:t>to the extent required by applicable laws or regulations or by any subpoena or similar legal process, (iv) to any other party to this Agreement, (v) in connection with the exercise of any remedies hereunder or under any other Loan Document or any suit, action or proceeding relating to this Agreement or the enforcement of rights hereunder or under any other Loan Document, (vi) subject to an agreement containing provisions substantially the same as those of this Section, to (A) any assignee of or Participant in, or any prospective assignee of or Participant in, any of its rights or obligations under this Agreement or (B) any actual or prospective counterparty (or its advisors) to any swap or derivative transaction relating to any Loan Party and its obligations, (vii) with the consent of the Company or (viii) to the extent such Information (A) becomes publicly available other than as a result of a breach of this Section or (B) becomes available to any Credit Party on a non-confidential basis from a source other than any Loan Party. For the purposes of this Section, “</w:t>
      </w:r>
      <w:r>
        <w:rPr>
          <w:rFonts w:ascii="Arial" w:cs="Arial" w:eastAsia="Arial" w:hAnsi="Arial"/>
          <w:sz w:val="19"/>
          <w:szCs w:val="19"/>
          <w:b w:val="1"/>
          <w:bCs w:val="1"/>
          <w:i w:val="1"/>
          <w:iCs w:val="1"/>
          <w:color w:val="auto"/>
        </w:rPr>
        <w:t>Information</w:t>
      </w:r>
      <w:r>
        <w:rPr>
          <w:rFonts w:ascii="Arial" w:cs="Arial" w:eastAsia="Arial" w:hAnsi="Arial"/>
          <w:sz w:val="19"/>
          <w:szCs w:val="19"/>
          <w:color w:val="auto"/>
        </w:rPr>
        <w:t xml:space="preserve">” means all information received from any Loan Party relating to such Loan Party or its business, other than any such information that is available to any Credit Party on a non-confidential basis prior to disclosure by such Loan Party and other than information pertaining to this Agreement routinely provided by arrangers to data service providers, including league table providers that service the lending industry;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such Loan Party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7" w:lineRule="exact"/>
        <w:rPr>
          <w:rFonts w:ascii="Arial" w:cs="Arial" w:eastAsia="Arial" w:hAnsi="Arial"/>
          <w:sz w:val="19"/>
          <w:szCs w:val="19"/>
          <w:color w:val="auto"/>
        </w:rPr>
      </w:pPr>
    </w:p>
    <w:p>
      <w:pPr>
        <w:ind w:left="2200" w:hanging="695"/>
        <w:spacing w:after="0"/>
        <w:tabs>
          <w:tab w:leader="none" w:pos="2200" w:val="left"/>
        </w:tabs>
        <w:numPr>
          <w:ilvl w:val="1"/>
          <w:numId w:val="362"/>
        </w:numPr>
        <w:rPr>
          <w:rFonts w:ascii="Arial" w:cs="Arial" w:eastAsia="Arial" w:hAnsi="Arial"/>
          <w:sz w:val="21"/>
          <w:szCs w:val="21"/>
          <w:color w:val="auto"/>
        </w:rPr>
      </w:pPr>
      <w:r>
        <w:rPr>
          <w:rFonts w:ascii="Arial" w:cs="Arial" w:eastAsia="Arial" w:hAnsi="Arial"/>
          <w:sz w:val="21"/>
          <w:szCs w:val="21"/>
          <w:color w:val="auto"/>
        </w:rPr>
        <w:t xml:space="preserve">EACH LENDER ACKNOWLEDGES THAT INFORMATION AS DEFINED IN </w:t>
      </w:r>
      <w:r>
        <w:rPr>
          <w:rFonts w:ascii="Arial" w:cs="Arial" w:eastAsia="Arial" w:hAnsi="Arial"/>
          <w:sz w:val="21"/>
          <w:szCs w:val="21"/>
          <w:u w:val="single" w:color="auto"/>
          <w:color w:val="auto"/>
        </w:rPr>
        <w:t>SECTION 10.12(a)</w:t>
      </w:r>
    </w:p>
    <w:p>
      <w:pPr>
        <w:spacing w:after="0" w:line="19" w:lineRule="exact"/>
        <w:rPr>
          <w:rFonts w:ascii="Arial" w:cs="Arial" w:eastAsia="Arial" w:hAnsi="Arial"/>
          <w:sz w:val="21"/>
          <w:szCs w:val="21"/>
          <w:color w:val="auto"/>
        </w:rPr>
      </w:pPr>
    </w:p>
    <w:p>
      <w:pPr>
        <w:jc w:val="both"/>
        <w:spacing w:after="0" w:line="232" w:lineRule="auto"/>
        <w:rPr>
          <w:rFonts w:ascii="Arial" w:cs="Arial" w:eastAsia="Arial" w:hAnsi="Arial"/>
          <w:sz w:val="21"/>
          <w:szCs w:val="21"/>
          <w:color w:val="auto"/>
        </w:rPr>
      </w:pPr>
      <w:r>
        <w:rPr>
          <w:rFonts w:ascii="Arial" w:cs="Arial" w:eastAsia="Arial" w:hAnsi="Arial"/>
          <w:sz w:val="22"/>
          <w:szCs w:val="22"/>
          <w:color w:val="auto"/>
        </w:rPr>
        <w:t>FURNISHED TO IT PURSUANT TO THIS AGREEMENT MAY INCLUDE MATERIAL NON-PUBLIC INFORMATION CONCERNING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8" w:lineRule="exact"/>
        <w:rPr>
          <w:rFonts w:ascii="Arial" w:cs="Arial" w:eastAsia="Arial" w:hAnsi="Arial"/>
          <w:sz w:val="21"/>
          <w:szCs w:val="21"/>
          <w:color w:val="auto"/>
        </w:rPr>
      </w:pPr>
    </w:p>
    <w:p>
      <w:pPr>
        <w:ind w:firstLine="1505"/>
        <w:spacing w:after="0" w:line="250" w:lineRule="auto"/>
        <w:tabs>
          <w:tab w:leader="none" w:pos="2291" w:val="left"/>
        </w:tabs>
        <w:numPr>
          <w:ilvl w:val="1"/>
          <w:numId w:val="362"/>
        </w:numPr>
        <w:rPr>
          <w:rFonts w:ascii="Arial" w:cs="Arial" w:eastAsia="Arial" w:hAnsi="Arial"/>
          <w:sz w:val="22"/>
          <w:szCs w:val="22"/>
          <w:color w:val="auto"/>
        </w:rPr>
      </w:pPr>
      <w:r>
        <w:rPr>
          <w:rFonts w:ascii="Arial" w:cs="Arial" w:eastAsia="Arial" w:hAnsi="Arial"/>
          <w:sz w:val="22"/>
          <w:szCs w:val="22"/>
          <w:color w:val="auto"/>
        </w:rPr>
        <w:t>ALL INFORMATION, INCLUDING REQUESTS FOR WAIVERS AND AMENDMENTS, FURNISHED BY THE LOAN PARTIES OR THE ADMINISTRATIVE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6" w:name="page317"/>
    <w:bookmarkEnd w:id="316"/>
    <w:p>
      <w:pPr>
        <w:jc w:val="both"/>
        <w:spacing w:after="0" w:line="234" w:lineRule="auto"/>
        <w:rPr>
          <w:sz w:val="20"/>
          <w:szCs w:val="20"/>
          <w:color w:val="auto"/>
        </w:rPr>
      </w:pPr>
      <w:r>
        <w:rPr>
          <w:rFonts w:ascii="Arial" w:cs="Arial" w:eastAsia="Arial" w:hAnsi="Arial"/>
          <w:sz w:val="22"/>
          <w:szCs w:val="22"/>
          <w:color w:val="auto"/>
        </w:rPr>
        <w:t>AGENT PURSUANT TO, OR IN THE COURSE OF ADMINISTERING, THIS AGREEMENT WILL BE SYNDICATE-LEVEL INFORMATION, WHICH MAY CONTAIN MATERIAL NON-PUBLIC INFORMATION ABOUT THE LOAN PARTIES AND THEIR RELATED PARTIES OR THEIR RESPECTIVE SECURITIES. ACCORDINGLY, EACH LENDER REPRESENTS TO THE LOAN PARTIES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91"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 xml:space="preserve">SECTION 10.13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9"/>
          <w:szCs w:val="19"/>
          <w:b w:val="1"/>
          <w:bCs w:val="1"/>
          <w:i w:val="1"/>
          <w:iCs w:val="1"/>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b w:val="1"/>
          <w:bCs w:val="1"/>
          <w:i w:val="1"/>
          <w:iCs w:val="1"/>
          <w:color w:val="auto"/>
        </w:rPr>
        <w:t>Maximum Rate</w:t>
      </w:r>
      <w:r>
        <w:rPr>
          <w:rFonts w:ascii="Arial" w:cs="Arial" w:eastAsia="Arial" w:hAnsi="Arial"/>
          <w:sz w:val="19"/>
          <w:szCs w:val="19"/>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spacing w:after="0" w:line="158"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SECTION 10.14 </w:t>
      </w:r>
      <w:r>
        <w:rPr>
          <w:rFonts w:ascii="Arial" w:cs="Arial" w:eastAsia="Arial" w:hAnsi="Arial"/>
          <w:sz w:val="22"/>
          <w:szCs w:val="22"/>
          <w:u w:val="single" w:color="auto"/>
          <w:color w:val="auto"/>
        </w:rPr>
        <w:t>USA PATRIOT Act</w:t>
      </w:r>
      <w:r>
        <w:rPr>
          <w:rFonts w:ascii="Arial" w:cs="Arial" w:eastAsia="Arial" w:hAnsi="Arial"/>
          <w:sz w:val="22"/>
          <w:szCs w:val="22"/>
          <w:color w:val="auto"/>
        </w:rPr>
        <w:t>. Each Lender that is subject to the requirements of the USA Patriot Act (Title III of Pub. L. 107-56 (signed into law October 26, 2001)) (the “</w:t>
      </w:r>
      <w:r>
        <w:rPr>
          <w:rFonts w:ascii="Arial" w:cs="Arial" w:eastAsia="Arial" w:hAnsi="Arial"/>
          <w:sz w:val="22"/>
          <w:szCs w:val="22"/>
          <w:b w:val="1"/>
          <w:bCs w:val="1"/>
          <w:i w:val="1"/>
          <w:iCs w:val="1"/>
          <w:color w:val="auto"/>
        </w:rPr>
        <w:t>Act</w:t>
      </w:r>
      <w:r>
        <w:rPr>
          <w:rFonts w:ascii="Arial" w:cs="Arial" w:eastAsia="Arial" w:hAnsi="Arial"/>
          <w:sz w:val="22"/>
          <w:szCs w:val="22"/>
          <w:color w:val="auto"/>
        </w:rPr>
        <w:t>”) and the requirements of the Beneficial Ownership Regulation hereby notifies the Loan Parties that pursuant to the requirements of the Act or any other Anti-Money Laundering Laws and the Beneficial Ownership Regulation, it is required to obtain, verify and record information that identifies the Loan Parties, which information includes the names, addresses and tax identification numbers of the Loan Parties and other information that will allow such Lender to identify the Loan Parties in accordance with the Act or such Anti-Money Laundering Laws and the Beneficial Ownership Regulation.</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10.15 </w:t>
      </w:r>
      <w:r>
        <w:rPr>
          <w:rFonts w:ascii="Arial" w:cs="Arial" w:eastAsia="Arial" w:hAnsi="Arial"/>
          <w:sz w:val="22"/>
          <w:szCs w:val="22"/>
          <w:u w:val="single" w:color="auto"/>
          <w:color w:val="auto"/>
        </w:rPr>
        <w:t>No Advisory or Fiduciary Responsibility</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45" w:lineRule="auto"/>
        <w:tabs>
          <w:tab w:leader="none" w:pos="2173" w:val="left"/>
        </w:tabs>
        <w:numPr>
          <w:ilvl w:val="0"/>
          <w:numId w:val="363"/>
        </w:numPr>
        <w:rPr>
          <w:rFonts w:ascii="Arial" w:cs="Arial" w:eastAsia="Arial" w:hAnsi="Arial"/>
          <w:sz w:val="21"/>
          <w:szCs w:val="21"/>
          <w:color w:val="auto"/>
        </w:rPr>
      </w:pPr>
      <w:r>
        <w:rPr>
          <w:rFonts w:ascii="Arial" w:cs="Arial" w:eastAsia="Arial" w:hAnsi="Arial"/>
          <w:sz w:val="21"/>
          <w:szCs w:val="21"/>
          <w:color w:val="auto"/>
        </w:rPr>
        <w:t>In connection with all aspects of each transaction contemplated hereby, each Loan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Loan Parties and their respective Affiliates, on the one hand, and the Administrative Agent, the Arranger and the Lenders, on the other hand, and the Loan Parties are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the Arranger and the Lenders is and has been acting solely as a principal and is not the financial advisor, agent or fiduciary, for the Loan Parties or any of their respective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7" w:name="page318"/>
    <w:bookmarkEnd w:id="317"/>
    <w:p>
      <w:pPr>
        <w:jc w:val="both"/>
        <w:spacing w:after="0" w:line="271" w:lineRule="auto"/>
        <w:rPr>
          <w:sz w:val="20"/>
          <w:szCs w:val="20"/>
          <w:color w:val="auto"/>
        </w:rPr>
      </w:pPr>
      <w:r>
        <w:rPr>
          <w:rFonts w:ascii="Arial" w:cs="Arial" w:eastAsia="Arial" w:hAnsi="Arial"/>
          <w:sz w:val="19"/>
          <w:szCs w:val="19"/>
          <w:color w:val="auto"/>
        </w:rPr>
        <w:t>Affiliates, stockholders, creditors or employees or any other Person, (iii) none of the Administrative Agent, the Arranger or the Lenders has assumed or will assume an advisory, agency or fiduciary responsibility in favor of the Loan Parties with respect to any of the transactions contemplated hereby or the process leading thereto, including with respect to any amendment, waiver or other modification hereof or of any other Loan Document (irrespective of whether any Arranger or Lender has advised or is currently advising the Loan Parties or any of their Affiliates on other matters) and none of the Administrative Agent, the Arranger or the Lenders has any obligation to the Loan Parties or any of their Affiliates with respect to the financing transactions contemplated hereby except those obligations expressly set forth herein and in the other Loan Documents, (iv) the Arranger and the Lenders and their respective Affiliates may be engaged in a broad range of transactions that involve interests that differ from, and may conflict with, those of the Loan Parties and their respective Affiliates, and none of the Administrative Agent, the Arranger or the Lenders has any obligation to disclose any of such interests by virtue of any advisory, agency or fiduciary relationship and (v) the Administrative Agent, the Arranger and the Lenders have not provided and will not provide any legal, accounting, regulatory or tax advice with respect to any of the transactions contemplated hereby (including any amendment, waiver or other modification hereof or of any other Loan Document) and the Loan Parties have consulted their own legal, accounting, regulatory and tax advisors to the extent they have deemed appropriate.</w:t>
      </w:r>
    </w:p>
    <w:p>
      <w:pPr>
        <w:spacing w:after="0" w:line="164" w:lineRule="exact"/>
        <w:rPr>
          <w:sz w:val="20"/>
          <w:szCs w:val="20"/>
          <w:color w:val="auto"/>
        </w:rPr>
      </w:pPr>
    </w:p>
    <w:p>
      <w:pPr>
        <w:jc w:val="both"/>
        <w:ind w:firstLine="1505"/>
        <w:spacing w:after="0" w:line="275" w:lineRule="auto"/>
        <w:tabs>
          <w:tab w:leader="none" w:pos="2167" w:val="left"/>
        </w:tabs>
        <w:numPr>
          <w:ilvl w:val="0"/>
          <w:numId w:val="364"/>
        </w:numPr>
        <w:rPr>
          <w:rFonts w:ascii="Arial" w:cs="Arial" w:eastAsia="Arial" w:hAnsi="Arial"/>
          <w:sz w:val="19"/>
          <w:szCs w:val="19"/>
          <w:color w:val="auto"/>
        </w:rPr>
      </w:pPr>
      <w:r>
        <w:rPr>
          <w:rFonts w:ascii="Arial" w:cs="Arial" w:eastAsia="Arial" w:hAnsi="Arial"/>
          <w:sz w:val="19"/>
          <w:szCs w:val="19"/>
          <w:color w:val="auto"/>
        </w:rPr>
        <w:t>Each Loan Party acknowledges and agrees that each Lender, the Arranger and any Affiliate thereof may lend money to, invest in, and generally engage in any kind of business with, any of Loan Parties, any Affiliate thereof or any other person or entity that may do business with or own securities of any of the foregoing, all as if such Lender, Arranger or Affiliate thereof were not a Lender or Arranger or an Affiliate thereof (or an agent or any other person with any similar role under the credit facilities) and without any duty to account therefor to any other Lender, the Arranger, the Loan Parties or any Affiliate of the foregoing. Each Lender, the Arranger and any Affiliate thereof may accept fees and other consideration from the Loan Parties or any Affiliate thereof for services in connection with this Agreement, the Credit Facilities or otherwise without having to account for the same to any other Lender, the Arranger, the Loan Parties or any Affiliate of the foregoing.</w:t>
      </w:r>
    </w:p>
    <w:p>
      <w:pPr>
        <w:spacing w:after="0" w:line="15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10.16 </w:t>
      </w:r>
      <w:r>
        <w:rPr>
          <w:rFonts w:ascii="Arial" w:cs="Arial" w:eastAsia="Arial" w:hAnsi="Arial"/>
          <w:sz w:val="22"/>
          <w:szCs w:val="22"/>
          <w:u w:val="single" w:color="auto"/>
          <w:color w:val="auto"/>
        </w:rPr>
        <w:t>Acknowledgement and Consent to Bail-In of Affected Financial Institutions</w:t>
      </w:r>
      <w:r>
        <w:rPr>
          <w:rFonts w:ascii="Arial" w:cs="Arial" w:eastAsia="Arial" w:hAnsi="Arial"/>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7" w:lineRule="exact"/>
        <w:rPr>
          <w:sz w:val="20"/>
          <w:szCs w:val="20"/>
          <w:color w:val="auto"/>
        </w:rPr>
      </w:pPr>
    </w:p>
    <w:p>
      <w:pPr>
        <w:ind w:firstLine="1505"/>
        <w:spacing w:after="0" w:line="328" w:lineRule="auto"/>
        <w:tabs>
          <w:tab w:leader="none" w:pos="2184" w:val="left"/>
        </w:tabs>
        <w:numPr>
          <w:ilvl w:val="0"/>
          <w:numId w:val="365"/>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4" w:lineRule="exact"/>
        <w:rPr>
          <w:rFonts w:ascii="Arial" w:cs="Arial" w:eastAsia="Arial" w:hAnsi="Arial"/>
          <w:sz w:val="19"/>
          <w:szCs w:val="19"/>
          <w:color w:val="auto"/>
        </w:rPr>
      </w:pPr>
    </w:p>
    <w:p>
      <w:pPr>
        <w:ind w:left="2160" w:hanging="655"/>
        <w:spacing w:after="0"/>
        <w:tabs>
          <w:tab w:leader="none" w:pos="2160" w:val="left"/>
        </w:tabs>
        <w:numPr>
          <w:ilvl w:val="0"/>
          <w:numId w:val="365"/>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06" w:lineRule="exact"/>
        <w:rPr>
          <w:sz w:val="20"/>
          <w:szCs w:val="20"/>
          <w:color w:val="auto"/>
        </w:rPr>
      </w:pPr>
    </w:p>
    <w:p>
      <w:pPr>
        <w:ind w:left="2200" w:hanging="695"/>
        <w:spacing w:after="0"/>
        <w:tabs>
          <w:tab w:leader="none" w:pos="2200" w:val="left"/>
        </w:tabs>
        <w:numPr>
          <w:ilvl w:val="0"/>
          <w:numId w:val="366"/>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8" w:name="page319"/>
    <w:bookmarkEnd w:id="318"/>
    <w:p>
      <w:pPr>
        <w:jc w:val="both"/>
        <w:ind w:left="2620" w:hanging="1115"/>
        <w:spacing w:after="0" w:line="236" w:lineRule="auto"/>
        <w:tabs>
          <w:tab w:leader="none" w:pos="2634" w:val="left"/>
        </w:tabs>
        <w:numPr>
          <w:ilvl w:val="0"/>
          <w:numId w:val="367"/>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7" w:lineRule="exact"/>
        <w:rPr>
          <w:rFonts w:ascii="Arial" w:cs="Arial" w:eastAsia="Arial" w:hAnsi="Arial"/>
          <w:sz w:val="22"/>
          <w:szCs w:val="22"/>
          <w:color w:val="auto"/>
        </w:rPr>
      </w:pPr>
    </w:p>
    <w:p>
      <w:pPr>
        <w:ind w:left="2620" w:hanging="1115"/>
        <w:spacing w:after="0" w:line="250" w:lineRule="auto"/>
        <w:tabs>
          <w:tab w:leader="none" w:pos="2634" w:val="left"/>
        </w:tabs>
        <w:numPr>
          <w:ilvl w:val="0"/>
          <w:numId w:val="367"/>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10.17 </w:t>
      </w:r>
      <w:r>
        <w:rPr>
          <w:rFonts w:ascii="Arial" w:cs="Arial" w:eastAsia="Arial" w:hAnsi="Arial"/>
          <w:sz w:val="22"/>
          <w:szCs w:val="22"/>
          <w:u w:val="single" w:color="auto"/>
          <w:color w:val="auto"/>
        </w:rPr>
        <w:t>Erroneous Payments</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71" w:lineRule="auto"/>
        <w:tabs>
          <w:tab w:leader="none" w:pos="2235" w:val="left"/>
        </w:tabs>
        <w:numPr>
          <w:ilvl w:val="0"/>
          <w:numId w:val="368"/>
        </w:numPr>
        <w:rPr>
          <w:rFonts w:ascii="Arial" w:cs="Arial" w:eastAsia="Arial" w:hAnsi="Arial"/>
          <w:sz w:val="19"/>
          <w:szCs w:val="19"/>
          <w:color w:val="auto"/>
        </w:rPr>
      </w:pPr>
      <w:r>
        <w:rPr>
          <w:rFonts w:ascii="Arial" w:cs="Arial" w:eastAsia="Arial" w:hAnsi="Arial"/>
          <w:sz w:val="19"/>
          <w:szCs w:val="19"/>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xml:space="preserve">”) were erroneously transmitted to such Lender (whether or not known to such Lender), and demands the return of such Payment (or a portion thereof), such Lender shall promptly, but in no event later than two (2) Business Days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Overnight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shall be conclusive, absent manifest error.</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1505"/>
        <w:spacing w:after="0" w:line="273" w:lineRule="auto"/>
        <w:tabs>
          <w:tab w:leader="none" w:pos="2165" w:val="left"/>
        </w:tabs>
        <w:numPr>
          <w:ilvl w:val="0"/>
          <w:numId w:val="368"/>
        </w:numPr>
        <w:rPr>
          <w:rFonts w:ascii="Arial" w:cs="Arial" w:eastAsia="Arial" w:hAnsi="Arial"/>
          <w:sz w:val="19"/>
          <w:szCs w:val="19"/>
          <w:color w:val="auto"/>
        </w:rPr>
      </w:pPr>
      <w:r>
        <w:rPr>
          <w:rFonts w:ascii="Arial" w:cs="Arial" w:eastAsia="Arial" w:hAnsi="Arial"/>
          <w:sz w:val="19"/>
          <w:szCs w:val="19"/>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9"/>
          <w:szCs w:val="19"/>
          <w:b w:val="1"/>
          <w:bCs w:val="1"/>
          <w:i w:val="1"/>
          <w:iCs w:val="1"/>
          <w:color w:val="auto"/>
        </w:rPr>
        <w:t>Payment Notice</w:t>
      </w:r>
      <w:r>
        <w:rPr>
          <w:rFonts w:ascii="Arial" w:cs="Arial" w:eastAsia="Arial" w:hAnsi="Arial"/>
          <w:sz w:val="19"/>
          <w:szCs w:val="19"/>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two (2) Business Days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9" w:name="page320"/>
    <w:bookmarkEnd w:id="319"/>
    <w:p>
      <w:pPr>
        <w:jc w:val="both"/>
        <w:ind w:firstLine="1505"/>
        <w:spacing w:after="0" w:line="233" w:lineRule="auto"/>
        <w:tabs>
          <w:tab w:leader="none" w:pos="2182" w:val="left"/>
        </w:tabs>
        <w:numPr>
          <w:ilvl w:val="0"/>
          <w:numId w:val="369"/>
        </w:numPr>
        <w:rPr>
          <w:rFonts w:ascii="Arial" w:cs="Arial" w:eastAsia="Arial" w:hAnsi="Arial"/>
          <w:sz w:val="22"/>
          <w:szCs w:val="22"/>
          <w:color w:val="auto"/>
        </w:rPr>
      </w:pPr>
      <w:r>
        <w:rPr>
          <w:rFonts w:ascii="Arial" w:cs="Arial" w:eastAsia="Arial" w:hAnsi="Arial"/>
          <w:sz w:val="22"/>
          <w:szCs w:val="22"/>
          <w:color w:val="auto"/>
        </w:rPr>
        <w:t xml:space="preserve">The Company and each other Borrower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Company or any Borrower, except to the extent such erroneous Payment is, and solely with respect to the amount of such erroneous Payment that is, comprised of funds received by the Administrative Agent from the Company or any Borrower for the purpose of making a payment to satisfy any of the Obligations. Notwithstanding anything to the contrary herein or in any other Loan Document, the provisions of this </w:t>
      </w:r>
      <w:r>
        <w:rPr>
          <w:rFonts w:ascii="Arial" w:cs="Arial" w:eastAsia="Arial" w:hAnsi="Arial"/>
          <w:sz w:val="22"/>
          <w:szCs w:val="22"/>
          <w:u w:val="single" w:color="auto"/>
          <w:color w:val="auto"/>
        </w:rPr>
        <w:t>Section 10.17</w:t>
      </w:r>
      <w:r>
        <w:rPr>
          <w:rFonts w:ascii="Arial" w:cs="Arial" w:eastAsia="Arial" w:hAnsi="Arial"/>
          <w:sz w:val="22"/>
          <w:szCs w:val="22"/>
          <w:color w:val="auto"/>
        </w:rPr>
        <w:t xml:space="preserve"> relating to Payments (including the preceding two paragraphs and this paragraph) will not constitute, create or otherwise alter any Obligations on the part of the Company or the Borrowers under the Loan Documents or otherwise.</w:t>
      </w:r>
    </w:p>
    <w:p>
      <w:pPr>
        <w:spacing w:after="0" w:line="190"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Each party’s obligations under this </w:t>
      </w:r>
      <w:r>
        <w:rPr>
          <w:rFonts w:ascii="Arial" w:cs="Arial" w:eastAsia="Arial" w:hAnsi="Arial"/>
          <w:sz w:val="22"/>
          <w:szCs w:val="22"/>
          <w:u w:val="single" w:color="auto"/>
          <w:color w:val="auto"/>
        </w:rPr>
        <w:t>Section 10.17</w:t>
      </w:r>
      <w:r>
        <w:rPr>
          <w:rFonts w:ascii="Arial" w:cs="Arial" w:eastAsia="Arial" w:hAnsi="Arial"/>
          <w:sz w:val="22"/>
          <w:szCs w:val="22"/>
          <w:color w:val="auto"/>
        </w:rPr>
        <w:t xml:space="preserve"> shall survive the resignation or replacement of the Administrative Agent or any transfer of rights or obligations by, or the replacement of, a Lender, the termination of the Commitments or the repayment, satisfaction or discharge of any or all Obligations under any Loan Document.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20" w:name="page321"/>
    <w:bookmarkEnd w:id="320"/>
    <w:p>
      <w:pPr>
        <w:ind w:firstLine="749"/>
        <w:spacing w:after="0" w:line="250" w:lineRule="auto"/>
        <w:rPr>
          <w:sz w:val="20"/>
          <w:szCs w:val="20"/>
          <w:color w:val="auto"/>
        </w:rPr>
      </w:pPr>
      <w:r>
        <w:rPr>
          <w:rFonts w:ascii="Arial" w:cs="Arial" w:eastAsia="Arial" w:hAnsi="Arial"/>
          <w:sz w:val="22"/>
          <w:szCs w:val="22"/>
          <w:color w:val="auto"/>
        </w:rPr>
        <w:t>IN WITNESS WHEREOF, the parties hereto have caused this Agreement to be duly executed and delivered by their respective authorized officers as of the day and year first above written.</w:t>
      </w:r>
    </w:p>
    <w:p>
      <w:pPr>
        <w:spacing w:after="0" w:line="20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CABOT CORPORATION, as the Company and as Guarantor</w:t>
      </w:r>
    </w:p>
    <w:p>
      <w:pPr>
        <w:spacing w:after="0" w:line="200" w:lineRule="exact"/>
        <w:rPr>
          <w:sz w:val="20"/>
          <w:szCs w:val="20"/>
          <w:color w:val="auto"/>
        </w:rPr>
      </w:pPr>
    </w:p>
    <w:p>
      <w:pPr>
        <w:spacing w:after="0" w:line="276"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-17780</wp:posOffset>
            </wp:positionV>
            <wp:extent cx="125730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ind w:left="4500"/>
        <w:spacing w:after="0" w:line="238" w:lineRule="auto"/>
        <w:tabs>
          <w:tab w:leader="none" w:pos="5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Erica McLaughlin</w:t>
      </w:r>
    </w:p>
    <w:p>
      <w:pPr>
        <w:ind w:left="4500"/>
        <w:spacing w:after="0"/>
        <w:rPr>
          <w:sz w:val="20"/>
          <w:szCs w:val="20"/>
          <w:color w:val="auto"/>
        </w:rPr>
      </w:pPr>
      <w:r>
        <w:rPr>
          <w:rFonts w:ascii="Arial" w:cs="Arial" w:eastAsia="Arial" w:hAnsi="Arial"/>
          <w:sz w:val="22"/>
          <w:szCs w:val="22"/>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00"/>
        <w:spacing w:after="0"/>
        <w:rPr>
          <w:sz w:val="20"/>
          <w:szCs w:val="20"/>
          <w:color w:val="auto"/>
        </w:rPr>
      </w:pPr>
      <w:r>
        <w:rPr>
          <w:rFonts w:ascii="Arial" w:cs="Arial" w:eastAsia="Arial" w:hAnsi="Arial"/>
          <w:sz w:val="14"/>
          <w:szCs w:val="14"/>
          <w:color w:val="auto"/>
        </w:rPr>
        <w:t>[SIGNATURE PAGE TO CREDIT AGREEMENT (EMEA SUBSIDIARIES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266" w:right="779" w:bottom="1440" w:gutter="0" w:footer="0" w:header="0"/>
        </w:sectPr>
      </w:pPr>
    </w:p>
    <w:bookmarkStart w:id="321" w:name="page322"/>
    <w:bookmarkEnd w:id="321"/>
    <w:p>
      <w:pPr>
        <w:ind w:left="3380" w:right="499"/>
        <w:spacing w:after="0" w:line="274" w:lineRule="auto"/>
        <w:rPr>
          <w:sz w:val="20"/>
          <w:szCs w:val="20"/>
          <w:color w:val="auto"/>
        </w:rPr>
      </w:pPr>
      <w:r>
        <w:rPr>
          <w:rFonts w:ascii="Arial" w:cs="Arial" w:eastAsia="Arial" w:hAnsi="Arial"/>
          <w:sz w:val="21"/>
          <w:szCs w:val="21"/>
          <w:color w:val="auto"/>
        </w:rPr>
        <w:t>CABOT LUXEMBOURG TC S.A.R.L., LUXEMBOURG, SCHAFFHAUSEN BRANCH, as a Borrower</w:t>
      </w:r>
    </w:p>
    <w:p>
      <w:pPr>
        <w:spacing w:after="0" w:line="392" w:lineRule="exact"/>
        <w:rPr>
          <w:sz w:val="20"/>
          <w:szCs w:val="20"/>
          <w:color w:val="auto"/>
        </w:rPr>
      </w:pPr>
    </w:p>
    <w:tbl>
      <w:tblPr>
        <w:tblLayout w:type="fixed"/>
        <w:tblInd w:w="338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150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w w:val="86"/>
              </w:rPr>
              <w:t>/S/ Janine Maus</w:t>
            </w:r>
          </w:p>
        </w:tc>
        <w:tc>
          <w:tcPr>
            <w:tcW w:w="9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40" w:type="dxa"/>
            <w:vAlign w:val="bottom"/>
          </w:tcPr>
          <w:p>
            <w:pPr>
              <w:spacing w:after="0" w:line="242" w:lineRule="exact"/>
              <w:rPr>
                <w:sz w:val="20"/>
                <w:szCs w:val="20"/>
                <w:color w:val="auto"/>
              </w:rPr>
            </w:pPr>
            <w:r>
              <w:rPr>
                <w:rFonts w:ascii="Arial" w:cs="Arial" w:eastAsia="Arial" w:hAnsi="Arial"/>
                <w:sz w:val="22"/>
                <w:szCs w:val="22"/>
                <w:color w:val="auto"/>
              </w:rPr>
              <w:t>Name:</w:t>
            </w:r>
          </w:p>
        </w:tc>
        <w:tc>
          <w:tcPr>
            <w:tcW w:w="2480" w:type="dxa"/>
            <w:vAlign w:val="bottom"/>
            <w:gridSpan w:val="3"/>
          </w:tcPr>
          <w:p>
            <w:pPr>
              <w:ind w:left="440"/>
              <w:spacing w:after="0" w:line="242" w:lineRule="exact"/>
              <w:rPr>
                <w:sz w:val="20"/>
                <w:szCs w:val="20"/>
                <w:color w:val="auto"/>
              </w:rPr>
            </w:pPr>
            <w:r>
              <w:rPr>
                <w:rFonts w:ascii="Arial" w:cs="Arial" w:eastAsia="Arial" w:hAnsi="Arial"/>
                <w:sz w:val="22"/>
                <w:szCs w:val="22"/>
                <w:color w:val="auto"/>
              </w:rPr>
              <w:t>Janine Maus</w:t>
            </w:r>
          </w:p>
        </w:tc>
        <w:tc>
          <w:tcPr>
            <w:tcW w:w="0" w:type="dxa"/>
            <w:vAlign w:val="bottom"/>
          </w:tcPr>
          <w:p>
            <w:pPr>
              <w:spacing w:after="0"/>
              <w:rPr>
                <w:sz w:val="1"/>
                <w:szCs w:val="1"/>
                <w:color w:val="auto"/>
              </w:rPr>
            </w:pPr>
          </w:p>
        </w:tc>
      </w:t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2480" w:type="dxa"/>
            <w:vAlign w:val="bottom"/>
            <w:gridSpan w:val="3"/>
          </w:tcPr>
          <w:p>
            <w:pPr>
              <w:ind w:left="440"/>
              <w:spacing w:after="0"/>
              <w:rPr>
                <w:sz w:val="20"/>
                <w:szCs w:val="20"/>
                <w:color w:val="auto"/>
              </w:rPr>
            </w:pPr>
            <w:r>
              <w:rPr>
                <w:rFonts w:ascii="Arial" w:cs="Arial" w:eastAsia="Arial" w:hAnsi="Arial"/>
                <w:sz w:val="22"/>
                <w:szCs w:val="22"/>
                <w:color w:val="auto"/>
                <w:w w:val="89"/>
              </w:rPr>
              <w:t>Branch Office Manager</w:t>
            </w:r>
          </w:p>
        </w:tc>
        <w:tc>
          <w:tcPr>
            <w:tcW w:w="0" w:type="dxa"/>
            <w:vAlign w:val="bottom"/>
          </w:tcPr>
          <w:p>
            <w:pPr>
              <w:spacing w:after="0"/>
              <w:rPr>
                <w:sz w:val="1"/>
                <w:szCs w:val="1"/>
                <w:color w:val="auto"/>
              </w:rPr>
            </w:pPr>
          </w:p>
        </w:tc>
      </w:tr>
      <w:tr>
        <w:trPr>
          <w:trHeight w:val="678"/>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2480" w:type="dxa"/>
            <w:vAlign w:val="bottom"/>
            <w:gridSpan w:val="3"/>
          </w:tcPr>
          <w:p>
            <w:pPr>
              <w:ind w:left="120"/>
              <w:spacing w:after="0"/>
              <w:rPr>
                <w:sz w:val="20"/>
                <w:szCs w:val="20"/>
                <w:color w:val="auto"/>
              </w:rPr>
            </w:pPr>
            <w:r>
              <w:rPr>
                <w:rFonts w:ascii="Arial" w:cs="Arial" w:eastAsia="Arial" w:hAnsi="Arial"/>
                <w:sz w:val="22"/>
                <w:szCs w:val="22"/>
                <w:color w:val="auto"/>
              </w:rPr>
              <w:t>/S/ Ebru Ozdemir</w:t>
            </w:r>
          </w:p>
        </w:tc>
        <w:tc>
          <w:tcPr>
            <w:tcW w:w="0" w:type="dxa"/>
            <w:vAlign w:val="bottom"/>
          </w:tcPr>
          <w:p>
            <w:pPr>
              <w:spacing w:after="0"/>
              <w:rPr>
                <w:sz w:val="1"/>
                <w:szCs w:val="1"/>
                <w:color w:val="auto"/>
              </w:rPr>
            </w:pPr>
          </w:p>
        </w:tc>
      </w:tr>
      <w:tr>
        <w:trPr>
          <w:trHeight w:val="20"/>
        </w:trPr>
        <w:tc>
          <w:tcPr>
            <w:tcW w:w="7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164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40" w:type="dxa"/>
            <w:vAlign w:val="bottom"/>
            <w:vMerge w:val="continue"/>
          </w:tcPr>
          <w:p>
            <w:pPr>
              <w:spacing w:after="0"/>
              <w:rPr>
                <w:sz w:val="21"/>
                <w:szCs w:val="21"/>
                <w:color w:val="auto"/>
              </w:rPr>
            </w:pPr>
          </w:p>
        </w:tc>
        <w:tc>
          <w:tcPr>
            <w:tcW w:w="2480" w:type="dxa"/>
            <w:vAlign w:val="bottom"/>
            <w:gridSpan w:val="3"/>
          </w:tcPr>
          <w:p>
            <w:pPr>
              <w:ind w:left="440"/>
              <w:spacing w:after="0" w:line="242" w:lineRule="exact"/>
              <w:rPr>
                <w:sz w:val="20"/>
                <w:szCs w:val="20"/>
                <w:color w:val="auto"/>
              </w:rPr>
            </w:pPr>
            <w:r>
              <w:rPr>
                <w:rFonts w:ascii="Arial" w:cs="Arial" w:eastAsia="Arial" w:hAnsi="Arial"/>
                <w:sz w:val="22"/>
                <w:szCs w:val="22"/>
                <w:color w:val="auto"/>
              </w:rPr>
              <w:t>Ebru Ozdemir</w:t>
            </w:r>
          </w:p>
        </w:tc>
        <w:tc>
          <w:tcPr>
            <w:tcW w:w="0" w:type="dxa"/>
            <w:vAlign w:val="bottom"/>
          </w:tcPr>
          <w:p>
            <w:pPr>
              <w:spacing w:after="0"/>
              <w:rPr>
                <w:sz w:val="1"/>
                <w:szCs w:val="1"/>
                <w:color w:val="auto"/>
              </w:rPr>
            </w:pPr>
          </w:p>
        </w:tc>
      </w:t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2480" w:type="dxa"/>
            <w:vAlign w:val="bottom"/>
            <w:gridSpan w:val="3"/>
          </w:tcPr>
          <w:p>
            <w:pPr>
              <w:ind w:left="440"/>
              <w:spacing w:after="0"/>
              <w:rPr>
                <w:sz w:val="20"/>
                <w:szCs w:val="20"/>
                <w:color w:val="auto"/>
              </w:rPr>
            </w:pPr>
            <w:r>
              <w:rPr>
                <w:rFonts w:ascii="Arial" w:cs="Arial" w:eastAsia="Arial" w:hAnsi="Arial"/>
                <w:sz w:val="22"/>
                <w:szCs w:val="22"/>
                <w:color w:val="auto"/>
                <w:w w:val="98"/>
              </w:rPr>
              <w:t>Authorized Signatory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CABOT SWITZERLAND GMBH, as a Borrower</w:t>
      </w:r>
    </w:p>
    <w:p>
      <w:pPr>
        <w:spacing w:after="0" w:line="200" w:lineRule="exact"/>
        <w:rPr>
          <w:sz w:val="20"/>
          <w:szCs w:val="20"/>
          <w:color w:val="auto"/>
        </w:rPr>
      </w:pPr>
    </w:p>
    <w:p>
      <w:pPr>
        <w:spacing w:after="0" w:line="247" w:lineRule="exact"/>
        <w:rPr>
          <w:sz w:val="20"/>
          <w:szCs w:val="20"/>
          <w:color w:val="auto"/>
        </w:rPr>
      </w:pPr>
    </w:p>
    <w:tbl>
      <w:tblPr>
        <w:tblLayout w:type="fixed"/>
        <w:tblInd w:w="338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250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w w:val="87"/>
              </w:rPr>
              <w:t>/S/ Jaime Campana Bigorra</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40" w:type="dxa"/>
            <w:vAlign w:val="bottom"/>
          </w:tcPr>
          <w:p>
            <w:pPr>
              <w:spacing w:after="0" w:line="242" w:lineRule="exact"/>
              <w:rPr>
                <w:sz w:val="20"/>
                <w:szCs w:val="20"/>
                <w:color w:val="auto"/>
              </w:rPr>
            </w:pPr>
            <w:r>
              <w:rPr>
                <w:rFonts w:ascii="Arial" w:cs="Arial" w:eastAsia="Arial" w:hAnsi="Arial"/>
                <w:sz w:val="22"/>
                <w:szCs w:val="22"/>
                <w:color w:val="auto"/>
              </w:rPr>
              <w:t>Name:</w:t>
            </w:r>
          </w:p>
        </w:tc>
        <w:tc>
          <w:tcPr>
            <w:tcW w:w="3560" w:type="dxa"/>
            <w:vAlign w:val="bottom"/>
            <w:gridSpan w:val="3"/>
          </w:tcPr>
          <w:p>
            <w:pPr>
              <w:ind w:left="440"/>
              <w:spacing w:after="0" w:line="242" w:lineRule="exact"/>
              <w:rPr>
                <w:sz w:val="20"/>
                <w:szCs w:val="20"/>
                <w:color w:val="auto"/>
              </w:rPr>
            </w:pPr>
            <w:r>
              <w:rPr>
                <w:rFonts w:ascii="Arial" w:cs="Arial" w:eastAsia="Arial" w:hAnsi="Arial"/>
                <w:sz w:val="22"/>
                <w:szCs w:val="22"/>
                <w:color w:val="auto"/>
              </w:rPr>
              <w:t>Jaime Campana Bigorra</w:t>
            </w:r>
          </w:p>
        </w:tc>
        <w:tc>
          <w:tcPr>
            <w:tcW w:w="0" w:type="dxa"/>
            <w:vAlign w:val="bottom"/>
          </w:tcPr>
          <w:p>
            <w:pPr>
              <w:spacing w:after="0"/>
              <w:rPr>
                <w:sz w:val="1"/>
                <w:szCs w:val="1"/>
                <w:color w:val="auto"/>
              </w:rPr>
            </w:pPr>
          </w:p>
        </w:tc>
      </w:t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3560" w:type="dxa"/>
            <w:vAlign w:val="bottom"/>
            <w:gridSpan w:val="3"/>
          </w:tcPr>
          <w:p>
            <w:pPr>
              <w:ind w:left="440"/>
              <w:spacing w:after="0"/>
              <w:rPr>
                <w:sz w:val="20"/>
                <w:szCs w:val="20"/>
                <w:color w:val="auto"/>
              </w:rPr>
            </w:pPr>
            <w:r>
              <w:rPr>
                <w:rFonts w:ascii="Arial" w:cs="Arial" w:eastAsia="Arial" w:hAnsi="Arial"/>
                <w:sz w:val="22"/>
                <w:szCs w:val="22"/>
                <w:color w:val="auto"/>
                <w:w w:val="87"/>
              </w:rPr>
              <w:t>President of the Management Board</w:t>
            </w:r>
          </w:p>
        </w:tc>
        <w:tc>
          <w:tcPr>
            <w:tcW w:w="0" w:type="dxa"/>
            <w:vAlign w:val="bottom"/>
          </w:tcPr>
          <w:p>
            <w:pPr>
              <w:spacing w:after="0"/>
              <w:rPr>
                <w:sz w:val="1"/>
                <w:szCs w:val="1"/>
                <w:color w:val="auto"/>
              </w:rPr>
            </w:pPr>
          </w:p>
        </w:tc>
      </w:tr>
      <w:tr>
        <w:trPr>
          <w:trHeight w:val="678"/>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3560" w:type="dxa"/>
            <w:vAlign w:val="bottom"/>
            <w:gridSpan w:val="3"/>
          </w:tcPr>
          <w:p>
            <w:pPr>
              <w:ind w:left="120"/>
              <w:spacing w:after="0"/>
              <w:rPr>
                <w:sz w:val="20"/>
                <w:szCs w:val="20"/>
                <w:color w:val="auto"/>
              </w:rPr>
            </w:pPr>
            <w:r>
              <w:rPr>
                <w:rFonts w:ascii="Arial" w:cs="Arial" w:eastAsia="Arial" w:hAnsi="Arial"/>
                <w:sz w:val="22"/>
                <w:szCs w:val="22"/>
                <w:color w:val="auto"/>
              </w:rPr>
              <w:t>/S/ Ebru Ozdemir</w:t>
            </w:r>
          </w:p>
        </w:tc>
        <w:tc>
          <w:tcPr>
            <w:tcW w:w="0" w:type="dxa"/>
            <w:vAlign w:val="bottom"/>
          </w:tcPr>
          <w:p>
            <w:pPr>
              <w:spacing w:after="0"/>
              <w:rPr>
                <w:sz w:val="1"/>
                <w:szCs w:val="1"/>
                <w:color w:val="auto"/>
              </w:rPr>
            </w:pPr>
          </w:p>
        </w:tc>
      </w:tr>
      <w:tr>
        <w:trPr>
          <w:trHeight w:val="20"/>
        </w:trPr>
        <w:tc>
          <w:tcPr>
            <w:tcW w:w="7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164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40" w:type="dxa"/>
            <w:vAlign w:val="bottom"/>
            <w:vMerge w:val="continue"/>
          </w:tcPr>
          <w:p>
            <w:pPr>
              <w:spacing w:after="0"/>
              <w:rPr>
                <w:sz w:val="21"/>
                <w:szCs w:val="21"/>
                <w:color w:val="auto"/>
              </w:rPr>
            </w:pPr>
          </w:p>
        </w:tc>
        <w:tc>
          <w:tcPr>
            <w:tcW w:w="3560" w:type="dxa"/>
            <w:vAlign w:val="bottom"/>
            <w:gridSpan w:val="3"/>
          </w:tcPr>
          <w:p>
            <w:pPr>
              <w:ind w:left="440"/>
              <w:spacing w:after="0" w:line="242" w:lineRule="exact"/>
              <w:rPr>
                <w:sz w:val="20"/>
                <w:szCs w:val="20"/>
                <w:color w:val="auto"/>
              </w:rPr>
            </w:pPr>
            <w:r>
              <w:rPr>
                <w:rFonts w:ascii="Arial" w:cs="Arial" w:eastAsia="Arial" w:hAnsi="Arial"/>
                <w:sz w:val="22"/>
                <w:szCs w:val="22"/>
                <w:color w:val="auto"/>
              </w:rPr>
              <w:t>Ebru Ozdemir</w:t>
            </w:r>
          </w:p>
        </w:tc>
        <w:tc>
          <w:tcPr>
            <w:tcW w:w="0" w:type="dxa"/>
            <w:vAlign w:val="bottom"/>
          </w:tcPr>
          <w:p>
            <w:pPr>
              <w:spacing w:after="0"/>
              <w:rPr>
                <w:sz w:val="1"/>
                <w:szCs w:val="1"/>
                <w:color w:val="auto"/>
              </w:rPr>
            </w:pPr>
          </w:p>
        </w:tc>
      </w:t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3560" w:type="dxa"/>
            <w:vAlign w:val="bottom"/>
            <w:gridSpan w:val="3"/>
          </w:tcPr>
          <w:p>
            <w:pPr>
              <w:ind w:left="440"/>
              <w:spacing w:after="0"/>
              <w:rPr>
                <w:sz w:val="20"/>
                <w:szCs w:val="20"/>
                <w:color w:val="auto"/>
              </w:rPr>
            </w:pPr>
            <w:r>
              <w:rPr>
                <w:rFonts w:ascii="Arial" w:cs="Arial" w:eastAsia="Arial" w:hAnsi="Arial"/>
                <w:sz w:val="22"/>
                <w:szCs w:val="22"/>
                <w:color w:val="auto"/>
                <w:w w:val="90"/>
              </w:rPr>
              <w:t>Member of the Management Board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PT CABOT INDONESIA, as a Borrower</w:t>
      </w:r>
    </w:p>
    <w:p>
      <w:pPr>
        <w:spacing w:after="0" w:line="200" w:lineRule="exact"/>
        <w:rPr>
          <w:sz w:val="20"/>
          <w:szCs w:val="20"/>
          <w:color w:val="auto"/>
        </w:rPr>
      </w:pPr>
    </w:p>
    <w:p>
      <w:pPr>
        <w:spacing w:after="0" w:line="247" w:lineRule="exact"/>
        <w:rPr>
          <w:sz w:val="20"/>
          <w:szCs w:val="20"/>
          <w:color w:val="auto"/>
        </w:rPr>
      </w:pPr>
    </w:p>
    <w:tbl>
      <w:tblPr>
        <w:tblLayout w:type="fixed"/>
        <w:tblInd w:w="338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178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w w:val="94"/>
              </w:rPr>
              <w:t>/S/ Dixy Olyviardy</w:t>
            </w:r>
          </w:p>
        </w:tc>
        <w:tc>
          <w:tcPr>
            <w:tcW w:w="2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40" w:type="dxa"/>
            <w:vAlign w:val="bottom"/>
          </w:tcPr>
          <w:p>
            <w:pPr>
              <w:spacing w:after="0" w:line="242" w:lineRule="exact"/>
              <w:rPr>
                <w:sz w:val="20"/>
                <w:szCs w:val="20"/>
                <w:color w:val="auto"/>
              </w:rPr>
            </w:pPr>
            <w:r>
              <w:rPr>
                <w:rFonts w:ascii="Arial" w:cs="Arial" w:eastAsia="Arial" w:hAnsi="Arial"/>
                <w:sz w:val="22"/>
                <w:szCs w:val="22"/>
                <w:color w:val="auto"/>
              </w:rPr>
              <w:t>Name:</w:t>
            </w:r>
          </w:p>
        </w:tc>
        <w:tc>
          <w:tcPr>
            <w:tcW w:w="2020" w:type="dxa"/>
            <w:vAlign w:val="bottom"/>
            <w:gridSpan w:val="3"/>
          </w:tcPr>
          <w:p>
            <w:pPr>
              <w:ind w:left="440"/>
              <w:spacing w:after="0" w:line="242" w:lineRule="exact"/>
              <w:rPr>
                <w:sz w:val="20"/>
                <w:szCs w:val="20"/>
                <w:color w:val="auto"/>
              </w:rPr>
            </w:pPr>
            <w:r>
              <w:rPr>
                <w:rFonts w:ascii="Arial" w:cs="Arial" w:eastAsia="Arial" w:hAnsi="Arial"/>
                <w:sz w:val="22"/>
                <w:szCs w:val="22"/>
                <w:color w:val="auto"/>
              </w:rPr>
              <w:t>Dixy Olyviardy</w:t>
            </w:r>
          </w:p>
        </w:tc>
        <w:tc>
          <w:tcPr>
            <w:tcW w:w="0" w:type="dxa"/>
            <w:vAlign w:val="bottom"/>
          </w:tcPr>
          <w:p>
            <w:pPr>
              <w:spacing w:after="0"/>
              <w:rPr>
                <w:sz w:val="1"/>
                <w:szCs w:val="1"/>
                <w:color w:val="auto"/>
              </w:rPr>
            </w:pPr>
          </w:p>
        </w:tc>
      </w:t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2020" w:type="dxa"/>
            <w:vAlign w:val="bottom"/>
            <w:gridSpan w:val="3"/>
          </w:tcPr>
          <w:p>
            <w:pPr>
              <w:ind w:left="440"/>
              <w:spacing w:after="0"/>
              <w:rPr>
                <w:sz w:val="20"/>
                <w:szCs w:val="20"/>
                <w:color w:val="auto"/>
              </w:rPr>
            </w:pPr>
            <w:r>
              <w:rPr>
                <w:rFonts w:ascii="Arial" w:cs="Arial" w:eastAsia="Arial" w:hAnsi="Arial"/>
                <w:sz w:val="22"/>
                <w:szCs w:val="22"/>
                <w:color w:val="auto"/>
                <w:w w:val="88"/>
              </w:rPr>
              <w:t>President Director</w:t>
            </w:r>
          </w:p>
        </w:tc>
        <w:tc>
          <w:tcPr>
            <w:tcW w:w="0" w:type="dxa"/>
            <w:vAlign w:val="bottom"/>
          </w:tcPr>
          <w:p>
            <w:pPr>
              <w:spacing w:after="0"/>
              <w:rPr>
                <w:sz w:val="1"/>
                <w:szCs w:val="1"/>
                <w:color w:val="auto"/>
              </w:rPr>
            </w:pPr>
          </w:p>
        </w:tc>
      </w:tr>
      <w:tr>
        <w:trPr>
          <w:trHeight w:val="678"/>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2020" w:type="dxa"/>
            <w:vAlign w:val="bottom"/>
            <w:gridSpan w:val="3"/>
          </w:tcPr>
          <w:p>
            <w:pPr>
              <w:ind w:left="120"/>
              <w:spacing w:after="0"/>
              <w:rPr>
                <w:sz w:val="20"/>
                <w:szCs w:val="20"/>
                <w:color w:val="auto"/>
              </w:rPr>
            </w:pPr>
            <w:r>
              <w:rPr>
                <w:rFonts w:ascii="Arial" w:cs="Arial" w:eastAsia="Arial" w:hAnsi="Arial"/>
                <w:sz w:val="22"/>
                <w:szCs w:val="22"/>
                <w:color w:val="auto"/>
                <w:w w:val="90"/>
              </w:rPr>
              <w:t>/S/ Chew Chee Hean</w:t>
            </w:r>
          </w:p>
        </w:tc>
        <w:tc>
          <w:tcPr>
            <w:tcW w:w="0" w:type="dxa"/>
            <w:vAlign w:val="bottom"/>
          </w:tcPr>
          <w:p>
            <w:pPr>
              <w:spacing w:after="0"/>
              <w:rPr>
                <w:sz w:val="1"/>
                <w:szCs w:val="1"/>
                <w:color w:val="auto"/>
              </w:rPr>
            </w:pPr>
          </w:p>
        </w:tc>
      </w:tr>
      <w:tr>
        <w:trPr>
          <w:trHeight w:val="20"/>
        </w:trPr>
        <w:tc>
          <w:tcPr>
            <w:tcW w:w="7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19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40" w:type="dxa"/>
            <w:vAlign w:val="bottom"/>
            <w:vMerge w:val="continue"/>
          </w:tcPr>
          <w:p>
            <w:pPr>
              <w:spacing w:after="0"/>
              <w:rPr>
                <w:sz w:val="21"/>
                <w:szCs w:val="21"/>
                <w:color w:val="auto"/>
              </w:rPr>
            </w:pPr>
          </w:p>
        </w:tc>
        <w:tc>
          <w:tcPr>
            <w:tcW w:w="2020" w:type="dxa"/>
            <w:vAlign w:val="bottom"/>
            <w:gridSpan w:val="3"/>
          </w:tcPr>
          <w:p>
            <w:pPr>
              <w:ind w:left="440"/>
              <w:spacing w:after="0" w:line="242" w:lineRule="exact"/>
              <w:rPr>
                <w:sz w:val="20"/>
                <w:szCs w:val="20"/>
                <w:color w:val="auto"/>
              </w:rPr>
            </w:pPr>
            <w:r>
              <w:rPr>
                <w:rFonts w:ascii="Arial" w:cs="Arial" w:eastAsia="Arial" w:hAnsi="Arial"/>
                <w:sz w:val="22"/>
                <w:szCs w:val="22"/>
                <w:color w:val="auto"/>
                <w:w w:val="89"/>
              </w:rPr>
              <w:t>Chew Chee Hean</w:t>
            </w:r>
          </w:p>
        </w:tc>
        <w:tc>
          <w:tcPr>
            <w:tcW w:w="0" w:type="dxa"/>
            <w:vAlign w:val="bottom"/>
          </w:tcPr>
          <w:p>
            <w:pPr>
              <w:spacing w:after="0"/>
              <w:rPr>
                <w:sz w:val="1"/>
                <w:szCs w:val="1"/>
                <w:color w:val="auto"/>
              </w:rPr>
            </w:pPr>
          </w:p>
        </w:tc>
      </w:t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2020" w:type="dxa"/>
            <w:vAlign w:val="bottom"/>
            <w:gridSpan w:val="3"/>
          </w:tcPr>
          <w:p>
            <w:pPr>
              <w:ind w:left="440"/>
              <w:spacing w:after="0"/>
              <w:rPr>
                <w:sz w:val="20"/>
                <w:szCs w:val="20"/>
                <w:color w:val="auto"/>
              </w:rPr>
            </w:pPr>
            <w:r>
              <w:rPr>
                <w:rFonts w:ascii="Arial" w:cs="Arial" w:eastAsia="Arial" w:hAnsi="Arial"/>
                <w:sz w:val="22"/>
                <w:szCs w:val="22"/>
                <w:color w:val="auto"/>
                <w:w w:val="96"/>
              </w:rPr>
              <w:t>Finance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CREDIT AGREEMENT (EMEA SUBSIDIARIES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161290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22" w:name="page323"/>
    <w:bookmarkEnd w:id="322"/>
    <w:p>
      <w:pPr>
        <w:ind w:left="3380"/>
        <w:spacing w:after="0" w:line="250" w:lineRule="auto"/>
        <w:rPr>
          <w:sz w:val="20"/>
          <w:szCs w:val="20"/>
          <w:color w:val="auto"/>
        </w:rPr>
      </w:pPr>
      <w:r>
        <w:rPr>
          <w:rFonts w:ascii="Arial" w:cs="Arial" w:eastAsia="Arial" w:hAnsi="Arial"/>
          <w:sz w:val="22"/>
          <w:szCs w:val="22"/>
          <w:color w:val="auto"/>
        </w:rPr>
        <w:t>PNC BANK, NATIONAL ASSOCIATION, as the Administrative Agent, a Lender and a Swingline Lender</w:t>
      </w:r>
    </w:p>
    <w:p>
      <w:pPr>
        <w:spacing w:after="0" w:line="200" w:lineRule="exact"/>
        <w:rPr>
          <w:sz w:val="20"/>
          <w:szCs w:val="20"/>
          <w:color w:val="auto"/>
        </w:rPr>
      </w:pPr>
    </w:p>
    <w:p>
      <w:pPr>
        <w:spacing w:after="0" w:line="216" w:lineRule="exact"/>
        <w:rPr>
          <w:sz w:val="20"/>
          <w:szCs w:val="20"/>
          <w:color w:val="auto"/>
        </w:rPr>
      </w:pPr>
    </w:p>
    <w:tbl>
      <w:tblPr>
        <w:tblLayout w:type="fixed"/>
        <w:tblInd w:w="338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218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w w:val="89"/>
              </w:rPr>
              <w:t>/S/ Terence J. O’Malley</w:t>
            </w:r>
          </w:p>
        </w:tc>
        <w:tc>
          <w:tcPr>
            <w:tcW w:w="120" w:type="dxa"/>
            <w:vAlign w:val="bottom"/>
          </w:tcPr>
          <w:p>
            <w:pPr>
              <w:spacing w:after="0"/>
              <w:rPr>
                <w:sz w:val="21"/>
                <w:szCs w:val="21"/>
                <w:color w:val="auto"/>
              </w:rPr>
            </w:pPr>
          </w:p>
        </w:tc>
      </w:tr>
      <w:tr>
        <w:trPr>
          <w:trHeight w:val="242"/>
        </w:trPr>
        <w:tc>
          <w:tcPr>
            <w:tcW w:w="740" w:type="dxa"/>
            <w:vAlign w:val="bottom"/>
          </w:tcPr>
          <w:p>
            <w:pPr>
              <w:spacing w:after="0" w:line="242" w:lineRule="exact"/>
              <w:rPr>
                <w:sz w:val="20"/>
                <w:szCs w:val="20"/>
                <w:color w:val="auto"/>
              </w:rPr>
            </w:pPr>
            <w:r>
              <w:rPr>
                <w:rFonts w:ascii="Arial" w:cs="Arial" w:eastAsia="Arial" w:hAnsi="Arial"/>
                <w:sz w:val="22"/>
                <w:szCs w:val="22"/>
                <w:color w:val="auto"/>
              </w:rPr>
              <w:t>Name:</w:t>
            </w:r>
          </w:p>
        </w:tc>
        <w:tc>
          <w:tcPr>
            <w:tcW w:w="2300" w:type="dxa"/>
            <w:vAlign w:val="bottom"/>
            <w:gridSpan w:val="2"/>
          </w:tcPr>
          <w:p>
            <w:pPr>
              <w:ind w:left="440"/>
              <w:spacing w:after="0" w:line="242" w:lineRule="exact"/>
              <w:rPr>
                <w:sz w:val="20"/>
                <w:szCs w:val="20"/>
                <w:color w:val="auto"/>
              </w:rPr>
            </w:pPr>
            <w:r>
              <w:rPr>
                <w:rFonts w:ascii="Arial" w:cs="Arial" w:eastAsia="Arial" w:hAnsi="Arial"/>
                <w:sz w:val="22"/>
                <w:szCs w:val="22"/>
                <w:color w:val="auto"/>
                <w:w w:val="94"/>
              </w:rPr>
              <w:t>Terence J. O’Malley</w:t>
            </w:r>
          </w:p>
        </w:tc>
      </w:t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2300" w:type="dxa"/>
            <w:vAlign w:val="bottom"/>
            <w:gridSpan w:val="2"/>
          </w:tcPr>
          <w:p>
            <w:pPr>
              <w:ind w:left="440"/>
              <w:spacing w:after="0"/>
              <w:rPr>
                <w:sz w:val="20"/>
                <w:szCs w:val="20"/>
                <w:color w:val="auto"/>
              </w:rPr>
            </w:pPr>
            <w:r>
              <w:rPr>
                <w:rFonts w:ascii="Arial" w:cs="Arial" w:eastAsia="Arial" w:hAnsi="Arial"/>
                <w:sz w:val="22"/>
                <w:szCs w:val="22"/>
                <w:color w:val="auto"/>
                <w:w w:val="86"/>
              </w:rPr>
              <w:t>Senior Vice President</w:t>
            </w:r>
          </w:p>
        </w:tc>
      </w:tr>
    </w:tbl>
    <w:p>
      <w:pPr>
        <w:spacing w:after="0" w:line="212"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HMRC DTTP Scheme passport number: 13/P/63904/DTTP</w:t>
      </w:r>
    </w:p>
    <w:p>
      <w:pPr>
        <w:spacing w:after="0" w:line="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Jurisdiction of tax residence: USA</w:t>
      </w:r>
    </w:p>
    <w:p>
      <w:pPr>
        <w:spacing w:after="0" w:line="200" w:lineRule="exact"/>
        <w:rPr>
          <w:sz w:val="20"/>
          <w:szCs w:val="20"/>
          <w:color w:val="auto"/>
        </w:rPr>
      </w:pPr>
    </w:p>
    <w:p>
      <w:pPr>
        <w:spacing w:after="0" w:line="234"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[SIGNATURE PAGE TO CREDIT AGREEMENT (EMEA SUBSIDIARIES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154305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440" w:top="266" w:right="619" w:bottom="1440" w:gutter="0" w:footer="0" w:header="0"/>
        </w:sectPr>
      </w:pPr>
    </w:p>
    <w:bookmarkStart w:id="323" w:name="page324"/>
    <w:bookmarkEnd w:id="323"/>
    <w:p>
      <w:pPr>
        <w:ind w:left="3380"/>
        <w:spacing w:after="0"/>
        <w:rPr>
          <w:sz w:val="20"/>
          <w:szCs w:val="20"/>
          <w:color w:val="auto"/>
        </w:rPr>
      </w:pPr>
      <w:r>
        <w:rPr>
          <w:rFonts w:ascii="Arial" w:cs="Arial" w:eastAsia="Arial" w:hAnsi="Arial"/>
          <w:sz w:val="22"/>
          <w:szCs w:val="22"/>
          <w:color w:val="auto"/>
        </w:rPr>
        <w:t>U.S. BANK NATIONAL ASSOCIATION, as a Lender</w:t>
      </w:r>
    </w:p>
    <w:p>
      <w:pPr>
        <w:spacing w:after="0" w:line="200" w:lineRule="exact"/>
        <w:rPr>
          <w:sz w:val="20"/>
          <w:szCs w:val="20"/>
          <w:color w:val="auto"/>
        </w:rPr>
      </w:pPr>
    </w:p>
    <w:p>
      <w:pPr>
        <w:spacing w:after="0" w:line="247" w:lineRule="exact"/>
        <w:rPr>
          <w:sz w:val="20"/>
          <w:szCs w:val="20"/>
          <w:color w:val="auto"/>
        </w:rPr>
      </w:pPr>
    </w:p>
    <w:tbl>
      <w:tblPr>
        <w:tblLayout w:type="fixed"/>
        <w:tblInd w:w="338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180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w w:val="88"/>
              </w:rPr>
              <w:t>/S/ Kelsey Hehman</w:t>
            </w:r>
          </w:p>
        </w:tc>
      </w:tr>
      <w:tr>
        <w:trPr>
          <w:trHeight w:val="242"/>
        </w:trPr>
        <w:tc>
          <w:tcPr>
            <w:tcW w:w="2540" w:type="dxa"/>
            <w:vAlign w:val="bottom"/>
            <w:gridSpan w:val="2"/>
          </w:tcPr>
          <w:p>
            <w:pPr>
              <w:spacing w:after="0" w:line="242" w:lineRule="exact"/>
              <w:rPr>
                <w:sz w:val="20"/>
                <w:szCs w:val="20"/>
                <w:color w:val="auto"/>
              </w:rPr>
            </w:pPr>
            <w:r>
              <w:rPr>
                <w:rFonts w:ascii="Arial" w:cs="Arial" w:eastAsia="Arial" w:hAnsi="Arial"/>
                <w:sz w:val="22"/>
                <w:szCs w:val="22"/>
                <w:color w:val="auto"/>
              </w:rPr>
              <w:t>Name: Kelsey Hehman</w:t>
            </w:r>
          </w:p>
        </w:tc>
      </w:t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1800" w:type="dxa"/>
            <w:vAlign w:val="bottom"/>
          </w:tcPr>
          <w:p>
            <w:pPr>
              <w:ind w:left="440"/>
              <w:spacing w:after="0"/>
              <w:rPr>
                <w:sz w:val="20"/>
                <w:szCs w:val="20"/>
                <w:color w:val="auto"/>
              </w:rPr>
            </w:pPr>
            <w:r>
              <w:rPr>
                <w:rFonts w:ascii="Arial" w:cs="Arial" w:eastAsia="Arial" w:hAnsi="Arial"/>
                <w:sz w:val="22"/>
                <w:szCs w:val="22"/>
                <w:color w:val="auto"/>
                <w:w w:val="94"/>
              </w:rPr>
              <w:t>Vice President</w:t>
            </w:r>
          </w:p>
        </w:tc>
      </w:tr>
    </w:tbl>
    <w:p>
      <w:pPr>
        <w:spacing w:after="0" w:line="212" w:lineRule="exact"/>
        <w:rPr>
          <w:sz w:val="20"/>
          <w:szCs w:val="20"/>
          <w:color w:val="auto"/>
        </w:rPr>
      </w:pPr>
    </w:p>
    <w:p>
      <w:pPr>
        <w:ind w:left="3380"/>
        <w:spacing w:after="0"/>
        <w:rPr>
          <w:sz w:val="20"/>
          <w:szCs w:val="20"/>
          <w:color w:val="auto"/>
        </w:rPr>
      </w:pPr>
      <w:r>
        <w:rPr>
          <w:rFonts w:ascii="Arial" w:cs="Arial" w:eastAsia="Arial" w:hAnsi="Arial"/>
          <w:sz w:val="19"/>
          <w:szCs w:val="19"/>
          <w:color w:val="auto"/>
        </w:rPr>
        <w:t>HMRC DTTP Scheme passport number: 13/U/62184/DTTP</w:t>
      </w:r>
    </w:p>
    <w:p>
      <w:pPr>
        <w:spacing w:after="0" w:line="43"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Jurisdiction of tax residence: USA</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CREDIT AGREEMENT (EMEA SUBSIDIARIES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161290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24" w:name="page325"/>
    <w:bookmarkEnd w:id="324"/>
    <w:p>
      <w:pPr>
        <w:spacing w:after="0"/>
        <w:rPr>
          <w:sz w:val="20"/>
          <w:szCs w:val="20"/>
          <w:color w:val="auto"/>
        </w:rPr>
      </w:pPr>
      <w:r>
        <w:rPr>
          <w:rFonts w:ascii="Arial" w:cs="Arial" w:eastAsia="Arial" w:hAnsi="Arial"/>
          <w:sz w:val="22"/>
          <w:szCs w:val="22"/>
          <w:color w:val="auto"/>
        </w:rPr>
        <w:t>[Type here]</w:t>
      </w:r>
    </w:p>
    <w:p>
      <w:pPr>
        <w:spacing w:after="0" w:line="23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ING BANK N.V., DUBLIN BRANCH, as a Lender</w:t>
      </w:r>
    </w:p>
    <w:p>
      <w:pPr>
        <w:spacing w:after="0" w:line="200" w:lineRule="exact"/>
        <w:rPr>
          <w:sz w:val="20"/>
          <w:szCs w:val="20"/>
          <w:color w:val="auto"/>
        </w:rPr>
      </w:pPr>
    </w:p>
    <w:p>
      <w:pPr>
        <w:spacing w:after="0" w:line="247" w:lineRule="exact"/>
        <w:rPr>
          <w:sz w:val="20"/>
          <w:szCs w:val="20"/>
          <w:color w:val="auto"/>
        </w:rPr>
      </w:pPr>
    </w:p>
    <w:tbl>
      <w:tblPr>
        <w:tblLayout w:type="fixed"/>
        <w:tblInd w:w="450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196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w w:val="89"/>
              </w:rPr>
              <w:t>/S/ Cormac Langford</w:t>
            </w:r>
          </w:p>
        </w:tc>
      </w:tr>
      <w:tr>
        <w:trPr>
          <w:trHeight w:val="242"/>
        </w:trPr>
        <w:tc>
          <w:tcPr>
            <w:tcW w:w="2700" w:type="dxa"/>
            <w:vAlign w:val="bottom"/>
            <w:gridSpan w:val="3"/>
          </w:tcPr>
          <w:p>
            <w:pPr>
              <w:spacing w:after="0" w:line="242" w:lineRule="exact"/>
              <w:rPr>
                <w:sz w:val="20"/>
                <w:szCs w:val="20"/>
                <w:color w:val="auto"/>
              </w:rPr>
            </w:pPr>
            <w:r>
              <w:rPr>
                <w:rFonts w:ascii="Arial" w:cs="Arial" w:eastAsia="Arial" w:hAnsi="Arial"/>
                <w:sz w:val="22"/>
                <w:szCs w:val="22"/>
                <w:color w:val="auto"/>
              </w:rPr>
              <w:t>Name: Cormac Langford</w:t>
            </w:r>
          </w:p>
        </w:tc>
      </w:t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1960" w:type="dxa"/>
            <w:vAlign w:val="bottom"/>
            <w:gridSpan w:val="2"/>
          </w:tcPr>
          <w:p>
            <w:pPr>
              <w:jc w:val="center"/>
              <w:ind w:right="360"/>
              <w:spacing w:after="0"/>
              <w:rPr>
                <w:sz w:val="20"/>
                <w:szCs w:val="20"/>
                <w:color w:val="auto"/>
              </w:rPr>
            </w:pPr>
            <w:r>
              <w:rPr>
                <w:rFonts w:ascii="Arial" w:cs="Arial" w:eastAsia="Arial" w:hAnsi="Arial"/>
                <w:sz w:val="22"/>
                <w:szCs w:val="22"/>
                <w:color w:val="auto"/>
                <w:w w:val="93"/>
              </w:rPr>
              <w:t>Director</w:t>
            </w:r>
          </w:p>
        </w:tc>
      </w:tr>
      <w:tr>
        <w:trPr>
          <w:trHeight w:val="678"/>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1960" w:type="dxa"/>
            <w:vAlign w:val="bottom"/>
            <w:gridSpan w:val="2"/>
          </w:tcPr>
          <w:p>
            <w:pPr>
              <w:jc w:val="center"/>
              <w:ind w:right="320"/>
              <w:spacing w:after="0"/>
              <w:rPr>
                <w:sz w:val="20"/>
                <w:szCs w:val="20"/>
                <w:color w:val="auto"/>
              </w:rPr>
            </w:pPr>
            <w:r>
              <w:rPr>
                <w:rFonts w:ascii="Arial" w:cs="Arial" w:eastAsia="Arial" w:hAnsi="Arial"/>
                <w:sz w:val="22"/>
                <w:szCs w:val="22"/>
                <w:color w:val="auto"/>
                <w:w w:val="84"/>
              </w:rPr>
              <w:t>/S/ Sean Hassett</w:t>
            </w:r>
          </w:p>
        </w:tc>
      </w:tr>
      <w:tr>
        <w:trPr>
          <w:trHeight w:val="20"/>
        </w:trPr>
        <w:tc>
          <w:tcPr>
            <w:tcW w:w="7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42"/>
        </w:trPr>
        <w:tc>
          <w:tcPr>
            <w:tcW w:w="2700" w:type="dxa"/>
            <w:vAlign w:val="bottom"/>
            <w:gridSpan w:val="3"/>
          </w:tcPr>
          <w:p>
            <w:pPr>
              <w:spacing w:after="0" w:line="242" w:lineRule="exact"/>
              <w:rPr>
                <w:sz w:val="20"/>
                <w:szCs w:val="20"/>
                <w:color w:val="auto"/>
              </w:rPr>
            </w:pPr>
            <w:r>
              <w:rPr>
                <w:rFonts w:ascii="Arial" w:cs="Arial" w:eastAsia="Arial" w:hAnsi="Arial"/>
                <w:sz w:val="22"/>
                <w:szCs w:val="22"/>
                <w:color w:val="auto"/>
              </w:rPr>
              <w:t>Name: Sean Hassett</w:t>
            </w:r>
          </w:p>
        </w:tc>
      </w:t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1960" w:type="dxa"/>
            <w:vAlign w:val="bottom"/>
            <w:gridSpan w:val="2"/>
          </w:tcPr>
          <w:p>
            <w:pPr>
              <w:jc w:val="center"/>
              <w:ind w:right="360"/>
              <w:spacing w:after="0"/>
              <w:rPr>
                <w:sz w:val="20"/>
                <w:szCs w:val="20"/>
                <w:color w:val="auto"/>
              </w:rPr>
            </w:pPr>
            <w:r>
              <w:rPr>
                <w:rFonts w:ascii="Arial" w:cs="Arial" w:eastAsia="Arial" w:hAnsi="Arial"/>
                <w:sz w:val="22"/>
                <w:szCs w:val="22"/>
                <w:color w:val="auto"/>
                <w:w w:val="93"/>
              </w:rPr>
              <w:t>Director</w:t>
            </w:r>
          </w:p>
        </w:tc>
      </w:tr>
    </w:tbl>
    <w:p>
      <w:pPr>
        <w:spacing w:after="0" w:line="200" w:lineRule="exact"/>
        <w:rPr>
          <w:sz w:val="20"/>
          <w:szCs w:val="20"/>
          <w:color w:val="auto"/>
        </w:rPr>
      </w:pPr>
    </w:p>
    <w:p>
      <w:pPr>
        <w:spacing w:after="0" w:line="266" w:lineRule="exact"/>
        <w:rPr>
          <w:sz w:val="20"/>
          <w:szCs w:val="20"/>
          <w:color w:val="auto"/>
        </w:rPr>
      </w:pPr>
    </w:p>
    <w:p>
      <w:pPr>
        <w:ind w:left="4500"/>
        <w:spacing w:after="0" w:line="266" w:lineRule="auto"/>
        <w:rPr>
          <w:sz w:val="20"/>
          <w:szCs w:val="20"/>
          <w:color w:val="auto"/>
        </w:rPr>
      </w:pPr>
      <w:r>
        <w:rPr>
          <w:rFonts w:ascii="Arial" w:cs="Arial" w:eastAsia="Arial" w:hAnsi="Arial"/>
          <w:sz w:val="16"/>
          <w:szCs w:val="16"/>
          <w:color w:val="auto"/>
        </w:rPr>
        <w:t>Relating solely to ING (Ireland) DAC, an Affiliate of ING Bank N.V., Dublin Branch:HMRC DTTP Scheme passport number: 12/l/371270/DTTP</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Jurisdiction of tax residence: Ireland</w:t>
      </w:r>
      <w:r>
        <w:rPr>
          <w:rFonts w:ascii="Arial" w:cs="Arial" w:eastAsia="Arial" w:hAnsi="Arial"/>
          <w:sz w:val="21"/>
          <w:szCs w:val="21"/>
          <w:color w:val="auto"/>
        </w:rPr>
        <w:t>MIZUHO BANK, LTD., as a Lender</w:t>
      </w:r>
    </w:p>
    <w:p>
      <w:pPr>
        <w:spacing w:after="0" w:line="200" w:lineRule="exact"/>
        <w:rPr>
          <w:sz w:val="20"/>
          <w:szCs w:val="20"/>
          <w:color w:val="auto"/>
        </w:rPr>
      </w:pPr>
    </w:p>
    <w:p>
      <w:pPr>
        <w:spacing w:after="0" w:line="243" w:lineRule="exact"/>
        <w:rPr>
          <w:sz w:val="20"/>
          <w:szCs w:val="20"/>
          <w:color w:val="auto"/>
        </w:rPr>
      </w:pPr>
    </w:p>
    <w:tbl>
      <w:tblPr>
        <w:tblLayout w:type="fixed"/>
        <w:tblInd w:w="450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210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w w:val="89"/>
              </w:rPr>
              <w:t>/S/ Donna DeMagistris</w:t>
            </w:r>
          </w:p>
        </w:tc>
      </w:tr>
      <w:tr>
        <w:trPr>
          <w:trHeight w:val="242"/>
        </w:trPr>
        <w:tc>
          <w:tcPr>
            <w:tcW w:w="2840" w:type="dxa"/>
            <w:vAlign w:val="bottom"/>
            <w:gridSpan w:val="2"/>
          </w:tcPr>
          <w:p>
            <w:pPr>
              <w:spacing w:after="0" w:line="242" w:lineRule="exact"/>
              <w:rPr>
                <w:sz w:val="20"/>
                <w:szCs w:val="20"/>
                <w:color w:val="auto"/>
              </w:rPr>
            </w:pPr>
            <w:r>
              <w:rPr>
                <w:rFonts w:ascii="Arial" w:cs="Arial" w:eastAsia="Arial" w:hAnsi="Arial"/>
                <w:sz w:val="22"/>
                <w:szCs w:val="22"/>
                <w:color w:val="auto"/>
              </w:rPr>
              <w:t>Name: Donna DeMagistris</w:t>
            </w:r>
          </w:p>
        </w:tc>
      </w:t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2100" w:type="dxa"/>
            <w:vAlign w:val="bottom"/>
          </w:tcPr>
          <w:p>
            <w:pPr>
              <w:ind w:left="440"/>
              <w:spacing w:after="0"/>
              <w:rPr>
                <w:sz w:val="20"/>
                <w:szCs w:val="20"/>
                <w:color w:val="auto"/>
              </w:rPr>
            </w:pPr>
            <w:r>
              <w:rPr>
                <w:rFonts w:ascii="Arial" w:cs="Arial" w:eastAsia="Arial" w:hAnsi="Arial"/>
                <w:sz w:val="22"/>
                <w:szCs w:val="22"/>
                <w:color w:val="auto"/>
                <w:w w:val="91"/>
              </w:rPr>
              <w:t>Executive Director</w:t>
            </w:r>
          </w:p>
        </w:tc>
      </w:tr>
    </w:tbl>
    <w:p>
      <w:pPr>
        <w:spacing w:after="0" w:line="21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HMRC DTTP Scheme passport number: 43/M/274822/DTTP</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Jurisdiction of tax residence: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[SIGNATURE PAGE TO CREDIT AGREEMENT (EMEA SUBSIDIARIES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240" w:type="dxa"/>
            <w:vAlign w:val="bottom"/>
            <w:gridSpan w:val="4"/>
          </w:tcPr>
          <w:p>
            <w:pPr>
              <w:ind w:left="740"/>
              <w:spacing w:after="0"/>
              <w:rPr>
                <w:sz w:val="20"/>
                <w:szCs w:val="20"/>
                <w:color w:val="auto"/>
              </w:rPr>
            </w:pPr>
            <w:r>
              <w:rPr>
                <w:rFonts w:ascii="Arial" w:cs="Arial" w:eastAsia="Arial" w:hAnsi="Arial"/>
                <w:sz w:val="22"/>
                <w:szCs w:val="22"/>
                <w:b w:val="1"/>
                <w:bCs w:val="1"/>
                <w:color w:val="auto"/>
              </w:rPr>
              <w:t>Schedule 2.01 – Commitments</w:t>
            </w:r>
          </w:p>
        </w:tc>
        <w:tc>
          <w:tcPr>
            <w:tcW w:w="306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307"/>
        </w:trPr>
        <w:tc>
          <w:tcPr>
            <w:tcW w:w="48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206"/>
        </w:trPr>
        <w:tc>
          <w:tcPr>
            <w:tcW w:w="4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gridSpan w:val="2"/>
          </w:tcPr>
          <w:p>
            <w:pPr>
              <w:jc w:val="center"/>
              <w:ind w:right="80"/>
              <w:spacing w:after="0" w:line="206" w:lineRule="exact"/>
              <w:rPr>
                <w:sz w:val="20"/>
                <w:szCs w:val="20"/>
                <w:color w:val="auto"/>
              </w:rPr>
            </w:pPr>
            <w:r>
              <w:rPr>
                <w:rFonts w:ascii="Arial" w:cs="Arial" w:eastAsia="Arial" w:hAnsi="Arial"/>
                <w:sz w:val="22"/>
                <w:szCs w:val="22"/>
                <w:b w:val="1"/>
                <w:bCs w:val="1"/>
                <w:color w:val="auto"/>
                <w:w w:val="87"/>
              </w:rPr>
              <w:t>Swingline</w:t>
            </w:r>
          </w:p>
        </w:tc>
        <w:tc>
          <w:tcPr>
            <w:tcW w:w="306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r>
      <w:tr>
        <w:trPr>
          <w:trHeight w:val="301"/>
        </w:trPr>
        <w:tc>
          <w:tcPr>
            <w:tcW w:w="480" w:type="dxa"/>
            <w:vAlign w:val="bottom"/>
            <w:tcBorders>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Lender</w:t>
            </w:r>
          </w:p>
        </w:tc>
        <w:tc>
          <w:tcPr>
            <w:tcW w:w="2180" w:type="dxa"/>
            <w:vAlign w:val="bottom"/>
            <w:tcBorders>
              <w:bottom w:val="single" w:sz="8" w:color="auto"/>
              <w:right w:val="single" w:sz="8" w:color="auto"/>
            </w:tcBorders>
            <w:gridSpan w:val="2"/>
          </w:tcPr>
          <w:p>
            <w:pPr>
              <w:ind w:left="460"/>
              <w:spacing w:after="0"/>
              <w:rPr>
                <w:sz w:val="20"/>
                <w:szCs w:val="20"/>
                <w:color w:val="auto"/>
              </w:rPr>
            </w:pPr>
            <w:r>
              <w:rPr>
                <w:rFonts w:ascii="Arial" w:cs="Arial" w:eastAsia="Arial" w:hAnsi="Arial"/>
                <w:sz w:val="22"/>
                <w:szCs w:val="22"/>
                <w:b w:val="1"/>
                <w:bCs w:val="1"/>
                <w:color w:val="auto"/>
              </w:rPr>
              <w:t>Commitment</w:t>
            </w:r>
          </w:p>
        </w:tc>
        <w:tc>
          <w:tcPr>
            <w:tcW w:w="20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22"/>
                <w:szCs w:val="22"/>
                <w:b w:val="1"/>
                <w:bCs w:val="1"/>
                <w:color w:val="auto"/>
                <w:w w:val="92"/>
              </w:rPr>
              <w:t>Commitment</w:t>
            </w:r>
          </w:p>
        </w:tc>
        <w:tc>
          <w:tcPr>
            <w:tcW w:w="3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22"/>
                <w:szCs w:val="22"/>
                <w:b w:val="1"/>
                <w:bCs w:val="1"/>
                <w:color w:val="auto"/>
                <w:w w:val="94"/>
              </w:rPr>
              <w:t>Initial Applicable Percentage</w:t>
            </w:r>
          </w:p>
        </w:tc>
        <w:tc>
          <w:tcPr>
            <w:tcW w:w="440" w:type="dxa"/>
            <w:vAlign w:val="bottom"/>
          </w:tcPr>
          <w:p>
            <w:pPr>
              <w:spacing w:after="0"/>
              <w:rPr>
                <w:sz w:val="24"/>
                <w:szCs w:val="24"/>
                <w:color w:val="auto"/>
              </w:rPr>
            </w:pPr>
          </w:p>
        </w:tc>
      </w:tr>
      <w:tr>
        <w:trPr>
          <w:trHeight w:val="212"/>
        </w:trPr>
        <w:tc>
          <w:tcPr>
            <w:tcW w:w="480" w:type="dxa"/>
            <w:vAlign w:val="bottom"/>
            <w:tcBorders>
              <w:right w:val="single" w:sz="8" w:color="auto"/>
            </w:tcBorders>
          </w:tcPr>
          <w:p>
            <w:pPr>
              <w:spacing w:after="0"/>
              <w:rPr>
                <w:sz w:val="18"/>
                <w:szCs w:val="18"/>
                <w:color w:val="auto"/>
              </w:rPr>
            </w:pPr>
          </w:p>
        </w:tc>
        <w:tc>
          <w:tcPr>
            <w:tcW w:w="302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2"/>
                <w:szCs w:val="22"/>
                <w:color w:val="auto"/>
                <w:w w:val="90"/>
              </w:rPr>
              <w:t>PNC Bank, National</w:t>
            </w:r>
          </w:p>
        </w:tc>
        <w:tc>
          <w:tcPr>
            <w:tcW w:w="2180" w:type="dxa"/>
            <w:vAlign w:val="bottom"/>
            <w:tcBorders>
              <w:right w:val="single" w:sz="8" w:color="auto"/>
            </w:tcBorders>
            <w:gridSpan w:val="2"/>
          </w:tcPr>
          <w:p>
            <w:pPr>
              <w:jc w:val="center"/>
              <w:ind w:right="40"/>
              <w:spacing w:after="0" w:line="212" w:lineRule="exact"/>
              <w:rPr>
                <w:sz w:val="20"/>
                <w:szCs w:val="20"/>
                <w:color w:val="auto"/>
              </w:rPr>
            </w:pPr>
            <w:r>
              <w:rPr>
                <w:rFonts w:ascii="Arial" w:cs="Arial" w:eastAsia="Arial" w:hAnsi="Arial"/>
                <w:sz w:val="22"/>
                <w:szCs w:val="22"/>
                <w:color w:val="auto"/>
                <w:w w:val="87"/>
              </w:rPr>
              <w:t>€100,000,000</w:t>
            </w:r>
          </w:p>
        </w:tc>
        <w:tc>
          <w:tcPr>
            <w:tcW w:w="2060" w:type="dxa"/>
            <w:vAlign w:val="bottom"/>
            <w:tcBorders>
              <w:right w:val="single" w:sz="8" w:color="auto"/>
            </w:tcBorders>
            <w:gridSpan w:val="2"/>
          </w:tcPr>
          <w:p>
            <w:pPr>
              <w:jc w:val="center"/>
              <w:ind w:right="20"/>
              <w:spacing w:after="0" w:line="212" w:lineRule="exact"/>
              <w:rPr>
                <w:sz w:val="20"/>
                <w:szCs w:val="20"/>
                <w:color w:val="auto"/>
              </w:rPr>
            </w:pPr>
            <w:r>
              <w:rPr>
                <w:rFonts w:ascii="Arial" w:cs="Arial" w:eastAsia="Arial" w:hAnsi="Arial"/>
                <w:sz w:val="22"/>
                <w:szCs w:val="22"/>
                <w:color w:val="auto"/>
                <w:w w:val="88"/>
              </w:rPr>
              <w:t>$30,000,000</w:t>
            </w:r>
          </w:p>
        </w:tc>
        <w:tc>
          <w:tcPr>
            <w:tcW w:w="306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2"/>
                <w:szCs w:val="22"/>
                <w:color w:val="auto"/>
                <w:w w:val="88"/>
              </w:rPr>
              <w:t>33.333333333%</w:t>
            </w:r>
          </w:p>
        </w:tc>
        <w:tc>
          <w:tcPr>
            <w:tcW w:w="440" w:type="dxa"/>
            <w:vAlign w:val="bottom"/>
          </w:tcPr>
          <w:p>
            <w:pPr>
              <w:spacing w:after="0"/>
              <w:rPr>
                <w:sz w:val="18"/>
                <w:szCs w:val="18"/>
                <w:color w:val="auto"/>
              </w:rPr>
            </w:pPr>
          </w:p>
        </w:tc>
      </w:tr>
      <w:tr>
        <w:trPr>
          <w:trHeight w:val="276"/>
        </w:trPr>
        <w:tc>
          <w:tcPr>
            <w:tcW w:w="480" w:type="dxa"/>
            <w:vAlign w:val="bottom"/>
            <w:tcBorders>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Association</w:t>
            </w:r>
          </w:p>
        </w:tc>
        <w:tc>
          <w:tcPr>
            <w:tcW w:w="7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265"/>
        </w:trPr>
        <w:tc>
          <w:tcPr>
            <w:tcW w:w="480" w:type="dxa"/>
            <w:vAlign w:val="bottom"/>
            <w:tcBorders>
              <w:right w:val="single" w:sz="8" w:color="auto"/>
            </w:tcBorders>
          </w:tcPr>
          <w:p>
            <w:pPr>
              <w:spacing w:after="0"/>
              <w:rPr>
                <w:sz w:val="23"/>
                <w:szCs w:val="23"/>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U.S. Bank National Association</w:t>
            </w:r>
          </w:p>
        </w:tc>
        <w:tc>
          <w:tcPr>
            <w:tcW w:w="218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22"/>
                <w:szCs w:val="22"/>
                <w:color w:val="auto"/>
                <w:w w:val="88"/>
              </w:rPr>
              <w:t>€75,000,000</w:t>
            </w:r>
          </w:p>
        </w:tc>
        <w:tc>
          <w:tcPr>
            <w:tcW w:w="1340" w:type="dxa"/>
            <w:vAlign w:val="bottom"/>
            <w:tcBorders>
              <w:bottom w:val="single" w:sz="8" w:color="auto"/>
            </w:tcBorders>
          </w:tcPr>
          <w:p>
            <w:pPr>
              <w:jc w:val="center"/>
              <w:ind w:left="592"/>
              <w:spacing w:after="0"/>
              <w:rPr>
                <w:sz w:val="20"/>
                <w:szCs w:val="20"/>
                <w:color w:val="auto"/>
              </w:rPr>
            </w:pPr>
            <w:r>
              <w:rPr>
                <w:rFonts w:ascii="Arial" w:cs="Arial" w:eastAsia="Arial" w:hAnsi="Arial"/>
                <w:sz w:val="22"/>
                <w:szCs w:val="22"/>
                <w:color w:val="auto"/>
                <w:w w:val="81"/>
              </w:rPr>
              <w:t>$0</w:t>
            </w:r>
          </w:p>
        </w:tc>
        <w:tc>
          <w:tcPr>
            <w:tcW w:w="72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25.000000000%</w:t>
            </w:r>
          </w:p>
        </w:tc>
        <w:tc>
          <w:tcPr>
            <w:tcW w:w="440" w:type="dxa"/>
            <w:vAlign w:val="bottom"/>
          </w:tcPr>
          <w:p>
            <w:pPr>
              <w:spacing w:after="0"/>
              <w:rPr>
                <w:sz w:val="23"/>
                <w:szCs w:val="23"/>
                <w:color w:val="auto"/>
              </w:rPr>
            </w:pPr>
          </w:p>
        </w:tc>
      </w:tr>
      <w:tr>
        <w:trPr>
          <w:trHeight w:val="263"/>
        </w:trPr>
        <w:tc>
          <w:tcPr>
            <w:tcW w:w="480" w:type="dxa"/>
            <w:vAlign w:val="bottom"/>
            <w:tcBorders>
              <w:right w:val="single" w:sz="8" w:color="auto"/>
            </w:tcBorders>
          </w:tcPr>
          <w:p>
            <w:pPr>
              <w:spacing w:after="0"/>
              <w:rPr>
                <w:sz w:val="22"/>
                <w:szCs w:val="22"/>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ING Bank N.V., Dublin Branch</w:t>
            </w:r>
          </w:p>
        </w:tc>
        <w:tc>
          <w:tcPr>
            <w:tcW w:w="218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22"/>
                <w:szCs w:val="22"/>
                <w:color w:val="auto"/>
                <w:w w:val="88"/>
              </w:rPr>
              <w:t>€75,000,000</w:t>
            </w:r>
          </w:p>
        </w:tc>
        <w:tc>
          <w:tcPr>
            <w:tcW w:w="1340" w:type="dxa"/>
            <w:vAlign w:val="bottom"/>
            <w:tcBorders>
              <w:bottom w:val="single" w:sz="8" w:color="auto"/>
            </w:tcBorders>
          </w:tcPr>
          <w:p>
            <w:pPr>
              <w:jc w:val="center"/>
              <w:ind w:left="592"/>
              <w:spacing w:after="0"/>
              <w:rPr>
                <w:sz w:val="20"/>
                <w:szCs w:val="20"/>
                <w:color w:val="auto"/>
              </w:rPr>
            </w:pPr>
            <w:r>
              <w:rPr>
                <w:rFonts w:ascii="Arial" w:cs="Arial" w:eastAsia="Arial" w:hAnsi="Arial"/>
                <w:sz w:val="22"/>
                <w:szCs w:val="22"/>
                <w:color w:val="auto"/>
                <w:w w:val="81"/>
              </w:rPr>
              <w:t>$0</w:t>
            </w:r>
          </w:p>
        </w:tc>
        <w:tc>
          <w:tcPr>
            <w:tcW w:w="720" w:type="dxa"/>
            <w:vAlign w:val="bottom"/>
            <w:tcBorders>
              <w:bottom w:val="single" w:sz="8" w:color="auto"/>
              <w:right w:val="single" w:sz="8" w:color="auto"/>
            </w:tcBorders>
          </w:tcPr>
          <w:p>
            <w:pPr>
              <w:spacing w:after="0"/>
              <w:rPr>
                <w:sz w:val="22"/>
                <w:szCs w:val="22"/>
                <w:color w:val="auto"/>
              </w:rPr>
            </w:pP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25.000000000%</w:t>
            </w:r>
          </w:p>
        </w:tc>
        <w:tc>
          <w:tcPr>
            <w:tcW w:w="440" w:type="dxa"/>
            <w:vAlign w:val="bottom"/>
          </w:tcPr>
          <w:p>
            <w:pPr>
              <w:spacing w:after="0"/>
              <w:rPr>
                <w:sz w:val="22"/>
                <w:szCs w:val="22"/>
                <w:color w:val="auto"/>
              </w:rPr>
            </w:pPr>
          </w:p>
        </w:tc>
      </w:tr>
      <w:tr>
        <w:trPr>
          <w:trHeight w:val="268"/>
        </w:trPr>
        <w:tc>
          <w:tcPr>
            <w:tcW w:w="480" w:type="dxa"/>
            <w:vAlign w:val="bottom"/>
            <w:tcBorders>
              <w:right w:val="single" w:sz="8" w:color="auto"/>
            </w:tcBorders>
          </w:tcPr>
          <w:p>
            <w:pPr>
              <w:spacing w:after="0"/>
              <w:rPr>
                <w:sz w:val="23"/>
                <w:szCs w:val="23"/>
                <w:color w:val="auto"/>
              </w:rPr>
            </w:pP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Mizuho Bank, LTD.</w:t>
            </w:r>
          </w:p>
        </w:tc>
        <w:tc>
          <w:tcPr>
            <w:tcW w:w="218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22"/>
                <w:szCs w:val="22"/>
                <w:color w:val="auto"/>
                <w:w w:val="88"/>
              </w:rPr>
              <w:t>€50,000,000</w:t>
            </w:r>
          </w:p>
        </w:tc>
        <w:tc>
          <w:tcPr>
            <w:tcW w:w="1340" w:type="dxa"/>
            <w:vAlign w:val="bottom"/>
          </w:tcPr>
          <w:p>
            <w:pPr>
              <w:jc w:val="center"/>
              <w:ind w:left="592"/>
              <w:spacing w:after="0"/>
              <w:rPr>
                <w:sz w:val="20"/>
                <w:szCs w:val="20"/>
                <w:color w:val="auto"/>
              </w:rPr>
            </w:pPr>
            <w:r>
              <w:rPr>
                <w:rFonts w:ascii="Arial" w:cs="Arial" w:eastAsia="Arial" w:hAnsi="Arial"/>
                <w:sz w:val="22"/>
                <w:szCs w:val="22"/>
                <w:color w:val="auto"/>
                <w:w w:val="81"/>
              </w:rPr>
              <w:t>$0</w:t>
            </w:r>
          </w:p>
        </w:tc>
        <w:tc>
          <w:tcPr>
            <w:tcW w:w="720" w:type="dxa"/>
            <w:vAlign w:val="bottom"/>
            <w:tcBorders>
              <w:right w:val="single" w:sz="8" w:color="auto"/>
            </w:tcBorders>
          </w:tcPr>
          <w:p>
            <w:pPr>
              <w:spacing w:after="0"/>
              <w:rPr>
                <w:sz w:val="23"/>
                <w:szCs w:val="23"/>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16.66667%</w:t>
            </w:r>
          </w:p>
        </w:tc>
        <w:tc>
          <w:tcPr>
            <w:tcW w:w="440" w:type="dxa"/>
            <w:vAlign w:val="bottom"/>
          </w:tcPr>
          <w:p>
            <w:pPr>
              <w:spacing w:after="0"/>
              <w:rPr>
                <w:sz w:val="23"/>
                <w:szCs w:val="23"/>
                <w:color w:val="auto"/>
              </w:rPr>
            </w:pPr>
          </w:p>
        </w:tc>
      </w:tr>
      <w:tr>
        <w:trPr>
          <w:trHeight w:val="239"/>
        </w:trPr>
        <w:tc>
          <w:tcPr>
            <w:tcW w:w="480" w:type="dxa"/>
            <w:vAlign w:val="bottom"/>
            <w:tcBorders>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r>
      <w:tr>
        <w:trPr>
          <w:trHeight w:val="263"/>
        </w:trPr>
        <w:tc>
          <w:tcPr>
            <w:tcW w:w="480" w:type="dxa"/>
            <w:vAlign w:val="bottom"/>
            <w:tcBorders>
              <w:right w:val="single" w:sz="8" w:color="auto"/>
            </w:tcBorders>
          </w:tcPr>
          <w:p>
            <w:pPr>
              <w:spacing w:after="0"/>
              <w:rPr>
                <w:sz w:val="22"/>
                <w:szCs w:val="22"/>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Total</w:t>
            </w:r>
          </w:p>
        </w:tc>
        <w:tc>
          <w:tcPr>
            <w:tcW w:w="218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22"/>
                <w:szCs w:val="22"/>
                <w:color w:val="auto"/>
                <w:w w:val="87"/>
              </w:rPr>
              <w:t>€</w:t>
            </w:r>
            <w:r>
              <w:rPr>
                <w:rFonts w:ascii="Arial" w:cs="Arial" w:eastAsia="Arial" w:hAnsi="Arial"/>
                <w:sz w:val="22"/>
                <w:szCs w:val="22"/>
                <w:b w:val="1"/>
                <w:bCs w:val="1"/>
                <w:color w:val="auto"/>
                <w:w w:val="87"/>
              </w:rPr>
              <w:t>300,000,000</w:t>
            </w:r>
          </w:p>
        </w:tc>
        <w:tc>
          <w:tcPr>
            <w:tcW w:w="20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auto"/>
                <w:w w:val="88"/>
              </w:rPr>
              <w:t>30,000,000</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100.000000000%</w:t>
            </w:r>
          </w:p>
        </w:tc>
        <w:tc>
          <w:tcPr>
            <w:tcW w:w="440" w:type="dxa"/>
            <w:vAlign w:val="bottom"/>
          </w:tcPr>
          <w:p>
            <w:pPr>
              <w:spacing w:after="0"/>
              <w:rPr>
                <w:sz w:val="22"/>
                <w:szCs w:val="22"/>
                <w:color w:val="auto"/>
              </w:rPr>
            </w:pPr>
          </w:p>
        </w:tc>
      </w:tr>
      <w:tr>
        <w:trPr>
          <w:trHeight w:val="959"/>
        </w:trPr>
        <w:tc>
          <w:tcPr>
            <w:tcW w:w="4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7" w:right="339" w:bottom="1440" w:gutter="0" w:footer="0" w:header="0"/>
        </w:sectPr>
      </w:pPr>
    </w:p>
    <w:bookmarkStart w:id="326" w:name="page327"/>
    <w:bookmarkEnd w:id="326"/>
    <w:p>
      <w:pPr>
        <w:jc w:val="right"/>
        <w:ind w:right="3119"/>
        <w:spacing w:after="0"/>
        <w:rPr>
          <w:sz w:val="20"/>
          <w:szCs w:val="20"/>
          <w:color w:val="auto"/>
        </w:rPr>
      </w:pPr>
      <w:r>
        <w:rPr>
          <w:rFonts w:ascii="Arial" w:cs="Arial" w:eastAsia="Arial" w:hAnsi="Arial"/>
          <w:sz w:val="22"/>
          <w:szCs w:val="22"/>
          <w:b w:val="1"/>
          <w:bCs w:val="1"/>
          <w:u w:val="single" w:color="auto"/>
          <w:color w:val="auto"/>
        </w:rPr>
        <w:t>Schedule 6.01 – Existing Liens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60" w:right="1440" w:bottom="1440" w:gutter="0" w:footer="0" w:header="0"/>
        </w:sectPr>
      </w:pPr>
    </w:p>
    <w:bookmarkStart w:id="327" w:name="page328"/>
    <w:bookmarkEnd w:id="3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Executve Ofcer Certfcaton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Sean D. Keohane, certfy that:</w:t>
      </w:r>
    </w:p>
    <w:p>
      <w:pPr>
        <w:spacing w:after="0" w:line="117" w:lineRule="exact"/>
        <w:rPr>
          <w:sz w:val="20"/>
          <w:szCs w:val="20"/>
          <w:color w:val="auto"/>
        </w:rPr>
      </w:pPr>
    </w:p>
    <w:p>
      <w:pPr>
        <w:ind w:left="520" w:hanging="512"/>
        <w:spacing w:after="0"/>
        <w:tabs>
          <w:tab w:leader="none" w:pos="5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Cabot Corporaton;</w:t>
      </w:r>
    </w:p>
    <w:p>
      <w:pPr>
        <w:spacing w:after="0" w:line="117" w:lineRule="exact"/>
        <w:rPr>
          <w:rFonts w:ascii="Arial" w:cs="Arial" w:eastAsia="Arial" w:hAnsi="Arial"/>
          <w:sz w:val="18"/>
          <w:szCs w:val="18"/>
          <w:color w:val="auto"/>
        </w:rPr>
      </w:pPr>
    </w:p>
    <w:p>
      <w:pPr>
        <w:ind w:left="520" w:right="40" w:hanging="512"/>
        <w:spacing w:after="0" w:line="262" w:lineRule="auto"/>
        <w:tabs>
          <w:tab w:leader="none" w:pos="5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20" w:right="80" w:hanging="512"/>
        <w:spacing w:after="0" w:line="273" w:lineRule="auto"/>
        <w:tabs>
          <w:tab w:leader="none" w:pos="5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69" w:lineRule="exact"/>
        <w:rPr>
          <w:rFonts w:ascii="Arial" w:cs="Arial" w:eastAsia="Arial" w:hAnsi="Arial"/>
          <w:sz w:val="18"/>
          <w:szCs w:val="18"/>
          <w:color w:val="auto"/>
        </w:rPr>
      </w:pPr>
    </w:p>
    <w:p>
      <w:pPr>
        <w:ind w:left="520" w:right="200" w:hanging="512"/>
        <w:spacing w:after="0" w:line="262" w:lineRule="auto"/>
        <w:tabs>
          <w:tab w:leader="none" w:pos="5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78" w:lineRule="exact"/>
        <w:rPr>
          <w:rFonts w:ascii="Arial" w:cs="Arial" w:eastAsia="Arial" w:hAnsi="Arial"/>
          <w:sz w:val="18"/>
          <w:szCs w:val="18"/>
          <w:color w:val="auto"/>
        </w:rPr>
      </w:pPr>
    </w:p>
    <w:p>
      <w:pPr>
        <w:ind w:left="1020" w:right="20" w:hanging="503"/>
        <w:spacing w:after="0" w:line="262" w:lineRule="auto"/>
        <w:tabs>
          <w:tab w:leader="none" w:pos="10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78" w:lineRule="exact"/>
        <w:rPr>
          <w:rFonts w:ascii="Arial" w:cs="Arial" w:eastAsia="Arial" w:hAnsi="Arial"/>
          <w:sz w:val="18"/>
          <w:szCs w:val="18"/>
          <w:color w:val="auto"/>
        </w:rPr>
      </w:pPr>
    </w:p>
    <w:p>
      <w:pPr>
        <w:ind w:left="1020" w:right="160" w:hanging="503"/>
        <w:spacing w:after="0" w:line="262" w:lineRule="auto"/>
        <w:tabs>
          <w:tab w:leader="none" w:pos="10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78" w:lineRule="exact"/>
        <w:rPr>
          <w:rFonts w:ascii="Arial" w:cs="Arial" w:eastAsia="Arial" w:hAnsi="Arial"/>
          <w:sz w:val="18"/>
          <w:szCs w:val="18"/>
          <w:color w:val="auto"/>
        </w:rPr>
      </w:pPr>
    </w:p>
    <w:p>
      <w:pPr>
        <w:jc w:val="both"/>
        <w:ind w:left="1020" w:right="280" w:hanging="503"/>
        <w:spacing w:after="0" w:line="337" w:lineRule="auto"/>
        <w:tabs>
          <w:tab w:leader="none" w:pos="1020" w:val="left"/>
        </w:tabs>
        <w:numPr>
          <w:ilvl w:val="1"/>
          <w:numId w:val="370"/>
        </w:numPr>
        <w:rPr>
          <w:rFonts w:ascii="Arial" w:cs="Arial" w:eastAsia="Arial" w:hAnsi="Arial"/>
          <w:sz w:val="16"/>
          <w:szCs w:val="16"/>
          <w:color w:val="auto"/>
        </w:rPr>
      </w:pPr>
      <w:r>
        <w:rPr>
          <w:rFonts w:ascii="Arial" w:cs="Arial" w:eastAsia="Arial" w:hAnsi="Arial"/>
          <w:sz w:val="16"/>
          <w:szCs w:val="16"/>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3" w:lineRule="exact"/>
        <w:rPr>
          <w:rFonts w:ascii="Arial" w:cs="Arial" w:eastAsia="Arial" w:hAnsi="Arial"/>
          <w:sz w:val="16"/>
          <w:szCs w:val="16"/>
          <w:color w:val="auto"/>
        </w:rPr>
      </w:pPr>
    </w:p>
    <w:p>
      <w:pPr>
        <w:ind w:left="1020" w:right="40" w:hanging="503"/>
        <w:spacing w:after="0" w:line="262" w:lineRule="auto"/>
        <w:tabs>
          <w:tab w:leader="none" w:pos="10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78" w:lineRule="exact"/>
        <w:rPr>
          <w:rFonts w:ascii="Arial" w:cs="Arial" w:eastAsia="Arial" w:hAnsi="Arial"/>
          <w:sz w:val="18"/>
          <w:szCs w:val="18"/>
          <w:color w:val="auto"/>
        </w:rPr>
      </w:pPr>
    </w:p>
    <w:p>
      <w:pPr>
        <w:ind w:left="520" w:right="120" w:hanging="512"/>
        <w:spacing w:after="0" w:line="303" w:lineRule="auto"/>
        <w:tabs>
          <w:tab w:leader="none" w:pos="52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46" w:lineRule="exact"/>
        <w:rPr>
          <w:rFonts w:ascii="Arial" w:cs="Arial" w:eastAsia="Arial" w:hAnsi="Arial"/>
          <w:sz w:val="17"/>
          <w:szCs w:val="17"/>
          <w:color w:val="auto"/>
        </w:rPr>
      </w:pPr>
    </w:p>
    <w:p>
      <w:pPr>
        <w:ind w:left="1020" w:right="700" w:hanging="503"/>
        <w:spacing w:after="0" w:line="337" w:lineRule="auto"/>
        <w:tabs>
          <w:tab w:leader="none" w:pos="1020" w:val="left"/>
        </w:tabs>
        <w:numPr>
          <w:ilvl w:val="1"/>
          <w:numId w:val="370"/>
        </w:numPr>
        <w:rPr>
          <w:rFonts w:ascii="Arial" w:cs="Arial" w:eastAsia="Arial" w:hAnsi="Arial"/>
          <w:sz w:val="16"/>
          <w:szCs w:val="16"/>
          <w:color w:val="auto"/>
        </w:rPr>
      </w:pPr>
      <w:r>
        <w:rPr>
          <w:rFonts w:ascii="Arial" w:cs="Arial" w:eastAsia="Arial" w:hAnsi="Arial"/>
          <w:sz w:val="16"/>
          <w:szCs w:val="16"/>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3" w:lineRule="exact"/>
        <w:rPr>
          <w:rFonts w:ascii="Arial" w:cs="Arial" w:eastAsia="Arial" w:hAnsi="Arial"/>
          <w:sz w:val="16"/>
          <w:szCs w:val="16"/>
          <w:color w:val="auto"/>
        </w:rPr>
      </w:pPr>
    </w:p>
    <w:p>
      <w:pPr>
        <w:ind w:left="1020" w:right="280" w:hanging="503"/>
        <w:spacing w:after="0" w:line="273" w:lineRule="auto"/>
        <w:tabs>
          <w:tab w:leader="none" w:pos="10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signifcant role in the registrant’s internal control over fnancial reportng.</w:t>
      </w:r>
    </w:p>
    <w:p>
      <w:pPr>
        <w:spacing w:after="0" w:line="218" w:lineRule="exact"/>
        <w:rPr>
          <w:sz w:val="20"/>
          <w:szCs w:val="20"/>
          <w:color w:val="auto"/>
        </w:rPr>
      </w:pPr>
    </w:p>
    <w:p>
      <w:pPr>
        <w:ind w:left="20"/>
        <w:spacing w:after="0"/>
        <w:tabs>
          <w:tab w:leader="none" w:pos="832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5"/>
          <w:szCs w:val="15"/>
          <w:color w:val="auto"/>
        </w:rPr>
        <w:t>/s/ SEAN KEOHANE</w:t>
      </w:r>
    </w:p>
    <w:p>
      <w:pPr>
        <w:spacing w:after="0" w:line="48"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Sean D.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-126365</wp:posOffset>
            </wp:positionV>
            <wp:extent cx="27863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6"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President and</w:t>
      </w:r>
    </w:p>
    <w:p>
      <w:pPr>
        <w:spacing w:after="0" w:line="24"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356870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29" w:name="page330"/>
    <w:bookmarkEnd w:id="3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Ofcer Certfcaton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Erica McLaughlin, certfy that:</w:t>
      </w:r>
    </w:p>
    <w:p>
      <w:pPr>
        <w:spacing w:after="0" w:line="117" w:lineRule="exact"/>
        <w:rPr>
          <w:sz w:val="20"/>
          <w:szCs w:val="20"/>
          <w:color w:val="auto"/>
        </w:rPr>
      </w:pPr>
    </w:p>
    <w:p>
      <w:pPr>
        <w:ind w:left="520" w:hanging="512"/>
        <w:spacing w:after="0"/>
        <w:tabs>
          <w:tab w:leader="none" w:pos="5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Cabot Corporaton;</w:t>
      </w:r>
    </w:p>
    <w:p>
      <w:pPr>
        <w:spacing w:after="0" w:line="117" w:lineRule="exact"/>
        <w:rPr>
          <w:rFonts w:ascii="Arial" w:cs="Arial" w:eastAsia="Arial" w:hAnsi="Arial"/>
          <w:sz w:val="18"/>
          <w:szCs w:val="18"/>
          <w:color w:val="auto"/>
        </w:rPr>
      </w:pPr>
    </w:p>
    <w:p>
      <w:pPr>
        <w:ind w:left="520" w:right="40" w:hanging="512"/>
        <w:spacing w:after="0" w:line="262" w:lineRule="auto"/>
        <w:tabs>
          <w:tab w:leader="none" w:pos="5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20" w:right="80" w:hanging="512"/>
        <w:spacing w:after="0" w:line="273" w:lineRule="auto"/>
        <w:tabs>
          <w:tab w:leader="none" w:pos="5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69" w:lineRule="exact"/>
        <w:rPr>
          <w:rFonts w:ascii="Arial" w:cs="Arial" w:eastAsia="Arial" w:hAnsi="Arial"/>
          <w:sz w:val="18"/>
          <w:szCs w:val="18"/>
          <w:color w:val="auto"/>
        </w:rPr>
      </w:pPr>
    </w:p>
    <w:p>
      <w:pPr>
        <w:ind w:left="520" w:right="200" w:hanging="512"/>
        <w:spacing w:after="0" w:line="262" w:lineRule="auto"/>
        <w:tabs>
          <w:tab w:leader="none" w:pos="5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78" w:lineRule="exact"/>
        <w:rPr>
          <w:rFonts w:ascii="Arial" w:cs="Arial" w:eastAsia="Arial" w:hAnsi="Arial"/>
          <w:sz w:val="18"/>
          <w:szCs w:val="18"/>
          <w:color w:val="auto"/>
        </w:rPr>
      </w:pPr>
    </w:p>
    <w:p>
      <w:pPr>
        <w:ind w:left="1020" w:right="20" w:hanging="503"/>
        <w:spacing w:after="0" w:line="262" w:lineRule="auto"/>
        <w:tabs>
          <w:tab w:leader="none" w:pos="10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78" w:lineRule="exact"/>
        <w:rPr>
          <w:rFonts w:ascii="Arial" w:cs="Arial" w:eastAsia="Arial" w:hAnsi="Arial"/>
          <w:sz w:val="18"/>
          <w:szCs w:val="18"/>
          <w:color w:val="auto"/>
        </w:rPr>
      </w:pPr>
    </w:p>
    <w:p>
      <w:pPr>
        <w:ind w:left="1020" w:right="160" w:hanging="503"/>
        <w:spacing w:after="0" w:line="262" w:lineRule="auto"/>
        <w:tabs>
          <w:tab w:leader="none" w:pos="10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78" w:lineRule="exact"/>
        <w:rPr>
          <w:rFonts w:ascii="Arial" w:cs="Arial" w:eastAsia="Arial" w:hAnsi="Arial"/>
          <w:sz w:val="18"/>
          <w:szCs w:val="18"/>
          <w:color w:val="auto"/>
        </w:rPr>
      </w:pPr>
    </w:p>
    <w:p>
      <w:pPr>
        <w:jc w:val="both"/>
        <w:ind w:left="1020" w:right="280" w:hanging="503"/>
        <w:spacing w:after="0" w:line="337" w:lineRule="auto"/>
        <w:tabs>
          <w:tab w:leader="none" w:pos="1020" w:val="left"/>
        </w:tabs>
        <w:numPr>
          <w:ilvl w:val="1"/>
          <w:numId w:val="371"/>
        </w:numPr>
        <w:rPr>
          <w:rFonts w:ascii="Arial" w:cs="Arial" w:eastAsia="Arial" w:hAnsi="Arial"/>
          <w:sz w:val="16"/>
          <w:szCs w:val="16"/>
          <w:color w:val="auto"/>
        </w:rPr>
      </w:pPr>
      <w:r>
        <w:rPr>
          <w:rFonts w:ascii="Arial" w:cs="Arial" w:eastAsia="Arial" w:hAnsi="Arial"/>
          <w:sz w:val="16"/>
          <w:szCs w:val="16"/>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3" w:lineRule="exact"/>
        <w:rPr>
          <w:rFonts w:ascii="Arial" w:cs="Arial" w:eastAsia="Arial" w:hAnsi="Arial"/>
          <w:sz w:val="16"/>
          <w:szCs w:val="16"/>
          <w:color w:val="auto"/>
        </w:rPr>
      </w:pPr>
    </w:p>
    <w:p>
      <w:pPr>
        <w:ind w:left="1020" w:right="40" w:hanging="503"/>
        <w:spacing w:after="0" w:line="262" w:lineRule="auto"/>
        <w:tabs>
          <w:tab w:leader="none" w:pos="10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78" w:lineRule="exact"/>
        <w:rPr>
          <w:rFonts w:ascii="Arial" w:cs="Arial" w:eastAsia="Arial" w:hAnsi="Arial"/>
          <w:sz w:val="18"/>
          <w:szCs w:val="18"/>
          <w:color w:val="auto"/>
        </w:rPr>
      </w:pPr>
    </w:p>
    <w:p>
      <w:pPr>
        <w:ind w:left="520" w:right="120" w:hanging="512"/>
        <w:spacing w:after="0" w:line="303" w:lineRule="auto"/>
        <w:tabs>
          <w:tab w:leader="none" w:pos="52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46" w:lineRule="exact"/>
        <w:rPr>
          <w:rFonts w:ascii="Arial" w:cs="Arial" w:eastAsia="Arial" w:hAnsi="Arial"/>
          <w:sz w:val="17"/>
          <w:szCs w:val="17"/>
          <w:color w:val="auto"/>
        </w:rPr>
      </w:pPr>
    </w:p>
    <w:p>
      <w:pPr>
        <w:ind w:left="1020" w:right="700" w:hanging="503"/>
        <w:spacing w:after="0" w:line="337" w:lineRule="auto"/>
        <w:tabs>
          <w:tab w:leader="none" w:pos="1020" w:val="left"/>
        </w:tabs>
        <w:numPr>
          <w:ilvl w:val="1"/>
          <w:numId w:val="371"/>
        </w:numPr>
        <w:rPr>
          <w:rFonts w:ascii="Arial" w:cs="Arial" w:eastAsia="Arial" w:hAnsi="Arial"/>
          <w:sz w:val="16"/>
          <w:szCs w:val="16"/>
          <w:color w:val="auto"/>
        </w:rPr>
      </w:pPr>
      <w:r>
        <w:rPr>
          <w:rFonts w:ascii="Arial" w:cs="Arial" w:eastAsia="Arial" w:hAnsi="Arial"/>
          <w:sz w:val="16"/>
          <w:szCs w:val="16"/>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3" w:lineRule="exact"/>
        <w:rPr>
          <w:rFonts w:ascii="Arial" w:cs="Arial" w:eastAsia="Arial" w:hAnsi="Arial"/>
          <w:sz w:val="16"/>
          <w:szCs w:val="16"/>
          <w:color w:val="auto"/>
        </w:rPr>
      </w:pPr>
    </w:p>
    <w:p>
      <w:pPr>
        <w:ind w:left="1020" w:right="280" w:hanging="503"/>
        <w:spacing w:after="0" w:line="273" w:lineRule="auto"/>
        <w:tabs>
          <w:tab w:leader="none" w:pos="10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signifcant role in the registrant’s internal control over fnancial reportng.</w:t>
      </w:r>
    </w:p>
    <w:p>
      <w:pPr>
        <w:spacing w:after="0" w:line="218" w:lineRule="exact"/>
        <w:rPr>
          <w:sz w:val="20"/>
          <w:szCs w:val="20"/>
          <w:color w:val="auto"/>
        </w:rPr>
      </w:pPr>
    </w:p>
    <w:p>
      <w:pPr>
        <w:ind w:left="20"/>
        <w:spacing w:after="0"/>
        <w:tabs>
          <w:tab w:leader="none" w:pos="834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rica</w:t>
      </w:r>
      <w:r>
        <w:rPr>
          <w:rFonts w:ascii="Arial" w:cs="Arial" w:eastAsia="Arial" w:hAnsi="Arial"/>
          <w:sz w:val="18"/>
          <w:szCs w:val="18"/>
          <w:color w:val="auto"/>
        </w:rPr>
        <w:t xml:space="preserve"> M</w:t>
      </w:r>
      <w:r>
        <w:rPr>
          <w:rFonts w:ascii="Arial" w:cs="Arial" w:eastAsia="Arial" w:hAnsi="Arial"/>
          <w:sz w:val="12"/>
          <w:szCs w:val="12"/>
          <w:color w:val="auto"/>
        </w:rPr>
        <w:t>c</w:t>
      </w:r>
      <w:r>
        <w:rPr>
          <w:rFonts w:ascii="Arial" w:cs="Arial" w:eastAsia="Arial" w:hAnsi="Arial"/>
          <w:sz w:val="18"/>
          <w:szCs w:val="18"/>
          <w:color w:val="auto"/>
        </w:rPr>
        <w:t>L</w:t>
      </w:r>
      <w:r>
        <w:rPr>
          <w:rFonts w:ascii="Arial" w:cs="Arial" w:eastAsia="Arial" w:hAnsi="Arial"/>
          <w:sz w:val="12"/>
          <w:szCs w:val="12"/>
          <w:color w:val="auto"/>
        </w:rPr>
        <w:t>aughlin</w:t>
      </w:r>
    </w:p>
    <w:p>
      <w:pPr>
        <w:spacing w:after="0" w:line="48"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-126365</wp:posOffset>
            </wp:positionV>
            <wp:extent cx="27863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Executve Vice President and</w:t>
      </w:r>
    </w:p>
    <w:p>
      <w:pPr>
        <w:spacing w:after="0" w:line="24"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356870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31" w:name="page332"/>
    <w:bookmarkEnd w:id="3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Certfcatons Pursuant to 18 U.S.C. Secton 1350,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2" w:lineRule="exact"/>
        <w:rPr>
          <w:sz w:val="20"/>
          <w:szCs w:val="20"/>
          <w:color w:val="auto"/>
        </w:rPr>
      </w:pPr>
    </w:p>
    <w:p>
      <w:pPr>
        <w:jc w:val="both"/>
        <w:ind w:right="140" w:firstLine="509"/>
        <w:spacing w:after="0" w:line="262" w:lineRule="auto"/>
        <w:rPr>
          <w:sz w:val="20"/>
          <w:szCs w:val="20"/>
          <w:color w:val="auto"/>
        </w:rPr>
      </w:pPr>
      <w:r>
        <w:rPr>
          <w:rFonts w:ascii="Arial" w:cs="Arial" w:eastAsia="Arial" w:hAnsi="Arial"/>
          <w:sz w:val="18"/>
          <w:szCs w:val="18"/>
          <w:color w:val="auto"/>
        </w:rPr>
        <w:t>In connecton with the fling of the Quarterly Report on Form 10-Q for the quarter ended June 30, 2023 (the “Report”) by Cabot Corporaton (the “Company”), each of the undersigned hereby certfes pursuant to 18 U.S.C. Secton 1350, as adopted pursuant to Secton 906 of the Sarbanes-Oxley Act of 2002, that, to his knowledge:</w:t>
      </w:r>
    </w:p>
    <w:p>
      <w:pPr>
        <w:spacing w:after="0" w:line="78" w:lineRule="exact"/>
        <w:rPr>
          <w:sz w:val="20"/>
          <w:szCs w:val="20"/>
          <w:color w:val="auto"/>
        </w:rPr>
      </w:pPr>
    </w:p>
    <w:p>
      <w:pPr>
        <w:ind w:left="1020" w:hanging="503"/>
        <w:spacing w:after="0"/>
        <w:tabs>
          <w:tab w:leader="none" w:pos="102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secton 13 (a) or 15 (d) of the Securites Exchange Act of 1934, as amended; and</w:t>
      </w:r>
    </w:p>
    <w:p>
      <w:pPr>
        <w:spacing w:after="0" w:line="128" w:lineRule="exact"/>
        <w:rPr>
          <w:rFonts w:ascii="Arial" w:cs="Arial" w:eastAsia="Arial" w:hAnsi="Arial"/>
          <w:sz w:val="17"/>
          <w:szCs w:val="17"/>
          <w:color w:val="auto"/>
        </w:rPr>
      </w:pPr>
    </w:p>
    <w:p>
      <w:pPr>
        <w:ind w:left="1020" w:right="420" w:hanging="503"/>
        <w:spacing w:after="0" w:line="273" w:lineRule="auto"/>
        <w:tabs>
          <w:tab w:leader="none" w:pos="10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informaton contained in the Report fairly presents, in all material respects, the fnancial conditon and results of operatons of the Company.</w:t>
      </w:r>
    </w:p>
    <w:p>
      <w:pPr>
        <w:spacing w:after="0" w:line="218" w:lineRule="exact"/>
        <w:rPr>
          <w:sz w:val="20"/>
          <w:szCs w:val="20"/>
          <w:color w:val="auto"/>
        </w:rPr>
      </w:pPr>
    </w:p>
    <w:p>
      <w:pPr>
        <w:ind w:left="20"/>
        <w:spacing w:after="0"/>
        <w:tabs>
          <w:tab w:leader="none" w:pos="834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7"/>
          <w:szCs w:val="17"/>
          <w:color w:val="auto"/>
        </w:rPr>
        <w:t>/s/ S</w:t>
      </w:r>
      <w:r>
        <w:rPr>
          <w:rFonts w:ascii="Arial" w:cs="Arial" w:eastAsia="Arial" w:hAnsi="Arial"/>
          <w:sz w:val="11"/>
          <w:szCs w:val="11"/>
          <w:color w:val="auto"/>
        </w:rPr>
        <w:t>ean</w:t>
      </w:r>
      <w:r>
        <w:rPr>
          <w:rFonts w:ascii="Arial" w:cs="Arial" w:eastAsia="Arial" w:hAnsi="Arial"/>
          <w:sz w:val="17"/>
          <w:szCs w:val="17"/>
          <w:color w:val="auto"/>
        </w:rPr>
        <w:t xml:space="preserve"> D. K</w:t>
      </w:r>
      <w:r>
        <w:rPr>
          <w:rFonts w:ascii="Arial" w:cs="Arial" w:eastAsia="Arial" w:hAnsi="Arial"/>
          <w:sz w:val="11"/>
          <w:szCs w:val="11"/>
          <w:color w:val="auto"/>
        </w:rPr>
        <w:t>eohane</w:t>
      </w:r>
    </w:p>
    <w:p>
      <w:pPr>
        <w:spacing w:after="0" w:line="48"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Sean D.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-126365</wp:posOffset>
            </wp:positionV>
            <wp:extent cx="284607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President and Chief Executve Ofcer</w:t>
      </w:r>
    </w:p>
    <w:p>
      <w:pPr>
        <w:spacing w:after="0" w:line="335" w:lineRule="exact"/>
        <w:rPr>
          <w:sz w:val="20"/>
          <w:szCs w:val="20"/>
          <w:color w:val="auto"/>
        </w:rPr>
      </w:pPr>
    </w:p>
    <w:p>
      <w:pPr>
        <w:ind w:left="20"/>
        <w:spacing w:after="0"/>
        <w:tabs>
          <w:tab w:leader="none" w:pos="830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/s/ E</w:t>
      </w:r>
      <w:r>
        <w:rPr>
          <w:rFonts w:ascii="Arial" w:cs="Arial" w:eastAsia="Arial" w:hAnsi="Arial"/>
          <w:sz w:val="12"/>
          <w:szCs w:val="12"/>
          <w:color w:val="auto"/>
        </w:rPr>
        <w:t>rica</w:t>
      </w:r>
      <w:r>
        <w:rPr>
          <w:rFonts w:ascii="Arial" w:cs="Arial" w:eastAsia="Arial" w:hAnsi="Arial"/>
          <w:sz w:val="18"/>
          <w:szCs w:val="18"/>
          <w:color w:val="auto"/>
        </w:rPr>
        <w:t xml:space="preserve"> M</w:t>
      </w:r>
      <w:r>
        <w:rPr>
          <w:rFonts w:ascii="Arial" w:cs="Arial" w:eastAsia="Arial" w:hAnsi="Arial"/>
          <w:sz w:val="12"/>
          <w:szCs w:val="12"/>
          <w:color w:val="auto"/>
        </w:rPr>
        <w:t>c</w:t>
      </w:r>
      <w:r>
        <w:rPr>
          <w:rFonts w:ascii="Arial" w:cs="Arial" w:eastAsia="Arial" w:hAnsi="Arial"/>
          <w:sz w:val="18"/>
          <w:szCs w:val="18"/>
          <w:color w:val="auto"/>
        </w:rPr>
        <w:t>L</w:t>
      </w:r>
      <w:r>
        <w:rPr>
          <w:rFonts w:ascii="Arial" w:cs="Arial" w:eastAsia="Arial" w:hAnsi="Arial"/>
          <w:sz w:val="12"/>
          <w:szCs w:val="12"/>
          <w:color w:val="auto"/>
        </w:rPr>
        <w:t>aughlin</w:t>
      </w:r>
    </w:p>
    <w:p>
      <w:pPr>
        <w:spacing w:after="0" w:line="48"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-126365</wp:posOffset>
            </wp:positionV>
            <wp:extent cx="284607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Executve Vice President and</w:t>
      </w:r>
    </w:p>
    <w:p>
      <w:pPr>
        <w:spacing w:after="0" w:line="24"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365760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33" w:name="page334"/>
    <w:bookmarkEnd w:id="3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494B2FB"/>
    <w:multiLevelType w:val="hybridMultilevel"/>
    <w:lvl w:ilvl="0">
      <w:lvlJc w:val="left"/>
      <w:lvlText w:val="☒"/>
      <w:numFmt w:val="bullet"/>
      <w:start w:val="1"/>
    </w:lvl>
  </w:abstractNum>
  <w:abstractNum w:abstractNumId="1">
    <w:nsid w:val="B13A31"/>
    <w:multiLevelType w:val="hybridMultilevel"/>
    <w:lvl w:ilvl="0">
      <w:lvlJc w:val="left"/>
      <w:lvlText w:val="☐"/>
      <w:numFmt w:val="bullet"/>
      <w:start w:val="1"/>
    </w:lvl>
  </w:abstractNum>
  <w:abstractNum w:abstractNumId="2">
    <w:nsid w:val="64429599"/>
    <w:multiLevelType w:val="hybridMultilevel"/>
    <w:lvl w:ilvl="0">
      <w:lvlJc w:val="left"/>
      <w:lvlText w:val="(%1)"/>
      <w:numFmt w:val="lowerRoman"/>
      <w:start w:val="7"/>
    </w:lvl>
  </w:abstractNum>
  <w:abstractNum w:abstractNumId="3">
    <w:nsid w:val="631F1690"/>
    <w:multiLevelType w:val="hybridMultilevel"/>
    <w:lvl w:ilvl="0">
      <w:lvlJc w:val="left"/>
      <w:lvlText w:val="(%1)"/>
      <w:numFmt w:val="decimal"/>
      <w:start w:val="1"/>
    </w:lvl>
  </w:abstractNum>
  <w:abstractNum w:abstractNumId="4">
    <w:nsid w:val="25973E32"/>
    <w:multiLevelType w:val="hybridMultilevel"/>
    <w:lvl w:ilvl="0">
      <w:lvlJc w:val="left"/>
      <w:lvlText w:val="(%1)"/>
      <w:numFmt w:val="decimal"/>
      <w:start w:val="2"/>
    </w:lvl>
  </w:abstractNum>
  <w:abstractNum w:abstractNumId="5">
    <w:nsid w:val="EAD6F57"/>
    <w:multiLevelType w:val="hybridMultilevel"/>
    <w:lvl w:ilvl="0">
      <w:lvlJc w:val="left"/>
      <w:lvlText w:val="(%1)"/>
      <w:numFmt w:val="decimal"/>
      <w:start w:val="1"/>
    </w:lvl>
  </w:abstractNum>
  <w:abstractNum w:abstractNumId="6">
    <w:nsid w:val="6EC9D844"/>
    <w:multiLevelType w:val="hybridMultilevel"/>
    <w:lvl w:ilvl="0">
      <w:lvlJc w:val="left"/>
      <w:lvlText w:val="(%1)"/>
      <w:numFmt w:val="decimal"/>
      <w:start w:val="4"/>
    </w:lvl>
  </w:abstractNum>
  <w:abstractNum w:abstractNumId="7">
    <w:nsid w:val="5C49EAEE"/>
    <w:multiLevelType w:val="hybridMultilevel"/>
    <w:lvl w:ilvl="0">
      <w:lvlJc w:val="left"/>
      <w:lvlText w:val="(%1)"/>
      <w:numFmt w:val="lowerLetter"/>
      <w:start w:val="1"/>
    </w:lvl>
  </w:abstractNum>
  <w:abstractNum w:abstractNumId="8">
    <w:nsid w:val="64AF49B"/>
    <w:multiLevelType w:val="hybridMultilevel"/>
    <w:lvl w:ilvl="0">
      <w:lvlJc w:val="left"/>
      <w:lvlText w:val="•"/>
      <w:numFmt w:val="bullet"/>
      <w:start w:val="1"/>
    </w:lvl>
  </w:abstractNum>
  <w:abstractNum w:abstractNumId="9">
    <w:nsid w:val="397C46BC"/>
    <w:multiLevelType w:val="hybridMultilevel"/>
    <w:lvl w:ilvl="0">
      <w:lvlJc w:val="left"/>
      <w:lvlText w:val="(%1)"/>
      <w:numFmt w:val="decimal"/>
      <w:start w:val="1"/>
    </w:lvl>
  </w:abstractNum>
  <w:abstractNum w:abstractNumId="10">
    <w:nsid w:val="7E448DE9"/>
    <w:multiLevelType w:val="hybridMultilevel"/>
    <w:lvl w:ilvl="0">
      <w:lvlJc w:val="left"/>
      <w:lvlText w:val="•"/>
      <w:numFmt w:val="bullet"/>
      <w:start w:val="1"/>
    </w:lvl>
  </w:abstractNum>
  <w:abstractNum w:abstractNumId="11">
    <w:nsid w:val="5A9CC3E5"/>
    <w:multiLevelType w:val="hybridMultilevel"/>
    <w:lvl w:ilvl="0">
      <w:lvlJc w:val="left"/>
      <w:lvlText w:val="(%1)"/>
      <w:numFmt w:val="decimal"/>
      <w:start w:val="1"/>
    </w:lvl>
  </w:abstractNum>
  <w:abstractNum w:abstractNumId="12">
    <w:nsid w:val="1AFE3625"/>
    <w:multiLevelType w:val="hybridMultilevel"/>
    <w:lvl w:ilvl="0">
      <w:lvlJc w:val="left"/>
      <w:lvlText w:val="(%1)"/>
      <w:numFmt w:val="lowerLetter"/>
      <w:start w:val="1"/>
    </w:lvl>
  </w:abstractNum>
  <w:abstractNum w:abstractNumId="13">
    <w:nsid w:val="3CA88ECF"/>
    <w:multiLevelType w:val="hybridMultilevel"/>
    <w:lvl w:ilvl="0">
      <w:lvlJc w:val="left"/>
      <w:lvlText w:val="(%1)"/>
      <w:numFmt w:val="decimal"/>
      <w:start w:val="1"/>
    </w:lvl>
  </w:abstractNum>
  <w:abstractNum w:abstractNumId="14">
    <w:nsid w:val="6EBE4208"/>
    <w:multiLevelType w:val="hybridMultilevel"/>
    <w:lvl w:ilvl="0">
      <w:lvlJc w:val="left"/>
      <w:lvlText w:val="(%1)"/>
      <w:numFmt w:val="lowerLetter"/>
      <w:start w:val="2"/>
    </w:lvl>
  </w:abstractNum>
  <w:abstractNum w:abstractNumId="15">
    <w:nsid w:val="C058DF5"/>
    <w:multiLevelType w:val="hybridMultilevel"/>
    <w:lvl w:ilvl="0">
      <w:lvlJc w:val="left"/>
      <w:lvlText w:val="%1."/>
      <w:numFmt w:val="decimal"/>
      <w:start w:val="1"/>
    </w:lvl>
  </w:abstractNum>
  <w:abstractNum w:abstractNumId="16">
    <w:nsid w:val="CBE5BE9"/>
    <w:multiLevelType w:val="hybridMultilevel"/>
    <w:lvl w:ilvl="0">
      <w:lvlJc w:val="left"/>
      <w:lvlText w:val="(%1)"/>
      <w:numFmt w:val="lowerLetter"/>
      <w:start w:val="1"/>
    </w:lvl>
  </w:abstractNum>
  <w:abstractNum w:abstractNumId="17">
    <w:nsid w:val="3102BBE2"/>
    <w:multiLevelType w:val="hybridMultilevel"/>
    <w:lvl w:ilvl="0">
      <w:lvlJc w:val="left"/>
      <w:lvlText w:val="%1."/>
      <w:numFmt w:val="decimal"/>
      <w:start w:val="3"/>
    </w:lvl>
  </w:abstractNum>
  <w:abstractNum w:abstractNumId="18">
    <w:nsid w:val="26A02C5E"/>
    <w:multiLevelType w:val="hybridMultilevel"/>
    <w:lvl w:ilvl="0">
      <w:lvlJc w:val="left"/>
      <w:lvlText w:val="(%1)"/>
      <w:numFmt w:val="lowerLetter"/>
      <w:start w:val="1"/>
    </w:lvl>
  </w:abstractNum>
  <w:abstractNum w:abstractNumId="19">
    <w:nsid w:val="541C8153"/>
    <w:multiLevelType w:val="hybridMultilevel"/>
    <w:lvl w:ilvl="0">
      <w:lvlJc w:val="left"/>
      <w:lvlText w:val="%1."/>
      <w:numFmt w:val="decimal"/>
      <w:start w:val="5"/>
    </w:lvl>
  </w:abstractNum>
  <w:abstractNum w:abstractNumId="20">
    <w:nsid w:val="67906F60"/>
    <w:multiLevelType w:val="hybridMultilevel"/>
    <w:lvl w:ilvl="0">
      <w:lvlJc w:val="left"/>
      <w:lvlText w:val="(%1)"/>
      <w:numFmt w:val="lowerRoman"/>
      <w:start w:val="2"/>
    </w:lvl>
  </w:abstractNum>
  <w:abstractNum w:abstractNumId="21">
    <w:nsid w:val="10DB9DAA"/>
    <w:multiLevelType w:val="hybridMultilevel"/>
    <w:lvl w:ilvl="0">
      <w:lvlJc w:val="left"/>
      <w:lvlText w:val="%1"/>
      <w:numFmt w:val="decimal"/>
      <w:start w:val="1"/>
    </w:lvl>
    <w:lvl w:ilvl="1">
      <w:lvlJc w:val="left"/>
      <w:lvlText w:val="(%2)"/>
      <w:numFmt w:val="decimal"/>
      <w:start w:val="1"/>
    </w:lvl>
  </w:abstractNum>
  <w:abstractNum w:abstractNumId="22">
    <w:nsid w:val="697D2D2"/>
    <w:multiLevelType w:val="hybridMultilevel"/>
    <w:lvl w:ilvl="0">
      <w:lvlJc w:val="left"/>
      <w:lvlText w:val="(%1)"/>
      <w:numFmt w:val="decimal"/>
      <w:start w:val="3"/>
    </w:lvl>
    <w:lvl w:ilvl="1">
      <w:lvlJc w:val="left"/>
      <w:lvlText w:val="%2"/>
      <w:numFmt w:val="decimal"/>
      <w:start w:val="1"/>
    </w:lvl>
  </w:abstractNum>
  <w:abstractNum w:abstractNumId="23">
    <w:nsid w:val="6D68AB2"/>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24">
    <w:nsid w:val="3A966CD0"/>
    <w:multiLevelType w:val="hybridMultilevel"/>
    <w:lvl w:ilvl="0">
      <w:lvlJc w:val="left"/>
      <w:lvlText w:val="(%1)"/>
      <w:numFmt w:val="decimal"/>
      <w:start w:val="2"/>
    </w:lvl>
    <w:lvl w:ilvl="1">
      <w:lvlJc w:val="left"/>
      <w:lvlText w:val=","/>
      <w:numFmt w:val="bullet"/>
      <w:start w:val="1"/>
    </w:lvl>
    <w:lvl w:ilvl="2">
      <w:lvlJc w:val="left"/>
      <w:lvlText w:val="%3"/>
      <w:numFmt w:val="lowerLetter"/>
      <w:start w:val="1"/>
    </w:lvl>
  </w:abstractNum>
  <w:abstractNum w:abstractNumId="25">
    <w:nsid w:val="63F37E85"/>
    <w:multiLevelType w:val="hybridMultilevel"/>
    <w:lvl w:ilvl="0">
      <w:lvlJc w:val="left"/>
      <w:lvlText w:val="(%1)"/>
      <w:numFmt w:val="decimal"/>
      <w:start w:val="1"/>
    </w:lvl>
  </w:abstractNum>
  <w:abstractNum w:abstractNumId="26">
    <w:nsid w:val="5895F5FA"/>
    <w:multiLevelType w:val="hybridMultilevel"/>
    <w:lvl w:ilvl="0">
      <w:lvlJc w:val="left"/>
      <w:lvlText w:val="(%1)"/>
      <w:numFmt w:val="decimal"/>
      <w:start w:val="1"/>
    </w:lvl>
  </w:abstractNum>
  <w:abstractNum w:abstractNumId="27">
    <w:nsid w:val="38A5D054"/>
    <w:multiLevelType w:val="hybridMultilevel"/>
    <w:lvl w:ilvl="0">
      <w:lvlJc w:val="left"/>
      <w:lvlText w:val="(%1)"/>
      <w:numFmt w:val="lowerLetter"/>
      <w:start w:val="3"/>
    </w:lvl>
  </w:abstractNum>
  <w:abstractNum w:abstractNumId="28">
    <w:nsid w:val="F3F09D8"/>
    <w:multiLevelType w:val="hybridMultilevel"/>
    <w:lvl w:ilvl="0">
      <w:lvlJc w:val="left"/>
      <w:lvlText w:val="(%1)"/>
      <w:numFmt w:val="lowerLetter"/>
      <w:start w:val="1"/>
    </w:lvl>
  </w:abstractNum>
  <w:abstractNum w:abstractNumId="29">
    <w:nsid w:val="4B793735"/>
    <w:multiLevelType w:val="hybridMultilevel"/>
    <w:lvl w:ilvl="0">
      <w:lvlJc w:val="left"/>
      <w:lvlText w:val="(%1)"/>
      <w:numFmt w:val="lowerLetter"/>
      <w:start w:val="5"/>
    </w:lvl>
  </w:abstractNum>
  <w:abstractNum w:abstractNumId="30">
    <w:nsid w:val="4A10B4E8"/>
    <w:multiLevelType w:val="hybridMultilevel"/>
    <w:lvl w:ilvl="0">
      <w:lvlJc w:val="left"/>
      <w:lvlText w:val="(%1)"/>
      <w:numFmt w:val="lowerLetter"/>
      <w:start w:val="7"/>
    </w:lvl>
  </w:abstractNum>
  <w:abstractNum w:abstractNumId="31">
    <w:nsid w:val="43D3BCD4"/>
    <w:multiLevelType w:val="hybridMultilevel"/>
    <w:lvl w:ilvl="0">
      <w:lvlJc w:val="left"/>
      <w:lvlText w:val="(%1)"/>
      <w:numFmt w:val="lowerLetter"/>
      <w:start w:val="1"/>
    </w:lvl>
  </w:abstractNum>
  <w:abstractNum w:abstractNumId="32">
    <w:nsid w:val="4C2A7166"/>
    <w:multiLevelType w:val="hybridMultilevel"/>
    <w:lvl w:ilvl="0">
      <w:lvlJc w:val="left"/>
      <w:lvlText w:val="(%1)"/>
      <w:numFmt w:val="lowerRoman"/>
      <w:start w:val="3"/>
    </w:lvl>
  </w:abstractNum>
  <w:abstractNum w:abstractNumId="33">
    <w:nsid w:val="2E534A82"/>
    <w:multiLevelType w:val="hybridMultilevel"/>
    <w:lvl w:ilvl="0">
      <w:lvlJc w:val="left"/>
      <w:lvlText w:val="(%1)"/>
      <w:numFmt w:val="lowerRoman"/>
      <w:start w:val="2"/>
    </w:lvl>
  </w:abstractNum>
  <w:abstractNum w:abstractNumId="34">
    <w:nsid w:val="26F2D364"/>
    <w:multiLevelType w:val="hybridMultilevel"/>
    <w:lvl w:ilvl="0">
      <w:lvlJc w:val="left"/>
      <w:lvlText w:val="(%1)"/>
      <w:numFmt w:val="lowerRoman"/>
      <w:start w:val="1"/>
    </w:lvl>
  </w:abstractNum>
  <w:abstractNum w:abstractNumId="35">
    <w:nsid w:val="71C1AF98"/>
    <w:multiLevelType w:val="hybridMultilevel"/>
    <w:lvl w:ilvl="0">
      <w:lvlJc w:val="left"/>
      <w:lvlText w:val="(%1)"/>
      <w:numFmt w:val="decimal"/>
      <w:start w:val="5"/>
    </w:lvl>
  </w:abstractNum>
  <w:abstractNum w:abstractNumId="36">
    <w:nsid w:val="3D00B9D9"/>
    <w:multiLevelType w:val="hybridMultilevel"/>
    <w:lvl w:ilvl="0">
      <w:lvlJc w:val="left"/>
      <w:lvlText w:val="(%1)"/>
      <w:numFmt w:val="decimal"/>
      <w:start w:val="1"/>
    </w:lvl>
  </w:abstractNum>
  <w:abstractNum w:abstractNumId="37">
    <w:nsid w:val="15BCABA8"/>
    <w:multiLevelType w:val="hybridMultilevel"/>
    <w:lvl w:ilvl="0">
      <w:lvlJc w:val="left"/>
      <w:lvlText w:val="(%1)"/>
      <w:numFmt w:val="lowerLetter"/>
      <w:start w:val="5"/>
    </w:lvl>
  </w:abstractNum>
  <w:abstractNum w:abstractNumId="38">
    <w:nsid w:val="4E0B9A87"/>
    <w:multiLevelType w:val="hybridMultilevel"/>
    <w:lvl w:ilvl="0">
      <w:lvlJc w:val="left"/>
      <w:lvlText w:val="(%1)"/>
      <w:numFmt w:val="lowerLetter"/>
      <w:start w:val="3"/>
    </w:lvl>
  </w:abstractNum>
  <w:abstractNum w:abstractNumId="39">
    <w:nsid w:val="434BAE75"/>
    <w:multiLevelType w:val="hybridMultilevel"/>
    <w:lvl w:ilvl="0">
      <w:lvlJc w:val="left"/>
      <w:lvlText w:val="(%1)"/>
      <w:numFmt w:val="lowerLetter"/>
      <w:start w:val="2"/>
    </w:lvl>
  </w:abstractNum>
  <w:abstractNum w:abstractNumId="40">
    <w:nsid w:val="4F38F265"/>
    <w:multiLevelType w:val="hybridMultilevel"/>
    <w:lvl w:ilvl="0">
      <w:lvlJc w:val="left"/>
      <w:lvlText w:val="(%1)"/>
      <w:numFmt w:val="lowerLetter"/>
      <w:start w:val="2"/>
    </w:lvl>
  </w:abstractNum>
  <w:abstractNum w:abstractNumId="41">
    <w:nsid w:val="4C502870"/>
    <w:multiLevelType w:val="hybridMultilevel"/>
    <w:lvl w:ilvl="0">
      <w:lvlJc w:val="left"/>
      <w:lvlText w:val="(%1)"/>
      <w:numFmt w:val="lowerLetter"/>
      <w:start w:val="1"/>
    </w:lvl>
  </w:abstractNum>
  <w:abstractNum w:abstractNumId="42">
    <w:nsid w:val="1DE8725A"/>
    <w:multiLevelType w:val="hybridMultilevel"/>
    <w:lvl w:ilvl="0">
      <w:lvlJc w:val="left"/>
      <w:lvlText w:val="(%1)"/>
      <w:numFmt w:val="lowerLetter"/>
      <w:start w:val="1"/>
    </w:lvl>
  </w:abstractNum>
  <w:abstractNum w:abstractNumId="43">
    <w:nsid w:val="6A37288A"/>
    <w:multiLevelType w:val="hybridMultilevel"/>
    <w:lvl w:ilvl="0">
      <w:lvlJc w:val="left"/>
      <w:lvlText w:val="(%1)"/>
      <w:numFmt w:val="lowerLetter"/>
      <w:start w:val="2"/>
    </w:lvl>
  </w:abstractNum>
  <w:abstractNum w:abstractNumId="44">
    <w:nsid w:val="8F8B73F"/>
    <w:multiLevelType w:val="hybridMultilevel"/>
    <w:lvl w:ilvl="0">
      <w:lvlJc w:val="left"/>
      <w:lvlText w:val="(%1)"/>
      <w:numFmt w:val="lowerLetter"/>
      <w:start w:val="1"/>
    </w:lvl>
  </w:abstractNum>
  <w:abstractNum w:abstractNumId="45">
    <w:nsid w:val="CA6B462"/>
    <w:multiLevelType w:val="hybridMultilevel"/>
    <w:lvl w:ilvl="0">
      <w:lvlJc w:val="left"/>
      <w:lvlText w:val="(%1)"/>
      <w:numFmt w:val="lowerLetter"/>
      <w:start w:val="2"/>
    </w:lvl>
  </w:abstractNum>
  <w:abstractNum w:abstractNumId="46">
    <w:nsid w:val="763CB680"/>
    <w:multiLevelType w:val="hybridMultilevel"/>
    <w:lvl w:ilvl="0">
      <w:lvlJc w:val="left"/>
      <w:lvlText w:val="(%1)."/>
      <w:numFmt w:val="lowerLetter"/>
      <w:start w:val="2"/>
    </w:lvl>
  </w:abstractNum>
  <w:abstractNum w:abstractNumId="47">
    <w:nsid w:val="15B71329"/>
    <w:multiLevelType w:val="hybridMultilevel"/>
    <w:lvl w:ilvl="0">
      <w:lvlJc w:val="left"/>
      <w:lvlText w:val="(%1)"/>
      <w:numFmt w:val="decimal"/>
      <w:start w:val="519"/>
    </w:lvl>
  </w:abstractNum>
  <w:abstractNum w:abstractNumId="48">
    <w:nsid w:val="3DA97044"/>
    <w:multiLevelType w:val="hybridMultilevel"/>
    <w:lvl w:ilvl="0">
      <w:lvlJc w:val="left"/>
      <w:lvlText w:val="(%1)"/>
      <w:numFmt w:val="lowerRoman"/>
      <w:start w:val="4"/>
    </w:lvl>
  </w:abstractNum>
  <w:abstractNum w:abstractNumId="49">
    <w:nsid w:val="1CDCE2DE"/>
    <w:multiLevelType w:val="hybridMultilevel"/>
    <w:lvl w:ilvl="0">
      <w:lvlJc w:val="left"/>
      <w:lvlText w:val="(%1)"/>
      <w:numFmt w:val="lowerRoman"/>
      <w:start w:val="3"/>
    </w:lvl>
  </w:abstractNum>
  <w:abstractNum w:abstractNumId="50">
    <w:nsid w:val="69D3947C"/>
    <w:multiLevelType w:val="hybridMultilevel"/>
    <w:lvl w:ilvl="0">
      <w:lvlJc w:val="left"/>
      <w:lvlText w:val="(%1)"/>
      <w:numFmt w:val="lowerRoman"/>
      <w:start w:val="3"/>
    </w:lvl>
  </w:abstractNum>
  <w:abstractNum w:abstractNumId="51">
    <w:nsid w:val="2539DFA5"/>
    <w:multiLevelType w:val="hybridMultilevel"/>
    <w:lvl w:ilvl="0">
      <w:lvlJc w:val="left"/>
      <w:lvlText w:val="(%1)"/>
      <w:numFmt w:val="lowerLetter"/>
      <w:start w:val="1"/>
    </w:lvl>
  </w:abstractNum>
  <w:abstractNum w:abstractNumId="52">
    <w:nsid w:val="2DB88089"/>
    <w:multiLevelType w:val="hybridMultilevel"/>
    <w:lvl w:ilvl="0">
      <w:lvlJc w:val="left"/>
      <w:lvlText w:val="(%1)"/>
      <w:numFmt w:val="lowerLetter"/>
      <w:start w:val="3"/>
    </w:lvl>
  </w:abstractNum>
  <w:abstractNum w:abstractNumId="53">
    <w:nsid w:val="706B674E"/>
    <w:multiLevelType w:val="hybridMultilevel"/>
    <w:lvl w:ilvl="0">
      <w:lvlJc w:val="left"/>
      <w:lvlText w:val="(%1)"/>
      <w:numFmt w:val="lowerLetter"/>
      <w:start w:val="5"/>
    </w:lvl>
  </w:abstractNum>
  <w:abstractNum w:abstractNumId="54">
    <w:nsid w:val="2C106A57"/>
    <w:multiLevelType w:val="hybridMultilevel"/>
    <w:lvl w:ilvl="0">
      <w:lvlJc w:val="left"/>
      <w:lvlText w:val="(%1)"/>
      <w:numFmt w:val="lowerLetter"/>
      <w:start w:val="1"/>
    </w:lvl>
  </w:abstractNum>
  <w:abstractNum w:abstractNumId="55">
    <w:nsid w:val="684EED59"/>
    <w:multiLevelType w:val="hybridMultilevel"/>
    <w:lvl w:ilvl="0">
      <w:lvlJc w:val="left"/>
      <w:lvlText w:val="(%1)"/>
      <w:numFmt w:val="lowerLetter"/>
      <w:start w:val="4"/>
    </w:lvl>
  </w:abstractNum>
  <w:abstractNum w:abstractNumId="56">
    <w:nsid w:val="545EE5D3"/>
    <w:multiLevelType w:val="hybridMultilevel"/>
    <w:lvl w:ilvl="0">
      <w:lvlJc w:val="left"/>
      <w:lvlText w:val="(%1)"/>
      <w:numFmt w:val="lowerRoman"/>
      <w:start w:val="1"/>
    </w:lvl>
  </w:abstractNum>
  <w:abstractNum w:abstractNumId="57">
    <w:nsid w:val="4A66051"/>
    <w:multiLevelType w:val="hybridMultilevel"/>
    <w:lvl w:ilvl="0">
      <w:lvlJc w:val="left"/>
      <w:lvlText w:val="(%1)"/>
      <w:numFmt w:val="lowerLetter"/>
      <w:start w:val="1"/>
    </w:lvl>
  </w:abstractNum>
  <w:abstractNum w:abstractNumId="58">
    <w:nsid w:val="20F4BDAD"/>
    <w:multiLevelType w:val="hybridMultilevel"/>
    <w:lvl w:ilvl="0">
      <w:lvlJc w:val="left"/>
      <w:lvlText w:val="(%1)"/>
      <w:numFmt w:val="lowerLetter"/>
      <w:start w:val="1"/>
    </w:lvl>
  </w:abstractNum>
  <w:abstractNum w:abstractNumId="59">
    <w:nsid w:val="639DEFAC"/>
    <w:multiLevelType w:val="hybridMultilevel"/>
    <w:lvl w:ilvl="0">
      <w:lvlJc w:val="left"/>
      <w:lvlText w:val="(%1)"/>
      <w:numFmt w:val="lowerLetter"/>
      <w:start w:val="1"/>
    </w:lvl>
  </w:abstractNum>
  <w:abstractNum w:abstractNumId="60">
    <w:nsid w:val="501F9786"/>
    <w:multiLevelType w:val="hybridMultilevel"/>
    <w:lvl w:ilvl="0">
      <w:lvlJc w:val="left"/>
      <w:lvlText w:val="(%1)"/>
      <w:numFmt w:val="lowerLetter"/>
      <w:start w:val="3"/>
    </w:lvl>
  </w:abstractNum>
  <w:abstractNum w:abstractNumId="61">
    <w:nsid w:val="6B057295"/>
    <w:multiLevelType w:val="hybridMultilevel"/>
    <w:lvl w:ilvl="0">
      <w:lvlJc w:val="left"/>
      <w:lvlText w:val="(%1)"/>
      <w:numFmt w:val="lowerLetter"/>
      <w:start w:val="6"/>
    </w:lvl>
  </w:abstractNum>
  <w:abstractNum w:abstractNumId="62">
    <w:nsid w:val="2771AC80"/>
    <w:multiLevelType w:val="hybridMultilevel"/>
    <w:lvl w:ilvl="0">
      <w:lvlJc w:val="left"/>
      <w:lvlText w:val="%1"/>
      <w:numFmt w:val="lowerLetter"/>
      <w:start w:val="1"/>
    </w:lvl>
    <w:lvl w:ilvl="1">
      <w:lvlJc w:val="left"/>
      <w:lvlText w:val="(%2)"/>
      <w:numFmt w:val="lowerLetter"/>
      <w:start w:val="1"/>
    </w:lvl>
  </w:abstractNum>
  <w:abstractNum w:abstractNumId="63">
    <w:nsid w:val="1C4A08EC"/>
    <w:multiLevelType w:val="hybridMultilevel"/>
    <w:lvl w:ilvl="0">
      <w:lvlJc w:val="left"/>
      <w:lvlText w:val="(%1)"/>
      <w:numFmt w:val="lowerLetter"/>
      <w:start w:val="9"/>
    </w:lvl>
    <w:lvl w:ilvl="1">
      <w:lvlJc w:val="left"/>
      <w:lvlText w:val="(%2)"/>
      <w:numFmt w:val="lowerLetter"/>
      <w:start w:val="2"/>
    </w:lvl>
  </w:abstractNum>
  <w:abstractNum w:abstractNumId="64">
    <w:nsid w:val="1958BD17"/>
    <w:multiLevelType w:val="hybridMultilevel"/>
    <w:lvl w:ilvl="0">
      <w:lvlJc w:val="left"/>
      <w:lvlText w:val="%1"/>
      <w:numFmt w:val="decimal"/>
      <w:start w:val="1"/>
    </w:lvl>
    <w:lvl w:ilvl="1">
      <w:lvlJc w:val="left"/>
      <w:lvlText w:val="(%2)"/>
      <w:numFmt w:val="lowerLetter"/>
      <w:start w:val="3"/>
    </w:lvl>
  </w:abstractNum>
  <w:abstractNum w:abstractNumId="65">
    <w:nsid w:val="4E647FE4"/>
    <w:multiLevelType w:val="hybridMultilevel"/>
    <w:lvl w:ilvl="0">
      <w:lvlJc w:val="left"/>
      <w:lvlText w:val="(%1)"/>
      <w:numFmt w:val="decimal"/>
      <w:start w:val="5"/>
    </w:lvl>
    <w:lvl w:ilvl="1">
      <w:lvlJc w:val="left"/>
      <w:lvlText w:val="(%2)"/>
      <w:numFmt w:val="lowerLetter"/>
      <w:start w:val="4"/>
    </w:lvl>
  </w:abstractNum>
  <w:abstractNum w:abstractNumId="66">
    <w:nsid w:val="E0BB885"/>
    <w:multiLevelType w:val="hybridMultilevel"/>
    <w:lvl w:ilvl="0">
      <w:lvlJc w:val="left"/>
      <w:lvlText w:val="(%1)"/>
      <w:numFmt w:val="lowerLetter"/>
      <w:start w:val="6"/>
    </w:lvl>
  </w:abstractNum>
  <w:abstractNum w:abstractNumId="67">
    <w:nsid w:val="565976F1"/>
    <w:multiLevelType w:val="hybridMultilevel"/>
    <w:lvl w:ilvl="0">
      <w:lvlJc w:val="left"/>
      <w:lvlText w:val="(%1)"/>
      <w:numFmt w:val="lowerLetter"/>
      <w:start w:val="8"/>
    </w:lvl>
  </w:abstractNum>
  <w:abstractNum w:abstractNumId="68">
    <w:nsid w:val="64212B8C"/>
    <w:multiLevelType w:val="hybridMultilevel"/>
    <w:lvl w:ilvl="0">
      <w:lvlJc w:val="left"/>
      <w:lvlText w:val="(%1)"/>
      <w:numFmt w:val="lowerLetter"/>
      <w:start w:val="1"/>
    </w:lvl>
  </w:abstractNum>
  <w:abstractNum w:abstractNumId="69">
    <w:nsid w:val="5C17530C"/>
    <w:multiLevelType w:val="hybridMultilevel"/>
    <w:lvl w:ilvl="0">
      <w:lvlJc w:val="left"/>
      <w:lvlText w:val="(%1)"/>
      <w:numFmt w:val="lowerLetter"/>
      <w:start w:val="1"/>
    </w:lvl>
  </w:abstractNum>
  <w:abstractNum w:abstractNumId="70">
    <w:nsid w:val="19A52566"/>
    <w:multiLevelType w:val="hybridMultilevel"/>
    <w:lvl w:ilvl="0">
      <w:lvlJc w:val="left"/>
      <w:lvlText w:val="(%1)"/>
      <w:numFmt w:val="lowerLetter"/>
      <w:start w:val="2"/>
    </w:lvl>
  </w:abstractNum>
  <w:abstractNum w:abstractNumId="71">
    <w:nsid w:val="335A1DF1"/>
    <w:multiLevelType w:val="hybridMultilevel"/>
    <w:lvl w:ilvl="0">
      <w:lvlJc w:val="left"/>
      <w:lvlText w:val="(%1)"/>
      <w:numFmt w:val="lowerRoman"/>
      <w:start w:val="1"/>
    </w:lvl>
  </w:abstractNum>
  <w:abstractNum w:abstractNumId="72">
    <w:nsid w:val="28677B7C"/>
    <w:multiLevelType w:val="hybridMultilevel"/>
    <w:lvl w:ilvl="0">
      <w:lvlJc w:val="left"/>
      <w:lvlText w:val="(%1)"/>
      <w:numFmt w:val="lowerLetter"/>
      <w:start w:val="4"/>
    </w:lvl>
  </w:abstractNum>
  <w:abstractNum w:abstractNumId="73">
    <w:nsid w:val="378D97C0"/>
    <w:multiLevelType w:val="hybridMultilevel"/>
    <w:lvl w:ilvl="0">
      <w:lvlJc w:val="left"/>
      <w:lvlText w:val="(%1)"/>
      <w:numFmt w:val="lowerRoman"/>
      <w:start w:val="10"/>
    </w:lvl>
  </w:abstractNum>
  <w:abstractNum w:abstractNumId="74">
    <w:nsid w:val="1D91467C"/>
    <w:multiLevelType w:val="hybridMultilevel"/>
    <w:lvl w:ilvl="0">
      <w:lvlJc w:val="left"/>
      <w:lvlText w:val="(%1)"/>
      <w:numFmt w:val="lowerLetter"/>
      <w:start w:val="1"/>
    </w:lvl>
  </w:abstractNum>
  <w:abstractNum w:abstractNumId="75">
    <w:nsid w:val="316032BB"/>
    <w:multiLevelType w:val="hybridMultilevel"/>
    <w:lvl w:ilvl="0">
      <w:lvlJc w:val="left"/>
      <w:lvlText w:val="(%1)"/>
      <w:numFmt w:val="lowerLetter"/>
      <w:start w:val="1"/>
    </w:lvl>
  </w:abstractNum>
  <w:abstractNum w:abstractNumId="76">
    <w:nsid w:val="44344C22"/>
    <w:multiLevelType w:val="hybridMultilevel"/>
    <w:lvl w:ilvl="0">
      <w:lvlJc w:val="left"/>
      <w:lvlText w:val="%1"/>
      <w:numFmt w:val="lowerLetter"/>
      <w:start w:val="1"/>
    </w:lvl>
    <w:lvl w:ilvl="1">
      <w:lvlJc w:val="left"/>
      <w:lvlText w:val="(%2)"/>
      <w:numFmt w:val="lowerLetter"/>
      <w:start w:val="1"/>
    </w:lvl>
  </w:abstractNum>
  <w:abstractNum w:abstractNumId="77">
    <w:nsid w:val="13CDFCFC"/>
    <w:multiLevelType w:val="hybridMultilevel"/>
    <w:lvl w:ilvl="0">
      <w:lvlJc w:val="left"/>
      <w:lvlText w:val="(%1)"/>
      <w:numFmt w:val="lowerLetter"/>
      <w:start w:val="9"/>
    </w:lvl>
    <w:lvl w:ilvl="1">
      <w:lvlJc w:val="left"/>
      <w:lvlText w:val="%2"/>
      <w:numFmt w:val="lowerLetter"/>
      <w:start w:val="1"/>
    </w:lvl>
  </w:abstractNum>
  <w:abstractNum w:abstractNumId="78">
    <w:nsid w:val="471745E4"/>
    <w:multiLevelType w:val="hybridMultilevel"/>
    <w:lvl w:ilvl="0">
      <w:lvlJc w:val="left"/>
      <w:lvlText w:val="(%1)"/>
      <w:numFmt w:val="lowerLetter"/>
      <w:start w:val="2"/>
    </w:lvl>
  </w:abstractNum>
  <w:abstractNum w:abstractNumId="79">
    <w:nsid w:val="1DDBC66"/>
    <w:multiLevelType w:val="hybridMultilevel"/>
    <w:lvl w:ilvl="0">
      <w:lvlJc w:val="left"/>
      <w:lvlText w:val="(%1)"/>
      <w:numFmt w:val="lowerLetter"/>
      <w:start w:val="1"/>
    </w:lvl>
  </w:abstractNum>
  <w:abstractNum w:abstractNumId="80">
    <w:nsid w:val="30AADFDA"/>
    <w:multiLevelType w:val="hybridMultilevel"/>
    <w:lvl w:ilvl="0">
      <w:lvlJc w:val="left"/>
      <w:lvlText w:val="%1"/>
      <w:numFmt w:val="lowerLetter"/>
      <w:start w:val="1"/>
    </w:lvl>
    <w:lvl w:ilvl="1">
      <w:lvlJc w:val="left"/>
      <w:lvlText w:val="(%2)"/>
      <w:numFmt w:val="lowerLetter"/>
      <w:start w:val="2"/>
    </w:lvl>
  </w:abstractNum>
  <w:abstractNum w:abstractNumId="81">
    <w:nsid w:val="30EADA61"/>
    <w:multiLevelType w:val="hybridMultilevel"/>
    <w:lvl w:ilvl="0">
      <w:lvlJc w:val="left"/>
      <w:lvlText w:val="(%1)"/>
      <w:numFmt w:val="lowerLetter"/>
      <w:start w:val="35"/>
    </w:lvl>
    <w:lvl w:ilvl="1">
      <w:lvlJc w:val="left"/>
      <w:lvlText w:val="(%2)"/>
      <w:numFmt w:val="lowerLetter"/>
      <w:start w:val="3"/>
    </w:lvl>
  </w:abstractNum>
  <w:abstractNum w:abstractNumId="82">
    <w:nsid w:val="27179C0B"/>
    <w:multiLevelType w:val="hybridMultilevel"/>
    <w:lvl w:ilvl="0">
      <w:lvlJc w:val="left"/>
      <w:lvlText w:val="(%1)"/>
      <w:numFmt w:val="lowerLetter"/>
      <w:start w:val="1"/>
    </w:lvl>
  </w:abstractNum>
  <w:abstractNum w:abstractNumId="83">
    <w:nsid w:val="5E636063"/>
    <w:multiLevelType w:val="hybridMultilevel"/>
    <w:lvl w:ilvl="0">
      <w:lvlJc w:val="left"/>
      <w:lvlText w:val="(%1)"/>
      <w:numFmt w:val="lowerLetter"/>
      <w:start w:val="2"/>
    </w:lvl>
  </w:abstractNum>
  <w:abstractNum w:abstractNumId="84">
    <w:nsid w:val="215641AF"/>
    <w:multiLevelType w:val="hybridMultilevel"/>
    <w:lvl w:ilvl="0">
      <w:lvlJc w:val="left"/>
      <w:lvlText w:val="(%1)"/>
      <w:numFmt w:val="lowerLetter"/>
      <w:start w:val="1"/>
    </w:lvl>
    <w:lvl w:ilvl="1">
      <w:lvlJc w:val="left"/>
      <w:lvlText w:val="(%2)"/>
      <w:numFmt w:val="lowerLetter"/>
      <w:start w:val="9"/>
    </w:lvl>
  </w:abstractNum>
  <w:abstractNum w:abstractNumId="85">
    <w:nsid w:val="53280662"/>
    <w:multiLevelType w:val="hybridMultilevel"/>
    <w:lvl w:ilvl="0">
      <w:lvlJc w:val="left"/>
      <w:lvlText w:val="(%1)"/>
      <w:numFmt w:val="lowerRoman"/>
      <w:start w:val="2"/>
    </w:lvl>
  </w:abstractNum>
  <w:abstractNum w:abstractNumId="86">
    <w:nsid w:val="46B24DBC"/>
    <w:multiLevelType w:val="hybridMultilevel"/>
    <w:lvl w:ilvl="0">
      <w:lvlJc w:val="left"/>
      <w:lvlText w:val="(%1)"/>
      <w:numFmt w:val="lowerLetter"/>
      <w:start w:val="2"/>
    </w:lvl>
  </w:abstractNum>
  <w:abstractNum w:abstractNumId="87">
    <w:nsid w:val="75B52783"/>
    <w:multiLevelType w:val="hybridMultilevel"/>
    <w:lvl w:ilvl="0">
      <w:lvlJc w:val="left"/>
      <w:lvlText w:val="(%1)"/>
      <w:numFmt w:val="lowerLetter"/>
      <w:start w:val="3"/>
    </w:lvl>
  </w:abstractNum>
  <w:abstractNum w:abstractNumId="88">
    <w:nsid w:val="57CE66B4"/>
    <w:multiLevelType w:val="hybridMultilevel"/>
    <w:lvl w:ilvl="0">
      <w:lvlJc w:val="left"/>
      <w:lvlText w:val="(%1)"/>
      <w:numFmt w:val="lowerLetter"/>
      <w:start w:val="3"/>
    </w:lvl>
  </w:abstractNum>
  <w:abstractNum w:abstractNumId="89">
    <w:nsid w:val="67A70B69"/>
    <w:multiLevelType w:val="hybridMultilevel"/>
    <w:lvl w:ilvl="0">
      <w:lvlJc w:val="left"/>
      <w:lvlText w:val="(%1)"/>
      <w:numFmt w:val="lowerLetter"/>
      <w:start w:val="1"/>
    </w:lvl>
  </w:abstractNum>
  <w:abstractNum w:abstractNumId="90">
    <w:nsid w:val="5953172F"/>
    <w:multiLevelType w:val="hybridMultilevel"/>
    <w:lvl w:ilvl="0">
      <w:lvlJc w:val="left"/>
      <w:lvlText w:val="(%1)"/>
      <w:numFmt w:val="lowerRoman"/>
      <w:start w:val="1"/>
    </w:lvl>
  </w:abstractNum>
  <w:abstractNum w:abstractNumId="91">
    <w:nsid w:val="27EDFE3A"/>
    <w:multiLevelType w:val="hybridMultilevel"/>
    <w:lvl w:ilvl="0">
      <w:lvlJc w:val="left"/>
      <w:lvlText w:val="(%1)"/>
      <w:numFmt w:val="lowerLetter"/>
      <w:start w:val="2"/>
    </w:lvl>
  </w:abstractNum>
  <w:abstractNum w:abstractNumId="92">
    <w:nsid w:val="52AC7DFF"/>
    <w:multiLevelType w:val="hybridMultilevel"/>
    <w:lvl w:ilvl="0">
      <w:lvlJc w:val="left"/>
      <w:lvlText w:val="(%1)"/>
      <w:numFmt w:val="lowerLetter"/>
      <w:start w:val="3"/>
    </w:lvl>
  </w:abstractNum>
  <w:abstractNum w:abstractNumId="93">
    <w:nsid w:val="C4C3AF"/>
    <w:multiLevelType w:val="hybridMultilevel"/>
    <w:lvl w:ilvl="0">
      <w:lvlJc w:val="left"/>
      <w:lvlText w:val="(%1)"/>
      <w:numFmt w:val="lowerLetter"/>
      <w:start w:val="1"/>
    </w:lvl>
  </w:abstractNum>
  <w:abstractNum w:abstractNumId="94">
    <w:nsid w:val="44380727"/>
    <w:multiLevelType w:val="hybridMultilevel"/>
    <w:lvl w:ilvl="0">
      <w:lvlJc w:val="left"/>
      <w:lvlText w:val="(%1)"/>
      <w:numFmt w:val="lowerLetter"/>
      <w:start w:val="2"/>
    </w:lvl>
  </w:abstractNum>
  <w:abstractNum w:abstractNumId="95">
    <w:nsid w:val="6C053B1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6">
    <w:nsid w:val="4F29439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7">
    <w:nsid w:val="5243BFAC"/>
    <w:multiLevelType w:val="hybridMultilevel"/>
    <w:lvl w:ilvl="0">
      <w:lvlJc w:val="left"/>
      <w:lvlText w:val="(%1)"/>
      <w:numFmt w:val="decimal"/>
      <w:start w:val="10"/>
    </w:lvl>
    <w:lvl w:ilvl="1">
      <w:lvlJc w:val="left"/>
      <w:lvlText w:val="(%2)"/>
      <w:numFmt w:val="lowerLetter"/>
      <w:start w:val="4"/>
    </w:lvl>
    <w:lvl w:ilvl="2">
      <w:lvlJc w:val="left"/>
      <w:lvlText w:val="%3"/>
      <w:numFmt w:val="lowerLetter"/>
      <w:start w:val="1"/>
    </w:lvl>
  </w:abstractNum>
  <w:abstractNum w:abstractNumId="98">
    <w:nsid w:val="425EB207"/>
    <w:multiLevelType w:val="hybridMultilevel"/>
    <w:lvl w:ilvl="0">
      <w:lvlJc w:val="left"/>
      <w:lvlText w:val="(%1)"/>
      <w:numFmt w:val="lowerLetter"/>
      <w:start w:val="5"/>
    </w:lvl>
  </w:abstractNum>
  <w:abstractNum w:abstractNumId="99">
    <w:nsid w:val="334A6F1F"/>
    <w:multiLevelType w:val="hybridMultilevel"/>
    <w:lvl w:ilvl="0">
      <w:lvlJc w:val="left"/>
      <w:lvlText w:val="(%1)"/>
      <w:numFmt w:val="lowerRoman"/>
      <w:start w:val="1"/>
    </w:lvl>
    <w:lvl w:ilvl="1">
      <w:lvlJc w:val="left"/>
      <w:lvlText w:val="(%2)"/>
      <w:numFmt w:val="upperLetter"/>
      <w:start w:val="1"/>
    </w:lvl>
  </w:abstractNum>
  <w:abstractNum w:abstractNumId="100">
    <w:nsid w:val="2E5B12B8"/>
    <w:multiLevelType w:val="hybridMultilevel"/>
    <w:lvl w:ilvl="0">
      <w:lvlJc w:val="left"/>
      <w:lvlText w:val="%1"/>
      <w:numFmt w:val="upperLetter"/>
      <w:start w:val="1"/>
    </w:lvl>
    <w:lvl w:ilvl="1">
      <w:lvlJc w:val="left"/>
      <w:lvlText w:val="(%2)"/>
      <w:numFmt w:val="decimal"/>
      <w:start w:val="1"/>
    </w:lvl>
  </w:abstractNum>
  <w:abstractNum w:abstractNumId="101">
    <w:nsid w:val="5C03D76D"/>
    <w:multiLevelType w:val="hybridMultilevel"/>
    <w:lvl w:ilvl="0">
      <w:lvlJc w:val="left"/>
      <w:lvlText w:val="(%1)"/>
      <w:numFmt w:val="upperLetter"/>
      <w:start w:val="3"/>
    </w:lvl>
    <w:lvl w:ilvl="1">
      <w:lvlJc w:val="left"/>
      <w:lvlText w:val="%2"/>
      <w:numFmt w:val="decimal"/>
      <w:start w:val="1"/>
    </w:lvl>
  </w:abstractNum>
  <w:abstractNum w:abstractNumId="102">
    <w:nsid w:val="66A48D11"/>
    <w:multiLevelType w:val="hybridMultilevel"/>
    <w:lvl w:ilvl="0">
      <w:lvlJc w:val="left"/>
      <w:lvlText w:val="(%1)"/>
      <w:numFmt w:val="upperLetter"/>
      <w:start w:val="4"/>
    </w:lvl>
  </w:abstractNum>
  <w:abstractNum w:abstractNumId="103">
    <w:nsid w:val="56C28E34"/>
    <w:multiLevelType w:val="hybridMultilevel"/>
    <w:lvl w:ilvl="0">
      <w:lvlJc w:val="left"/>
      <w:lvlText w:val="(%1)"/>
      <w:numFmt w:val="lowerLetter"/>
      <w:start w:val="6"/>
    </w:lvl>
  </w:abstractNum>
  <w:abstractNum w:abstractNumId="104">
    <w:nsid w:val="13916F2D"/>
    <w:multiLevelType w:val="hybridMultilevel"/>
    <w:lvl w:ilvl="0">
      <w:lvlJc w:val="left"/>
      <w:lvlText w:val="(%1)"/>
      <w:numFmt w:val="lowerRoman"/>
      <w:start w:val="1"/>
    </w:lvl>
  </w:abstractNum>
  <w:abstractNum w:abstractNumId="105">
    <w:nsid w:val="435D38D"/>
    <w:multiLevelType w:val="hybridMultilevel"/>
    <w:lvl w:ilvl="0">
      <w:lvlJc w:val="left"/>
      <w:lvlText w:val="%1"/>
      <w:numFmt w:val="lowerRoman"/>
      <w:start w:val="1"/>
    </w:lvl>
    <w:lvl w:ilvl="1">
      <w:lvlJc w:val="left"/>
      <w:lvlText w:val="(%2)"/>
      <w:numFmt w:val="upperLetter"/>
      <w:start w:val="1"/>
    </w:lvl>
  </w:abstractNum>
  <w:abstractNum w:abstractNumId="106">
    <w:nsid w:val="822C0EF"/>
    <w:multiLevelType w:val="hybridMultilevel"/>
    <w:lvl w:ilvl="0">
      <w:lvlJc w:val="left"/>
      <w:lvlText w:val="(%1)"/>
      <w:numFmt w:val="lowerRoman"/>
      <w:start w:val="3"/>
    </w:lvl>
    <w:lvl w:ilvl="1">
      <w:lvlJc w:val="left"/>
      <w:lvlText w:val="(%2)"/>
      <w:numFmt w:val="upperLetter"/>
      <w:start w:val="1"/>
    </w:lvl>
  </w:abstractNum>
  <w:abstractNum w:abstractNumId="107">
    <w:nsid w:val="57C5BB4F"/>
    <w:multiLevelType w:val="hybridMultilevel"/>
    <w:lvl w:ilvl="0">
      <w:lvlJc w:val="left"/>
      <w:lvlText w:val="(%1)"/>
      <w:numFmt w:val="decimal"/>
      <w:start w:val="1"/>
    </w:lvl>
  </w:abstractNum>
  <w:abstractNum w:abstractNumId="108">
    <w:nsid w:val="1803D089"/>
    <w:multiLevelType w:val="hybridMultilevel"/>
    <w:lvl w:ilvl="0">
      <w:lvlJc w:val="left"/>
      <w:lvlText w:val="(%1)"/>
      <w:numFmt w:val="lowerRoman"/>
      <w:start w:val="4"/>
    </w:lvl>
  </w:abstractNum>
  <w:abstractNum w:abstractNumId="109">
    <w:nsid w:val="4F3A06D4"/>
    <w:multiLevelType w:val="hybridMultilevel"/>
    <w:lvl w:ilvl="0">
      <w:lvlJc w:val="left"/>
      <w:lvlText w:val="(%1)"/>
      <w:numFmt w:val="lowerLetter"/>
      <w:start w:val="7"/>
    </w:lvl>
  </w:abstractNum>
  <w:abstractNum w:abstractNumId="110">
    <w:nsid w:val="59A377B6"/>
    <w:multiLevelType w:val="hybridMultilevel"/>
    <w:lvl w:ilvl="0">
      <w:lvlJc w:val="left"/>
      <w:lvlText w:val="(%1)"/>
      <w:numFmt w:val="lowerLetter"/>
      <w:start w:val="8"/>
    </w:lvl>
  </w:abstractNum>
  <w:abstractNum w:abstractNumId="111">
    <w:nsid w:val="48AEB063"/>
    <w:multiLevelType w:val="hybridMultilevel"/>
    <w:lvl w:ilvl="0">
      <w:lvlJc w:val="left"/>
      <w:lvlText w:val="(%1)"/>
      <w:numFmt w:val="lowerLetter"/>
      <w:start w:val="1"/>
    </w:lvl>
  </w:abstractNum>
  <w:abstractNum w:abstractNumId="112">
    <w:nsid w:val="24E135"/>
    <w:multiLevelType w:val="hybridMultilevel"/>
    <w:lvl w:ilvl="0">
      <w:lvlJc w:val="left"/>
      <w:lvlText w:val="(%1)"/>
      <w:numFmt w:val="lowerLetter"/>
      <w:start w:val="2"/>
    </w:lvl>
  </w:abstractNum>
  <w:abstractNum w:abstractNumId="113">
    <w:nsid w:val="BB13C1"/>
    <w:multiLevelType w:val="hybridMultilevel"/>
    <w:lvl w:ilvl="0">
      <w:lvlJc w:val="left"/>
      <w:lvlText w:val="%1"/>
      <w:numFmt w:val="lowerLetter"/>
      <w:start w:val="1"/>
    </w:lvl>
    <w:lvl w:ilvl="1">
      <w:lvlJc w:val="left"/>
      <w:lvlText w:val="(%2)"/>
      <w:numFmt w:val="lowerLetter"/>
      <w:start w:val="1"/>
    </w:lvl>
  </w:abstractNum>
  <w:abstractNum w:abstractNumId="114">
    <w:nsid w:val="271210C7"/>
    <w:multiLevelType w:val="hybridMultilevel"/>
    <w:lvl w:ilvl="0">
      <w:lvlJc w:val="left"/>
      <w:lvlText w:val="(%1)"/>
      <w:numFmt w:val="lowerLetter"/>
      <w:start w:val="9"/>
    </w:lvl>
    <w:lvl w:ilvl="1">
      <w:lvlJc w:val="left"/>
      <w:lvlText w:val="(%2)"/>
      <w:numFmt w:val="lowerLetter"/>
      <w:start w:val="2"/>
    </w:lvl>
  </w:abstractNum>
  <w:abstractNum w:abstractNumId="115">
    <w:nsid w:val="217B22E4"/>
    <w:multiLevelType w:val="hybridMultilevel"/>
    <w:lvl w:ilvl="0">
      <w:lvlJc w:val="left"/>
      <w:lvlText w:val="(%1)"/>
      <w:numFmt w:val="lowerLetter"/>
      <w:start w:val="1"/>
    </w:lvl>
  </w:abstractNum>
  <w:abstractNum w:abstractNumId="116">
    <w:nsid w:val="53E31A24"/>
    <w:multiLevelType w:val="hybridMultilevel"/>
    <w:lvl w:ilvl="0">
      <w:lvlJc w:val="left"/>
      <w:lvlText w:val="(%1)"/>
      <w:numFmt w:val="lowerRoman"/>
      <w:start w:val="1"/>
    </w:lvl>
    <w:lvl w:ilvl="1">
      <w:lvlJc w:val="left"/>
      <w:lvlText w:val="(%2)"/>
      <w:numFmt w:val="upperLetter"/>
      <w:start w:val="2"/>
    </w:lvl>
  </w:abstractNum>
  <w:abstractNum w:abstractNumId="117">
    <w:nsid w:val="6DC45E83"/>
    <w:multiLevelType w:val="hybridMultilevel"/>
    <w:lvl w:ilvl="0">
      <w:lvlJc w:val="left"/>
      <w:lvlText w:val="(%1)"/>
      <w:numFmt w:val="lowerLetter"/>
      <w:start w:val="4"/>
    </w:lvl>
  </w:abstractNum>
  <w:abstractNum w:abstractNumId="118">
    <w:nsid w:val="17304A67"/>
    <w:multiLevelType w:val="hybridMultilevel"/>
    <w:lvl w:ilvl="0">
      <w:lvlJc w:val="left"/>
      <w:lvlText w:val="%1"/>
      <w:numFmt w:val="lowerLetter"/>
      <w:start w:val="1"/>
    </w:lvl>
    <w:lvl w:ilvl="1">
      <w:lvlJc w:val="left"/>
      <w:lvlText w:val="(%2)"/>
      <w:numFmt w:val="lowerLetter"/>
      <w:start w:val="1"/>
    </w:lvl>
  </w:abstractNum>
  <w:abstractNum w:abstractNumId="119">
    <w:nsid w:val="2BB180D8"/>
    <w:multiLevelType w:val="hybridMultilevel"/>
    <w:lvl w:ilvl="0">
      <w:lvlJc w:val="left"/>
      <w:lvlText w:val="(%1)"/>
      <w:numFmt w:val="lowerLetter"/>
      <w:start w:val="2"/>
    </w:lvl>
    <w:lvl w:ilvl="1">
      <w:lvlJc w:val="left"/>
      <w:lvlText w:val="%2"/>
      <w:numFmt w:val="lowerLetter"/>
      <w:start w:val="1"/>
    </w:lvl>
  </w:abstractNum>
  <w:abstractNum w:abstractNumId="120">
    <w:nsid w:val="556B69ED"/>
    <w:multiLevelType w:val="hybridMultilevel"/>
    <w:lvl w:ilvl="0">
      <w:lvlJc w:val="left"/>
      <w:lvlText w:val="(%1)"/>
      <w:numFmt w:val="lowerLetter"/>
      <w:start w:val="3"/>
    </w:lvl>
  </w:abstractNum>
  <w:abstractNum w:abstractNumId="121">
    <w:nsid w:val="70836196"/>
    <w:multiLevelType w:val="hybridMultilevel"/>
    <w:lvl w:ilvl="0">
      <w:lvlJc w:val="left"/>
      <w:lvlText w:val="%1"/>
      <w:numFmt w:val="lowerLetter"/>
      <w:start w:val="1"/>
    </w:lvl>
    <w:lvl w:ilvl="1">
      <w:lvlJc w:val="left"/>
      <w:lvlText w:val="(%2)"/>
      <w:numFmt w:val="lowerLetter"/>
      <w:start w:val="1"/>
    </w:lvl>
  </w:abstractNum>
  <w:abstractNum w:abstractNumId="122">
    <w:nsid w:val="539F7F12"/>
    <w:multiLevelType w:val="hybridMultilevel"/>
    <w:lvl w:ilvl="0">
      <w:lvlJc w:val="left"/>
      <w:lvlText w:val="(%1)"/>
      <w:numFmt w:val="lowerLetter"/>
      <w:start w:val="35"/>
    </w:lvl>
    <w:lvl w:ilvl="1">
      <w:lvlJc w:val="left"/>
      <w:lvlText w:val="%2"/>
      <w:numFmt w:val="lowerLetter"/>
      <w:start w:val="1"/>
    </w:lvl>
  </w:abstractNum>
  <w:abstractNum w:abstractNumId="123">
    <w:nsid w:val="2817E7EC"/>
    <w:multiLevelType w:val="hybridMultilevel"/>
    <w:lvl w:ilvl="0">
      <w:lvlJc w:val="left"/>
      <w:lvlText w:val="(%1)"/>
      <w:numFmt w:val="lowerLetter"/>
      <w:start w:val="3"/>
    </w:lvl>
  </w:abstractNum>
  <w:abstractNum w:abstractNumId="124">
    <w:nsid w:val="71482545"/>
    <w:multiLevelType w:val="hybridMultilevel"/>
    <w:lvl w:ilvl="0">
      <w:lvlJc w:val="left"/>
      <w:lvlText w:val="(%1)"/>
      <w:numFmt w:val="lowerLetter"/>
      <w:start w:val="1"/>
    </w:lvl>
  </w:abstractNum>
  <w:abstractNum w:abstractNumId="125">
    <w:nsid w:val="17D78639"/>
    <w:multiLevelType w:val="hybridMultilevel"/>
    <w:lvl w:ilvl="0">
      <w:lvlJc w:val="left"/>
      <w:lvlText w:val="(%1)"/>
      <w:numFmt w:val="lowerLetter"/>
      <w:start w:val="4"/>
    </w:lvl>
  </w:abstractNum>
  <w:abstractNum w:abstractNumId="126">
    <w:nsid w:val="141D2302"/>
    <w:multiLevelType w:val="hybridMultilevel"/>
    <w:lvl w:ilvl="0">
      <w:lvlJc w:val="left"/>
      <w:lvlText w:val="(%1)"/>
      <w:numFmt w:val="lowerLetter"/>
      <w:start w:val="1"/>
    </w:lvl>
  </w:abstractNum>
  <w:abstractNum w:abstractNumId="127">
    <w:nsid w:val="407168D8"/>
    <w:multiLevelType w:val="hybridMultilevel"/>
    <w:lvl w:ilvl="0">
      <w:lvlJc w:val="left"/>
      <w:lvlText w:val="(%1)"/>
      <w:numFmt w:val="lowerLetter"/>
      <w:start w:val="1"/>
    </w:lvl>
  </w:abstractNum>
  <w:abstractNum w:abstractNumId="128">
    <w:nsid w:val="6A1B45E5"/>
    <w:multiLevelType w:val="hybridMultilevel"/>
    <w:lvl w:ilvl="0">
      <w:lvlJc w:val="left"/>
      <w:lvlText w:val="(%1)"/>
      <w:numFmt w:val="lowerLetter"/>
      <w:start w:val="1"/>
    </w:lvl>
  </w:abstractNum>
  <w:abstractNum w:abstractNumId="129">
    <w:nsid w:val="567BD50A"/>
    <w:multiLevelType w:val="hybridMultilevel"/>
    <w:lvl w:ilvl="0">
      <w:lvlJc w:val="left"/>
      <w:lvlText w:val="(%1)"/>
      <w:numFmt w:val="lowerLetter"/>
      <w:start w:val="1"/>
    </w:lvl>
  </w:abstractNum>
  <w:abstractNum w:abstractNumId="130">
    <w:nsid w:val="73BBD7F8"/>
    <w:multiLevelType w:val="hybridMultilevel"/>
    <w:lvl w:ilvl="0">
      <w:lvlJc w:val="left"/>
      <w:lvlText w:val="(%1)"/>
      <w:numFmt w:val="lowerLetter"/>
      <w:start w:val="1"/>
    </w:lvl>
  </w:abstractNum>
  <w:abstractNum w:abstractNumId="131">
    <w:nsid w:val="1876589D"/>
    <w:multiLevelType w:val="hybridMultilevel"/>
    <w:lvl w:ilvl="0">
      <w:lvlJc w:val="left"/>
      <w:lvlText w:val="(%1)"/>
      <w:numFmt w:val="lowerLetter"/>
      <w:start w:val="2"/>
    </w:lvl>
  </w:abstractNum>
  <w:abstractNum w:abstractNumId="132">
    <w:nsid w:val="327FAC77"/>
    <w:multiLevelType w:val="hybridMultilevel"/>
    <w:lvl w:ilvl="0">
      <w:lvlJc w:val="left"/>
      <w:lvlText w:val="(%1)"/>
      <w:numFmt w:val="lowerLetter"/>
      <w:start w:val="1"/>
    </w:lvl>
  </w:abstractNum>
  <w:abstractNum w:abstractNumId="133">
    <w:nsid w:val="5A606509"/>
    <w:multiLevelType w:val="hybridMultilevel"/>
    <w:lvl w:ilvl="0">
      <w:lvlJc w:val="left"/>
      <w:lvlText w:val="(%1)"/>
      <w:numFmt w:val="lowerLetter"/>
      <w:start w:val="7"/>
    </w:lvl>
  </w:abstractNum>
  <w:abstractNum w:abstractNumId="134">
    <w:nsid w:val="6F38E6D1"/>
    <w:multiLevelType w:val="hybridMultilevel"/>
    <w:lvl w:ilvl="0">
      <w:lvlJc w:val="left"/>
      <w:lvlText w:val="(%1)"/>
      <w:numFmt w:val="lowerLetter"/>
      <w:start w:val="1"/>
    </w:lvl>
  </w:abstractNum>
  <w:abstractNum w:abstractNumId="135">
    <w:nsid w:val="46111BA5"/>
    <w:multiLevelType w:val="hybridMultilevel"/>
    <w:lvl w:ilvl="0">
      <w:lvlJc w:val="left"/>
      <w:lvlText w:val="(%1)"/>
      <w:numFmt w:val="lowerLetter"/>
      <w:start w:val="1"/>
    </w:lvl>
  </w:abstractNum>
  <w:abstractNum w:abstractNumId="136">
    <w:nsid w:val="5E963896"/>
    <w:multiLevelType w:val="hybridMultilevel"/>
    <w:lvl w:ilvl="0">
      <w:lvlJc w:val="left"/>
      <w:lvlText w:val="(%1)"/>
      <w:numFmt w:val="lowerLetter"/>
      <w:start w:val="1"/>
    </w:lvl>
  </w:abstractNum>
  <w:abstractNum w:abstractNumId="137">
    <w:nsid w:val="775BA7C1"/>
    <w:multiLevelType w:val="hybridMultilevel"/>
    <w:lvl w:ilvl="0">
      <w:lvlJc w:val="left"/>
      <w:lvlText w:val="(%1)"/>
      <w:numFmt w:val="lowerLetter"/>
      <w:start w:val="7"/>
    </w:lvl>
  </w:abstractNum>
  <w:abstractNum w:abstractNumId="138">
    <w:nsid w:val="1DD6D6F4"/>
    <w:multiLevelType w:val="hybridMultilevel"/>
    <w:lvl w:ilvl="0">
      <w:lvlJc w:val="left"/>
      <w:lvlText w:val="(%1)"/>
      <w:numFmt w:val="lowerLetter"/>
      <w:start w:val="1"/>
    </w:lvl>
  </w:abstractNum>
  <w:abstractNum w:abstractNumId="139">
    <w:nsid w:val="769A091F"/>
    <w:multiLevelType w:val="hybridMultilevel"/>
    <w:lvl w:ilvl="0">
      <w:lvlJc w:val="left"/>
      <w:lvlText w:val="%1"/>
      <w:numFmt w:val="lowerLetter"/>
      <w:start w:val="1"/>
    </w:lvl>
    <w:lvl w:ilvl="1">
      <w:lvlJc w:val="left"/>
      <w:lvlText w:val="(%2)"/>
      <w:numFmt w:val="lowerLetter"/>
      <w:start w:val="4"/>
    </w:lvl>
  </w:abstractNum>
  <w:abstractNum w:abstractNumId="140">
    <w:nsid w:val="4695AE95"/>
    <w:multiLevelType w:val="hybridMultilevel"/>
    <w:lvl w:ilvl="0">
      <w:lvlJc w:val="left"/>
      <w:lvlText w:val="(%1)"/>
      <w:numFmt w:val="lowerLetter"/>
      <w:start w:val="61"/>
    </w:lvl>
    <w:lvl w:ilvl="1">
      <w:lvlJc w:val="left"/>
      <w:lvlText w:val="%2"/>
      <w:numFmt w:val="lowerLetter"/>
      <w:start w:val="1"/>
    </w:lvl>
  </w:abstractNum>
  <w:abstractNum w:abstractNumId="141">
    <w:nsid w:val="777A4EAA"/>
    <w:multiLevelType w:val="hybridMultilevel"/>
    <w:lvl w:ilvl="0">
      <w:lvlJc w:val="left"/>
      <w:lvlText w:val="(%1)"/>
      <w:numFmt w:val="lowerLetter"/>
      <w:start w:val="1"/>
    </w:lvl>
  </w:abstractNum>
  <w:abstractNum w:abstractNumId="142">
    <w:nsid w:val="3F48B982"/>
    <w:multiLevelType w:val="hybridMultilevel"/>
    <w:lvl w:ilvl="0">
      <w:lvlJc w:val="left"/>
      <w:lvlText w:val="(%1)"/>
      <w:numFmt w:val="lowerLetter"/>
      <w:start w:val="1"/>
    </w:lvl>
  </w:abstractNum>
  <w:abstractNum w:abstractNumId="143">
    <w:nsid w:val="46BA8FCA"/>
    <w:multiLevelType w:val="hybridMultilevel"/>
    <w:lvl w:ilvl="0">
      <w:lvlJc w:val="left"/>
      <w:lvlText w:val="(%1)"/>
      <w:numFmt w:val="lowerLetter"/>
      <w:start w:val="1"/>
    </w:lvl>
  </w:abstractNum>
  <w:abstractNum w:abstractNumId="144">
    <w:nsid w:val="7835626C"/>
    <w:multiLevelType w:val="hybridMultilevel"/>
    <w:lvl w:ilvl="0">
      <w:lvlJc w:val="left"/>
      <w:lvlText w:val="(%1)"/>
      <w:numFmt w:val="lowerLetter"/>
      <w:start w:val="13"/>
    </w:lvl>
  </w:abstractNum>
  <w:abstractNum w:abstractNumId="145">
    <w:nsid w:val="665ACA49"/>
    <w:multiLevelType w:val="hybridMultilevel"/>
    <w:lvl w:ilvl="0">
      <w:lvlJc w:val="left"/>
      <w:lvlText w:val="(%1)"/>
      <w:numFmt w:val="lowerLetter"/>
      <w:start w:val="1"/>
    </w:lvl>
  </w:abstractNum>
  <w:abstractNum w:abstractNumId="146">
    <w:nsid w:val="6835B2AE"/>
    <w:multiLevelType w:val="hybridMultilevel"/>
    <w:lvl w:ilvl="0">
      <w:lvlJc w:val="left"/>
      <w:lvlText w:val="(%1)"/>
      <w:numFmt w:val="lowerLetter"/>
      <w:start w:val="1"/>
    </w:lvl>
  </w:abstractNum>
  <w:abstractNum w:abstractNumId="147">
    <w:nsid w:val="4C187C90"/>
    <w:multiLevelType w:val="hybridMultilevel"/>
    <w:lvl w:ilvl="0">
      <w:lvlJc w:val="left"/>
      <w:lvlText w:val="%1"/>
      <w:numFmt w:val="decimal"/>
      <w:start w:val="1"/>
    </w:lvl>
    <w:lvl w:ilvl="1">
      <w:lvlJc w:val="left"/>
      <w:lvlText w:val="(%2)"/>
      <w:numFmt w:val="lowerLetter"/>
      <w:start w:val="5"/>
    </w:lvl>
  </w:abstractNum>
  <w:abstractNum w:abstractNumId="148">
    <w:nsid w:val="541F28CD"/>
    <w:multiLevelType w:val="hybridMultilevel"/>
    <w:lvl w:ilvl="0">
      <w:lvlJc w:val="left"/>
      <w:lvlText w:val="(%1)"/>
      <w:numFmt w:val="decimal"/>
      <w:start w:val="30"/>
    </w:lvl>
    <w:lvl w:ilvl="1">
      <w:lvlJc w:val="left"/>
      <w:lvlText w:val="(%2)"/>
      <w:numFmt w:val="lowerLetter"/>
      <w:start w:val="6"/>
    </w:lvl>
  </w:abstractNum>
  <w:abstractNum w:abstractNumId="149">
    <w:nsid w:val="7F65FD16"/>
    <w:multiLevelType w:val="hybridMultilevel"/>
    <w:lvl w:ilvl="0">
      <w:lvlJc w:val="left"/>
      <w:lvlText w:val="(%1)"/>
      <w:numFmt w:val="lowerLetter"/>
      <w:start w:val="11"/>
    </w:lvl>
  </w:abstractNum>
  <w:abstractNum w:abstractNumId="150">
    <w:nsid w:val="77C9FD68"/>
    <w:multiLevelType w:val="hybridMultilevel"/>
    <w:lvl w:ilvl="0">
      <w:lvlJc w:val="left"/>
      <w:lvlText w:val="(%1)"/>
      <w:numFmt w:val="lowerRoman"/>
      <w:start w:val="1"/>
    </w:lvl>
  </w:abstractNum>
  <w:abstractNum w:abstractNumId="151">
    <w:nsid w:val="298A92BA"/>
    <w:multiLevelType w:val="hybridMultilevel"/>
    <w:lvl w:ilvl="0">
      <w:lvlJc w:val="left"/>
      <w:lvlText w:val="(%1)"/>
      <w:numFmt w:val="lowerLetter"/>
      <w:start w:val="1"/>
    </w:lvl>
  </w:abstractNum>
  <w:abstractNum w:abstractNumId="152">
    <w:nsid w:val="6FE95EAC"/>
    <w:multiLevelType w:val="hybridMultilevel"/>
    <w:lvl w:ilvl="0">
      <w:lvlJc w:val="left"/>
      <w:lvlText w:val="(%1)"/>
      <w:numFmt w:val="lowerRoman"/>
      <w:start w:val="1"/>
    </w:lvl>
  </w:abstractNum>
  <w:abstractNum w:abstractNumId="153">
    <w:nsid w:val="4B697C7A"/>
    <w:multiLevelType w:val="hybridMultilevel"/>
    <w:lvl w:ilvl="0">
      <w:lvlJc w:val="left"/>
      <w:lvlText w:val="(%1)"/>
      <w:numFmt w:val="lowerRoman"/>
      <w:start w:val="3"/>
    </w:lvl>
    <w:lvl w:ilvl="1">
      <w:lvlJc w:val="left"/>
      <w:lvlText w:val="(%2)"/>
      <w:numFmt w:val="upperLetter"/>
      <w:start w:val="2"/>
    </w:lvl>
  </w:abstractNum>
  <w:abstractNum w:abstractNumId="154">
    <w:nsid w:val="51A27AA6"/>
    <w:multiLevelType w:val="hybridMultilevel"/>
    <w:lvl w:ilvl="0">
      <w:lvlJc w:val="left"/>
      <w:lvlText w:val="(%1)"/>
      <w:numFmt w:val="lowerLetter"/>
      <w:start w:val="2"/>
    </w:lvl>
  </w:abstractNum>
  <w:abstractNum w:abstractNumId="155">
    <w:nsid w:val="613183F2"/>
    <w:multiLevelType w:val="hybridMultilevel"/>
    <w:lvl w:ilvl="0">
      <w:lvlJc w:val="left"/>
      <w:lvlText w:val="(%1)"/>
      <w:numFmt w:val="lowerLetter"/>
      <w:start w:val="3"/>
    </w:lvl>
  </w:abstractNum>
  <w:abstractNum w:abstractNumId="156">
    <w:nsid w:val="634102B4"/>
    <w:multiLevelType w:val="hybridMultilevel"/>
    <w:lvl w:ilvl="0">
      <w:lvlJc w:val="left"/>
      <w:lvlText w:val="(%1)"/>
      <w:numFmt w:val="lowerRoman"/>
      <w:start w:val="1"/>
    </w:lvl>
  </w:abstractNum>
  <w:abstractNum w:abstractNumId="157">
    <w:nsid w:val="65BF9DA8"/>
    <w:multiLevelType w:val="hybridMultilevel"/>
    <w:lvl w:ilvl="0">
      <w:lvlJc w:val="left"/>
      <w:lvlText w:val="(%1)"/>
      <w:numFmt w:val="lowerRoman"/>
      <w:start w:val="5"/>
    </w:lvl>
  </w:abstractNum>
  <w:abstractNum w:abstractNumId="158">
    <w:nsid w:val="21A2ECCA"/>
    <w:multiLevelType w:val="hybridMultilevel"/>
    <w:lvl w:ilvl="0">
      <w:lvlJc w:val="left"/>
      <w:lvlText w:val="(%1)"/>
      <w:numFmt w:val="lowerLetter"/>
      <w:start w:val="1"/>
    </w:lvl>
  </w:abstractNum>
  <w:abstractNum w:abstractNumId="159">
    <w:nsid w:val="4D5C4899"/>
    <w:multiLevelType w:val="hybridMultilevel"/>
    <w:lvl w:ilvl="0">
      <w:lvlJc w:val="left"/>
      <w:lvlText w:val="(%1)"/>
      <w:numFmt w:val="lowerLetter"/>
      <w:start w:val="3"/>
    </w:lvl>
  </w:abstractNum>
  <w:abstractNum w:abstractNumId="160">
    <w:nsid w:val="3C3B72B2"/>
    <w:multiLevelType w:val="hybridMultilevel"/>
    <w:lvl w:ilvl="0">
      <w:lvlJc w:val="left"/>
      <w:lvlText w:val="(%1)"/>
      <w:numFmt w:val="lowerLetter"/>
      <w:start w:val="1"/>
    </w:lvl>
  </w:abstractNum>
  <w:abstractNum w:abstractNumId="161">
    <w:nsid w:val="155EC4C2"/>
    <w:multiLevelType w:val="hybridMultilevel"/>
    <w:lvl w:ilvl="0">
      <w:lvlJc w:val="left"/>
      <w:lvlText w:val="(%1)"/>
      <w:numFmt w:val="lowerLetter"/>
      <w:start w:val="4"/>
    </w:lvl>
  </w:abstractNum>
  <w:abstractNum w:abstractNumId="162">
    <w:nsid w:val="65D2A13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63">
    <w:nsid w:val="6EBB1F2A"/>
    <w:multiLevelType w:val="hybridMultilevel"/>
    <w:lvl w:ilvl="0">
      <w:lvlJc w:val="left"/>
      <w:lvlText w:val="(%1)"/>
      <w:numFmt w:val="lowerLetter"/>
      <w:start w:val="9"/>
    </w:lvl>
    <w:lvl w:ilvl="1">
      <w:lvlJc w:val="left"/>
      <w:lvlText w:val="(%2)"/>
      <w:numFmt w:val="lowerLetter"/>
      <w:start w:val="2"/>
    </w:lvl>
    <w:lvl w:ilvl="2">
      <w:lvlJc w:val="left"/>
      <w:lvlText w:val="(%3)"/>
      <w:numFmt w:val="upperLetter"/>
      <w:start w:val="1"/>
    </w:lvl>
  </w:abstractNum>
  <w:abstractNum w:abstractNumId="164">
    <w:nsid w:val="6FBF29CB"/>
    <w:multiLevelType w:val="hybridMultilevel"/>
    <w:lvl w:ilvl="0">
      <w:lvlJc w:val="left"/>
      <w:lvlText w:val="%1"/>
      <w:numFmt w:val="lowerRoman"/>
      <w:start w:val="1"/>
    </w:lvl>
    <w:lvl w:ilvl="1">
      <w:lvlJc w:val="left"/>
      <w:lvlText w:val="(%2)"/>
      <w:numFmt w:val="upperLetter"/>
      <w:start w:val="4"/>
    </w:lvl>
  </w:abstractNum>
  <w:abstractNum w:abstractNumId="165">
    <w:nsid w:val="550B8808"/>
    <w:multiLevelType w:val="hybridMultilevel"/>
    <w:lvl w:ilvl="0">
      <w:lvlJc w:val="left"/>
      <w:lvlText w:val="(%1)"/>
      <w:numFmt w:val="lowerRoman"/>
      <w:start w:val="2"/>
    </w:lvl>
    <w:lvl w:ilvl="1">
      <w:lvlJc w:val="left"/>
      <w:lvlText w:val="(%2)"/>
      <w:numFmt w:val="upperLetter"/>
      <w:start w:val="1"/>
    </w:lvl>
  </w:abstractNum>
  <w:abstractNum w:abstractNumId="166">
    <w:nsid w:val="34CC3ACF"/>
    <w:multiLevelType w:val="hybridMultilevel"/>
    <w:lvl w:ilvl="0">
      <w:lvlJc w:val="left"/>
      <w:lvlText w:val="(%1)"/>
      <w:numFmt w:val="lowerRoman"/>
      <w:start w:val="4"/>
    </w:lvl>
  </w:abstractNum>
  <w:abstractNum w:abstractNumId="167">
    <w:nsid w:val="4E556261"/>
    <w:multiLevelType w:val="hybridMultilevel"/>
    <w:lvl w:ilvl="0">
      <w:lvlJc w:val="left"/>
      <w:lvlText w:val="(%1)"/>
      <w:numFmt w:val="lowerLetter"/>
      <w:start w:val="3"/>
    </w:lvl>
  </w:abstractNum>
  <w:abstractNum w:abstractNumId="168">
    <w:nsid w:val="4C672FC9"/>
    <w:multiLevelType w:val="hybridMultilevel"/>
    <w:lvl w:ilvl="0">
      <w:lvlJc w:val="left"/>
      <w:lvlText w:val="(%1)"/>
      <w:numFmt w:val="upperLetter"/>
      <w:start w:val="2"/>
    </w:lvl>
    <w:lvl w:ilvl="1">
      <w:lvlJc w:val="left"/>
      <w:lvlText w:val="(%2)"/>
      <w:numFmt w:val="lowerLetter"/>
      <w:start w:val="4"/>
    </w:lvl>
  </w:abstractNum>
  <w:abstractNum w:abstractNumId="169">
    <w:nsid w:val="52A311C3"/>
    <w:multiLevelType w:val="hybridMultilevel"/>
    <w:lvl w:ilvl="0">
      <w:lvlJc w:val="left"/>
      <w:lvlText w:val="(%1)"/>
      <w:numFmt w:val="lowerLetter"/>
      <w:start w:val="1"/>
    </w:lvl>
  </w:abstractNum>
  <w:abstractNum w:abstractNumId="170">
    <w:nsid w:val="44EF6B80"/>
    <w:multiLevelType w:val="hybridMultilevel"/>
    <w:lvl w:ilvl="0">
      <w:lvlJc w:val="left"/>
      <w:lvlText w:val="%1"/>
      <w:numFmt w:val="lowerLetter"/>
      <w:start w:val="1"/>
    </w:lvl>
    <w:lvl w:ilvl="1">
      <w:lvlJc w:val="left"/>
      <w:lvlText w:val="(%2)"/>
      <w:numFmt w:val="lowerLetter"/>
      <w:start w:val="2"/>
    </w:lvl>
  </w:abstractNum>
  <w:abstractNum w:abstractNumId="171">
    <w:nsid w:val="12FCDE5E"/>
    <w:multiLevelType w:val="hybridMultilevel"/>
    <w:lvl w:ilvl="0">
      <w:lvlJc w:val="left"/>
      <w:lvlText w:val="(%1)"/>
      <w:numFmt w:val="lowerLetter"/>
      <w:start w:val="26"/>
    </w:lvl>
    <w:lvl w:ilvl="1">
      <w:lvlJc w:val="left"/>
      <w:lvlText w:val="%2"/>
      <w:numFmt w:val="lowerLetter"/>
      <w:start w:val="1"/>
    </w:lvl>
  </w:abstractNum>
  <w:abstractNum w:abstractNumId="172">
    <w:nsid w:val="4A1D606E"/>
    <w:multiLevelType w:val="hybridMultilevel"/>
    <w:lvl w:ilvl="0">
      <w:lvlJc w:val="left"/>
      <w:lvlText w:val="(%1)"/>
      <w:numFmt w:val="lowerLetter"/>
      <w:start w:val="1"/>
    </w:lvl>
  </w:abstractNum>
  <w:abstractNum w:abstractNumId="173">
    <w:nsid w:val="4382503"/>
    <w:multiLevelType w:val="hybridMultilevel"/>
    <w:lvl w:ilvl="0">
      <w:lvlJc w:val="left"/>
      <w:lvlText w:val="(%1)"/>
      <w:numFmt w:val="lowerLetter"/>
      <w:start w:val="1"/>
    </w:lvl>
  </w:abstractNum>
  <w:abstractNum w:abstractNumId="174">
    <w:nsid w:val="59B76E28"/>
    <w:multiLevelType w:val="hybridMultilevel"/>
    <w:lvl w:ilvl="0">
      <w:lvlJc w:val="left"/>
      <w:lvlText w:val="(%1)"/>
      <w:numFmt w:val="lowerLetter"/>
      <w:start w:val="3"/>
    </w:lvl>
  </w:abstractNum>
  <w:abstractNum w:abstractNumId="175">
    <w:nsid w:val="4252C2DA"/>
    <w:multiLevelType w:val="hybridMultilevel"/>
    <w:lvl w:ilvl="0">
      <w:lvlJc w:val="left"/>
      <w:lvlText w:val="(%1)"/>
      <w:numFmt w:val="lowerLetter"/>
      <w:start w:val="1"/>
    </w:lvl>
  </w:abstractNum>
  <w:abstractNum w:abstractNumId="176">
    <w:nsid w:val="6A92EF4C"/>
    <w:multiLevelType w:val="hybridMultilevel"/>
    <w:lvl w:ilvl="0">
      <w:lvlJc w:val="left"/>
      <w:lvlText w:val="(%1)"/>
      <w:numFmt w:val="lowerLetter"/>
      <w:start w:val="2"/>
    </w:lvl>
  </w:abstractNum>
  <w:abstractNum w:abstractNumId="177">
    <w:nsid w:val="41ED20D7"/>
    <w:multiLevelType w:val="hybridMultilevel"/>
    <w:lvl w:ilvl="0">
      <w:lvlJc w:val="left"/>
      <w:lvlText w:val="(%1)"/>
      <w:numFmt w:val="lowerLetter"/>
      <w:start w:val="1"/>
    </w:lvl>
  </w:abstractNum>
  <w:abstractNum w:abstractNumId="178">
    <w:nsid w:val="E6B3F6A"/>
    <w:multiLevelType w:val="hybridMultilevel"/>
    <w:lvl w:ilvl="0">
      <w:lvlJc w:val="left"/>
      <w:lvlText w:val="(%1)"/>
      <w:numFmt w:val="lowerRoman"/>
      <w:start w:val="1"/>
    </w:lvl>
  </w:abstractNum>
  <w:abstractNum w:abstractNumId="179">
    <w:nsid w:val="3EB21819"/>
    <w:multiLevelType w:val="hybridMultilevel"/>
    <w:lvl w:ilvl="0">
      <w:lvlJc w:val="left"/>
      <w:lvlText w:val="(%1)"/>
      <w:numFmt w:val="lowerRoman"/>
      <w:start w:val="1"/>
    </w:lvl>
  </w:abstractNum>
  <w:abstractNum w:abstractNumId="180">
    <w:nsid w:val="41531DED"/>
    <w:multiLevelType w:val="hybridMultilevel"/>
    <w:lvl w:ilvl="0">
      <w:lvlJc w:val="left"/>
      <w:lvlText w:val="(%1)"/>
      <w:numFmt w:val="lowerLetter"/>
      <w:start w:val="61"/>
    </w:lvl>
    <w:lvl w:ilvl="1">
      <w:lvlJc w:val="left"/>
      <w:lvlText w:val="(%2)"/>
      <w:numFmt w:val="lowerLetter"/>
      <w:start w:val="2"/>
    </w:lvl>
  </w:abstractNum>
  <w:abstractNum w:abstractNumId="181">
    <w:nsid w:val="6353CD2"/>
    <w:multiLevelType w:val="hybridMultilevel"/>
    <w:lvl w:ilvl="0">
      <w:lvlJc w:val="left"/>
      <w:lvlText w:val="(%1)"/>
      <w:numFmt w:val="lowerRoman"/>
      <w:start w:val="4"/>
    </w:lvl>
  </w:abstractNum>
  <w:abstractNum w:abstractNumId="182">
    <w:nsid w:val="683CAAD3"/>
    <w:multiLevelType w:val="hybridMultilevel"/>
    <w:lvl w:ilvl="0">
      <w:lvlJc w:val="left"/>
      <w:lvlText w:val="(%1)"/>
      <w:numFmt w:val="lowerLetter"/>
      <w:start w:val="2"/>
    </w:lvl>
  </w:abstractNum>
  <w:abstractNum w:abstractNumId="183">
    <w:nsid w:val="313C7C99"/>
    <w:multiLevelType w:val="hybridMultilevel"/>
    <w:lvl w:ilvl="0">
      <w:lvlJc w:val="left"/>
      <w:lvlText w:val="(%1)"/>
      <w:numFmt w:val="lowerLetter"/>
      <w:start w:val="1"/>
    </w:lvl>
  </w:abstractNum>
  <w:abstractNum w:abstractNumId="184">
    <w:nsid w:val="519EB94C"/>
    <w:multiLevelType w:val="hybridMultilevel"/>
    <w:lvl w:ilvl="0">
      <w:lvlJc w:val="left"/>
      <w:lvlText w:val="(%1)"/>
      <w:numFmt w:val="lowerLetter"/>
      <w:start w:val="3"/>
    </w:lvl>
  </w:abstractNum>
  <w:abstractNum w:abstractNumId="185">
    <w:nsid w:val="39DF2579"/>
    <w:multiLevelType w:val="hybridMultilevel"/>
    <w:lvl w:ilvl="0">
      <w:lvlJc w:val="left"/>
      <w:lvlText w:val="%1."/>
      <w:numFmt w:val="decimal"/>
      <w:start w:val="1"/>
    </w:lvl>
  </w:abstractNum>
  <w:abstractNum w:abstractNumId="186">
    <w:nsid w:val="126E008B"/>
    <w:multiLevelType w:val="hybridMultilevel"/>
    <w:lvl w:ilvl="0">
      <w:lvlJc w:val="left"/>
      <w:lvlText w:val="%1."/>
      <w:numFmt w:val="decimal"/>
      <w:start w:val="3"/>
    </w:lvl>
  </w:abstractNum>
  <w:abstractNum w:abstractNumId="187">
    <w:nsid w:val="34DFBC00"/>
    <w:multiLevelType w:val="hybridMultilevel"/>
    <w:lvl w:ilvl="0">
      <w:lvlJc w:val="left"/>
      <w:lvlText w:val="(%1)"/>
      <w:numFmt w:val="lowerLetter"/>
      <w:start w:val="1"/>
    </w:lvl>
  </w:abstractNum>
  <w:abstractNum w:abstractNumId="188">
    <w:nsid w:val="1F9EC322"/>
    <w:multiLevelType w:val="hybridMultilevel"/>
    <w:lvl w:ilvl="0">
      <w:lvlJc w:val="left"/>
      <w:lvlText w:val="%1."/>
      <w:numFmt w:val="decimal"/>
      <w:start w:val="5"/>
    </w:lvl>
  </w:abstractNum>
  <w:abstractNum w:abstractNumId="189">
    <w:nsid w:val="3410ED56"/>
    <w:multiLevelType w:val="hybridMultilevel"/>
    <w:lvl w:ilvl="0">
      <w:lvlJc w:val="left"/>
      <w:lvlText w:val="(%1)"/>
      <w:numFmt w:val="decimal"/>
      <w:start w:val="1"/>
    </w:lvl>
  </w:abstractNum>
  <w:abstractNum w:abstractNumId="190">
    <w:nsid w:val="23C049A"/>
    <w:multiLevelType w:val="hybridMultilevel"/>
    <w:lvl w:ilvl="0">
      <w:lvlJc w:val="left"/>
      <w:lvlText w:val="(%1)"/>
      <w:numFmt w:val="decimal"/>
      <w:start w:val="1"/>
    </w:lvl>
  </w:abstractNum>
  <w:abstractNum w:abstractNumId="191">
    <w:nsid w:val="5BDA35D4"/>
    <w:multiLevelType w:val="hybridMultilevel"/>
    <w:lvl w:ilvl="0">
      <w:lvlJc w:val="left"/>
      <w:lvlText w:val="(%1)"/>
      <w:numFmt w:val="decimal"/>
      <w:start w:val="3"/>
    </w:lvl>
  </w:abstractNum>
  <w:abstractNum w:abstractNumId="192">
    <w:nsid w:val="496FB218"/>
    <w:multiLevelType w:val="hybridMultilevel"/>
    <w:lvl w:ilvl="0">
      <w:lvlJc w:val="left"/>
      <w:lvlText w:val="(%1)"/>
      <w:numFmt w:val="lowerLetter"/>
      <w:start w:val="1"/>
    </w:lvl>
  </w:abstractNum>
  <w:abstractNum w:abstractNumId="193">
    <w:nsid w:val="680EA5D1"/>
    <w:multiLevelType w:val="hybridMultilevel"/>
    <w:lvl w:ilvl="0">
      <w:lvlJc w:val="left"/>
      <w:lvlText w:val="(%1)"/>
      <w:numFmt w:val="lowerLetter"/>
      <w:start w:val="1"/>
    </w:lvl>
  </w:abstractNum>
  <w:abstractNum w:abstractNumId="194">
    <w:nsid w:val="4A9554FE"/>
    <w:multiLevelType w:val="hybridMultilevel"/>
    <w:lvl w:ilvl="0">
      <w:lvlJc w:val="left"/>
      <w:lvlText w:val="(%1)"/>
      <w:numFmt w:val="lowerLetter"/>
      <w:start w:val="2"/>
    </w:lvl>
  </w:abstractNum>
  <w:abstractNum w:abstractNumId="195">
    <w:nsid w:val="392EDBE4"/>
    <w:multiLevelType w:val="hybridMultilevel"/>
    <w:lvl w:ilvl="0">
      <w:lvlJc w:val="left"/>
      <w:lvlText w:val="(%1)"/>
      <w:numFmt w:val="upperLetter"/>
      <w:start w:val="5"/>
    </w:lvl>
  </w:abstractNum>
  <w:abstractNum w:abstractNumId="196">
    <w:nsid w:val="3D1A2DD9"/>
    <w:multiLevelType w:val="hybridMultilevel"/>
    <w:lvl w:ilvl="0">
      <w:lvlJc w:val="left"/>
      <w:lvlText w:val="(%1)"/>
      <w:numFmt w:val="lowerRoman"/>
      <w:start w:val="10"/>
    </w:lvl>
  </w:abstractNum>
  <w:abstractNum w:abstractNumId="197">
    <w:nsid w:val="7F618FCD"/>
    <w:multiLevelType w:val="hybridMultilevel"/>
    <w:lvl w:ilvl="0">
      <w:lvlJc w:val="left"/>
      <w:lvlText w:val="(%1)"/>
      <w:numFmt w:val="lowerLetter"/>
      <w:start w:val="2"/>
    </w:lvl>
  </w:abstractNum>
  <w:abstractNum w:abstractNumId="198">
    <w:nsid w:val="7843E45"/>
    <w:multiLevelType w:val="hybridMultilevel"/>
    <w:lvl w:ilvl="0">
      <w:lvlJc w:val="left"/>
      <w:lvlText w:val="(%1)"/>
      <w:numFmt w:val="lowerLetter"/>
      <w:start w:val="1"/>
    </w:lvl>
  </w:abstractNum>
  <w:abstractNum w:abstractNumId="199">
    <w:nsid w:val="9815DA3"/>
    <w:multiLevelType w:val="hybridMultilevel"/>
    <w:lvl w:ilvl="0">
      <w:lvlJc w:val="left"/>
      <w:lvlText w:val="(%1)"/>
      <w:numFmt w:val="lowerLetter"/>
      <w:start w:val="2"/>
    </w:lvl>
  </w:abstractNum>
  <w:abstractNum w:abstractNumId="200">
    <w:nsid w:val="5204A191"/>
    <w:multiLevelType w:val="hybridMultilevel"/>
    <w:lvl w:ilvl="0">
      <w:lvlJc w:val="left"/>
      <w:lvlText w:val="(%1)"/>
      <w:numFmt w:val="lowerLetter"/>
      <w:start w:val="1"/>
    </w:lvl>
  </w:abstractNum>
  <w:abstractNum w:abstractNumId="201">
    <w:nsid w:val="4C73A9C6"/>
    <w:multiLevelType w:val="hybridMultilevel"/>
    <w:lvl w:ilvl="0">
      <w:lvlJc w:val="left"/>
      <w:lvlText w:val="(%1)"/>
      <w:numFmt w:val="lowerRoman"/>
      <w:start w:val="3"/>
    </w:lvl>
  </w:abstractNum>
  <w:abstractNum w:abstractNumId="202">
    <w:nsid w:val="1C7E3C01"/>
    <w:multiLevelType w:val="hybridMultilevel"/>
    <w:lvl w:ilvl="0">
      <w:lvlJc w:val="left"/>
      <w:lvlText w:val="(%1)"/>
      <w:numFmt w:val="lowerLetter"/>
      <w:start w:val="1"/>
    </w:lvl>
  </w:abstractNum>
  <w:abstractNum w:abstractNumId="203">
    <w:nsid w:val="1C2201FF"/>
    <w:multiLevelType w:val="hybridMultilevel"/>
    <w:lvl w:ilvl="0">
      <w:lvlJc w:val="left"/>
      <w:lvlText w:val="(%1)"/>
      <w:numFmt w:val="lowerLetter"/>
      <w:start w:val="1"/>
    </w:lvl>
  </w:abstractNum>
  <w:abstractNum w:abstractNumId="204">
    <w:nsid w:val="50ABCEC9"/>
    <w:multiLevelType w:val="hybridMultilevel"/>
    <w:lvl w:ilvl="0">
      <w:lvlJc w:val="left"/>
      <w:lvlText w:val="(%1)"/>
      <w:numFmt w:val="lowerLetter"/>
      <w:start w:val="1"/>
    </w:lvl>
  </w:abstractNum>
  <w:abstractNum w:abstractNumId="205">
    <w:nsid w:val="7635AA2A"/>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lvl w:ilvl="3">
      <w:lvlJc w:val="left"/>
      <w:lvlText w:val="%4"/>
      <w:numFmt w:val="lowerLetter"/>
      <w:start w:val="1"/>
    </w:lvl>
  </w:abstractNum>
  <w:abstractNum w:abstractNumId="206">
    <w:nsid w:val="5E74C4D9"/>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lvl w:ilvl="3">
      <w:lvlJc w:val="left"/>
      <w:lvlText w:val="%4."/>
      <w:numFmt w:val="lowerLetter"/>
      <w:start w:val="1"/>
    </w:lvl>
  </w:abstractNum>
  <w:abstractNum w:abstractNumId="207">
    <w:nsid w:val="3B3EBE15"/>
    <w:multiLevelType w:val="hybridMultilevel"/>
    <w:lvl w:ilvl="0">
      <w:lvlJc w:val="left"/>
      <w:lvlText w:val="(%1)"/>
      <w:numFmt w:val="lowerRoman"/>
      <w:start w:val="3"/>
    </w:lvl>
    <w:lvl w:ilvl="1">
      <w:lvlJc w:val="left"/>
      <w:lvlText w:val="%2"/>
      <w:numFmt w:val="lowerRoman"/>
      <w:start w:val="1"/>
    </w:lvl>
    <w:lvl w:ilvl="2">
      <w:lvlJc w:val="left"/>
      <w:lvlText w:val="%3"/>
      <w:numFmt w:val="upperLetter"/>
      <w:start w:val="1"/>
    </w:lvl>
    <w:lvl w:ilvl="3">
      <w:lvlJc w:val="left"/>
      <w:lvlText w:val="%4"/>
      <w:numFmt w:val="lowerLetter"/>
      <w:start w:val="1"/>
    </w:lvl>
  </w:abstractNum>
  <w:abstractNum w:abstractNumId="208">
    <w:nsid w:val="3822CB01"/>
    <w:multiLevelType w:val="hybridMultilevel"/>
    <w:lvl w:ilvl="0">
      <w:lvlJc w:val="left"/>
      <w:lvlText w:val="(%1)"/>
      <w:numFmt w:val="lowerLetter"/>
      <w:start w:val="2"/>
    </w:lvl>
  </w:abstractNum>
  <w:abstractNum w:abstractNumId="209">
    <w:nsid w:val="6CE00443"/>
    <w:multiLevelType w:val="hybridMultilevel"/>
    <w:lvl w:ilvl="0">
      <w:lvlJc w:val="left"/>
      <w:lvlText w:val="(%1)"/>
      <w:numFmt w:val="lowerRoman"/>
      <w:start w:val="1"/>
    </w:lvl>
  </w:abstractNum>
  <w:abstractNum w:abstractNumId="210">
    <w:nsid w:val="79F0D62F"/>
    <w:multiLevelType w:val="hybridMultilevel"/>
    <w:lvl w:ilvl="0">
      <w:lvlJc w:val="left"/>
      <w:lvlText w:val="(%1)"/>
      <w:numFmt w:val="lowerRoman"/>
      <w:start w:val="2"/>
    </w:lvl>
    <w:lvl w:ilvl="1">
      <w:lvlJc w:val="left"/>
      <w:lvlText w:val="(%2)"/>
      <w:numFmt w:val="upperLetter"/>
      <w:start w:val="1"/>
    </w:lvl>
  </w:abstractNum>
  <w:abstractNum w:abstractNumId="211">
    <w:nsid w:val="7975E8EE"/>
    <w:multiLevelType w:val="hybridMultilevel"/>
    <w:lvl w:ilvl="0">
      <w:lvlJc w:val="left"/>
      <w:lvlText w:val="(%1)"/>
      <w:numFmt w:val="lowerLetter"/>
      <w:start w:val="1"/>
    </w:lvl>
    <w:lvl w:ilvl="1">
      <w:lvlJc w:val="left"/>
      <w:lvlText w:val="(%2)"/>
      <w:numFmt w:val="lowerRoman"/>
      <w:start w:val="1"/>
    </w:lvl>
  </w:abstractNum>
  <w:abstractNum w:abstractNumId="212">
    <w:nsid w:val="73154115"/>
    <w:multiLevelType w:val="hybridMultilevel"/>
    <w:lvl w:ilvl="0">
      <w:lvlJc w:val="left"/>
      <w:lvlText w:val="(%1)"/>
      <w:numFmt w:val="lowerLetter"/>
      <w:start w:val="1"/>
    </w:lvl>
  </w:abstractNum>
  <w:abstractNum w:abstractNumId="213">
    <w:nsid w:val="622D8102"/>
    <w:multiLevelType w:val="hybridMultilevel"/>
    <w:lvl w:ilvl="0">
      <w:lvlJc w:val="left"/>
      <w:lvlText w:val="%1"/>
      <w:numFmt w:val="lowerLetter"/>
      <w:start w:val="1"/>
    </w:lvl>
    <w:lvl w:ilvl="1">
      <w:lvlJc w:val="left"/>
      <w:lvlText w:val="(%2)"/>
      <w:numFmt w:val="lowerLetter"/>
      <w:start w:val="5"/>
    </w:lvl>
  </w:abstractNum>
  <w:abstractNum w:abstractNumId="214">
    <w:nsid w:val="2AB26587"/>
    <w:multiLevelType w:val="hybridMultilevel"/>
    <w:lvl w:ilvl="0">
      <w:lvlJc w:val="left"/>
      <w:lvlText w:val="(%1)"/>
      <w:numFmt w:val="lowerLetter"/>
      <w:start w:val="9"/>
    </w:lvl>
    <w:lvl w:ilvl="1">
      <w:lvlJc w:val="left"/>
      <w:lvlText w:val="%2"/>
      <w:numFmt w:val="lowerLetter"/>
      <w:start w:val="1"/>
    </w:lvl>
  </w:abstractNum>
  <w:abstractNum w:abstractNumId="215">
    <w:nsid w:val="44B3FA61"/>
    <w:multiLevelType w:val="hybridMultilevel"/>
    <w:lvl w:ilvl="0">
      <w:lvlJc w:val="left"/>
      <w:lvlText w:val="(%1)"/>
      <w:numFmt w:val="lowerLetter"/>
      <w:start w:val="61"/>
    </w:lvl>
    <w:lvl w:ilvl="1">
      <w:lvlJc w:val="left"/>
      <w:lvlText w:val="(%2)"/>
      <w:numFmt w:val="lowerLetter"/>
      <w:start w:val="6"/>
    </w:lvl>
  </w:abstractNum>
  <w:abstractNum w:abstractNumId="216">
    <w:nsid w:val="1C0CA67C"/>
    <w:multiLevelType w:val="hybridMultilevel"/>
    <w:lvl w:ilvl="0">
      <w:lvlJc w:val="left"/>
      <w:lvlText w:val="(%1)"/>
      <w:numFmt w:val="lowerLetter"/>
      <w:start w:val="1"/>
    </w:lvl>
  </w:abstractNum>
  <w:abstractNum w:abstractNumId="217">
    <w:nsid w:val="3D206613"/>
    <w:multiLevelType w:val="hybridMultilevel"/>
    <w:lvl w:ilvl="0">
      <w:lvlJc w:val="left"/>
      <w:lvlText w:val="%1"/>
      <w:numFmt w:val="upperLetter"/>
      <w:start w:val="1"/>
    </w:lvl>
    <w:lvl w:ilvl="1">
      <w:lvlJc w:val="left"/>
      <w:lvlText w:val="(%2)"/>
      <w:numFmt w:val="lowerLetter"/>
      <w:start w:val="3"/>
    </w:lvl>
  </w:abstractNum>
  <w:abstractNum w:abstractNumId="218">
    <w:nsid w:val="7993B662"/>
    <w:multiLevelType w:val="hybridMultilevel"/>
    <w:lvl w:ilvl="0">
      <w:lvlJc w:val="left"/>
      <w:lvlText w:val="(%1)"/>
      <w:numFmt w:val="upperLetter"/>
      <w:start w:val="3"/>
    </w:lvl>
    <w:lvl w:ilvl="1">
      <w:lvlJc w:val="left"/>
      <w:lvlText w:val="(%2)"/>
      <w:numFmt w:val="lowerLetter"/>
      <w:start w:val="4"/>
    </w:lvl>
  </w:abstractNum>
  <w:abstractNum w:abstractNumId="219">
    <w:nsid w:val="3BAB699E"/>
    <w:multiLevelType w:val="hybridMultilevel"/>
    <w:lvl w:ilvl="0">
      <w:lvlJc w:val="left"/>
      <w:lvlText w:val="(%1)"/>
      <w:numFmt w:val="lowerRoman"/>
      <w:start w:val="1"/>
    </w:lvl>
  </w:abstractNum>
  <w:abstractNum w:abstractNumId="220">
    <w:nsid w:val="71315369"/>
    <w:multiLevelType w:val="hybridMultilevel"/>
    <w:lvl w:ilvl="0">
      <w:lvlJc w:val="left"/>
      <w:lvlText w:val="(%1)"/>
      <w:numFmt w:val="lowerRoman"/>
      <w:start w:val="3"/>
    </w:lvl>
  </w:abstractNum>
  <w:abstractNum w:abstractNumId="221">
    <w:nsid w:val="7BCFBAFC"/>
    <w:multiLevelType w:val="hybridMultilevel"/>
    <w:lvl w:ilvl="0">
      <w:lvlJc w:val="left"/>
      <w:lvlText w:val="(%1)"/>
      <w:numFmt w:val="decimal"/>
      <w:start w:val="1"/>
    </w:lvl>
  </w:abstractNum>
  <w:abstractNum w:abstractNumId="222">
    <w:nsid w:val="17859F72"/>
    <w:multiLevelType w:val="hybridMultilevel"/>
    <w:lvl w:ilvl="0">
      <w:lvlJc w:val="left"/>
      <w:lvlText w:val="(%1)"/>
      <w:numFmt w:val="lowerLetter"/>
      <w:start w:val="1"/>
    </w:lvl>
  </w:abstractNum>
  <w:abstractNum w:abstractNumId="223">
    <w:nsid w:val="3AA10581"/>
    <w:multiLevelType w:val="hybridMultilevel"/>
    <w:lvl w:ilvl="0">
      <w:lvlJc w:val="left"/>
      <w:lvlText w:val="(%1)"/>
      <w:numFmt w:val="lowerLetter"/>
      <w:start w:val="1"/>
    </w:lvl>
  </w:abstractNum>
  <w:abstractNum w:abstractNumId="224">
    <w:nsid w:val="63DE60CD"/>
    <w:multiLevelType w:val="hybridMultilevel"/>
    <w:lvl w:ilvl="0">
      <w:lvlJc w:val="left"/>
      <w:lvlText w:val="(%1)"/>
      <w:numFmt w:val="lowerLetter"/>
      <w:start w:val="1"/>
    </w:lvl>
  </w:abstractNum>
  <w:abstractNum w:abstractNumId="225">
    <w:nsid w:val="621AF471"/>
    <w:multiLevelType w:val="hybridMultilevel"/>
    <w:lvl w:ilvl="0">
      <w:lvlJc w:val="left"/>
      <w:lvlText w:val="(%1)"/>
      <w:numFmt w:val="lowerLetter"/>
      <w:start w:val="2"/>
    </w:lvl>
  </w:abstractNum>
  <w:abstractNum w:abstractNumId="226">
    <w:nsid w:val="73CFE165"/>
    <w:multiLevelType w:val="hybridMultilevel"/>
    <w:lvl w:ilvl="0">
      <w:lvlJc w:val="left"/>
      <w:lvlText w:val="%1"/>
      <w:numFmt w:val="lowerLetter"/>
      <w:start w:val="1"/>
    </w:lvl>
    <w:lvl w:ilvl="1">
      <w:lvlJc w:val="left"/>
      <w:lvlText w:val="(%2)"/>
      <w:numFmt w:val="lowerLetter"/>
      <w:start w:val="5"/>
    </w:lvl>
  </w:abstractNum>
  <w:abstractNum w:abstractNumId="227">
    <w:nsid w:val="20F88EA6"/>
    <w:multiLevelType w:val="hybridMultilevel"/>
    <w:lvl w:ilvl="0">
      <w:lvlJc w:val="left"/>
      <w:lvlText w:val="(%1)"/>
      <w:numFmt w:val="lowerLetter"/>
      <w:start w:val="24"/>
    </w:lvl>
    <w:lvl w:ilvl="1">
      <w:lvlJc w:val="left"/>
      <w:lvlText w:val="(%2)"/>
      <w:numFmt w:val="lowerLetter"/>
      <w:start w:val="6"/>
    </w:lvl>
  </w:abstractNum>
  <w:abstractNum w:abstractNumId="228">
    <w:nsid w:val="617C843E"/>
    <w:multiLevelType w:val="hybridMultilevel"/>
    <w:lvl w:ilvl="0">
      <w:lvlJc w:val="left"/>
      <w:lvlText w:val="(%1)"/>
      <w:numFmt w:val="lowerLetter"/>
      <w:start w:val="1"/>
    </w:lvl>
  </w:abstractNum>
  <w:abstractNum w:abstractNumId="229">
    <w:nsid w:val="7B541FAB"/>
    <w:multiLevelType w:val="hybridMultilevel"/>
    <w:lvl w:ilvl="0">
      <w:lvlJc w:val="left"/>
      <w:lvlText w:val="(%1)"/>
      <w:numFmt w:val="lowerLetter"/>
      <w:start w:val="2"/>
    </w:lvl>
  </w:abstractNum>
  <w:abstractNum w:abstractNumId="230">
    <w:nsid w:val="2A79EC49"/>
    <w:multiLevelType w:val="hybridMultilevel"/>
    <w:lvl w:ilvl="0">
      <w:lvlJc w:val="left"/>
      <w:lvlText w:val="(%1)"/>
      <w:numFmt w:val="lowerLetter"/>
      <w:start w:val="1"/>
    </w:lvl>
  </w:abstractNum>
  <w:abstractNum w:abstractNumId="231">
    <w:nsid w:val="338125CF"/>
    <w:multiLevelType w:val="hybridMultilevel"/>
    <w:lvl w:ilvl="0">
      <w:lvlJc w:val="left"/>
      <w:lvlText w:val="(%1)"/>
      <w:numFmt w:val="lowerLetter"/>
      <w:start w:val="2"/>
    </w:lvl>
  </w:abstractNum>
  <w:abstractNum w:abstractNumId="232">
    <w:nsid w:val="47C7C971"/>
    <w:multiLevelType w:val="hybridMultilevel"/>
    <w:lvl w:ilvl="0">
      <w:lvlJc w:val="left"/>
      <w:lvlText w:val="(%1)"/>
      <w:numFmt w:val="lowerRoman"/>
      <w:start w:val="1"/>
    </w:lvl>
  </w:abstractNum>
  <w:abstractNum w:abstractNumId="233">
    <w:nsid w:val="46F8284B"/>
    <w:multiLevelType w:val="hybridMultilevel"/>
    <w:lvl w:ilvl="0">
      <w:lvlJc w:val="left"/>
      <w:lvlText w:val="(%1)"/>
      <w:numFmt w:val="lowerLetter"/>
      <w:start w:val="4"/>
    </w:lvl>
  </w:abstractNum>
  <w:abstractNum w:abstractNumId="234">
    <w:nsid w:val="4FA327CE"/>
    <w:multiLevelType w:val="hybridMultilevel"/>
    <w:lvl w:ilvl="0">
      <w:lvlJc w:val="left"/>
      <w:lvlText w:val="%1"/>
      <w:numFmt w:val="lowerLetter"/>
      <w:start w:val="1"/>
    </w:lvl>
    <w:lvl w:ilvl="1">
      <w:lvlJc w:val="left"/>
      <w:lvlText w:val="(%2)"/>
      <w:numFmt w:val="lowerLetter"/>
      <w:start w:val="1"/>
    </w:lvl>
  </w:abstractNum>
  <w:abstractNum w:abstractNumId="235">
    <w:nsid w:val="1873983A"/>
    <w:multiLevelType w:val="hybridMultilevel"/>
    <w:lvl w:ilvl="0">
      <w:lvlJc w:val="left"/>
      <w:lvlText w:val="(%1)"/>
      <w:numFmt w:val="lowerLetter"/>
      <w:start w:val="9"/>
    </w:lvl>
    <w:lvl w:ilvl="1">
      <w:lvlJc w:val="left"/>
      <w:lvlText w:val="(%2)"/>
      <w:numFmt w:val="lowerLetter"/>
      <w:start w:val="3"/>
    </w:lvl>
  </w:abstractNum>
  <w:abstractNum w:abstractNumId="236">
    <w:nsid w:val="3D2DD275"/>
    <w:multiLevelType w:val="hybridMultilevel"/>
    <w:lvl w:ilvl="0">
      <w:lvlJc w:val="left"/>
      <w:lvlText w:val="(%1)"/>
      <w:numFmt w:val="lowerLetter"/>
      <w:start w:val="1"/>
    </w:lvl>
  </w:abstractNum>
  <w:abstractNum w:abstractNumId="237">
    <w:nsid w:val="2E17ECA7"/>
    <w:multiLevelType w:val="hybridMultilevel"/>
    <w:lvl w:ilvl="0">
      <w:lvlJc w:val="left"/>
      <w:lvlText w:val="(%1)"/>
      <w:numFmt w:val="lowerLetter"/>
      <w:start w:val="1"/>
    </w:lvl>
  </w:abstractNum>
  <w:abstractNum w:abstractNumId="238">
    <w:nsid w:val="53B2564F"/>
    <w:multiLevelType w:val="hybridMultilevel"/>
    <w:lvl w:ilvl="0">
      <w:lvlJc w:val="left"/>
      <w:lvlText w:val="%1"/>
      <w:numFmt w:val="lowerLetter"/>
      <w:start w:val="1"/>
    </w:lvl>
    <w:lvl w:ilvl="1">
      <w:lvlJc w:val="left"/>
      <w:lvlText w:val="(%2)"/>
      <w:numFmt w:val="lowerLetter"/>
      <w:start w:val="2"/>
    </w:lvl>
  </w:abstractNum>
  <w:abstractNum w:abstractNumId="239">
    <w:nsid w:val="75509D76"/>
    <w:multiLevelType w:val="hybridMultilevel"/>
    <w:lvl w:ilvl="0">
      <w:lvlJc w:val="left"/>
      <w:lvlText w:val="(%1)"/>
      <w:numFmt w:val="lowerLetter"/>
      <w:start w:val="61"/>
    </w:lvl>
    <w:lvl w:ilvl="1">
      <w:lvlJc w:val="left"/>
      <w:lvlText w:val="(%2)"/>
      <w:numFmt w:val="lowerLetter"/>
      <w:start w:val="3"/>
    </w:lvl>
  </w:abstractNum>
  <w:abstractNum w:abstractNumId="240">
    <w:nsid w:val="1AF7F0EA"/>
    <w:multiLevelType w:val="hybridMultilevel"/>
    <w:lvl w:ilvl="0">
      <w:lvlJc w:val="left"/>
      <w:lvlText w:val="(%1)"/>
      <w:numFmt w:val="lowerLetter"/>
      <w:start w:val="1"/>
    </w:lvl>
  </w:abstractNum>
  <w:abstractNum w:abstractNumId="241">
    <w:nsid w:val="4DA32C7E"/>
    <w:multiLevelType w:val="hybridMultilevel"/>
    <w:lvl w:ilvl="0">
      <w:lvlJc w:val="left"/>
      <w:lvlText w:val="(%1)"/>
      <w:numFmt w:val="lowerLetter"/>
      <w:start w:val="1"/>
    </w:lvl>
  </w:abstractNum>
  <w:abstractNum w:abstractNumId="242">
    <w:nsid w:val="6EC68664"/>
    <w:multiLevelType w:val="hybridMultilevel"/>
    <w:lvl w:ilvl="0">
      <w:lvlJc w:val="left"/>
      <w:lvlText w:val="(%1)"/>
      <w:numFmt w:val="lowerLetter"/>
      <w:start w:val="5"/>
    </w:lvl>
  </w:abstractNum>
  <w:abstractNum w:abstractNumId="243">
    <w:nsid w:val="E0D31FF"/>
    <w:multiLevelType w:val="hybridMultilevel"/>
    <w:lvl w:ilvl="0">
      <w:lvlJc w:val="left"/>
      <w:lvlText w:val="(%1)"/>
      <w:numFmt w:val="lowerLetter"/>
      <w:start w:val="1"/>
    </w:lvl>
    <w:lvl w:ilvl="1">
      <w:lvlJc w:val="left"/>
      <w:lvlText w:val="(%2)"/>
      <w:numFmt w:val="lowerRoman"/>
      <w:start w:val="1"/>
    </w:lvl>
  </w:abstractNum>
  <w:abstractNum w:abstractNumId="244">
    <w:nsid w:val="2FD0AD81"/>
    <w:multiLevelType w:val="hybridMultilevel"/>
    <w:lvl w:ilvl="0">
      <w:lvlJc w:val="left"/>
      <w:lvlText w:val="(%1)"/>
      <w:numFmt w:val="upperLetter"/>
      <w:start w:val="2"/>
    </w:lvl>
  </w:abstractNum>
  <w:abstractNum w:abstractNumId="245">
    <w:nsid w:val="1978EBEB"/>
    <w:multiLevelType w:val="hybridMultilevel"/>
    <w:lvl w:ilvl="0">
      <w:lvlJc w:val="left"/>
      <w:lvlText w:val="(%1)"/>
      <w:numFmt w:val="upperLetter"/>
      <w:start w:val="1"/>
    </w:lvl>
    <w:lvl w:ilvl="1">
      <w:lvlJc w:val="left"/>
      <w:lvlText w:val="(%2)"/>
      <w:numFmt w:val="lowerLetter"/>
      <w:start w:val="2"/>
    </w:lvl>
  </w:abstractNum>
  <w:abstractNum w:abstractNumId="246">
    <w:nsid w:val="52C12C61"/>
    <w:multiLevelType w:val="hybridMultilevel"/>
    <w:lvl w:ilvl="0">
      <w:lvlJc w:val="left"/>
      <w:lvlText w:val="%1"/>
      <w:numFmt w:val="upperLetter"/>
      <w:start w:val="1"/>
    </w:lvl>
    <w:lvl w:ilvl="1">
      <w:lvlJc w:val="left"/>
      <w:lvlText w:val="(%2)"/>
      <w:numFmt w:val="lowerLetter"/>
      <w:start w:val="6"/>
    </w:lvl>
  </w:abstractNum>
  <w:abstractNum w:abstractNumId="247">
    <w:nsid w:val="4BDD53FD"/>
    <w:multiLevelType w:val="hybridMultilevel"/>
    <w:lvl w:ilvl="0">
      <w:lvlJc w:val="left"/>
      <w:lvlText w:val="(%1)"/>
      <w:numFmt w:val="upperLetter"/>
      <w:start w:val="2"/>
    </w:lvl>
    <w:lvl w:ilvl="1">
      <w:lvlJc w:val="left"/>
      <w:lvlText w:val="%2"/>
      <w:numFmt w:val="lowerLetter"/>
      <w:start w:val="1"/>
    </w:lvl>
  </w:abstractNum>
  <w:abstractNum w:abstractNumId="248">
    <w:nsid w:val="569951FE"/>
    <w:multiLevelType w:val="hybridMultilevel"/>
    <w:lvl w:ilvl="0">
      <w:lvlJc w:val="left"/>
      <w:lvlText w:val="(%1)"/>
      <w:numFmt w:val="lowerLetter"/>
      <w:start w:val="1"/>
    </w:lvl>
  </w:abstractNum>
  <w:abstractNum w:abstractNumId="249">
    <w:nsid w:val="4C54E2C3"/>
    <w:multiLevelType w:val="hybridMultilevel"/>
    <w:lvl w:ilvl="0">
      <w:lvlJc w:val="left"/>
      <w:lvlText w:val="(%1)"/>
      <w:numFmt w:val="lowerRoman"/>
      <w:start w:val="1"/>
    </w:lvl>
  </w:abstractNum>
  <w:abstractNum w:abstractNumId="250">
    <w:nsid w:val="788BD9B"/>
    <w:multiLevelType w:val="hybridMultilevel"/>
    <w:lvl w:ilvl="0">
      <w:lvlJc w:val="left"/>
      <w:lvlText w:val="(%1)"/>
      <w:numFmt w:val="lowerLetter"/>
      <w:start w:val="2"/>
    </w:lvl>
  </w:abstractNum>
  <w:abstractNum w:abstractNumId="251">
    <w:nsid w:val="47CAA567"/>
    <w:multiLevelType w:val="hybridMultilevel"/>
    <w:lvl w:ilvl="0">
      <w:lvlJc w:val="left"/>
      <w:lvlText w:val="(%1)"/>
      <w:numFmt w:val="lowerLetter"/>
      <w:start w:val="3"/>
    </w:lvl>
  </w:abstractNum>
  <w:abstractNum w:abstractNumId="252">
    <w:nsid w:val="48249DBF"/>
    <w:multiLevelType w:val="hybridMultilevel"/>
    <w:lvl w:ilvl="0">
      <w:lvlJc w:val="left"/>
      <w:lvlText w:val="(%1)"/>
      <w:numFmt w:val="lowerLetter"/>
      <w:start w:val="1"/>
    </w:lvl>
  </w:abstractNum>
  <w:abstractNum w:abstractNumId="253">
    <w:nsid w:val="1F0E5D0D"/>
    <w:multiLevelType w:val="hybridMultilevel"/>
    <w:lvl w:ilvl="0">
      <w:lvlJc w:val="left"/>
      <w:lvlText w:val="(%1)"/>
      <w:numFmt w:val="lowerLetter"/>
      <w:start w:val="2"/>
    </w:lvl>
  </w:abstractNum>
  <w:abstractNum w:abstractNumId="254">
    <w:nsid w:val="26BAAE9"/>
    <w:multiLevelType w:val="hybridMultilevel"/>
    <w:lvl w:ilvl="0">
      <w:lvlJc w:val="left"/>
      <w:lvlText w:val="(%1)"/>
      <w:numFmt w:val="lowerLetter"/>
      <w:start w:val="1"/>
    </w:lvl>
  </w:abstractNum>
  <w:abstractNum w:abstractNumId="255">
    <w:nsid w:val="2C02FE8C"/>
    <w:multiLevelType w:val="hybridMultilevel"/>
    <w:lvl w:ilvl="0">
      <w:lvlJc w:val="left"/>
      <w:lvlText w:val="(%1)"/>
      <w:numFmt w:val="lowerLetter"/>
      <w:start w:val="5"/>
    </w:lvl>
  </w:abstractNum>
  <w:abstractNum w:abstractNumId="256">
    <w:nsid w:val="129517E"/>
    <w:multiLevelType w:val="hybridMultilevel"/>
    <w:lvl w:ilvl="0">
      <w:lvlJc w:val="left"/>
      <w:lvlText w:val="%1"/>
      <w:numFmt w:val="upperLetter"/>
      <w:start w:val="1"/>
    </w:lvl>
    <w:lvl w:ilvl="1">
      <w:lvlJc w:val="left"/>
      <w:lvlText w:val="(%2)"/>
      <w:numFmt w:val="lowerRoman"/>
      <w:start w:val="1"/>
    </w:lvl>
  </w:abstractNum>
  <w:abstractNum w:abstractNumId="257">
    <w:nsid w:val="763B8C4E"/>
    <w:multiLevelType w:val="hybridMultilevel"/>
    <w:lvl w:ilvl="0">
      <w:lvlJc w:val="left"/>
      <w:lvlText w:val="(%1)"/>
      <w:numFmt w:val="upperLetter"/>
      <w:start w:val="2"/>
    </w:lvl>
    <w:lvl w:ilvl="1">
      <w:lvlJc w:val="left"/>
      <w:lvlText w:val="%2"/>
      <w:numFmt w:val="lowerRoman"/>
      <w:start w:val="1"/>
    </w:lvl>
  </w:abstractNum>
  <w:abstractNum w:abstractNumId="258">
    <w:nsid w:val="4CFB8D32"/>
    <w:multiLevelType w:val="hybridMultilevel"/>
    <w:lvl w:ilvl="0">
      <w:lvlJc w:val="left"/>
      <w:lvlText w:val="(%1)"/>
      <w:numFmt w:val="lowerRoman"/>
      <w:start w:val="2"/>
    </w:lvl>
    <w:lvl w:ilvl="1">
      <w:lvlJc w:val="left"/>
      <w:lvlText w:val="(%2)"/>
      <w:numFmt w:val="decimal"/>
    </w:lvl>
    <w:lvl w:ilvl="2">
      <w:lvlJc w:val="left"/>
      <w:lvlText w:val="(%3)"/>
      <w:numFmt w:val="upperLetter"/>
      <w:start w:val="1"/>
    </w:lvl>
  </w:abstractNum>
  <w:abstractNum w:abstractNumId="259">
    <w:nsid w:val="62A5D5BD"/>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3"/>
    </w:lvl>
  </w:abstractNum>
  <w:abstractNum w:abstractNumId="260">
    <w:nsid w:val="718FABF9"/>
    <w:multiLevelType w:val="hybridMultilevel"/>
    <w:lvl w:ilvl="0">
      <w:lvlJc w:val="left"/>
      <w:lvlText w:val="%1"/>
      <w:numFmt w:val="lowerRoman"/>
      <w:start w:val="1"/>
    </w:lvl>
    <w:lvl w:ilvl="1">
      <w:lvlJc w:val="left"/>
      <w:lvlText w:val="(%2)"/>
      <w:numFmt w:val="decimal"/>
      <w:start w:val="4"/>
    </w:lvl>
    <w:lvl w:ilvl="2">
      <w:lvlJc w:val="left"/>
      <w:lvlText w:val="%3"/>
      <w:numFmt w:val="upperLetter"/>
      <w:start w:val="1"/>
    </w:lvl>
  </w:abstractNum>
  <w:abstractNum w:abstractNumId="261">
    <w:nsid w:val="7775797C"/>
    <w:multiLevelType w:val="hybridMultilevel"/>
    <w:lvl w:ilvl="0">
      <w:lvlJc w:val="left"/>
      <w:lvlText w:val="(%1)"/>
      <w:numFmt w:val="upperLetter"/>
      <w:start w:val="3"/>
    </w:lvl>
  </w:abstractNum>
  <w:abstractNum w:abstractNumId="262">
    <w:nsid w:val="1626FB8C"/>
    <w:multiLevelType w:val="hybridMultilevel"/>
    <w:lvl w:ilvl="0">
      <w:lvlJc w:val="left"/>
      <w:lvlText w:val="(%1)"/>
      <w:numFmt w:val="lowerLetter"/>
      <w:start w:val="7"/>
    </w:lvl>
  </w:abstractNum>
  <w:abstractNum w:abstractNumId="263">
    <w:nsid w:val="3957756A"/>
    <w:multiLevelType w:val="hybridMultilevel"/>
    <w:lvl w:ilvl="0">
      <w:lvlJc w:val="left"/>
      <w:lvlText w:val="(%1)"/>
      <w:numFmt w:val="lowerRoman"/>
      <w:start w:val="1"/>
    </w:lvl>
  </w:abstractNum>
  <w:abstractNum w:abstractNumId="264">
    <w:nsid w:val="3E6DA1C7"/>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265">
    <w:nsid w:val="65CA235B"/>
    <w:multiLevelType w:val="hybridMultilevel"/>
    <w:lvl w:ilvl="0">
      <w:lvlJc w:val="left"/>
      <w:lvlText w:val="(%1)"/>
      <w:numFmt w:val="lowerRoman"/>
      <w:start w:val="3"/>
    </w:lvl>
    <w:lvl w:ilvl="1">
      <w:lvlJc w:val="left"/>
      <w:lvlText w:val="(%2)"/>
      <w:numFmt w:val="decimal"/>
    </w:lvl>
    <w:lvl w:ilvl="2">
      <w:lvlJc w:val="left"/>
      <w:lvlText w:val="(%3)"/>
      <w:numFmt w:val="upperLetter"/>
      <w:start w:val="1"/>
    </w:lvl>
  </w:abstractNum>
  <w:abstractNum w:abstractNumId="266">
    <w:nsid w:val="51CB0DA4"/>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3"/>
    </w:lvl>
  </w:abstractNum>
  <w:abstractNum w:abstractNumId="267">
    <w:nsid w:val="7B9B743C"/>
    <w:multiLevelType w:val="hybridMultilevel"/>
    <w:lvl w:ilvl="0">
      <w:lvlJc w:val="left"/>
      <w:lvlText w:val="(%1)"/>
      <w:numFmt w:val="lowerRoman"/>
      <w:start w:val="4"/>
    </w:lvl>
  </w:abstractNum>
  <w:abstractNum w:abstractNumId="268">
    <w:nsid w:val="13E21002"/>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269">
    <w:nsid w:val="257D63F4"/>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abstractNum>
  <w:abstractNum w:abstractNumId="270">
    <w:nsid w:val="70EC11B2"/>
    <w:multiLevelType w:val="hybridMultilevel"/>
    <w:lvl w:ilvl="0">
      <w:lvlJc w:val="left"/>
      <w:lvlText w:val="(%1)"/>
      <w:numFmt w:val="lowerRoman"/>
      <w:start w:val="9"/>
    </w:lvl>
  </w:abstractNum>
  <w:abstractNum w:abstractNumId="271">
    <w:nsid w:val="2EDA00ED"/>
    <w:multiLevelType w:val="hybridMultilevel"/>
    <w:lvl w:ilvl="0">
      <w:lvlJc w:val="left"/>
      <w:lvlText w:val="(%1)"/>
      <w:numFmt w:val="lowerLetter"/>
      <w:start w:val="24"/>
    </w:lvl>
    <w:lvl w:ilvl="1">
      <w:lvlJc w:val="left"/>
      <w:lvlText w:val="(%2)"/>
      <w:numFmt w:val="lowerRoman"/>
      <w:start w:val="11"/>
    </w:lvl>
  </w:abstractNum>
  <w:abstractNum w:abstractNumId="272">
    <w:nsid w:val="73209072"/>
    <w:multiLevelType w:val="hybridMultilevel"/>
    <w:lvl w:ilvl="0">
      <w:lvlJc w:val="left"/>
      <w:lvlText w:val="(%1)"/>
      <w:numFmt w:val="lowerLetter"/>
      <w:start w:val="8"/>
    </w:lvl>
    <w:lvl w:ilvl="1">
      <w:lvlJc w:val="left"/>
      <w:lvlText w:val="%2"/>
      <w:numFmt w:val="lowerRoman"/>
      <w:start w:val="1"/>
    </w:lvl>
  </w:abstractNum>
  <w:abstractNum w:abstractNumId="273">
    <w:nsid w:val="5FB29816"/>
    <w:multiLevelType w:val="hybridMultilevel"/>
    <w:lvl w:ilvl="0">
      <w:lvlJc w:val="left"/>
      <w:lvlText w:val="%1"/>
      <w:numFmt w:val="lowerLetter"/>
      <w:start w:val="1"/>
    </w:lvl>
    <w:lvl w:ilvl="1">
      <w:lvlJc w:val="left"/>
      <w:lvlText w:val="(%2)"/>
      <w:numFmt w:val="lowerLetter"/>
      <w:start w:val="9"/>
    </w:lvl>
  </w:abstractNum>
  <w:abstractNum w:abstractNumId="274">
    <w:nsid w:val="3CE732EC"/>
    <w:multiLevelType w:val="hybridMultilevel"/>
    <w:lvl w:ilvl="0">
      <w:lvlJc w:val="left"/>
      <w:lvlText w:val="(%1)"/>
      <w:numFmt w:val="lowerLetter"/>
      <w:start w:val="3"/>
    </w:lvl>
    <w:lvl w:ilvl="1">
      <w:lvlJc w:val="left"/>
      <w:lvlText w:val="%2"/>
      <w:numFmt w:val="lowerLetter"/>
      <w:start w:val="1"/>
    </w:lvl>
  </w:abstractNum>
  <w:abstractNum w:abstractNumId="275">
    <w:nsid w:val="22F13DF3"/>
    <w:multiLevelType w:val="hybridMultilevel"/>
    <w:lvl w:ilvl="0">
      <w:lvlJc w:val="left"/>
      <w:lvlText w:val="(%1)"/>
      <w:numFmt w:val="lowerLetter"/>
      <w:start w:val="12"/>
    </w:lvl>
  </w:abstractNum>
  <w:abstractNum w:abstractNumId="276">
    <w:nsid w:val="792B8401"/>
    <w:multiLevelType w:val="hybridMultilevel"/>
    <w:lvl w:ilvl="0">
      <w:lvlJc w:val="left"/>
      <w:lvlText w:val="(%1)"/>
      <w:numFmt w:val="lowerLetter"/>
      <w:start w:val="1"/>
    </w:lvl>
  </w:abstractNum>
  <w:abstractNum w:abstractNumId="277">
    <w:nsid w:val="FA85F4D"/>
    <w:multiLevelType w:val="hybridMultilevel"/>
    <w:lvl w:ilvl="0">
      <w:lvlJc w:val="left"/>
      <w:lvlText w:val="(%1)"/>
      <w:numFmt w:val="lowerLetter"/>
      <w:start w:val="3"/>
    </w:lvl>
  </w:abstractNum>
  <w:abstractNum w:abstractNumId="278">
    <w:nsid w:val="6ECE91F0"/>
    <w:multiLevelType w:val="hybridMultilevel"/>
    <w:lvl w:ilvl="0">
      <w:lvlJc w:val="left"/>
      <w:lvlText w:val="(%1)"/>
      <w:numFmt w:val="lowerLetter"/>
      <w:start w:val="1"/>
    </w:lvl>
  </w:abstractNum>
  <w:abstractNum w:abstractNumId="279">
    <w:nsid w:val="4FC4D600"/>
    <w:multiLevelType w:val="hybridMultilevel"/>
    <w:lvl w:ilvl="0">
      <w:lvlJc w:val="left"/>
      <w:lvlText w:val="(%1)"/>
      <w:numFmt w:val="lowerLetter"/>
      <w:start w:val="1"/>
    </w:lvl>
  </w:abstractNum>
  <w:abstractNum w:abstractNumId="280">
    <w:nsid w:val="5BFD4210"/>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2"/>
    </w:lvl>
  </w:abstractNum>
  <w:abstractNum w:abstractNumId="281">
    <w:nsid w:val="76574F8B"/>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82">
    <w:nsid w:val="178F7B67"/>
    <w:multiLevelType w:val="hybridMultilevel"/>
    <w:lvl w:ilvl="0">
      <w:lvlJc w:val="left"/>
      <w:lvlText w:val="(%1)"/>
      <w:numFmt w:val="lowerLetter"/>
      <w:start w:val="1"/>
    </w:lvl>
  </w:abstractNum>
  <w:abstractNum w:abstractNumId="283">
    <w:nsid w:val="2421DFCF"/>
    <w:multiLevelType w:val="hybridMultilevel"/>
    <w:lvl w:ilvl="0">
      <w:lvlJc w:val="left"/>
      <w:lvlText w:val="(%1)"/>
      <w:numFmt w:val="lowerLetter"/>
      <w:start w:val="4"/>
    </w:lvl>
  </w:abstractNum>
  <w:abstractNum w:abstractNumId="284">
    <w:nsid w:val="1565AC99"/>
    <w:multiLevelType w:val="hybridMultilevel"/>
    <w:lvl w:ilvl="0">
      <w:lvlJc w:val="left"/>
      <w:lvlText w:val="%1"/>
      <w:numFmt w:val="lowerLetter"/>
      <w:start w:val="1"/>
    </w:lvl>
    <w:lvl w:ilvl="1">
      <w:lvlJc w:val="left"/>
      <w:lvlText w:val="(%2)"/>
      <w:numFmt w:val="lowerLetter"/>
      <w:start w:val="1"/>
    </w:lvl>
  </w:abstractNum>
  <w:abstractNum w:abstractNumId="285">
    <w:nsid w:val="19FB2650"/>
    <w:multiLevelType w:val="hybridMultilevel"/>
    <w:lvl w:ilvl="0">
      <w:lvlJc w:val="left"/>
      <w:lvlText w:val="(%1)"/>
      <w:numFmt w:val="lowerLetter"/>
      <w:start w:val="35"/>
    </w:lvl>
    <w:lvl w:ilvl="1">
      <w:lvlJc w:val="left"/>
      <w:lvlText w:val="(%2)"/>
      <w:numFmt w:val="lowerLetter"/>
      <w:start w:val="2"/>
    </w:lvl>
  </w:abstractNum>
  <w:abstractNum w:abstractNumId="286">
    <w:nsid w:val="5024DE5B"/>
    <w:multiLevelType w:val="hybridMultilevel"/>
    <w:lvl w:ilvl="0">
      <w:lvlJc w:val="left"/>
      <w:lvlText w:val="%1"/>
      <w:numFmt w:val="lowerLetter"/>
      <w:start w:val="1"/>
    </w:lvl>
    <w:lvl w:ilvl="1">
      <w:lvlJc w:val="left"/>
      <w:lvlText w:val="(%2)"/>
      <w:numFmt w:val="lowerLetter"/>
      <w:start w:val="1"/>
    </w:lvl>
  </w:abstractNum>
  <w:abstractNum w:abstractNumId="287">
    <w:nsid w:val="168EFE17"/>
    <w:multiLevelType w:val="hybridMultilevel"/>
    <w:lvl w:ilvl="0">
      <w:lvlJc w:val="left"/>
      <w:lvlText w:val="(%1)"/>
      <w:numFmt w:val="lowerLetter"/>
      <w:start w:val="9"/>
    </w:lvl>
    <w:lvl w:ilvl="1">
      <w:lvlJc w:val="left"/>
      <w:lvlText w:val="(%2)"/>
      <w:numFmt w:val="lowerLetter"/>
      <w:start w:val="2"/>
    </w:lvl>
  </w:abstractNum>
  <w:abstractNum w:abstractNumId="288">
    <w:nsid w:val="1036B29F"/>
    <w:multiLevelType w:val="hybridMultilevel"/>
    <w:lvl w:ilvl="0">
      <w:lvlJc w:val="left"/>
      <w:lvlText w:val="(%1)"/>
      <w:numFmt w:val="lowerLetter"/>
      <w:start w:val="1"/>
    </w:lvl>
  </w:abstractNum>
  <w:abstractNum w:abstractNumId="289">
    <w:nsid w:val="1D206B8E"/>
    <w:multiLevelType w:val="hybridMultilevel"/>
    <w:lvl w:ilvl="0">
      <w:lvlJc w:val="left"/>
      <w:lvlText w:val="(%1)"/>
      <w:numFmt w:val="lowerLetter"/>
      <w:start w:val="1"/>
    </w:lvl>
  </w:abstractNum>
  <w:abstractNum w:abstractNumId="290">
    <w:nsid w:val="7934D3D4"/>
    <w:multiLevelType w:val="hybridMultilevel"/>
    <w:lvl w:ilvl="0">
      <w:lvlJc w:val="left"/>
      <w:lvlText w:val="(%1)"/>
      <w:numFmt w:val="lowerLetter"/>
      <w:start w:val="1"/>
    </w:lvl>
  </w:abstractNum>
  <w:abstractNum w:abstractNumId="291">
    <w:nsid w:val="1C65E98"/>
    <w:multiLevelType w:val="hybridMultilevel"/>
    <w:lvl w:ilvl="0">
      <w:lvlJc w:val="left"/>
      <w:lvlText w:val="(%1)"/>
      <w:numFmt w:val="lowerLetter"/>
      <w:start w:val="2"/>
    </w:lvl>
  </w:abstractNum>
  <w:abstractNum w:abstractNumId="292">
    <w:nsid w:val="1495E50A"/>
    <w:multiLevelType w:val="hybridMultilevel"/>
    <w:lvl w:ilvl="0">
      <w:lvlJc w:val="left"/>
      <w:lvlText w:val="%1"/>
      <w:numFmt w:val="lowerRoman"/>
      <w:start w:val="1"/>
    </w:lvl>
    <w:lvl w:ilvl="1">
      <w:lvlJc w:val="left"/>
      <w:lvlText w:val="(%2)"/>
      <w:numFmt w:val="upperLetter"/>
      <w:start w:val="1"/>
    </w:lvl>
  </w:abstractNum>
  <w:abstractNum w:abstractNumId="293">
    <w:nsid w:val="F5BCF61"/>
    <w:multiLevelType w:val="hybridMultilevel"/>
    <w:lvl w:ilvl="0">
      <w:lvlJc w:val="left"/>
      <w:lvlText w:val="(%1)"/>
      <w:numFmt w:val="lowerRoman"/>
      <w:start w:val="1"/>
    </w:lvl>
    <w:lvl w:ilvl="1">
      <w:lvlJc w:val="left"/>
      <w:lvlText w:val="(%2)"/>
      <w:numFmt w:val="upperLetter"/>
      <w:start w:val="2"/>
    </w:lvl>
  </w:abstractNum>
  <w:abstractNum w:abstractNumId="294">
    <w:nsid w:val="3B1DD403"/>
    <w:multiLevelType w:val="hybridMultilevel"/>
    <w:lvl w:ilvl="0">
      <w:lvlJc w:val="left"/>
      <w:lvlText w:val="(%1)"/>
      <w:numFmt w:val="lowerLetter"/>
      <w:start w:val="4"/>
    </w:lvl>
  </w:abstractNum>
  <w:abstractNum w:abstractNumId="295">
    <w:nsid w:val="530386D1"/>
    <w:multiLevelType w:val="hybridMultilevel"/>
    <w:lvl w:ilvl="0">
      <w:lvlJc w:val="left"/>
      <w:lvlText w:val="(%1)"/>
      <w:numFmt w:val="lowerLetter"/>
      <w:start w:val="1"/>
    </w:lvl>
  </w:abstractNum>
  <w:abstractNum w:abstractNumId="296">
    <w:nsid w:val="7525F2BC"/>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297">
    <w:nsid w:val="CE8E1A7"/>
    <w:multiLevelType w:val="hybridMultilevel"/>
    <w:lvl w:ilvl="0">
      <w:lvlJc w:val="left"/>
      <w:lvlText w:val="(%1)"/>
      <w:numFmt w:val="lowerRoman"/>
      <w:start w:val="3"/>
    </w:lvl>
  </w:abstractNum>
  <w:abstractNum w:abstractNumId="298">
    <w:nsid w:val="4E9EFB0D"/>
    <w:multiLevelType w:val="hybridMultilevel"/>
    <w:lvl w:ilvl="0">
      <w:lvlJc w:val="left"/>
      <w:lvlText w:val="(%1)"/>
      <w:numFmt w:val="lowerRoman"/>
      <w:start w:val="1"/>
    </w:lvl>
  </w:abstractNum>
  <w:abstractNum w:abstractNumId="299">
    <w:nsid w:val="90802BE"/>
    <w:multiLevelType w:val="hybridMultilevel"/>
    <w:lvl w:ilvl="0">
      <w:lvlJc w:val="left"/>
      <w:lvlText w:val="(%1)"/>
      <w:numFmt w:val="lowerRoman"/>
      <w:start w:val="4"/>
    </w:lvl>
  </w:abstractNum>
  <w:abstractNum w:abstractNumId="300">
    <w:nsid w:val="3266459B"/>
    <w:multiLevelType w:val="hybridMultilevel"/>
    <w:lvl w:ilvl="0">
      <w:lvlJc w:val="left"/>
      <w:lvlText w:val="(%1)"/>
      <w:numFmt w:val="lowerLetter"/>
      <w:start w:val="11"/>
    </w:lvl>
  </w:abstractNum>
  <w:abstractNum w:abstractNumId="301">
    <w:nsid w:val="3F8B0CBF"/>
    <w:multiLevelType w:val="hybridMultilevel"/>
    <w:lvl w:ilvl="0">
      <w:lvlJc w:val="left"/>
      <w:lvlText w:val="(%1)"/>
      <w:numFmt w:val="lowerLetter"/>
      <w:start w:val="1"/>
    </w:lvl>
  </w:abstractNum>
  <w:abstractNum w:abstractNumId="302">
    <w:nsid w:val="37E203AB"/>
    <w:multiLevelType w:val="hybridMultilevel"/>
    <w:lvl w:ilvl="0">
      <w:lvlJc w:val="left"/>
      <w:lvlText w:val="(%1)"/>
      <w:numFmt w:val="lowerLetter"/>
      <w:start w:val="4"/>
    </w:lvl>
  </w:abstractNum>
  <w:abstractNum w:abstractNumId="303">
    <w:nsid w:val="2586D60E"/>
    <w:multiLevelType w:val="hybridMultilevel"/>
    <w:lvl w:ilvl="0">
      <w:lvlJc w:val="left"/>
      <w:lvlText w:val="(%1)"/>
      <w:numFmt w:val="lowerLetter"/>
      <w:start w:val="1"/>
    </w:lvl>
  </w:abstractNum>
  <w:abstractNum w:abstractNumId="304">
    <w:nsid w:val="1F3DA4D5"/>
    <w:multiLevelType w:val="hybridMultilevel"/>
    <w:lvl w:ilvl="0">
      <w:lvlJc w:val="left"/>
      <w:lvlText w:val="(%1)"/>
      <w:numFmt w:val="lowerLetter"/>
      <w:start w:val="1"/>
    </w:lvl>
  </w:abstractNum>
  <w:abstractNum w:abstractNumId="305">
    <w:nsid w:val="74C93698"/>
    <w:multiLevelType w:val="hybridMultilevel"/>
    <w:lvl w:ilvl="0">
      <w:lvlJc w:val="left"/>
      <w:lvlText w:val="(%1)"/>
      <w:numFmt w:val="lowerLetter"/>
      <w:start w:val="2"/>
    </w:lvl>
  </w:abstractNum>
  <w:abstractNum w:abstractNumId="306">
    <w:nsid w:val="48781401"/>
    <w:multiLevelType w:val="hybridMultilevel"/>
    <w:lvl w:ilvl="0">
      <w:lvlJc w:val="left"/>
      <w:lvlText w:val="(%1)"/>
      <w:numFmt w:val="lowerLetter"/>
      <w:start w:val="1"/>
    </w:lvl>
  </w:abstractNum>
  <w:abstractNum w:abstractNumId="307">
    <w:nsid w:val="186928D6"/>
    <w:multiLevelType w:val="hybridMultilevel"/>
    <w:lvl w:ilvl="0">
      <w:lvlJc w:val="left"/>
      <w:lvlText w:val="(%1)"/>
      <w:numFmt w:val="lowerLetter"/>
      <w:start w:val="1"/>
    </w:lvl>
  </w:abstractNum>
  <w:abstractNum w:abstractNumId="308">
    <w:nsid w:val="47195E5"/>
    <w:multiLevelType w:val="hybridMultilevel"/>
    <w:lvl w:ilvl="0">
      <w:lvlJc w:val="left"/>
      <w:lvlText w:val="(%1)"/>
      <w:numFmt w:val="lowerLetter"/>
      <w:start w:val="1"/>
    </w:lvl>
  </w:abstractNum>
  <w:abstractNum w:abstractNumId="309">
    <w:nsid w:val="3746A5F2"/>
    <w:multiLevelType w:val="hybridMultilevel"/>
    <w:lvl w:ilvl="0">
      <w:lvlJc w:val="left"/>
      <w:lvlText w:val="(%1)"/>
      <w:numFmt w:val="lowerRoman"/>
      <w:start w:val="2"/>
    </w:lvl>
  </w:abstractNum>
  <w:abstractNum w:abstractNumId="310">
    <w:nsid w:val="682DFED6"/>
    <w:multiLevelType w:val="hybridMultilevel"/>
    <w:lvl w:ilvl="0">
      <w:lvlJc w:val="left"/>
      <w:lvlText w:val="(%1)"/>
      <w:numFmt w:val="lowerLetter"/>
      <w:start w:val="1"/>
    </w:lvl>
  </w:abstractNum>
  <w:abstractNum w:abstractNumId="311">
    <w:nsid w:val="606ED7F6"/>
    <w:multiLevelType w:val="hybridMultilevel"/>
    <w:lvl w:ilvl="0">
      <w:lvlJc w:val="left"/>
      <w:lvlText w:val="(%1)"/>
      <w:numFmt w:val="lowerLetter"/>
      <w:start w:val="3"/>
    </w:lvl>
  </w:abstractNum>
  <w:abstractNum w:abstractNumId="312">
    <w:nsid w:val="2D9DF57D"/>
    <w:multiLevelType w:val="hybridMultilevel"/>
    <w:lvl w:ilvl="0">
      <w:lvlJc w:val="left"/>
      <w:lvlText w:val="(%1)"/>
      <w:numFmt w:val="lowerLetter"/>
      <w:start w:val="13"/>
    </w:lvl>
  </w:abstractNum>
  <w:abstractNum w:abstractNumId="313">
    <w:nsid w:val="7FBD7A3E"/>
    <w:multiLevelType w:val="hybridMultilevel"/>
    <w:lvl w:ilvl="0">
      <w:lvlJc w:val="left"/>
      <w:lvlText w:val="(%1)"/>
      <w:numFmt w:val="lowerLetter"/>
      <w:start w:val="1"/>
    </w:lvl>
  </w:abstractNum>
  <w:abstractNum w:abstractNumId="314">
    <w:nsid w:val="490B7C5"/>
    <w:multiLevelType w:val="hybridMultilevel"/>
    <w:lvl w:ilvl="0">
      <w:lvlJc w:val="left"/>
      <w:lvlText w:val="(%1)"/>
      <w:numFmt w:val="lowerLetter"/>
      <w:start w:val="3"/>
    </w:lvl>
  </w:abstractNum>
  <w:abstractNum w:abstractNumId="315">
    <w:nsid w:val="4303A216"/>
    <w:multiLevelType w:val="hybridMultilevel"/>
    <w:lvl w:ilvl="0">
      <w:lvlJc w:val="left"/>
      <w:lvlText w:val="(%1)"/>
      <w:numFmt w:val="lowerLetter"/>
      <w:start w:val="1"/>
    </w:lvl>
  </w:abstractNum>
  <w:abstractNum w:abstractNumId="316">
    <w:nsid w:val="19B8A08E"/>
    <w:multiLevelType w:val="hybridMultilevel"/>
    <w:lvl w:ilvl="0">
      <w:lvlJc w:val="left"/>
      <w:lvlText w:val="(%1)"/>
      <w:numFmt w:val="lowerLetter"/>
      <w:start w:val="4"/>
    </w:lvl>
  </w:abstractNum>
  <w:abstractNum w:abstractNumId="317">
    <w:nsid w:val="54B59621"/>
    <w:multiLevelType w:val="hybridMultilevel"/>
    <w:lvl w:ilvl="0">
      <w:lvlJc w:val="left"/>
      <w:lvlText w:val="(%1)"/>
      <w:numFmt w:val="lowerLetter"/>
      <w:start w:val="8"/>
    </w:lvl>
  </w:abstractNum>
  <w:abstractNum w:abstractNumId="318">
    <w:nsid w:val="5992A02E"/>
    <w:multiLevelType w:val="hybridMultilevel"/>
    <w:lvl w:ilvl="0">
      <w:lvlJc w:val="left"/>
      <w:lvlText w:val="(%1)"/>
      <w:numFmt w:val="lowerLetter"/>
      <w:start w:val="1"/>
    </w:lvl>
  </w:abstractNum>
  <w:abstractNum w:abstractNumId="319">
    <w:nsid w:val="29EF532D"/>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1"/>
    </w:lvl>
  </w:abstractNum>
  <w:abstractNum w:abstractNumId="320">
    <w:nsid w:val="71D601AF"/>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321">
    <w:nsid w:val="52C77402"/>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322">
    <w:nsid w:val="2BB5B1C6"/>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23">
    <w:nsid w:val="66BE6B9"/>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324">
    <w:nsid w:val="62234363"/>
    <w:multiLevelType w:val="hybridMultilevel"/>
    <w:lvl w:ilvl="0">
      <w:lvlJc w:val="left"/>
      <w:lvlText w:val="(%1)"/>
      <w:numFmt w:val="lowerLetter"/>
      <w:start w:val="1"/>
    </w:lvl>
  </w:abstractNum>
  <w:abstractNum w:abstractNumId="325">
    <w:nsid w:val="66D385C9"/>
    <w:multiLevelType w:val="hybridMultilevel"/>
    <w:lvl w:ilvl="0">
      <w:lvlJc w:val="left"/>
      <w:lvlText w:val="(%1)"/>
      <w:numFmt w:val="lowerLetter"/>
      <w:start w:val="3"/>
    </w:lvl>
  </w:abstractNum>
  <w:abstractNum w:abstractNumId="326">
    <w:nsid w:val="596F6D8A"/>
    <w:multiLevelType w:val="hybridMultilevel"/>
    <w:lvl w:ilvl="0">
      <w:lvlJc w:val="left"/>
      <w:lvlText w:val="(%1)"/>
      <w:numFmt w:val="lowerLetter"/>
      <w:start w:val="1"/>
    </w:lvl>
  </w:abstractNum>
  <w:abstractNum w:abstractNumId="327">
    <w:nsid w:val="5749361F"/>
    <w:multiLevelType w:val="hybridMultilevel"/>
    <w:lvl w:ilvl="0">
      <w:lvlJc w:val="left"/>
      <w:lvlText w:val="(%1)"/>
      <w:numFmt w:val="lowerLetter"/>
      <w:start w:val="1"/>
    </w:lvl>
  </w:abstractNum>
  <w:abstractNum w:abstractNumId="328">
    <w:nsid w:val="73BC6770"/>
    <w:multiLevelType w:val="hybridMultilevel"/>
    <w:lvl w:ilvl="0">
      <w:lvlJc w:val="left"/>
      <w:lvlText w:val="(%1)"/>
      <w:numFmt w:val="lowerRoman"/>
      <w:start w:val="1"/>
    </w:lvl>
  </w:abstractNum>
  <w:abstractNum w:abstractNumId="329">
    <w:nsid w:val="280E6897"/>
    <w:multiLevelType w:val="hybridMultilevel"/>
    <w:lvl w:ilvl="0">
      <w:lvlJc w:val="left"/>
      <w:lvlText w:val="(%1)"/>
      <w:numFmt w:val="lowerLetter"/>
      <w:start w:val="2"/>
    </w:lvl>
  </w:abstractNum>
  <w:abstractNum w:abstractNumId="330">
    <w:nsid w:val="605138DE"/>
    <w:multiLevelType w:val="hybridMultilevel"/>
    <w:lvl w:ilvl="0">
      <w:lvlJc w:val="left"/>
      <w:lvlText w:val="(%1)"/>
      <w:numFmt w:val="lowerLetter"/>
      <w:start w:val="1"/>
    </w:lvl>
  </w:abstractNum>
  <w:abstractNum w:abstractNumId="331">
    <w:nsid w:val="2622AD0C"/>
    <w:multiLevelType w:val="hybridMultilevel"/>
    <w:lvl w:ilvl="0">
      <w:lvlJc w:val="left"/>
      <w:lvlText w:val="(%1)"/>
      <w:numFmt w:val="lowerRoman"/>
      <w:start w:val="1"/>
    </w:lvl>
  </w:abstractNum>
  <w:abstractNum w:abstractNumId="332">
    <w:nsid w:val="67997556"/>
    <w:multiLevelType w:val="hybridMultilevel"/>
    <w:lvl w:ilvl="0">
      <w:lvlJc w:val="left"/>
      <w:lvlText w:val="(%1)"/>
      <w:numFmt w:val="lowerRoman"/>
      <w:start w:val="3"/>
    </w:lvl>
  </w:abstractNum>
  <w:abstractNum w:abstractNumId="333">
    <w:nsid w:val="18333C89"/>
    <w:multiLevelType w:val="hybridMultilevel"/>
    <w:lvl w:ilvl="0">
      <w:lvlJc w:val="left"/>
      <w:lvlText w:val="(%1)"/>
      <w:numFmt w:val="lowerLetter"/>
      <w:start w:val="2"/>
    </w:lvl>
  </w:abstractNum>
  <w:abstractNum w:abstractNumId="334">
    <w:nsid w:val="4BA9831A"/>
    <w:multiLevelType w:val="hybridMultilevel"/>
    <w:lvl w:ilvl="0">
      <w:lvlJc w:val="left"/>
      <w:lvlText w:val="(%1)"/>
      <w:numFmt w:val="lowerLetter"/>
      <w:start w:val="1"/>
    </w:lvl>
  </w:abstractNum>
  <w:abstractNum w:abstractNumId="335">
    <w:nsid w:val="6D71A2B"/>
    <w:multiLevelType w:val="hybridMultilevel"/>
    <w:lvl w:ilvl="0">
      <w:lvlJc w:val="left"/>
      <w:lvlText w:val="(%1)"/>
      <w:numFmt w:val="lowerLetter"/>
      <w:start w:val="2"/>
    </w:lvl>
  </w:abstractNum>
  <w:abstractNum w:abstractNumId="336">
    <w:nsid w:val="CFC7321"/>
    <w:multiLevelType w:val="hybridMultilevel"/>
    <w:lvl w:ilvl="0">
      <w:lvlJc w:val="left"/>
      <w:lvlText w:val="(%1)"/>
      <w:numFmt w:val="lowerLetter"/>
      <w:start w:val="1"/>
    </w:lvl>
  </w:abstractNum>
  <w:abstractNum w:abstractNumId="337">
    <w:nsid w:val="1421971B"/>
    <w:multiLevelType w:val="hybridMultilevel"/>
    <w:lvl w:ilvl="0">
      <w:lvlJc w:val="left"/>
      <w:lvlText w:val="(%1)"/>
      <w:numFmt w:val="lowerLetter"/>
      <w:start w:val="1"/>
    </w:lvl>
  </w:abstractNum>
  <w:abstractNum w:abstractNumId="338">
    <w:nsid w:val="1F404301"/>
    <w:multiLevelType w:val="hybridMultilevel"/>
    <w:lvl w:ilvl="0">
      <w:lvlJc w:val="left"/>
      <w:lvlText w:val="(%1)"/>
      <w:numFmt w:val="lowerLetter"/>
      <w:start w:val="1"/>
    </w:lvl>
  </w:abstractNum>
  <w:abstractNum w:abstractNumId="339">
    <w:nsid w:val="116E0907"/>
    <w:multiLevelType w:val="hybridMultilevel"/>
    <w:lvl w:ilvl="0">
      <w:lvlJc w:val="left"/>
      <w:lvlText w:val="(%1)"/>
      <w:numFmt w:val="lowerRoman"/>
      <w:start w:val="1"/>
    </w:lvl>
  </w:abstractNum>
  <w:abstractNum w:abstractNumId="340">
    <w:nsid w:val="4B683D0D"/>
    <w:multiLevelType w:val="hybridMultilevel"/>
    <w:lvl w:ilvl="0">
      <w:lvlJc w:val="left"/>
      <w:lvlText w:val="(%1)"/>
      <w:numFmt w:val="lowerRoman"/>
      <w:start w:val="2"/>
    </w:lvl>
  </w:abstractNum>
  <w:abstractNum w:abstractNumId="341">
    <w:nsid w:val="76E41D8"/>
    <w:multiLevelType w:val="hybridMultilevel"/>
    <w:lvl w:ilvl="0">
      <w:lvlJc w:val="left"/>
      <w:lvlText w:val="(%1)"/>
      <w:numFmt w:val="lowerRoman"/>
      <w:start w:val="3"/>
    </w:lvl>
  </w:abstractNum>
  <w:abstractNum w:abstractNumId="342">
    <w:nsid w:val="71DCE0FD"/>
    <w:multiLevelType w:val="hybridMultilevel"/>
    <w:lvl w:ilvl="0">
      <w:lvlJc w:val="left"/>
      <w:lvlText w:val="(%1)"/>
      <w:numFmt w:val="lowerLetter"/>
      <w:start w:val="2"/>
    </w:lvl>
  </w:abstractNum>
  <w:abstractNum w:abstractNumId="343">
    <w:nsid w:val="7906328B"/>
    <w:multiLevelType w:val="hybridMultilevel"/>
    <w:lvl w:ilvl="0">
      <w:lvlJc w:val="left"/>
      <w:lvlText w:val="(%1)"/>
      <w:numFmt w:val="lowerLetter"/>
      <w:start w:val="4"/>
    </w:lvl>
  </w:abstractNum>
  <w:abstractNum w:abstractNumId="344">
    <w:nsid w:val="72BBC16"/>
    <w:multiLevelType w:val="hybridMultilevel"/>
    <w:lvl w:ilvl="0">
      <w:lvlJc w:val="left"/>
      <w:lvlText w:val="(%1)"/>
      <w:numFmt w:val="lowerRoman"/>
      <w:start w:val="1"/>
    </w:lvl>
  </w:abstractNum>
  <w:abstractNum w:abstractNumId="345">
    <w:nsid w:val="766D98C2"/>
    <w:multiLevelType w:val="hybridMultilevel"/>
    <w:lvl w:ilvl="0">
      <w:lvlJc w:val="left"/>
      <w:lvlText w:val="(%1)"/>
      <w:numFmt w:val="lowerLetter"/>
      <w:start w:val="1"/>
    </w:lvl>
  </w:abstractNum>
  <w:abstractNum w:abstractNumId="346">
    <w:nsid w:val="3C09D4A1"/>
    <w:multiLevelType w:val="hybridMultilevel"/>
    <w:lvl w:ilvl="0">
      <w:lvlJc w:val="left"/>
      <w:lvlText w:val="(%1)"/>
      <w:numFmt w:val="lowerLetter"/>
      <w:start w:val="2"/>
    </w:lvl>
  </w:abstractNum>
  <w:abstractNum w:abstractNumId="347">
    <w:nsid w:val="20E45CA4"/>
    <w:multiLevelType w:val="hybridMultilevel"/>
    <w:lvl w:ilvl="0">
      <w:lvlJc w:val="left"/>
      <w:lvlText w:val="(%1)"/>
      <w:numFmt w:val="lowerLetter"/>
      <w:start w:val="1"/>
    </w:lvl>
  </w:abstractNum>
  <w:abstractNum w:abstractNumId="348">
    <w:nsid w:val="4B232EE3"/>
    <w:multiLevelType w:val="hybridMultilevel"/>
    <w:lvl w:ilvl="0">
      <w:lvlJc w:val="left"/>
      <w:lvlText w:val="(%1)"/>
      <w:numFmt w:val="lowerLetter"/>
      <w:start w:val="3"/>
    </w:lvl>
  </w:abstractNum>
  <w:abstractNum w:abstractNumId="349">
    <w:nsid w:val="159C74CF"/>
    <w:multiLevelType w:val="hybridMultilevel"/>
    <w:lvl w:ilvl="0">
      <w:lvlJc w:val="left"/>
      <w:lvlText w:val="(%1)"/>
      <w:numFmt w:val="lowerLetter"/>
      <w:start w:val="1"/>
    </w:lvl>
  </w:abstractNum>
  <w:abstractNum w:abstractNumId="350">
    <w:nsid w:val="4AD3AFD2"/>
    <w:multiLevelType w:val="hybridMultilevel"/>
    <w:lvl w:ilvl="0">
      <w:lvlJc w:val="left"/>
      <w:lvlText w:val="(%1)"/>
      <w:numFmt w:val="lowerLetter"/>
      <w:start w:val="2"/>
    </w:lvl>
    <w:lvl w:ilvl="1">
      <w:lvlJc w:val="left"/>
      <w:lvlText w:val="(%2)"/>
      <w:numFmt w:val="upperLetter"/>
      <w:start w:val="1"/>
    </w:lvl>
  </w:abstractNum>
  <w:abstractNum w:abstractNumId="351">
    <w:nsid w:val="3CF93092"/>
    <w:multiLevelType w:val="hybridMultilevel"/>
    <w:lvl w:ilvl="0">
      <w:lvlJc w:val="left"/>
      <w:lvlText w:val="(%1)"/>
      <w:numFmt w:val="lowerRoman"/>
      <w:start w:val="2"/>
    </w:lvl>
    <w:lvl w:ilvl="1">
      <w:lvlJc w:val="left"/>
      <w:lvlText w:val="(%2)"/>
      <w:numFmt w:val="upperLetter"/>
      <w:start w:val="1"/>
    </w:lvl>
  </w:abstractNum>
  <w:abstractNum w:abstractNumId="352">
    <w:nsid w:val="6863E8D2"/>
    <w:multiLevelType w:val="hybridMultilevel"/>
    <w:lvl w:ilvl="0">
      <w:lvlJc w:val="left"/>
      <w:lvlText w:val="%1"/>
      <w:numFmt w:val="lowerRoman"/>
      <w:start w:val="1"/>
    </w:lvl>
    <w:lvl w:ilvl="1">
      <w:lvlJc w:val="left"/>
      <w:lvlText w:val="(%2)"/>
      <w:numFmt w:val="upperLetter"/>
      <w:start w:val="5"/>
    </w:lvl>
  </w:abstractNum>
  <w:abstractNum w:abstractNumId="353">
    <w:nsid w:val="76896198"/>
    <w:multiLevelType w:val="hybridMultilevel"/>
    <w:lvl w:ilvl="0">
      <w:lvlJc w:val="left"/>
      <w:lvlText w:val="(%1)"/>
      <w:numFmt w:val="lowerRoman"/>
      <w:start w:val="3"/>
    </w:lvl>
    <w:lvl w:ilvl="1">
      <w:lvlJc w:val="left"/>
      <w:lvlText w:val="%2"/>
      <w:numFmt w:val="upperLetter"/>
      <w:start w:val="1"/>
    </w:lvl>
  </w:abstractNum>
  <w:abstractNum w:abstractNumId="354">
    <w:nsid w:val="4365174B"/>
    <w:multiLevelType w:val="hybridMultilevel"/>
    <w:lvl w:ilvl="0">
      <w:lvlJc w:val="left"/>
      <w:lvlText w:val="(%1)"/>
      <w:numFmt w:val="lowerLetter"/>
      <w:start w:val="3"/>
    </w:lvl>
  </w:abstractNum>
  <w:abstractNum w:abstractNumId="355">
    <w:nsid w:val="4A872C35"/>
    <w:multiLevelType w:val="hybridMultilevel"/>
    <w:lvl w:ilvl="0">
      <w:lvlJc w:val="left"/>
      <w:lvlText w:val="(%1)"/>
      <w:numFmt w:val="lowerLetter"/>
      <w:start w:val="4"/>
    </w:lvl>
  </w:abstractNum>
  <w:abstractNum w:abstractNumId="356">
    <w:nsid w:val="5D5CE761"/>
    <w:multiLevelType w:val="hybridMultilevel"/>
    <w:lvl w:ilvl="0">
      <w:lvlJc w:val="left"/>
      <w:lvlText w:val="(%1)"/>
      <w:numFmt w:val="lowerRoman"/>
      <w:start w:val="1"/>
    </w:lvl>
  </w:abstractNum>
  <w:abstractNum w:abstractNumId="357">
    <w:nsid w:val="1CD484D5"/>
    <w:multiLevelType w:val="hybridMultilevel"/>
    <w:lvl w:ilvl="0">
      <w:lvlJc w:val="left"/>
      <w:lvlText w:val="(%1)"/>
      <w:numFmt w:val="lowerLetter"/>
      <w:start w:val="1"/>
    </w:lvl>
  </w:abstractNum>
  <w:abstractNum w:abstractNumId="358">
    <w:nsid w:val="21D06255"/>
    <w:multiLevelType w:val="hybridMultilevel"/>
    <w:lvl w:ilvl="0">
      <w:lvlJc w:val="left"/>
      <w:lvlText w:val="(%1)"/>
      <w:numFmt w:val="lowerLetter"/>
      <w:start w:val="1"/>
    </w:lvl>
  </w:abstractNum>
  <w:abstractNum w:abstractNumId="359">
    <w:nsid w:val="51194ED1"/>
    <w:multiLevelType w:val="hybridMultilevel"/>
    <w:lvl w:ilvl="0">
      <w:lvlJc w:val="left"/>
      <w:lvlText w:val="(%1)"/>
      <w:numFmt w:val="lowerLetter"/>
      <w:start w:val="3"/>
    </w:lvl>
  </w:abstractNum>
  <w:abstractNum w:abstractNumId="360">
    <w:nsid w:val="44E2ED6C"/>
    <w:multiLevelType w:val="hybridMultilevel"/>
    <w:lvl w:ilvl="0">
      <w:lvlJc w:val="left"/>
      <w:lvlText w:val="%1"/>
      <w:numFmt w:val="lowerLetter"/>
      <w:start w:val="1"/>
    </w:lvl>
    <w:lvl w:ilvl="1">
      <w:lvlJc w:val="left"/>
      <w:lvlText w:val="(%2)"/>
      <w:numFmt w:val="lowerLetter"/>
      <w:start w:val="1"/>
    </w:lvl>
  </w:abstractNum>
  <w:abstractNum w:abstractNumId="361">
    <w:nsid w:val="2219B33"/>
    <w:multiLevelType w:val="hybridMultilevel"/>
    <w:lvl w:ilvl="0">
      <w:lvlJc w:val="left"/>
      <w:lvlText w:val="(%1)"/>
      <w:numFmt w:val="lowerLetter"/>
      <w:start w:val="61"/>
    </w:lvl>
    <w:lvl w:ilvl="1">
      <w:lvlJc w:val="left"/>
      <w:lvlText w:val="(%2)"/>
      <w:numFmt w:val="lowerLetter"/>
      <w:start w:val="2"/>
    </w:lvl>
  </w:abstractNum>
  <w:abstractNum w:abstractNumId="362">
    <w:nsid w:val="773BFBDD"/>
    <w:multiLevelType w:val="hybridMultilevel"/>
    <w:lvl w:ilvl="0">
      <w:lvlJc w:val="left"/>
      <w:lvlText w:val="(%1)"/>
      <w:numFmt w:val="lowerLetter"/>
      <w:start w:val="1"/>
    </w:lvl>
  </w:abstractNum>
  <w:abstractNum w:abstractNumId="363">
    <w:nsid w:val="2C7C62C2"/>
    <w:multiLevelType w:val="hybridMultilevel"/>
    <w:lvl w:ilvl="0">
      <w:lvlJc w:val="left"/>
      <w:lvlText w:val="(%1)"/>
      <w:numFmt w:val="lowerLetter"/>
      <w:start w:val="2"/>
    </w:lvl>
  </w:abstractNum>
  <w:abstractNum w:abstractNumId="364">
    <w:nsid w:val="1A54D7BC"/>
    <w:multiLevelType w:val="hybridMultilevel"/>
    <w:lvl w:ilvl="0">
      <w:lvlJc w:val="left"/>
      <w:lvlText w:val="(%1)"/>
      <w:numFmt w:val="lowerLetter"/>
      <w:start w:val="1"/>
    </w:lvl>
  </w:abstractNum>
  <w:abstractNum w:abstractNumId="365">
    <w:nsid w:val="42E57EF7"/>
    <w:multiLevelType w:val="hybridMultilevel"/>
    <w:lvl w:ilvl="0">
      <w:lvlJc w:val="left"/>
      <w:lvlText w:val="(%1)"/>
      <w:numFmt w:val="lowerRoman"/>
      <w:start w:val="1"/>
    </w:lvl>
  </w:abstractNum>
  <w:abstractNum w:abstractNumId="366">
    <w:nsid w:val="33537CED"/>
    <w:multiLevelType w:val="hybridMultilevel"/>
    <w:lvl w:ilvl="0">
      <w:lvlJc w:val="left"/>
      <w:lvlText w:val="(%1)"/>
      <w:numFmt w:val="lowerRoman"/>
      <w:start w:val="2"/>
    </w:lvl>
  </w:abstractNum>
  <w:abstractNum w:abstractNumId="367">
    <w:nsid w:val="27514ADE"/>
    <w:multiLevelType w:val="hybridMultilevel"/>
    <w:lvl w:ilvl="0">
      <w:lvlJc w:val="left"/>
      <w:lvlText w:val="(%1)"/>
      <w:numFmt w:val="lowerLetter"/>
      <w:start w:val="1"/>
    </w:lvl>
  </w:abstractNum>
  <w:abstractNum w:abstractNumId="368">
    <w:nsid w:val="57071613"/>
    <w:multiLevelType w:val="hybridMultilevel"/>
    <w:lvl w:ilvl="0">
      <w:lvlJc w:val="left"/>
      <w:lvlText w:val="(%1)"/>
      <w:numFmt w:val="lowerLetter"/>
      <w:start w:val="3"/>
    </w:lvl>
  </w:abstractNum>
  <w:abstractNum w:abstractNumId="369">
    <w:nsid w:val="5293BFEF"/>
    <w:multiLevelType w:val="hybridMultilevel"/>
    <w:lvl w:ilvl="0">
      <w:lvlJc w:val="left"/>
      <w:lvlText w:val="%1."/>
      <w:numFmt w:val="decimal"/>
      <w:start w:val="1"/>
    </w:lvl>
    <w:lvl w:ilvl="1">
      <w:lvlJc w:val="left"/>
      <w:lvlText w:val="%2)"/>
      <w:numFmt w:val="lowerLetter"/>
      <w:start w:val="1"/>
    </w:lvl>
  </w:abstractNum>
  <w:abstractNum w:abstractNumId="370">
    <w:nsid w:val="38BF53E5"/>
    <w:multiLevelType w:val="hybridMultilevel"/>
    <w:lvl w:ilvl="0">
      <w:lvlJc w:val="left"/>
      <w:lvlText w:val="%1."/>
      <w:numFmt w:val="decimal"/>
      <w:start w:val="1"/>
    </w:lvl>
    <w:lvl w:ilvl="1">
      <w:lvlJc w:val="left"/>
      <w:lvlText w:val="%2)"/>
      <w:numFmt w:val="lowerLetter"/>
      <w:start w:val="1"/>
    </w:lvl>
  </w:abstractNum>
  <w:abstractNum w:abstractNumId="371">
    <w:nsid w:val="226F532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jpe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png"/><Relationship Id="rId564" Type="http://schemas.openxmlformats.org/officeDocument/2006/relationships/image" Target="media/image556.png"/><Relationship Id="rId565" Type="http://schemas.openxmlformats.org/officeDocument/2006/relationships/image" Target="media/image557.pn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png"/><Relationship Id="rId604" Type="http://schemas.openxmlformats.org/officeDocument/2006/relationships/image" Target="media/image596.pn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247" Type="http://schemas.openxmlformats.org/officeDocument/2006/relationships/hyperlink" Target="https://www.sec.gov/Archives/edgar/data/16040/000119312509022614/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2023-08-08T14:11:09Z</dcterms:created>
  <dcterms:modified xsi:type="dcterms:W3CDTF">2023-08-08T14:11:09Z</dcterms:modified>
</cp:coreProperties>
</file>