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Washington, D.C. 20549</w:t>
      </w:r>
    </w:p>
    <w:p>
      <w:pPr>
        <w:spacing w:after="0" w:line="45" w:lineRule="exact"/>
        <w:rPr>
          <w:sz w:val="24"/>
          <w:szCs w:val="24"/>
          <w:color w:val="auto"/>
        </w:rPr>
      </w:pPr>
    </w:p>
    <w:p>
      <w:pPr>
        <w:jc w:val="center"/>
        <w:ind w:right="-19"/>
        <w:spacing w:after="0"/>
        <w:rPr>
          <w:sz w:val="20"/>
          <w:szCs w:val="20"/>
          <w:color w:val="auto"/>
        </w:rPr>
      </w:pPr>
      <w:r>
        <w:rPr>
          <w:rFonts w:ascii="Calibri" w:cs="Calibri" w:eastAsia="Calibri" w:hAnsi="Calibri"/>
          <w:sz w:val="23"/>
          <w:szCs w:val="23"/>
          <w:b w:val="1"/>
          <w:bCs w:val="1"/>
          <w:color w:val="auto"/>
        </w:rPr>
        <w:t>Form 10-K</w:t>
      </w:r>
    </w:p>
    <w:p>
      <w:pPr>
        <w:spacing w:after="0" w:line="41" w:lineRule="exact"/>
        <w:rPr>
          <w:sz w:val="24"/>
          <w:szCs w:val="24"/>
          <w:color w:val="auto"/>
        </w:rPr>
      </w:pPr>
    </w:p>
    <w:p>
      <w:pPr>
        <w:ind w:left="3980" w:right="3520" w:hanging="3959"/>
        <w:spacing w:after="0" w:line="235" w:lineRule="auto"/>
        <w:tabs>
          <w:tab w:leader="none" w:pos="59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ANNUAL REPORT PURSUANT TO SECTION 13 OR 15(d) OF THE SECURITIES EXCHANGE ACT OF 1934 For the fscal year ended September 30, 2024</w:t>
      </w:r>
    </w:p>
    <w:p>
      <w:pPr>
        <w:spacing w:after="0" w:line="36" w:lineRule="exact"/>
        <w:rPr>
          <w:sz w:val="24"/>
          <w:szCs w:val="24"/>
          <w:color w:val="auto"/>
        </w:rPr>
      </w:pPr>
    </w:p>
    <w:p>
      <w:pPr>
        <w:jc w:val="center"/>
        <w:ind w:right="-19"/>
        <w:spacing w:after="0"/>
        <w:rPr>
          <w:sz w:val="20"/>
          <w:szCs w:val="20"/>
          <w:color w:val="auto"/>
        </w:rPr>
      </w:pPr>
      <w:r>
        <w:rPr>
          <w:rFonts w:ascii="Calibri" w:cs="Calibri" w:eastAsia="Calibri" w:hAnsi="Calibri"/>
          <w:sz w:val="14"/>
          <w:szCs w:val="14"/>
          <w:b w:val="1"/>
          <w:bCs w:val="1"/>
          <w:color w:val="auto"/>
        </w:rPr>
        <w:t>or</w:t>
      </w:r>
    </w:p>
    <w:p>
      <w:pPr>
        <w:ind w:left="600" w:hanging="579"/>
        <w:spacing w:after="0" w:line="181" w:lineRule="auto"/>
        <w:tabs>
          <w:tab w:leader="none" w:pos="600" w:val="left"/>
        </w:tabs>
        <w:numPr>
          <w:ilvl w:val="0"/>
          <w:numId w:val="2"/>
        </w:numPr>
        <w:rPr>
          <w:rFonts w:ascii="MS PGothic" w:cs="MS PGothic" w:eastAsia="MS PGothic" w:hAnsi="MS PGothic"/>
          <w:sz w:val="6"/>
          <w:szCs w:val="6"/>
          <w:color w:val="auto"/>
        </w:rPr>
      </w:pPr>
      <w:r>
        <w:rPr>
          <w:rFonts w:ascii="Calibri" w:cs="Calibri" w:eastAsia="Calibri" w:hAnsi="Calibri"/>
          <w:sz w:val="6"/>
          <w:szCs w:val="6"/>
          <w:b w:val="1"/>
          <w:bCs w:val="1"/>
          <w:color w:val="auto"/>
        </w:rPr>
        <w:t>TRANSITION REPORT PURSUANT TO SECTION 13 OR 15(d) OF THE SECURITIES EXCHANGE ACT OF 1934</w:t>
      </w:r>
    </w:p>
    <w:p>
      <w:pPr>
        <w:spacing w:after="0" w:line="194" w:lineRule="exact"/>
        <w:rPr>
          <w:sz w:val="24"/>
          <w:szCs w:val="24"/>
          <w:color w:val="auto"/>
        </w:rPr>
      </w:pPr>
    </w:p>
    <w:p>
      <w:pPr>
        <w:ind w:left="3820"/>
        <w:spacing w:after="0"/>
        <w:tabs>
          <w:tab w:leader="none" w:pos="6620" w:val="left"/>
        </w:tabs>
        <w:rPr>
          <w:sz w:val="20"/>
          <w:szCs w:val="20"/>
          <w:color w:val="auto"/>
        </w:rPr>
      </w:pPr>
      <w:r>
        <w:rPr>
          <w:rFonts w:ascii="Calibri" w:cs="Calibri" w:eastAsia="Calibri" w:hAnsi="Calibri"/>
          <w:sz w:val="18"/>
          <w:szCs w:val="18"/>
          <w:b w:val="1"/>
          <w:bCs w:val="1"/>
          <w:color w:val="auto"/>
        </w:rPr>
        <w:t>For the transiton period from</w:t>
      </w:r>
      <w:r>
        <w:rPr>
          <w:sz w:val="20"/>
          <w:szCs w:val="20"/>
          <w:color w:val="auto"/>
        </w:rPr>
        <w:tab/>
      </w:r>
      <w:r>
        <w:rPr>
          <w:rFonts w:ascii="Calibri" w:cs="Calibri" w:eastAsia="Calibri" w:hAnsi="Calibri"/>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Commission File Number 1-5667</w:t>
      </w:r>
    </w:p>
    <w:p>
      <w:pPr>
        <w:spacing w:after="0" w:line="9" w:lineRule="exact"/>
        <w:rPr>
          <w:sz w:val="24"/>
          <w:szCs w:val="24"/>
          <w:color w:val="auto"/>
        </w:rPr>
      </w:pPr>
    </w:p>
    <w:tbl>
      <w:tblPr>
        <w:tblLayout w:type="fixed"/>
        <w:tblInd w:w="1460" w:type="dxa"/>
        <w:tblCellMar>
          <w:top w:w="0" w:type="dxa"/>
          <w:left w:w="0" w:type="dxa"/>
          <w:bottom w:w="0" w:type="dxa"/>
          <w:right w:w="0" w:type="dxa"/>
        </w:tblCellMar>
      </w:tblPr>
      <w:tr>
        <w:trPr>
          <w:trHeight w:val="354"/>
        </w:trPr>
        <w:tc>
          <w:tcPr>
            <w:tcW w:w="6180" w:type="dxa"/>
            <w:vAlign w:val="bottom"/>
          </w:tcPr>
          <w:p>
            <w:pPr>
              <w:jc w:val="center"/>
              <w:ind w:left="2043"/>
              <w:spacing w:after="0"/>
              <w:rPr>
                <w:sz w:val="20"/>
                <w:szCs w:val="20"/>
                <w:color w:val="auto"/>
              </w:rPr>
            </w:pPr>
            <w:r>
              <w:rPr>
                <w:rFonts w:ascii="Calibri" w:cs="Calibri" w:eastAsia="Calibri" w:hAnsi="Calibri"/>
                <w:sz w:val="29"/>
                <w:szCs w:val="29"/>
                <w:b w:val="1"/>
                <w:bCs w:val="1"/>
                <w:color w:val="auto"/>
              </w:rPr>
              <w:t>Cabot Corporaton</w:t>
            </w:r>
          </w:p>
        </w:tc>
        <w:tc>
          <w:tcPr>
            <w:tcW w:w="1440" w:type="dxa"/>
            <w:vAlign w:val="bottom"/>
          </w:tcPr>
          <w:p>
            <w:pPr>
              <w:spacing w:after="0"/>
              <w:rPr>
                <w:sz w:val="24"/>
                <w:szCs w:val="24"/>
                <w:color w:val="auto"/>
              </w:rPr>
            </w:pPr>
          </w:p>
        </w:tc>
      </w:tr>
      <w:tr>
        <w:trPr>
          <w:trHeight w:val="271"/>
        </w:trPr>
        <w:tc>
          <w:tcPr>
            <w:tcW w:w="6180" w:type="dxa"/>
            <w:vAlign w:val="bottom"/>
          </w:tcPr>
          <w:p>
            <w:pPr>
              <w:jc w:val="center"/>
              <w:ind w:left="2063"/>
              <w:spacing w:after="0"/>
              <w:rPr>
                <w:sz w:val="20"/>
                <w:szCs w:val="20"/>
                <w:color w:val="auto"/>
              </w:rPr>
            </w:pPr>
            <w:r>
              <w:rPr>
                <w:rFonts w:ascii="Calibri" w:cs="Calibri" w:eastAsia="Calibri" w:hAnsi="Calibri"/>
                <w:sz w:val="18"/>
                <w:szCs w:val="18"/>
                <w:i w:val="1"/>
                <w:iCs w:val="1"/>
                <w:color w:val="auto"/>
                <w:w w:val="98"/>
              </w:rPr>
              <w:t>(Exact name of Registrant as specifed in its Charter)</w:t>
            </w:r>
          </w:p>
        </w:tc>
        <w:tc>
          <w:tcPr>
            <w:tcW w:w="1440" w:type="dxa"/>
            <w:vAlign w:val="bottom"/>
          </w:tcPr>
          <w:p>
            <w:pPr>
              <w:spacing w:after="0"/>
              <w:rPr>
                <w:sz w:val="23"/>
                <w:szCs w:val="23"/>
                <w:color w:val="auto"/>
              </w:rPr>
            </w:pPr>
          </w:p>
        </w:tc>
      </w:tr>
      <w:tr>
        <w:trPr>
          <w:trHeight w:val="270"/>
        </w:trPr>
        <w:tc>
          <w:tcPr>
            <w:tcW w:w="6180" w:type="dxa"/>
            <w:vAlign w:val="bottom"/>
          </w:tcPr>
          <w:p>
            <w:pPr>
              <w:jc w:val="center"/>
              <w:ind w:right="3363"/>
              <w:spacing w:after="0"/>
              <w:rPr>
                <w:sz w:val="20"/>
                <w:szCs w:val="20"/>
                <w:color w:val="auto"/>
              </w:rPr>
            </w:pPr>
            <w:r>
              <w:rPr>
                <w:rFonts w:ascii="Calibri" w:cs="Calibri" w:eastAsia="Calibri" w:hAnsi="Calibri"/>
                <w:sz w:val="18"/>
                <w:szCs w:val="18"/>
                <w:b w:val="1"/>
                <w:bCs w:val="1"/>
                <w:color w:val="auto"/>
                <w:w w:val="95"/>
              </w:rPr>
              <w:t>Delaware</w:t>
            </w:r>
          </w:p>
        </w:tc>
        <w:tc>
          <w:tcPr>
            <w:tcW w:w="1440" w:type="dxa"/>
            <w:vAlign w:val="bottom"/>
          </w:tcPr>
          <w:p>
            <w:pPr>
              <w:jc w:val="right"/>
              <w:ind w:right="130"/>
              <w:spacing w:after="0"/>
              <w:rPr>
                <w:sz w:val="20"/>
                <w:szCs w:val="20"/>
                <w:color w:val="auto"/>
              </w:rPr>
            </w:pPr>
            <w:r>
              <w:rPr>
                <w:rFonts w:ascii="Calibri" w:cs="Calibri" w:eastAsia="Calibri" w:hAnsi="Calibri"/>
                <w:sz w:val="18"/>
                <w:szCs w:val="18"/>
                <w:b w:val="1"/>
                <w:bCs w:val="1"/>
                <w:color w:val="auto"/>
              </w:rPr>
              <w:t>04-2271897</w:t>
            </w:r>
          </w:p>
        </w:tc>
      </w:tr>
      <w:tr>
        <w:trPr>
          <w:trHeight w:val="216"/>
        </w:trPr>
        <w:tc>
          <w:tcPr>
            <w:tcW w:w="6180" w:type="dxa"/>
            <w:vAlign w:val="bottom"/>
          </w:tcPr>
          <w:p>
            <w:pPr>
              <w:jc w:val="center"/>
              <w:ind w:right="3363"/>
              <w:spacing w:after="0" w:line="216" w:lineRule="exact"/>
              <w:rPr>
                <w:sz w:val="20"/>
                <w:szCs w:val="20"/>
                <w:color w:val="auto"/>
              </w:rPr>
            </w:pPr>
            <w:r>
              <w:rPr>
                <w:rFonts w:ascii="Calibri" w:cs="Calibri" w:eastAsia="Calibri" w:hAnsi="Calibri"/>
                <w:sz w:val="18"/>
                <w:szCs w:val="18"/>
                <w:i w:val="1"/>
                <w:iCs w:val="1"/>
                <w:color w:val="auto"/>
                <w:w w:val="99"/>
              </w:rPr>
              <w:t>(State or other jurisdicton of</w:t>
            </w:r>
          </w:p>
        </w:tc>
        <w:tc>
          <w:tcPr>
            <w:tcW w:w="1440" w:type="dxa"/>
            <w:vAlign w:val="bottom"/>
          </w:tcPr>
          <w:p>
            <w:pPr>
              <w:jc w:val="center"/>
              <w:ind w:left="50"/>
              <w:spacing w:after="0" w:line="216" w:lineRule="exact"/>
              <w:rPr>
                <w:sz w:val="20"/>
                <w:szCs w:val="20"/>
                <w:color w:val="auto"/>
              </w:rPr>
            </w:pPr>
            <w:r>
              <w:rPr>
                <w:rFonts w:ascii="Calibri" w:cs="Calibri" w:eastAsia="Calibri" w:hAnsi="Calibri"/>
                <w:sz w:val="18"/>
                <w:szCs w:val="18"/>
                <w:i w:val="1"/>
                <w:iCs w:val="1"/>
                <w:color w:val="auto"/>
                <w:w w:val="96"/>
              </w:rPr>
              <w:t>(I.R.S. Employer</w:t>
            </w:r>
          </w:p>
        </w:tc>
      </w:tr>
      <w:tr>
        <w:trPr>
          <w:trHeight w:val="216"/>
        </w:trPr>
        <w:tc>
          <w:tcPr>
            <w:tcW w:w="6180" w:type="dxa"/>
            <w:vAlign w:val="bottom"/>
          </w:tcPr>
          <w:p>
            <w:pPr>
              <w:jc w:val="center"/>
              <w:ind w:right="3383"/>
              <w:spacing w:after="0" w:line="216" w:lineRule="exact"/>
              <w:rPr>
                <w:sz w:val="20"/>
                <w:szCs w:val="20"/>
                <w:color w:val="auto"/>
              </w:rPr>
            </w:pPr>
            <w:r>
              <w:rPr>
                <w:rFonts w:ascii="Calibri" w:cs="Calibri" w:eastAsia="Calibri" w:hAnsi="Calibri"/>
                <w:sz w:val="18"/>
                <w:szCs w:val="18"/>
                <w:i w:val="1"/>
                <w:iCs w:val="1"/>
                <w:color w:val="auto"/>
              </w:rPr>
              <w:t>incorporaton or organizaton)</w:t>
            </w:r>
          </w:p>
        </w:tc>
        <w:tc>
          <w:tcPr>
            <w:tcW w:w="1440" w:type="dxa"/>
            <w:vAlign w:val="bottom"/>
          </w:tcPr>
          <w:p>
            <w:pPr>
              <w:jc w:val="center"/>
              <w:ind w:left="70"/>
              <w:spacing w:after="0" w:line="216" w:lineRule="exact"/>
              <w:rPr>
                <w:sz w:val="20"/>
                <w:szCs w:val="20"/>
                <w:color w:val="auto"/>
              </w:rPr>
            </w:pPr>
            <w:r>
              <w:rPr>
                <w:rFonts w:ascii="Calibri" w:cs="Calibri" w:eastAsia="Calibri" w:hAnsi="Calibri"/>
                <w:sz w:val="18"/>
                <w:szCs w:val="18"/>
                <w:i w:val="1"/>
                <w:iCs w:val="1"/>
                <w:color w:val="auto"/>
              </w:rPr>
              <w:t>Identfcaton No.)</w:t>
            </w:r>
          </w:p>
        </w:tc>
      </w:tr>
      <w:tr>
        <w:trPr>
          <w:trHeight w:val="270"/>
        </w:trPr>
        <w:tc>
          <w:tcPr>
            <w:tcW w:w="6180" w:type="dxa"/>
            <w:vAlign w:val="bottom"/>
          </w:tcPr>
          <w:p>
            <w:pPr>
              <w:jc w:val="center"/>
              <w:ind w:right="3363"/>
              <w:spacing w:after="0"/>
              <w:rPr>
                <w:sz w:val="20"/>
                <w:szCs w:val="20"/>
                <w:color w:val="auto"/>
              </w:rPr>
            </w:pPr>
            <w:r>
              <w:rPr>
                <w:rFonts w:ascii="Calibri" w:cs="Calibri" w:eastAsia="Calibri" w:hAnsi="Calibri"/>
                <w:sz w:val="18"/>
                <w:szCs w:val="18"/>
                <w:b w:val="1"/>
                <w:bCs w:val="1"/>
                <w:color w:val="auto"/>
                <w:w w:val="97"/>
              </w:rPr>
              <w:t>Two Seaport Lane, Suite 1400</w:t>
            </w:r>
          </w:p>
        </w:tc>
        <w:tc>
          <w:tcPr>
            <w:tcW w:w="1440" w:type="dxa"/>
            <w:vAlign w:val="bottom"/>
          </w:tcPr>
          <w:p>
            <w:pPr>
              <w:spacing w:after="0"/>
              <w:rPr>
                <w:sz w:val="23"/>
                <w:szCs w:val="23"/>
                <w:color w:val="auto"/>
              </w:rPr>
            </w:pPr>
          </w:p>
        </w:tc>
      </w:tr>
      <w:tr>
        <w:trPr>
          <w:trHeight w:val="216"/>
        </w:trPr>
        <w:tc>
          <w:tcPr>
            <w:tcW w:w="6180" w:type="dxa"/>
            <w:vAlign w:val="bottom"/>
          </w:tcPr>
          <w:p>
            <w:pPr>
              <w:jc w:val="center"/>
              <w:ind w:right="3383"/>
              <w:spacing w:after="0" w:line="216" w:lineRule="exact"/>
              <w:rPr>
                <w:sz w:val="20"/>
                <w:szCs w:val="20"/>
                <w:color w:val="auto"/>
              </w:rPr>
            </w:pPr>
            <w:r>
              <w:rPr>
                <w:rFonts w:ascii="Calibri" w:cs="Calibri" w:eastAsia="Calibri" w:hAnsi="Calibri"/>
                <w:sz w:val="18"/>
                <w:szCs w:val="18"/>
                <w:b w:val="1"/>
                <w:bCs w:val="1"/>
                <w:color w:val="auto"/>
              </w:rPr>
              <w:t>Boston, Massachusets</w:t>
            </w:r>
          </w:p>
        </w:tc>
        <w:tc>
          <w:tcPr>
            <w:tcW w:w="1440" w:type="dxa"/>
            <w:vAlign w:val="bottom"/>
          </w:tcPr>
          <w:p>
            <w:pPr>
              <w:jc w:val="right"/>
              <w:ind w:right="330"/>
              <w:spacing w:after="0" w:line="216" w:lineRule="exact"/>
              <w:rPr>
                <w:sz w:val="20"/>
                <w:szCs w:val="20"/>
                <w:color w:val="auto"/>
              </w:rPr>
            </w:pPr>
            <w:r>
              <w:rPr>
                <w:rFonts w:ascii="Calibri" w:cs="Calibri" w:eastAsia="Calibri" w:hAnsi="Calibri"/>
                <w:sz w:val="18"/>
                <w:szCs w:val="18"/>
                <w:b w:val="1"/>
                <w:bCs w:val="1"/>
                <w:color w:val="auto"/>
              </w:rPr>
              <w:t>02210</w:t>
            </w:r>
          </w:p>
        </w:tc>
      </w:tr>
      <w:tr>
        <w:trPr>
          <w:trHeight w:val="216"/>
        </w:trPr>
        <w:tc>
          <w:tcPr>
            <w:tcW w:w="6180" w:type="dxa"/>
            <w:vAlign w:val="bottom"/>
          </w:tcPr>
          <w:p>
            <w:pPr>
              <w:jc w:val="center"/>
              <w:ind w:right="3363"/>
              <w:spacing w:after="0" w:line="216" w:lineRule="exact"/>
              <w:rPr>
                <w:sz w:val="20"/>
                <w:szCs w:val="20"/>
                <w:color w:val="auto"/>
              </w:rPr>
            </w:pPr>
            <w:r>
              <w:rPr>
                <w:rFonts w:ascii="Calibri" w:cs="Calibri" w:eastAsia="Calibri" w:hAnsi="Calibri"/>
                <w:sz w:val="18"/>
                <w:szCs w:val="18"/>
                <w:i w:val="1"/>
                <w:iCs w:val="1"/>
                <w:color w:val="auto"/>
              </w:rPr>
              <w:t>(Address of Principal Executve Ofces)</w:t>
            </w:r>
          </w:p>
        </w:tc>
        <w:tc>
          <w:tcPr>
            <w:tcW w:w="1440" w:type="dxa"/>
            <w:vAlign w:val="bottom"/>
          </w:tcPr>
          <w:p>
            <w:pPr>
              <w:jc w:val="center"/>
              <w:ind w:left="70"/>
              <w:spacing w:after="0" w:line="216" w:lineRule="exact"/>
              <w:rPr>
                <w:sz w:val="20"/>
                <w:szCs w:val="20"/>
                <w:color w:val="auto"/>
              </w:rPr>
            </w:pPr>
            <w:r>
              <w:rPr>
                <w:rFonts w:ascii="Calibri" w:cs="Calibri" w:eastAsia="Calibri" w:hAnsi="Calibri"/>
                <w:sz w:val="18"/>
                <w:szCs w:val="18"/>
                <w:i w:val="1"/>
                <w:iCs w:val="1"/>
                <w:color w:val="auto"/>
                <w:w w:val="98"/>
              </w:rPr>
              <w:t>(Zip Code)</w:t>
            </w:r>
          </w:p>
        </w:tc>
      </w:tr>
    </w:tbl>
    <w:p>
      <w:pPr>
        <w:spacing w:after="0" w:line="77" w:lineRule="exact"/>
        <w:rPr>
          <w:sz w:val="24"/>
          <w:szCs w:val="24"/>
          <w:color w:val="auto"/>
        </w:rPr>
      </w:pPr>
    </w:p>
    <w:p>
      <w:pPr>
        <w:ind w:left="3160"/>
        <w:spacing w:after="0"/>
        <w:rPr>
          <w:sz w:val="20"/>
          <w:szCs w:val="20"/>
          <w:color w:val="auto"/>
        </w:rPr>
      </w:pPr>
      <w:r>
        <w:rPr>
          <w:rFonts w:ascii="Calibri" w:cs="Calibri" w:eastAsia="Calibri" w:hAnsi="Calibri"/>
          <w:sz w:val="18"/>
          <w:szCs w:val="18"/>
          <w:b w:val="1"/>
          <w:bCs w:val="1"/>
          <w:color w:val="auto"/>
        </w:rPr>
        <w:t>Registrant’s telephone number, including area code: (617) 345-0100</w:t>
      </w:r>
    </w:p>
    <w:p>
      <w:pPr>
        <w:ind w:left="520"/>
        <w:spacing w:after="0" w:line="231" w:lineRule="auto"/>
        <w:rPr>
          <w:sz w:val="20"/>
          <w:szCs w:val="20"/>
          <w:color w:val="auto"/>
        </w:rPr>
      </w:pPr>
      <w:r>
        <w:rPr>
          <w:rFonts w:ascii="Calibri" w:cs="Calibri" w:eastAsia="Calibri" w:hAnsi="Calibri"/>
          <w:sz w:val="17"/>
          <w:szCs w:val="17"/>
          <w:color w:val="auto"/>
        </w:rPr>
        <w:t>Securites registered pursuant to Secton 12(b) of the Securites Exchange Act of 1934:</w:t>
      </w:r>
    </w:p>
    <w:p>
      <w:pPr>
        <w:spacing w:after="0" w:line="3" w:lineRule="exact"/>
        <w:rPr>
          <w:sz w:val="24"/>
          <w:szCs w:val="24"/>
          <w:color w:val="auto"/>
        </w:rPr>
      </w:pPr>
    </w:p>
    <w:tbl>
      <w:tblPr>
        <w:tblLayout w:type="fixed"/>
        <w:tblInd w:w="470" w:type="dxa"/>
        <w:tblCellMar>
          <w:top w:w="0" w:type="dxa"/>
          <w:left w:w="0" w:type="dxa"/>
          <w:bottom w:w="0" w:type="dxa"/>
          <w:right w:w="0" w:type="dxa"/>
        </w:tblCellMar>
      </w:tblPr>
      <w:tr>
        <w:trPr>
          <w:trHeight w:val="213"/>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w w:val="98"/>
              </w:rPr>
              <w:t>Trading symbol(s)</w:t>
            </w:r>
          </w:p>
        </w:tc>
        <w:tc>
          <w:tcPr>
            <w:tcW w:w="40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137"/>
        </w:trPr>
        <w:tc>
          <w:tcPr>
            <w:tcW w:w="4100" w:type="dxa"/>
            <w:vAlign w:val="bottom"/>
            <w:tcBorders>
              <w:left w:val="single" w:sz="8" w:color="auto"/>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4080" w:type="dxa"/>
            <w:vAlign w:val="bottom"/>
            <w:tcBorders>
              <w:bottom w:val="single" w:sz="8" w:color="auto"/>
              <w:right w:val="single" w:sz="8" w:color="auto"/>
            </w:tcBorders>
          </w:tcPr>
          <w:p>
            <w:pPr>
              <w:spacing w:after="0"/>
              <w:rPr>
                <w:sz w:val="11"/>
                <w:szCs w:val="11"/>
                <w:color w:val="auto"/>
              </w:rPr>
            </w:pPr>
          </w:p>
        </w:tc>
      </w:tr>
      <w:tr>
        <w:trPr>
          <w:trHeight w:val="156"/>
        </w:trPr>
        <w:tc>
          <w:tcPr>
            <w:tcW w:w="4100" w:type="dxa"/>
            <w:vAlign w:val="bottom"/>
            <w:tcBorders>
              <w:left w:val="single" w:sz="8" w:color="auto"/>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6"/>
                <w:szCs w:val="16"/>
                <w:color w:val="auto"/>
              </w:rPr>
              <w:t>Common Stock, $1 par value per share</w:t>
            </w:r>
          </w:p>
        </w:tc>
        <w:tc>
          <w:tcPr>
            <w:tcW w:w="2060" w:type="dxa"/>
            <w:vAlign w:val="bottom"/>
            <w:tcBorders>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6"/>
                <w:szCs w:val="16"/>
                <w:color w:val="auto"/>
              </w:rPr>
              <w:t>CBT</w:t>
            </w:r>
          </w:p>
        </w:tc>
        <w:tc>
          <w:tcPr>
            <w:tcW w:w="4080" w:type="dxa"/>
            <w:vAlign w:val="bottom"/>
            <w:tcBorders>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6"/>
                <w:szCs w:val="16"/>
                <w:color w:val="auto"/>
                <w:w w:val="99"/>
              </w:rPr>
              <w:t>The New York Stock Exchange</w:t>
            </w:r>
          </w:p>
        </w:tc>
      </w:tr>
    </w:tbl>
    <w:p>
      <w:pPr>
        <w:ind w:left="520"/>
        <w:spacing w:after="0"/>
        <w:rPr>
          <w:sz w:val="20"/>
          <w:szCs w:val="20"/>
          <w:color w:val="auto"/>
        </w:rPr>
      </w:pPr>
      <w:r>
        <w:rPr>
          <w:rFonts w:ascii="Calibri" w:cs="Calibri" w:eastAsia="Calibri" w:hAnsi="Calibri"/>
          <w:sz w:val="18"/>
          <w:szCs w:val="18"/>
          <w:color w:val="auto"/>
        </w:rPr>
        <w:t>Securites registered pursuant to Secton 12(g) of the Securites Exchange Act of 1934: None.</w:t>
      </w:r>
    </w:p>
    <w:p>
      <w:pPr>
        <w:spacing w:after="0" w:line="37" w:lineRule="exact"/>
        <w:rPr>
          <w:sz w:val="24"/>
          <w:szCs w:val="24"/>
          <w:color w:val="auto"/>
        </w:rPr>
      </w:pPr>
    </w:p>
    <w:p>
      <w:pPr>
        <w:ind w:left="520"/>
        <w:spacing w:after="0"/>
        <w:rPr>
          <w:sz w:val="20"/>
          <w:szCs w:val="20"/>
          <w:color w:val="auto"/>
        </w:rPr>
      </w:pPr>
      <w:r>
        <w:rPr>
          <w:rFonts w:ascii="Calibri" w:cs="Calibri" w:eastAsia="Calibri" w:hAnsi="Calibri"/>
          <w:sz w:val="18"/>
          <w:szCs w:val="18"/>
          <w:color w:val="auto"/>
        </w:rPr>
        <w:t>Indicate by check mark if the Registrant is a well-known seasoned issuer, as defned in Rule 405 of the Securites Act.</w:t>
      </w:r>
    </w:p>
    <w:p>
      <w:pPr>
        <w:ind w:left="740"/>
        <w:spacing w:after="0" w:line="220" w:lineRule="exact"/>
        <w:tabs>
          <w:tab w:leader="none" w:pos="136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6" w:lineRule="exact"/>
        <w:rPr>
          <w:sz w:val="24"/>
          <w:szCs w:val="24"/>
          <w:color w:val="auto"/>
        </w:rPr>
      </w:pPr>
    </w:p>
    <w:p>
      <w:pPr>
        <w:ind w:left="520"/>
        <w:spacing w:after="0"/>
        <w:rPr>
          <w:sz w:val="20"/>
          <w:szCs w:val="20"/>
          <w:color w:val="auto"/>
        </w:rPr>
      </w:pPr>
      <w:r>
        <w:rPr>
          <w:rFonts w:ascii="Calibri" w:cs="Calibri" w:eastAsia="Calibri" w:hAnsi="Calibri"/>
          <w:sz w:val="18"/>
          <w:szCs w:val="18"/>
          <w:color w:val="auto"/>
        </w:rPr>
        <w:t>Indicate by check mark if the Registrant is not required to fle reports pursuant to Secton 13 or Secton 15(d) of the Act.</w:t>
      </w:r>
    </w:p>
    <w:p>
      <w:pPr>
        <w:ind w:left="740"/>
        <w:spacing w:after="0" w:line="220" w:lineRule="exact"/>
        <w:tabs>
          <w:tab w:leader="none" w:pos="136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51" w:lineRule="exact"/>
        <w:rPr>
          <w:sz w:val="24"/>
          <w:szCs w:val="24"/>
          <w:color w:val="auto"/>
        </w:rPr>
      </w:pPr>
    </w:p>
    <w:p>
      <w:pPr>
        <w:ind w:firstLine="509"/>
        <w:spacing w:after="0" w:line="233"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80" w:firstLine="509"/>
        <w:spacing w:after="0" w:line="229" w:lineRule="exact"/>
        <w:rPr>
          <w:sz w:val="20"/>
          <w:szCs w:val="20"/>
          <w:color w:val="auto"/>
        </w:rPr>
      </w:pPr>
      <w:r>
        <w:rPr>
          <w:rFonts w:ascii="Calibri" w:cs="Calibri" w:eastAsia="Calibri" w:hAnsi="Calibri"/>
          <w:sz w:val="18"/>
          <w:szCs w:val="18"/>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5" w:lineRule="exact"/>
        <w:rPr>
          <w:sz w:val="24"/>
          <w:szCs w:val="24"/>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defnitons of “large accelerated fler,” “accelerated fler”, “smaller reportng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00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80"/>
              <w:spacing w:after="0"/>
              <w:rPr>
                <w:sz w:val="20"/>
                <w:szCs w:val="20"/>
                <w:color w:val="auto"/>
              </w:rPr>
            </w:pPr>
            <w:r>
              <w:rPr>
                <w:rFonts w:ascii="Calibri" w:cs="Calibri" w:eastAsia="Calibri" w:hAnsi="Calibri"/>
                <w:sz w:val="18"/>
                <w:szCs w:val="18"/>
                <w:color w:val="auto"/>
              </w:rPr>
              <w:t>Accelerated fler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00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80"/>
              <w:spacing w:after="0"/>
              <w:rPr>
                <w:sz w:val="20"/>
                <w:szCs w:val="20"/>
                <w:color w:val="auto"/>
              </w:rPr>
            </w:pPr>
            <w:r>
              <w:rPr>
                <w:rFonts w:ascii="Calibri" w:cs="Calibri" w:eastAsia="Calibri" w:hAnsi="Calibri"/>
                <w:sz w:val="18"/>
                <w:szCs w:val="18"/>
                <w:color w:val="auto"/>
              </w:rPr>
              <w:t>Smaller reportng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40" w:type="dxa"/>
            <w:vAlign w:val="bottom"/>
          </w:tcPr>
          <w:p>
            <w:pPr>
              <w:ind w:left="2880"/>
              <w:spacing w:after="0"/>
              <w:rPr>
                <w:sz w:val="20"/>
                <w:szCs w:val="20"/>
                <w:color w:val="auto"/>
              </w:rPr>
            </w:pPr>
            <w:r>
              <w:rPr>
                <w:rFonts w:ascii="Calibri" w:cs="Calibri" w:eastAsia="Calibri" w:hAnsi="Calibri"/>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80" w:firstLine="509"/>
        <w:spacing w:after="0" w:line="229" w:lineRule="exact"/>
        <w:rPr>
          <w:sz w:val="20"/>
          <w:szCs w:val="20"/>
          <w:color w:val="auto"/>
        </w:rPr>
      </w:pPr>
      <w:r>
        <w:rPr>
          <w:rFonts w:ascii="Calibri" w:cs="Calibri" w:eastAsia="Calibri" w:hAnsi="Calibri"/>
          <w:sz w:val="18"/>
          <w:szCs w:val="18"/>
          <w:color w:val="auto"/>
        </w:rPr>
        <w:t xml:space="preserve">If an emerging growth company, indicate by checkmark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60" w:firstLine="509"/>
        <w:spacing w:after="0" w:line="229" w:lineRule="exact"/>
        <w:rPr>
          <w:sz w:val="20"/>
          <w:szCs w:val="20"/>
          <w:color w:val="auto"/>
        </w:rPr>
      </w:pPr>
      <w:r>
        <w:rPr>
          <w:rFonts w:ascii="Calibri" w:cs="Calibri" w:eastAsia="Calibri" w:hAnsi="Calibri"/>
          <w:sz w:val="18"/>
          <w:szCs w:val="18"/>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8"/>
          <w:szCs w:val="18"/>
          <w:color w:val="auto"/>
        </w:rPr>
        <w:t>☒</w:t>
      </w:r>
    </w:p>
    <w:p>
      <w:pPr>
        <w:spacing w:after="0" w:line="5" w:lineRule="exact"/>
        <w:rPr>
          <w:sz w:val="24"/>
          <w:szCs w:val="24"/>
          <w:color w:val="auto"/>
        </w:rPr>
      </w:pPr>
    </w:p>
    <w:p>
      <w:pPr>
        <w:ind w:right="180" w:firstLine="509"/>
        <w:spacing w:after="0" w:line="241" w:lineRule="exact"/>
        <w:rPr>
          <w:sz w:val="20"/>
          <w:szCs w:val="20"/>
          <w:color w:val="auto"/>
        </w:rPr>
      </w:pPr>
      <w:r>
        <w:rPr>
          <w:rFonts w:ascii="Calibri" w:cs="Calibri" w:eastAsia="Calibri" w:hAnsi="Calibri"/>
          <w:sz w:val="18"/>
          <w:szCs w:val="18"/>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8"/>
          <w:szCs w:val="18"/>
          <w:color w:val="auto"/>
        </w:rPr>
        <w:t>☐</w:t>
      </w:r>
    </w:p>
    <w:p>
      <w:pPr>
        <w:spacing w:after="0" w:line="1" w:lineRule="exact"/>
        <w:rPr>
          <w:sz w:val="24"/>
          <w:szCs w:val="24"/>
          <w:color w:val="auto"/>
        </w:rPr>
      </w:pPr>
    </w:p>
    <w:p>
      <w:pPr>
        <w:ind w:right="280" w:firstLine="509"/>
        <w:spacing w:after="0" w:line="237" w:lineRule="exact"/>
        <w:rPr>
          <w:sz w:val="20"/>
          <w:szCs w:val="20"/>
          <w:color w:val="auto"/>
        </w:rPr>
      </w:pPr>
      <w:r>
        <w:rPr>
          <w:rFonts w:ascii="Calibri" w:cs="Calibri" w:eastAsia="Calibri" w:hAnsi="Calibri"/>
          <w:sz w:val="18"/>
          <w:szCs w:val="18"/>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 w:name="page2"/>
    <w:bookmarkEnd w:id="1"/>
    <w:p>
      <w:pPr>
        <w:ind w:left="520"/>
        <w:spacing w:after="0"/>
        <w:rPr>
          <w:sz w:val="20"/>
          <w:szCs w:val="20"/>
          <w:color w:val="auto"/>
        </w:rPr>
      </w:pPr>
      <w:r>
        <w:rPr>
          <w:rFonts w:ascii="Calibri" w:cs="Calibri" w:eastAsia="Calibri" w:hAnsi="Calibri"/>
          <w:sz w:val="18"/>
          <w:szCs w:val="18"/>
          <w:color w:val="auto"/>
        </w:rPr>
        <w:t>Indicate by check mark whether the Registrant is a shell company (as defned in Rule 12b-2 of the Exchange Act).</w:t>
      </w:r>
    </w:p>
    <w:p>
      <w:pPr>
        <w:spacing w:after="0" w:line="24" w:lineRule="exact"/>
        <w:rPr>
          <w:sz w:val="20"/>
          <w:szCs w:val="20"/>
          <w:color w:val="auto"/>
        </w:rPr>
      </w:pPr>
    </w:p>
    <w:p>
      <w:pPr>
        <w:ind w:left="520"/>
        <w:spacing w:after="0" w:line="220" w:lineRule="exact"/>
        <w:tabs>
          <w:tab w:leader="none" w:pos="114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5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the last business day of the Registrant’s most recently completed second fscal quarter (March 31, 2024), the aggregate market value of the Registrant’s common stock held by non-afliates was $5,052,810,968. As of November 13, 2024, there were 54,394,228 shares of the Registrant’s common stock outstanding.</w:t>
      </w:r>
    </w:p>
    <w:p>
      <w:pPr>
        <w:spacing w:after="0" w:line="43"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Portons of the Registrant’s defnitve proxy statement for its 2025 Annual Meetng of Shareholders are incorporated by reference into Part III of this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01"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80" w:type="dxa"/>
            <w:vAlign w:val="bottom"/>
            <w:gridSpan w:val="14"/>
          </w:tcPr>
          <w:p>
            <w:pPr>
              <w:jc w:val="center"/>
              <w:ind w:right="3200"/>
              <w:spacing w:after="0"/>
              <w:rPr>
                <w:sz w:val="20"/>
                <w:szCs w:val="20"/>
                <w:color w:val="auto"/>
              </w:rPr>
            </w:pPr>
            <w:r>
              <w:rPr>
                <w:rFonts w:ascii="Calibri" w:cs="Calibri" w:eastAsia="Calibri" w:hAnsi="Calibri"/>
                <w:sz w:val="18"/>
                <w:szCs w:val="18"/>
                <w:b w:val="1"/>
                <w:bCs w:val="1"/>
                <w:color w:val="auto"/>
                <w:w w:val="96"/>
              </w:rPr>
              <w:t>TABLE OF CONTENTS</w:t>
            </w:r>
          </w:p>
        </w:tc>
        <w:tc>
          <w:tcPr>
            <w:tcW w:w="1220" w:type="dxa"/>
            <w:vAlign w:val="bottom"/>
          </w:tcPr>
          <w:p>
            <w:pPr>
              <w:spacing w:after="0"/>
              <w:rPr>
                <w:sz w:val="19"/>
                <w:szCs w:val="19"/>
                <w:color w:val="auto"/>
              </w:rPr>
            </w:pPr>
          </w:p>
        </w:tc>
      </w:tr>
      <w:tr>
        <w:trPr>
          <w:trHeight w:val="29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0"/>
          </w:tcPr>
          <w:p>
            <w:pPr>
              <w:jc w:val="center"/>
              <w:ind w:right="4180"/>
              <w:spacing w:after="0"/>
              <w:rPr>
                <w:sz w:val="20"/>
                <w:szCs w:val="20"/>
                <w:color w:val="auto"/>
              </w:rPr>
            </w:pPr>
            <w:r>
              <w:rPr>
                <w:rFonts w:ascii="Calibri" w:cs="Calibri" w:eastAsia="Calibri" w:hAnsi="Calibri"/>
                <w:sz w:val="18"/>
                <w:szCs w:val="18"/>
                <w:color w:val="auto"/>
                <w:w w:val="93"/>
              </w:rPr>
              <w:t>PART I</w:t>
            </w:r>
          </w:p>
        </w:tc>
        <w:tc>
          <w:tcPr>
            <w:tcW w:w="1220" w:type="dxa"/>
            <w:vAlign w:val="bottom"/>
          </w:tcPr>
          <w:p>
            <w:pPr>
              <w:spacing w:after="0"/>
              <w:rPr>
                <w:sz w:val="24"/>
                <w:szCs w:val="24"/>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w:t>
            </w:r>
          </w:p>
        </w:tc>
        <w:tc>
          <w:tcPr>
            <w:tcW w:w="620" w:type="dxa"/>
            <w:vAlign w:val="bottom"/>
            <w:tcBorders>
              <w:bottom w:val="single" w:sz="8" w:color="0000EE"/>
            </w:tcBorders>
          </w:tcPr>
          <w:p>
            <w:pPr>
              <w:spacing w:after="0"/>
              <w:rPr>
                <w:sz w:val="20"/>
                <w:szCs w:val="20"/>
                <w:color w:val="auto"/>
              </w:rPr>
            </w:pPr>
            <w:r>
              <w:rPr>
                <w:rFonts w:ascii="Calibri" w:cs="Calibri" w:eastAsia="Calibri" w:hAnsi="Calibri"/>
                <w:sz w:val="18"/>
                <w:szCs w:val="18"/>
                <w:color w:val="auto"/>
                <w:w w:val="95"/>
              </w:rPr>
              <w:t>Business</w:t>
            </w:r>
          </w:p>
        </w:tc>
        <w:tc>
          <w:tcPr>
            <w:tcW w:w="3620" w:type="dxa"/>
            <w:vAlign w:val="bottom"/>
            <w:gridSpan w:val="16"/>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18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318"/>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1A.</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Risk Factors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1B.</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Unresolved Staf Comments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1C.</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Cybersecurity...............................................................................................................................................................</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24</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2.</w:t>
            </w:r>
          </w:p>
        </w:tc>
        <w:tc>
          <w:tcPr>
            <w:tcW w:w="740" w:type="dxa"/>
            <w:vAlign w:val="bottom"/>
            <w:tcBorders>
              <w:top w:val="single" w:sz="8" w:color="0000EE"/>
              <w:bottom w:val="single" w:sz="8" w:color="0000EE"/>
            </w:tcBorders>
            <w:gridSpan w:val="2"/>
          </w:tcPr>
          <w:p>
            <w:pPr>
              <w:spacing w:after="0"/>
              <w:rPr>
                <w:sz w:val="20"/>
                <w:szCs w:val="20"/>
                <w:color w:val="auto"/>
              </w:rPr>
            </w:pPr>
            <w:r>
              <w:rPr>
                <w:rFonts w:ascii="Calibri" w:cs="Calibri" w:eastAsia="Calibri" w:hAnsi="Calibri"/>
                <w:sz w:val="18"/>
                <w:szCs w:val="18"/>
                <w:color w:val="auto"/>
              </w:rPr>
              <w:t>Propertes</w:t>
            </w:r>
          </w:p>
        </w:tc>
        <w:tc>
          <w:tcPr>
            <w:tcW w:w="220" w:type="dxa"/>
            <w:vAlign w:val="bottom"/>
            <w:tcBorders>
              <w:top w:val="single" w:sz="8" w:color="0000EE"/>
            </w:tcBorders>
            <w:gridSpan w:val="2"/>
          </w:tcPr>
          <w:p>
            <w:pPr>
              <w:spacing w:after="0"/>
              <w:rPr>
                <w:sz w:val="24"/>
                <w:szCs w:val="24"/>
                <w:color w:val="auto"/>
              </w:rPr>
            </w:pPr>
          </w:p>
        </w:tc>
        <w:tc>
          <w:tcPr>
            <w:tcW w:w="7900" w:type="dxa"/>
            <w:vAlign w:val="bottom"/>
            <w:gridSpan w:val="23"/>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26</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3.</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Legal Proceedings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4.</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Mine Safety Disclosures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27</w:t>
            </w: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jc w:val="center"/>
              <w:ind w:right="4160"/>
              <w:spacing w:after="0"/>
              <w:rPr>
                <w:sz w:val="20"/>
                <w:szCs w:val="20"/>
                <w:color w:val="auto"/>
              </w:rPr>
            </w:pPr>
            <w:r>
              <w:rPr>
                <w:rFonts w:ascii="Calibri" w:cs="Calibri" w:eastAsia="Calibri" w:hAnsi="Calibri"/>
                <w:sz w:val="18"/>
                <w:szCs w:val="18"/>
                <w:color w:val="auto"/>
                <w:w w:val="93"/>
              </w:rPr>
              <w:t>PART II</w:t>
            </w:r>
          </w:p>
        </w:tc>
        <w:tc>
          <w:tcPr>
            <w:tcW w:w="12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5.</w:t>
            </w:r>
          </w:p>
        </w:tc>
        <w:tc>
          <w:tcPr>
            <w:tcW w:w="7820" w:type="dxa"/>
            <w:vAlign w:val="bottom"/>
            <w:tcBorders>
              <w:bottom w:val="single" w:sz="8" w:color="0000EE"/>
            </w:tcBorders>
            <w:gridSpan w:val="26"/>
          </w:tcPr>
          <w:p>
            <w:pPr>
              <w:spacing w:after="0"/>
              <w:rPr>
                <w:sz w:val="20"/>
                <w:szCs w:val="20"/>
                <w:color w:val="auto"/>
              </w:rPr>
            </w:pPr>
            <w:r>
              <w:rPr>
                <w:rFonts w:ascii="Calibri" w:cs="Calibri" w:eastAsia="Calibri" w:hAnsi="Calibri"/>
                <w:sz w:val="18"/>
                <w:szCs w:val="18"/>
                <w:color w:val="auto"/>
                <w:w w:val="97"/>
              </w:rPr>
              <w:t>Market for Registrant’s Common Equity, Related Stockholder Maters and Issuer Purchases of Equity Securites</w:t>
            </w:r>
          </w:p>
        </w:tc>
        <w:tc>
          <w:tcPr>
            <w:tcW w:w="10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28</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7.</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Management’s Discussion and Analysis of Financial Conditon and Results of Operatons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30</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7A.</w:t>
            </w:r>
          </w:p>
        </w:tc>
        <w:tc>
          <w:tcPr>
            <w:tcW w:w="4220" w:type="dxa"/>
            <w:vAlign w:val="bottom"/>
            <w:tcBorders>
              <w:top w:val="single" w:sz="8" w:color="0000EE"/>
              <w:bottom w:val="single" w:sz="8" w:color="0000EE"/>
            </w:tcBorders>
            <w:gridSpan w:val="16"/>
          </w:tcPr>
          <w:p>
            <w:pPr>
              <w:spacing w:after="0"/>
              <w:rPr>
                <w:sz w:val="20"/>
                <w:szCs w:val="20"/>
                <w:color w:val="auto"/>
              </w:rPr>
            </w:pPr>
            <w:r>
              <w:rPr>
                <w:rFonts w:ascii="Calibri" w:cs="Calibri" w:eastAsia="Calibri" w:hAnsi="Calibri"/>
                <w:sz w:val="18"/>
                <w:szCs w:val="18"/>
                <w:color w:val="auto"/>
                <w:w w:val="99"/>
              </w:rPr>
              <w:t>Quanttatve and Qualitatve Disclosures About Market Risk</w:t>
            </w:r>
          </w:p>
        </w:tc>
        <w:tc>
          <w:tcPr>
            <w:tcW w:w="2000" w:type="dxa"/>
            <w:vAlign w:val="bottom"/>
            <w:tcBorders>
              <w:top w:val="single" w:sz="8" w:color="0000EE"/>
            </w:tcBorders>
            <w:gridSpan w:val="7"/>
          </w:tcPr>
          <w:p>
            <w:pPr>
              <w:spacing w:after="0"/>
              <w:rPr>
                <w:sz w:val="24"/>
                <w:szCs w:val="24"/>
                <w:color w:val="auto"/>
              </w:rPr>
            </w:pPr>
          </w:p>
        </w:tc>
        <w:tc>
          <w:tcPr>
            <w:tcW w:w="264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8.</w:t>
            </w:r>
          </w:p>
        </w:tc>
        <w:tc>
          <w:tcPr>
            <w:tcW w:w="3280" w:type="dxa"/>
            <w:vAlign w:val="bottom"/>
            <w:tcBorders>
              <w:bottom w:val="single" w:sz="8" w:color="0000EE"/>
            </w:tcBorders>
            <w:gridSpan w:val="13"/>
          </w:tcPr>
          <w:p>
            <w:pPr>
              <w:spacing w:after="0"/>
              <w:rPr>
                <w:sz w:val="20"/>
                <w:szCs w:val="20"/>
                <w:color w:val="auto"/>
              </w:rPr>
            </w:pPr>
            <w:r>
              <w:rPr>
                <w:rFonts w:ascii="Calibri" w:cs="Calibri" w:eastAsia="Calibri" w:hAnsi="Calibri"/>
                <w:sz w:val="18"/>
                <w:szCs w:val="18"/>
                <w:color w:val="auto"/>
                <w:w w:val="96"/>
              </w:rPr>
              <w:t>Financial Statements and Supplementary Data</w:t>
            </w:r>
          </w:p>
        </w:tc>
        <w:tc>
          <w:tcPr>
            <w:tcW w:w="558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Changes in and Disagreements with Accountants on Accountng and Financial Disclosure</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87</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9A.</w:t>
            </w:r>
          </w:p>
        </w:tc>
        <w:tc>
          <w:tcPr>
            <w:tcW w:w="6260" w:type="dxa"/>
            <w:vAlign w:val="bottom"/>
            <w:tcBorders>
              <w:top w:val="single" w:sz="8" w:color="0000EE"/>
            </w:tcBorders>
            <w:gridSpan w:val="24"/>
          </w:tcPr>
          <w:p>
            <w:pPr>
              <w:spacing w:after="0"/>
              <w:rPr>
                <w:sz w:val="20"/>
                <w:szCs w:val="20"/>
                <w:color w:val="auto"/>
              </w:rPr>
            </w:pPr>
            <w:r>
              <w:rPr>
                <w:rFonts w:ascii="Calibri" w:cs="Calibri" w:eastAsia="Calibri" w:hAnsi="Calibri"/>
                <w:sz w:val="18"/>
                <w:szCs w:val="18"/>
                <w:color w:val="auto"/>
              </w:rPr>
              <w:t>Controls and Procedures</w:t>
            </w:r>
          </w:p>
        </w:tc>
        <w:tc>
          <w:tcPr>
            <w:tcW w:w="260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87</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9B.</w:t>
            </w:r>
          </w:p>
        </w:tc>
        <w:tc>
          <w:tcPr>
            <w:tcW w:w="1300" w:type="dxa"/>
            <w:vAlign w:val="bottom"/>
            <w:tcBorders>
              <w:top w:val="single" w:sz="8" w:color="0000EE"/>
              <w:bottom w:val="single" w:sz="8" w:color="0000EE"/>
            </w:tcBorders>
            <w:gridSpan w:val="6"/>
          </w:tcPr>
          <w:p>
            <w:pPr>
              <w:spacing w:after="0"/>
              <w:rPr>
                <w:sz w:val="20"/>
                <w:szCs w:val="20"/>
                <w:color w:val="auto"/>
              </w:rPr>
            </w:pPr>
            <w:r>
              <w:rPr>
                <w:rFonts w:ascii="Calibri" w:cs="Calibri" w:eastAsia="Calibri" w:hAnsi="Calibri"/>
                <w:sz w:val="18"/>
                <w:szCs w:val="18"/>
                <w:color w:val="auto"/>
                <w:w w:val="98"/>
              </w:rPr>
              <w:t>Other Informaton</w:t>
            </w:r>
          </w:p>
        </w:tc>
        <w:tc>
          <w:tcPr>
            <w:tcW w:w="440" w:type="dxa"/>
            <w:vAlign w:val="bottom"/>
            <w:tcBorders>
              <w:top w:val="single" w:sz="8" w:color="0000EE"/>
            </w:tcBorders>
            <w:gridSpan w:val="3"/>
          </w:tcPr>
          <w:p>
            <w:pPr>
              <w:spacing w:after="0"/>
              <w:rPr>
                <w:sz w:val="24"/>
                <w:szCs w:val="24"/>
                <w:color w:val="auto"/>
              </w:rPr>
            </w:pPr>
          </w:p>
        </w:tc>
        <w:tc>
          <w:tcPr>
            <w:tcW w:w="712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87</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9C.</w:t>
            </w:r>
          </w:p>
        </w:tc>
        <w:tc>
          <w:tcPr>
            <w:tcW w:w="4740" w:type="dxa"/>
            <w:vAlign w:val="bottom"/>
            <w:tcBorders>
              <w:bottom w:val="single" w:sz="8" w:color="0000EE"/>
            </w:tcBorders>
            <w:gridSpan w:val="21"/>
          </w:tcPr>
          <w:p>
            <w:pPr>
              <w:spacing w:after="0"/>
              <w:rPr>
                <w:sz w:val="20"/>
                <w:szCs w:val="20"/>
                <w:color w:val="auto"/>
              </w:rPr>
            </w:pPr>
            <w:r>
              <w:rPr>
                <w:rFonts w:ascii="Calibri" w:cs="Calibri" w:eastAsia="Calibri" w:hAnsi="Calibri"/>
                <w:sz w:val="18"/>
                <w:szCs w:val="18"/>
                <w:color w:val="auto"/>
                <w:w w:val="98"/>
              </w:rPr>
              <w:t>Disclosure Regarding Foreign Jurisdictons that Prevent Inspectons</w:t>
            </w:r>
          </w:p>
        </w:tc>
        <w:tc>
          <w:tcPr>
            <w:tcW w:w="4120" w:type="dxa"/>
            <w:vAlign w:val="bottom"/>
            <w:gridSpan w:val="6"/>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87</w:t>
            </w: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12"/>
          </w:tcPr>
          <w:p>
            <w:pPr>
              <w:jc w:val="center"/>
              <w:ind w:right="4120"/>
              <w:spacing w:after="0"/>
              <w:rPr>
                <w:sz w:val="20"/>
                <w:szCs w:val="20"/>
                <w:color w:val="auto"/>
              </w:rPr>
            </w:pPr>
            <w:r>
              <w:rPr>
                <w:rFonts w:ascii="Calibri" w:cs="Calibri" w:eastAsia="Calibri" w:hAnsi="Calibri"/>
                <w:sz w:val="18"/>
                <w:szCs w:val="18"/>
                <w:color w:val="auto"/>
                <w:w w:val="96"/>
              </w:rPr>
              <w:t>PART III</w:t>
            </w:r>
          </w:p>
        </w:tc>
        <w:tc>
          <w:tcPr>
            <w:tcW w:w="1220" w:type="dxa"/>
            <w:vAlign w:val="bottom"/>
          </w:tcPr>
          <w:p>
            <w:pPr>
              <w:spacing w:after="0"/>
              <w:rPr>
                <w:sz w:val="24"/>
                <w:szCs w:val="24"/>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10.</w:t>
            </w:r>
          </w:p>
        </w:tc>
        <w:tc>
          <w:tcPr>
            <w:tcW w:w="4220" w:type="dxa"/>
            <w:vAlign w:val="bottom"/>
            <w:gridSpan w:val="16"/>
          </w:tcPr>
          <w:p>
            <w:pPr>
              <w:spacing w:after="0"/>
              <w:rPr>
                <w:sz w:val="20"/>
                <w:szCs w:val="20"/>
                <w:color w:val="auto"/>
              </w:rPr>
            </w:pPr>
            <w:r>
              <w:rPr>
                <w:rFonts w:ascii="Calibri" w:cs="Calibri" w:eastAsia="Calibri" w:hAnsi="Calibri"/>
                <w:sz w:val="18"/>
                <w:szCs w:val="18"/>
                <w:color w:val="auto"/>
              </w:rPr>
              <w:t>Directors, Executve Ofcers and Corporate Governance</w:t>
            </w:r>
          </w:p>
        </w:tc>
        <w:tc>
          <w:tcPr>
            <w:tcW w:w="500" w:type="dxa"/>
            <w:vAlign w:val="bottom"/>
            <w:tcBorders>
              <w:top w:val="single" w:sz="8" w:color="0000EE"/>
            </w:tcBorders>
            <w:gridSpan w:val="4"/>
          </w:tcPr>
          <w:p>
            <w:pPr>
              <w:spacing w:after="0"/>
              <w:rPr>
                <w:sz w:val="24"/>
                <w:szCs w:val="24"/>
                <w:color w:val="auto"/>
              </w:rPr>
            </w:pPr>
          </w:p>
        </w:tc>
        <w:tc>
          <w:tcPr>
            <w:tcW w:w="414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11.</w:t>
            </w:r>
          </w:p>
        </w:tc>
        <w:tc>
          <w:tcPr>
            <w:tcW w:w="3940" w:type="dxa"/>
            <w:vAlign w:val="bottom"/>
            <w:tcBorders>
              <w:top w:val="single" w:sz="8" w:color="0000EE"/>
            </w:tcBorders>
            <w:gridSpan w:val="14"/>
          </w:tcPr>
          <w:p>
            <w:pPr>
              <w:spacing w:after="0"/>
              <w:rPr>
                <w:sz w:val="20"/>
                <w:szCs w:val="20"/>
                <w:color w:val="auto"/>
              </w:rPr>
            </w:pPr>
            <w:r>
              <w:rPr>
                <w:rFonts w:ascii="Calibri" w:cs="Calibri" w:eastAsia="Calibri" w:hAnsi="Calibri"/>
                <w:sz w:val="18"/>
                <w:szCs w:val="18"/>
                <w:color w:val="auto"/>
              </w:rPr>
              <w:t>Executve Compensaton</w:t>
            </w:r>
          </w:p>
        </w:tc>
        <w:tc>
          <w:tcPr>
            <w:tcW w:w="4920" w:type="dxa"/>
            <w:vAlign w:val="bottom"/>
            <w:gridSpan w:val="13"/>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12.</w:t>
            </w:r>
          </w:p>
        </w:tc>
        <w:tc>
          <w:tcPr>
            <w:tcW w:w="7120" w:type="dxa"/>
            <w:vAlign w:val="bottom"/>
            <w:tcBorders>
              <w:bottom w:val="single" w:sz="8" w:color="0000EE"/>
            </w:tcBorders>
            <w:gridSpan w:val="25"/>
          </w:tcPr>
          <w:p>
            <w:pPr>
              <w:spacing w:after="0"/>
              <w:rPr>
                <w:sz w:val="20"/>
                <w:szCs w:val="20"/>
                <w:color w:val="auto"/>
              </w:rPr>
            </w:pPr>
            <w:r>
              <w:rPr>
                <w:rFonts w:ascii="Calibri" w:cs="Calibri" w:eastAsia="Calibri" w:hAnsi="Calibri"/>
                <w:sz w:val="18"/>
                <w:szCs w:val="18"/>
                <w:color w:val="auto"/>
                <w:w w:val="98"/>
              </w:rPr>
              <w:t>Security Ownership of Certain Benefcial Owners and Management and Related Stockholder Maters</w:t>
            </w:r>
          </w:p>
        </w:tc>
        <w:tc>
          <w:tcPr>
            <w:tcW w:w="174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13</w:t>
            </w:r>
            <w:r>
              <w:rPr>
                <w:rFonts w:ascii="Calibri" w:cs="Calibri" w:eastAsia="Calibri" w:hAnsi="Calibri"/>
                <w:sz w:val="18"/>
                <w:szCs w:val="18"/>
                <w:color w:val="auto"/>
              </w:rPr>
              <w:t>.</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Certain Relatonships and Related Transactons, and Director Independence</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14.</w:t>
            </w:r>
          </w:p>
        </w:tc>
        <w:tc>
          <w:tcPr>
            <w:tcW w:w="5340" w:type="dxa"/>
            <w:vAlign w:val="bottom"/>
            <w:tcBorders>
              <w:top w:val="single" w:sz="8" w:color="0000EE"/>
            </w:tcBorders>
            <w:gridSpan w:val="22"/>
          </w:tcPr>
          <w:p>
            <w:pPr>
              <w:spacing w:after="0"/>
              <w:rPr>
                <w:sz w:val="20"/>
                <w:szCs w:val="20"/>
                <w:color w:val="auto"/>
              </w:rPr>
            </w:pPr>
            <w:r>
              <w:rPr>
                <w:rFonts w:ascii="Calibri" w:cs="Calibri" w:eastAsia="Calibri" w:hAnsi="Calibri"/>
                <w:sz w:val="18"/>
                <w:szCs w:val="18"/>
                <w:color w:val="auto"/>
              </w:rPr>
              <w:t>Principal Accountng Fees and Services</w:t>
            </w:r>
          </w:p>
        </w:tc>
        <w:tc>
          <w:tcPr>
            <w:tcW w:w="352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0000EE"/>
            </w:tcBorders>
            <w:gridSpan w:val="6"/>
          </w:tcPr>
          <w:p>
            <w:pPr>
              <w:jc w:val="center"/>
              <w:spacing w:after="0"/>
              <w:rPr>
                <w:sz w:val="20"/>
                <w:szCs w:val="20"/>
                <w:color w:val="auto"/>
              </w:rPr>
            </w:pPr>
            <w:r>
              <w:rPr>
                <w:rFonts w:ascii="Calibri" w:cs="Calibri" w:eastAsia="Calibri" w:hAnsi="Calibri"/>
                <w:sz w:val="18"/>
                <w:szCs w:val="18"/>
                <w:color w:val="auto"/>
                <w:w w:val="94"/>
              </w:rPr>
              <w:t>PART IV</w:t>
            </w:r>
          </w:p>
        </w:tc>
        <w:tc>
          <w:tcPr>
            <w:tcW w:w="4120" w:type="dxa"/>
            <w:vAlign w:val="bottom"/>
            <w:gridSpan w:val="6"/>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15.</w:t>
            </w:r>
          </w:p>
        </w:tc>
        <w:tc>
          <w:tcPr>
            <w:tcW w:w="2800" w:type="dxa"/>
            <w:vAlign w:val="bottom"/>
            <w:tcBorders>
              <w:bottom w:val="single" w:sz="8" w:color="0000EE"/>
            </w:tcBorders>
            <w:gridSpan w:val="12"/>
          </w:tcPr>
          <w:p>
            <w:pPr>
              <w:spacing w:after="0"/>
              <w:rPr>
                <w:sz w:val="20"/>
                <w:szCs w:val="20"/>
                <w:color w:val="auto"/>
              </w:rPr>
            </w:pPr>
            <w:r>
              <w:rPr>
                <w:rFonts w:ascii="Calibri" w:cs="Calibri" w:eastAsia="Calibri" w:hAnsi="Calibri"/>
                <w:sz w:val="18"/>
                <w:szCs w:val="18"/>
                <w:color w:val="auto"/>
                <w:w w:val="96"/>
              </w:rPr>
              <w:t>Exhibits, Financial Statement Schedules</w:t>
            </w:r>
          </w:p>
        </w:tc>
        <w:tc>
          <w:tcPr>
            <w:tcW w:w="6060" w:type="dxa"/>
            <w:vAlign w:val="bottom"/>
            <w:gridSpan w:val="15"/>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16.</w:t>
            </w:r>
          </w:p>
        </w:tc>
        <w:tc>
          <w:tcPr>
            <w:tcW w:w="8860" w:type="dxa"/>
            <w:vAlign w:val="bottom"/>
            <w:gridSpan w:val="27"/>
          </w:tcPr>
          <w:p>
            <w:pPr>
              <w:spacing w:after="0"/>
              <w:rPr>
                <w:sz w:val="20"/>
                <w:szCs w:val="20"/>
                <w:color w:val="auto"/>
              </w:rPr>
            </w:pPr>
            <w:r>
              <w:rPr>
                <w:rFonts w:ascii="Calibri" w:cs="Calibri" w:eastAsia="Calibri" w:hAnsi="Calibri"/>
                <w:sz w:val="18"/>
                <w:szCs w:val="18"/>
                <w:color w:val="auto"/>
              </w:rPr>
              <w:t>Form 10-K Summary</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92</w:t>
            </w:r>
          </w:p>
        </w:tc>
      </w:tr>
      <w:tr>
        <w:trPr>
          <w:trHeight w:val="331"/>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Signatures</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93</w:t>
            </w:r>
          </w:p>
        </w:tc>
      </w:tr>
      <w:tr>
        <w:trPr>
          <w:trHeight w:val="659"/>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gridSpan w:val="18"/>
          </w:tcPr>
          <w:p>
            <w:pPr>
              <w:jc w:val="center"/>
              <w:ind w:left="4170"/>
              <w:spacing w:after="0"/>
              <w:rPr>
                <w:sz w:val="20"/>
                <w:szCs w:val="20"/>
                <w:color w:val="auto"/>
              </w:rPr>
            </w:pPr>
            <w:r>
              <w:rPr>
                <w:rFonts w:ascii="Calibri" w:cs="Calibri" w:eastAsia="Calibri" w:hAnsi="Calibri"/>
                <w:sz w:val="18"/>
                <w:szCs w:val="18"/>
                <w:color w:val="auto"/>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86"/>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Informaton Relatng to Forward-Looking Statements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annual report on Form 10-K contains “forward-looking statements” under the Federal securites laws. These forward-looking statements address expectatons or projectons about the future, including our expectatons regarding our future business performance and overall prospects; segment and product line growth and the assumptons underlying our growth expectatons; demand for our products and the short-term nature of customer cautous buying behavior, partcularly in our Performance Chemicals segment; research and development actvites; the availability of our Cilegon, Indonesia plant expansion for reinforcing carbons; the extension of the compliance date for the installaton of technology controls at our facility in Ville Plate, Louisiana and the extension of the compliance date for the installaton of technology controls at our facility in Sarnia, Ontario; our 2025 Sustainability Goals; our fscal 2025 outlook; our ambitons for our EVOLVE® Sustainable Solutons technology platorm; the sufciency of our cash on hand, cash provided from operatons and cash available under our credit and commercial paper facilites to fund our cash requirements; antcipated capital spending, including environmental-related and technology controls capital expenditures; regulatory developments; our ability to manage workplace safety; cash requirements and uses of available cash, including future cash outlays associated with long-term contractual obligatons, contributons to employee beneft plans, environmental remediaton costs and future respirator liabilites and the tming of such outlays; exposure to interest rate and foreign exchange risk; future beneft plan payments we expect to make; future amortzaton expenses; our ability to recover deferred tax assets; our operatng tax rate; and the possible outcome of legal and environmental proceedings. From tme to tme, we also provide forward-looking statements in other materials we release to the public and in oral statements made by authorized ofcers.</w:t>
      </w:r>
    </w:p>
    <w:p>
      <w:pPr>
        <w:spacing w:after="0" w:line="9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past results and from those expressed in the forward-looking statements. Important factors that could cause our actual results to difer materially from those expressed in our forward-looking statements are described in Item 1A in this report.</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undertake no obligaton to publicly update forward-looking statements, whether as a result of new informaton, future events or otherwise, except as required by law. Investors are advised, however, to consult any further disclosures we make on related subjects in our 10-Q and 8-K reports fled with the Securites and Exchange Commission (the “SEC”).</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b w:val="1"/>
          <w:bCs w:val="1"/>
          <w:color w:val="auto"/>
        </w:rPr>
        <w:t>PART 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 </w:t>
      </w:r>
      <w:r>
        <w:rPr>
          <w:rFonts w:ascii="Calibri" w:cs="Calibri" w:eastAsia="Calibri" w:hAnsi="Calibri"/>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is a global specialty chemicals and performance materials company headquartered in Boston, Massachusets. Our principal products are reinforcing and specialty carbons, specialty compounds, conductve additves, carbon nanotubes, fumed metal oxides, inkjet colorants and aerogel. Cabot and its afliates have manufacturing facilites and operatons in the United States (“U.S.”) and over 20 other countries. Cabot’s business was founded in 1882 and incorporated in the State of Delaware in 1960. The terms “Cabot”, “Company”, “we”, and “our” as used in this report refer to Cabot Corporaton and its consolidated subsidiaries.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early fscal 2022, we introduced our “Creatng for Tomorrow” growth strategy. This strategy is focused on investng for advantaged growth, developing innovatve products and processes that enable a beter future, and driving contnuous improvement in all we do. Our products are generally based on technical expertse and innovaton in one or more of our four core competencies: making and handling very fne partcles; modifying the surfaces of very fne partcles to alter their functonality; designing partcles to impart specifc propertes to a formulaton; and combining partcles with other ingredients to deliver a formulated performance intermediate or composite. We focus on creatng partcles, and formulatons of those partcles, with the compositon, morphology and surface functonalites to deliver the requisite performance to support our customers’ existng and emerging applicatons.</w:t>
      </w:r>
    </w:p>
    <w:p>
      <w:pPr>
        <w:spacing w:after="0" w:line="86"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Our business is currently organized into two reportable segments: Reinforcement Materials and Performance Chemicals. Our business segments are discussed in more detail later in this secton.</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internet address is www.cabotcorp.com. We make available free of charge on or through our website our annual reports on Form 10-K, quarterly reports on Form 10-Q, current reports on Form 8-K, and amendments to those reports fled or furnished pursuant to Secton 13(a) or 15(d) of the Securites Exchange Act of 1934 as soon as reasonably practcable afer electronically fling such material with, or furnishing it to, the SEC. Informaton appearing on our website is not a part of, and is not incorporated in, this Annual Report on Form 10-K.</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Reinforcement Materials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Products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Carbon black is a form of elemental carbon that is manufactured from by-product feedstock streams in a highly controlled process to produce partcles and aggregates of varied size, structure and surface chemistry, resultng in many diferent performance characteristcs for a wide variety of applicatons. Reinforcing carbons (a class of carbon blacks manufactured by Cabot) are used to enhance the physical propertes of the systems and applicatons in which they are incorporated.</w:t>
      </w:r>
    </w:p>
    <w:p>
      <w:pPr>
        <w:spacing w:after="0" w:line="84"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Our reinforcing carbons products are used in tres and industrial products. Reinforcing carbons have traditonally been used in the tre industry as a rubber reinforcing agent to increase tread durability and are also used as a performance additve to reduce rolling resistance and improve tracton. In industrial products such as hoses, belts, extruded profles and molded goods, reinforcing carbons are used to improve the physical performance of the product, including the product’s physical strength, fuid resistance, conductvity and resistvity.</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additon to our reinforcing carbons, we manufacture engineered elastomer composites (“E2C®”) solutons that are composites of reinforcing carbons and rubber made using our patented elastomer composites manufacturing process. These composites improve abrasion/wear resistance, reduce fatgue of rubber parts and reduce rolling resistance compared to reinforcing carbons/rubber compounds made entrely by conventonal rubber mix methods enabling rubber product manufacturers to reduce the need to make performance trade-ofs. The use of E2C®solutons enables our customers to produce beter performing tres, including giant of-the-road tres and on-road commercial tres, as well as other rubber products used in high-wear applicatons such as mining. Additonally, because E2C®solutons can be integrated into current product methods without additonal signifcant capital investment, and require fewer mixing stages, lower mixing temperatures and shorter mixing cycles than conventonal products, operatng and producton costs may be reduced. E2C® is one of our focus areas for growth.</w:t>
      </w:r>
    </w:p>
    <w:p>
      <w:pPr>
        <w:spacing w:after="0" w:line="8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fscal 2023, we launched a new technology platorm, EVOLVE® Sustainable Solutons. Our ambiton under this platorm is to work with customers and technology partners to develop products with reliable performance and produced at industrial scale across three sustainability categories: Renewable, Recovered and Reduced, meaning products made with renewable materials or materials recovered from end-of-life tres and/or using processes that result in reduced greenhouse gas emissions.</w:t>
      </w:r>
    </w:p>
    <w:p>
      <w:pPr>
        <w:spacing w:after="0" w:line="296"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Drivers of Demand and Sales and Customers</w:t>
      </w:r>
    </w:p>
    <w:p>
      <w:pPr>
        <w:spacing w:after="0" w:line="82" w:lineRule="exact"/>
        <w:rPr>
          <w:sz w:val="20"/>
          <w:szCs w:val="20"/>
          <w:color w:val="auto"/>
        </w:rPr>
      </w:pPr>
    </w:p>
    <w:p>
      <w:pPr>
        <w:ind w:right="100" w:firstLine="539"/>
        <w:spacing w:after="0" w:line="235" w:lineRule="auto"/>
        <w:rPr>
          <w:sz w:val="20"/>
          <w:szCs w:val="20"/>
          <w:color w:val="auto"/>
        </w:rPr>
      </w:pPr>
      <w:r>
        <w:rPr>
          <w:rFonts w:ascii="Calibri" w:cs="Calibri" w:eastAsia="Calibri" w:hAnsi="Calibri"/>
          <w:sz w:val="18"/>
          <w:szCs w:val="18"/>
          <w:color w:val="auto"/>
        </w:rPr>
        <w:t>Demand for our Reinforcement Materials products is largely driven by the growth and development of the tre and automotve industries. In additon to general global economic conditons, demand for reinforcing carbons in tres is mainly infuenced by the number of replacement and original equipment tres produced, which in turn is driven by (i) vehicle and driving</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spacing w:after="0" w:line="235" w:lineRule="auto"/>
        <w:rPr>
          <w:sz w:val="20"/>
          <w:szCs w:val="20"/>
          <w:color w:val="auto"/>
        </w:rPr>
      </w:pPr>
      <w:r>
        <w:rPr>
          <w:rFonts w:ascii="Calibri" w:cs="Calibri" w:eastAsia="Calibri" w:hAnsi="Calibri"/>
          <w:sz w:val="18"/>
          <w:szCs w:val="18"/>
          <w:color w:val="auto"/>
        </w:rPr>
        <w:t>trends, including the number of miles driven, and the number of vehicles produced and registered, (ii) changes in supply chain inventory levels to adapt to end-market demand, (iii) demand for high-performance tres, (iv) demand for larger tres and larger vehicles, such as trucks, buses, of-road vehicles used in agriculture, mining and similar vehicles, (v) demand for electric and hybrid vehicles, (vi) consumer and industrial spending on new vehicles and (vii) changes in regulatory requirements impactng vehicle fuel efciency and tre regulatons. Demand for reinforcing carbons for industrial products is mainly infuenced by vehicle producton and design trends, constructon actvity and general industrial producton.</w:t>
      </w:r>
    </w:p>
    <w:p>
      <w:pPr>
        <w:spacing w:after="0" w:line="85" w:lineRule="exact"/>
        <w:rPr>
          <w:sz w:val="20"/>
          <w:szCs w:val="20"/>
          <w:color w:val="auto"/>
        </w:rPr>
      </w:pPr>
    </w:p>
    <w:p>
      <w:pPr>
        <w:ind w:right="100" w:firstLine="539"/>
        <w:spacing w:after="0" w:line="235" w:lineRule="auto"/>
        <w:rPr>
          <w:sz w:val="20"/>
          <w:szCs w:val="20"/>
          <w:color w:val="auto"/>
        </w:rPr>
      </w:pPr>
      <w:r>
        <w:rPr>
          <w:rFonts w:ascii="Calibri" w:cs="Calibri" w:eastAsia="Calibri" w:hAnsi="Calibri"/>
          <w:sz w:val="18"/>
          <w:szCs w:val="18"/>
          <w:color w:val="auto"/>
        </w:rPr>
        <w:t>Demand in the developed Western European, Japanese, and North American regions is mainly driven by demographic changes, customers’ high-quality requirements, stringent tre regulaton standards, changes in consumer preference (e.g., diferent tre sizes, model and powertrain types), and relatvely stable tre replacement demand. Demand in developing markets, such as China, Southeastern Asia, South America and Eastern Europe, has been mainly driven by the growing middle class, rapid industrializaton, infrastructure spending and car ownership trends and demand for products exported from these regions to the Western markets. The growth in vehicle producton, and in exports, in turn drives demand for both original equipment tres and replacement tres in developing regions.</w:t>
      </w:r>
    </w:p>
    <w:p>
      <w:pPr>
        <w:spacing w:after="0" w:line="86"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Sales of reinforcing carbons and E2C®solutons are made primarily by Cabot employees and secondarily through distributors and sales representatves. We typically “make and sell” in region, which, among other advantages, provides our customers a regional supply chain and typically reduces transportaton costs. Sales to fve major tre customers represent a material porton of Reinforcement Materials’ total net sales and operatng revenues. The loss of any of these customers, or a signifcant reducton in volumes sold to them, could have a material adverse efect on the segment untl such business is replaced.</w:t>
      </w:r>
    </w:p>
    <w:p>
      <w:pPr>
        <w:spacing w:after="0" w:line="73" w:lineRule="exact"/>
        <w:rPr>
          <w:sz w:val="20"/>
          <w:szCs w:val="20"/>
          <w:color w:val="auto"/>
        </w:rPr>
      </w:pPr>
    </w:p>
    <w:p>
      <w:pPr>
        <w:ind w:right="120" w:firstLine="509"/>
        <w:spacing w:after="0" w:line="223" w:lineRule="auto"/>
        <w:rPr>
          <w:sz w:val="20"/>
          <w:szCs w:val="20"/>
          <w:color w:val="auto"/>
        </w:rPr>
      </w:pPr>
      <w:r>
        <w:rPr>
          <w:rFonts w:ascii="Calibri" w:cs="Calibri" w:eastAsia="Calibri" w:hAnsi="Calibri"/>
          <w:sz w:val="18"/>
          <w:szCs w:val="18"/>
          <w:color w:val="auto"/>
        </w:rPr>
        <w:t>Under appropriate circumstances, we have entered into supply arrangements with certain customers, the typical duraton of which is one year. These arrangements typically provide for sales price adjustments to account for changes in relevant feedstock costs including natural gas and, in many cases, changes in other relevant costs (such as the cost of CO</w:t>
      </w:r>
      <w:r>
        <w:rPr>
          <w:rFonts w:ascii="Calibri" w:cs="Calibri" w:eastAsia="Calibri" w:hAnsi="Calibri"/>
          <w:sz w:val="24"/>
          <w:szCs w:val="24"/>
          <w:color w:val="auto"/>
          <w:vertAlign w:val="subscript"/>
        </w:rPr>
        <w:t>2</w:t>
      </w:r>
      <w:r>
        <w:rPr>
          <w:rFonts w:ascii="Calibri" w:cs="Calibri" w:eastAsia="Calibri" w:hAnsi="Calibri"/>
          <w:sz w:val="18"/>
          <w:szCs w:val="18"/>
          <w:color w:val="auto"/>
        </w:rPr>
        <w:t xml:space="preserve"> credits in Europe, vendor fnancing and product delivery). In fscal 2024, approximately two-thirds of our reinforcing carbons volume was sold under these supply arrangements. The majority of the volumes sold under these arrangements are sold to customers in the Americas and Europe.</w:t>
      </w:r>
    </w:p>
    <w:p>
      <w:pPr>
        <w:spacing w:after="0" w:line="86"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Much of the reinforcing carbons we sell is used in tres and automotve products and, therefore, our fnancial results may be afected by the cyclical nature of the automotve industry. However, the majority of the market for our products is in replacement tres that historically has been less cyclical as demand for replacement tres is correlated to miles driven.</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Competton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one of the leading manufacturers of carbon black in the world. We compete in the sale of reinforcing carbons with four companies that operate globally and numerous other companies that operate regionally, a number of which export product outside their region of manufacture. We also compete with substtute products, specifcally precipitated silica, and products marketed as being made with more sustainable material, specifcally reclaimed carbon, sometmes referred to as recovered carbon black. Competton for our Reinforcement Materials products is based on product performance, quality, reliability, price, service, technical innovaton, sustainability performance, and logistcs. We believe our product diferentaton, technological leadership, global manufacturing presence, operatons and logistcs excellence, sustainability performance, and customer service provide us with a compettve advantage.</w:t>
      </w:r>
    </w:p>
    <w:p>
      <w:pPr>
        <w:spacing w:after="0" w:line="8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Raw Materials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principal raw material used in the manufacture of our reinforcing carbons is composed of by-product residual heavy oils derived from petroleum refning operatons, the distllaton of coal tars, and the producton of ethylene throughout the world. This "feedstock" is not made-for-purpose, but is a by-product stream of other industrial processes and would generally otherwise be consumed as a fuel oil and burned for heat or power. Natural gas is also used as a feedstock in the producton of our reinforcing carbons. Our manufacturing process also requires water and electricity. Raw materials are, in general, readily available and in adequate supply. Raw material costs generally are infuenced by the availability of various types of our feedstocks, supply and demand of such raw materials and related transportaton costs.</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Operatons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own, or have a controlling interest in, and operate plants that produce reinforcing carbons in Argentna, Brazil, Canada, China, Colombia, the Czech Republic, France, Indonesia, Italy, Japan, Mexico, the Netherlands and the U.S. An equity afliate operates a reinforcing carbons plant in Venezuela. In additon, we have a 98% ownership interest in an entty that manufactures our E2C® products in Port Dickson, Malaysia.</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 w:name="page7"/>
    <w:bookmarkEnd w:id="6"/>
    <w:p>
      <w:pPr>
        <w:ind w:left="520"/>
        <w:spacing w:after="0"/>
        <w:rPr>
          <w:sz w:val="20"/>
          <w:szCs w:val="20"/>
          <w:color w:val="auto"/>
        </w:rPr>
      </w:pPr>
      <w:r>
        <w:rPr>
          <w:rFonts w:ascii="Calibri" w:cs="Calibri" w:eastAsia="Calibri" w:hAnsi="Calibri"/>
          <w:sz w:val="18"/>
          <w:szCs w:val="18"/>
          <w:color w:val="auto"/>
        </w:rPr>
        <w:t>The following table shows our ownership interest as of September 30, 2024 in operatons in which we own less than 100%:</w:t>
      </w:r>
    </w:p>
    <w:p>
      <w:pPr>
        <w:spacing w:after="0" w:line="305"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428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auto"/>
              </w:rPr>
              <w:t>Locaton</w:t>
            </w:r>
          </w:p>
        </w:tc>
        <w:tc>
          <w:tcPr>
            <w:tcW w:w="180" w:type="dxa"/>
            <w:vAlign w:val="bottom"/>
          </w:tcPr>
          <w:p>
            <w:pPr>
              <w:spacing w:after="0"/>
              <w:rPr>
                <w:sz w:val="16"/>
                <w:szCs w:val="16"/>
                <w:color w:val="auto"/>
              </w:rPr>
            </w:pPr>
          </w:p>
        </w:tc>
        <w:tc>
          <w:tcPr>
            <w:tcW w:w="3500" w:type="dxa"/>
            <w:vAlign w:val="bottom"/>
            <w:tcBorders>
              <w:bottom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Percentage Interest</w:t>
            </w:r>
          </w:p>
        </w:tc>
      </w:tr>
      <w:tr>
        <w:trPr>
          <w:trHeight w:val="216"/>
        </w:trPr>
        <w:tc>
          <w:tcPr>
            <w:tcW w:w="42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Shanghai, China</w:t>
            </w:r>
          </w:p>
        </w:tc>
        <w:tc>
          <w:tcPr>
            <w:tcW w:w="520" w:type="dxa"/>
            <w:vAlign w:val="bottom"/>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w w:val="96"/>
              </w:rPr>
              <w:t>70%</w:t>
            </w:r>
          </w:p>
        </w:tc>
        <w:tc>
          <w:tcPr>
            <w:tcW w:w="31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(consolidated subsidiary)</w:t>
            </w:r>
          </w:p>
        </w:tc>
      </w:tr>
      <w:tr>
        <w:trPr>
          <w:trHeight w:val="215"/>
        </w:trPr>
        <w:tc>
          <w:tcPr>
            <w:tcW w:w="4280" w:type="dxa"/>
            <w:vAlign w:val="bottom"/>
          </w:tcPr>
          <w:p>
            <w:pPr>
              <w:ind w:left="20"/>
              <w:spacing w:after="0" w:line="215" w:lineRule="exact"/>
              <w:rPr>
                <w:sz w:val="20"/>
                <w:szCs w:val="20"/>
                <w:color w:val="auto"/>
              </w:rPr>
            </w:pPr>
            <w:r>
              <w:rPr>
                <w:rFonts w:ascii="Calibri" w:cs="Calibri" w:eastAsia="Calibri" w:hAnsi="Calibri"/>
                <w:sz w:val="18"/>
                <w:szCs w:val="18"/>
                <w:color w:val="auto"/>
              </w:rPr>
              <w:t>Tianjin, China</w:t>
            </w:r>
          </w:p>
        </w:tc>
        <w:tc>
          <w:tcPr>
            <w:tcW w:w="52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w w:val="96"/>
              </w:rPr>
              <w:t>70%</w:t>
            </w:r>
          </w:p>
        </w:tc>
        <w:tc>
          <w:tcPr>
            <w:tcW w:w="3160" w:type="dxa"/>
            <w:vAlign w:val="bottom"/>
          </w:tcPr>
          <w:p>
            <w:pPr>
              <w:ind w:left="20"/>
              <w:spacing w:after="0" w:line="215" w:lineRule="exact"/>
              <w:rPr>
                <w:sz w:val="20"/>
                <w:szCs w:val="20"/>
                <w:color w:val="auto"/>
              </w:rPr>
            </w:pPr>
            <w:r>
              <w:rPr>
                <w:rFonts w:ascii="Calibri" w:cs="Calibri" w:eastAsia="Calibri" w:hAnsi="Calibri"/>
                <w:sz w:val="18"/>
                <w:szCs w:val="18"/>
                <w:color w:val="auto"/>
              </w:rPr>
              <w:t>(consolidated subsidiary)</w:t>
            </w:r>
          </w:p>
        </w:tc>
      </w:tr>
      <w:tr>
        <w:trPr>
          <w:trHeight w:val="217"/>
        </w:trPr>
        <w:tc>
          <w:tcPr>
            <w:tcW w:w="4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Xingtai City, China</w:t>
            </w:r>
          </w:p>
        </w:tc>
        <w:tc>
          <w:tcPr>
            <w:tcW w:w="520" w:type="dxa"/>
            <w:vAlign w:val="bottom"/>
            <w:gridSpan w:val="2"/>
            <w:shd w:val="clear" w:color="auto" w:fill="CFF0FC"/>
          </w:tcPr>
          <w:p>
            <w:pPr>
              <w:ind w:left="200"/>
              <w:spacing w:after="0" w:line="216" w:lineRule="exact"/>
              <w:rPr>
                <w:sz w:val="20"/>
                <w:szCs w:val="20"/>
                <w:color w:val="auto"/>
              </w:rPr>
            </w:pPr>
            <w:r>
              <w:rPr>
                <w:rFonts w:ascii="Calibri" w:cs="Calibri" w:eastAsia="Calibri" w:hAnsi="Calibri"/>
                <w:sz w:val="18"/>
                <w:szCs w:val="18"/>
                <w:color w:val="auto"/>
                <w:w w:val="96"/>
              </w:rPr>
              <w:t>60%</w:t>
            </w:r>
          </w:p>
        </w:tc>
        <w:tc>
          <w:tcPr>
            <w:tcW w:w="3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(consolidated subsidiary)</w:t>
            </w:r>
          </w:p>
        </w:tc>
      </w:tr>
      <w:tr>
        <w:trPr>
          <w:trHeight w:val="215"/>
        </w:trPr>
        <w:tc>
          <w:tcPr>
            <w:tcW w:w="4280" w:type="dxa"/>
            <w:vAlign w:val="bottom"/>
          </w:tcPr>
          <w:p>
            <w:pPr>
              <w:ind w:left="20"/>
              <w:spacing w:after="0" w:line="215" w:lineRule="exact"/>
              <w:rPr>
                <w:sz w:val="20"/>
                <w:szCs w:val="20"/>
                <w:color w:val="auto"/>
              </w:rPr>
            </w:pPr>
            <w:r>
              <w:rPr>
                <w:rFonts w:ascii="Calibri" w:cs="Calibri" w:eastAsia="Calibri" w:hAnsi="Calibri"/>
                <w:sz w:val="18"/>
                <w:szCs w:val="18"/>
                <w:color w:val="auto"/>
              </w:rPr>
              <w:t>Valasske Mezirici (Valmez), Czech Republic</w:t>
            </w:r>
          </w:p>
        </w:tc>
        <w:tc>
          <w:tcPr>
            <w:tcW w:w="52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w w:val="96"/>
              </w:rPr>
              <w:t>52%</w:t>
            </w:r>
          </w:p>
        </w:tc>
        <w:tc>
          <w:tcPr>
            <w:tcW w:w="3160" w:type="dxa"/>
            <w:vAlign w:val="bottom"/>
          </w:tcPr>
          <w:p>
            <w:pPr>
              <w:ind w:left="20"/>
              <w:spacing w:after="0" w:line="215" w:lineRule="exact"/>
              <w:rPr>
                <w:sz w:val="20"/>
                <w:szCs w:val="20"/>
                <w:color w:val="auto"/>
              </w:rPr>
            </w:pPr>
            <w:r>
              <w:rPr>
                <w:rFonts w:ascii="Calibri" w:cs="Calibri" w:eastAsia="Calibri" w:hAnsi="Calibri"/>
                <w:sz w:val="18"/>
                <w:szCs w:val="18"/>
                <w:color w:val="auto"/>
              </w:rPr>
              <w:t>(consolidated subsidiary)</w:t>
            </w:r>
          </w:p>
        </w:tc>
      </w:tr>
      <w:tr>
        <w:trPr>
          <w:trHeight w:val="217"/>
        </w:trPr>
        <w:tc>
          <w:tcPr>
            <w:tcW w:w="4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Cilegon, Indonesia</w:t>
            </w:r>
          </w:p>
        </w:tc>
        <w:tc>
          <w:tcPr>
            <w:tcW w:w="520" w:type="dxa"/>
            <w:vAlign w:val="bottom"/>
            <w:gridSpan w:val="2"/>
            <w:shd w:val="clear" w:color="auto" w:fill="CFF0FC"/>
          </w:tcPr>
          <w:p>
            <w:pPr>
              <w:ind w:left="200"/>
              <w:spacing w:after="0" w:line="216" w:lineRule="exact"/>
              <w:rPr>
                <w:sz w:val="20"/>
                <w:szCs w:val="20"/>
                <w:color w:val="auto"/>
              </w:rPr>
            </w:pPr>
            <w:r>
              <w:rPr>
                <w:rFonts w:ascii="Calibri" w:cs="Calibri" w:eastAsia="Calibri" w:hAnsi="Calibri"/>
                <w:sz w:val="18"/>
                <w:szCs w:val="18"/>
                <w:color w:val="auto"/>
                <w:w w:val="96"/>
              </w:rPr>
              <w:t>98%</w:t>
            </w:r>
          </w:p>
        </w:tc>
        <w:tc>
          <w:tcPr>
            <w:tcW w:w="3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(consolidated subsidiary)</w:t>
            </w:r>
          </w:p>
        </w:tc>
      </w:tr>
      <w:tr>
        <w:trPr>
          <w:trHeight w:val="215"/>
        </w:trPr>
        <w:tc>
          <w:tcPr>
            <w:tcW w:w="4280" w:type="dxa"/>
            <w:vAlign w:val="bottom"/>
          </w:tcPr>
          <w:p>
            <w:pPr>
              <w:ind w:left="20"/>
              <w:spacing w:after="0" w:line="215" w:lineRule="exact"/>
              <w:rPr>
                <w:sz w:val="20"/>
                <w:szCs w:val="20"/>
                <w:color w:val="auto"/>
              </w:rPr>
            </w:pPr>
            <w:r>
              <w:rPr>
                <w:rFonts w:ascii="Calibri" w:cs="Calibri" w:eastAsia="Calibri" w:hAnsi="Calibri"/>
                <w:sz w:val="18"/>
                <w:szCs w:val="18"/>
                <w:color w:val="auto"/>
              </w:rPr>
              <w:t>Port Dickson, Malaysia</w:t>
            </w:r>
          </w:p>
        </w:tc>
        <w:tc>
          <w:tcPr>
            <w:tcW w:w="52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w w:val="96"/>
              </w:rPr>
              <w:t>98%</w:t>
            </w:r>
          </w:p>
        </w:tc>
        <w:tc>
          <w:tcPr>
            <w:tcW w:w="3160" w:type="dxa"/>
            <w:vAlign w:val="bottom"/>
          </w:tcPr>
          <w:p>
            <w:pPr>
              <w:ind w:left="20"/>
              <w:spacing w:after="0" w:line="215" w:lineRule="exact"/>
              <w:rPr>
                <w:sz w:val="20"/>
                <w:szCs w:val="20"/>
                <w:color w:val="auto"/>
              </w:rPr>
            </w:pPr>
            <w:r>
              <w:rPr>
                <w:rFonts w:ascii="Calibri" w:cs="Calibri" w:eastAsia="Calibri" w:hAnsi="Calibri"/>
                <w:sz w:val="18"/>
                <w:szCs w:val="18"/>
                <w:color w:val="auto"/>
              </w:rPr>
              <w:t>(consolidated subsidiary)</w:t>
            </w:r>
          </w:p>
        </w:tc>
      </w:tr>
      <w:tr>
        <w:trPr>
          <w:trHeight w:val="217"/>
        </w:trPr>
        <w:tc>
          <w:tcPr>
            <w:tcW w:w="4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Valencia, Venezuela</w:t>
            </w:r>
          </w:p>
        </w:tc>
        <w:tc>
          <w:tcPr>
            <w:tcW w:w="520" w:type="dxa"/>
            <w:vAlign w:val="bottom"/>
            <w:gridSpan w:val="2"/>
            <w:shd w:val="clear" w:color="auto" w:fill="CFF0FC"/>
          </w:tcPr>
          <w:p>
            <w:pPr>
              <w:ind w:left="200"/>
              <w:spacing w:after="0" w:line="216" w:lineRule="exact"/>
              <w:rPr>
                <w:sz w:val="20"/>
                <w:szCs w:val="20"/>
                <w:color w:val="auto"/>
              </w:rPr>
            </w:pPr>
            <w:r>
              <w:rPr>
                <w:rFonts w:ascii="Calibri" w:cs="Calibri" w:eastAsia="Calibri" w:hAnsi="Calibri"/>
                <w:sz w:val="18"/>
                <w:szCs w:val="18"/>
                <w:color w:val="auto"/>
                <w:w w:val="96"/>
              </w:rPr>
              <w:t>49%</w:t>
            </w:r>
          </w:p>
        </w:tc>
        <w:tc>
          <w:tcPr>
            <w:tcW w:w="3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(equity afliate)</w:t>
            </w:r>
          </w:p>
        </w:tc>
      </w:tr>
    </w:tbl>
    <w:p>
      <w:pPr>
        <w:spacing w:after="0" w:line="329"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In 2024, we began an expansion project at our Cilegon, Indonesia plant to add approximately 80,000 metric tons of capacity for reinforcing carbons which we antcipate becoming available in fscal 2025.</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to carbon black, our manufacturing processes produce usable energy in the form of tailgas, as a by-product. Nine of our reinforcing carbons manufacturing sites and four reinforcing carbons/specialty carbons manufacturing sites have energy centers, and we are currently installing an energy center at our reinforcing carbons plant in Ville Plate, Louisiana. These energy centers allow us to utlize the tailgas through some form of energy co-generaton, such as steam or electricity. We can use this co-generated energy internally to reduce our manufacturing operatng costs, or sell it and generate revenues from these energy center operatons.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Chemicals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Performance Chemicals, we design, manufacture and sell materials that deliver performance in a broad range of customer applicatons across the automotve, constructon, infrastructure, inkjet printng, electronics, and consumer products sectors and in applicatons related to the generaton, transmission and storage of energy. In this reportng segment we combine our specialty carbons, specialty compounds, batery materials, fumed metal oxides, aerogel and inkjet product lines. Our focus areas for growth include conductve additves and other materials for batery applicatons, and inkjet dispersions for post print corrugated packaging applicatons. The recent investments we have made for growth in this segment, including in respect of these specifc areas of focus, are described below under the heading “Operatons”.</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Products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Carbon black is a form of elemental carbon that is manufactured in a highly controlled process to produce partcles and aggregates of varied structure and surface chemistry, resultng in many diferent performance characteristcs for a wide variety of applicatons.</w:t>
      </w:r>
    </w:p>
    <w:p>
      <w:pPr>
        <w:spacing w:after="0" w:line="83" w:lineRule="exact"/>
        <w:rPr>
          <w:sz w:val="20"/>
          <w:szCs w:val="20"/>
          <w:color w:val="auto"/>
        </w:rPr>
      </w:pPr>
    </w:p>
    <w:p>
      <w:pPr>
        <w:ind w:right="140" w:firstLine="509"/>
        <w:spacing w:after="0" w:line="254" w:lineRule="auto"/>
        <w:rPr>
          <w:sz w:val="20"/>
          <w:szCs w:val="20"/>
          <w:color w:val="auto"/>
        </w:rPr>
      </w:pPr>
      <w:r>
        <w:rPr>
          <w:rFonts w:ascii="Calibri" w:cs="Calibri" w:eastAsia="Calibri" w:hAnsi="Calibri"/>
          <w:sz w:val="17"/>
          <w:szCs w:val="17"/>
          <w:color w:val="auto"/>
        </w:rPr>
        <w:t>Our specialty carbons are used to impart color, provide rheology control, enhance conductvity and statc charge control, provide UV protecton, enhance mechanical propertes, and provide formulaton fexibility through surface treatment. These specialty carbon products are used in a wide variety of applicatons, such as plastcs, which applicatons represent the largest use for our products, inks, coatngs, adhesives, toners, bateries, and displays.</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masterbatch and conductve compound products, which we refer to as “specialty compounds”, are formulatons derived from specialty carbons mixed with polymers and other additves. These products are generally used by plastc resin producers and converters in applicatons for the automotve, industrial, packaging, infrastructure, agriculture, consumer products, and electronics industries. As an alternatve to directly mixing specialty carbon blacks, these formulatons ofer greater ease of handling and help customers achieve their desired levels of dispersion and color and manage the additon of small doses of additves. In additon, our electrically conductve compound products generally are used to help ensure uniform conductve performance and reduce risks associated with electrostatc discharge in plastcs applicatons.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batery materials products include our conductve additves and fumed alumina, which are used principally in advanced lead acid and lithium-ion bateries used in electric vehicles. Our conductve additves consist of conductve carbons, carbon nanotubes and carbon nano structures, and blends of these materials, each of which ofers diferent levels of conductvity and formulaton fexibility for batery manufacturers to address performance (energy density, fast charging), cost and safety. In lithium-ion bateries, our conductve additves are used in both cathode and anode applicatons to increase energy density by providing a conductve network between actve materials. Fumed alumina is used to reduce cathode material and electrolyte decompositon and improve capacity retenton leading to longer batery cycle life.</w:t>
      </w:r>
    </w:p>
    <w:p>
      <w:pPr>
        <w:spacing w:after="0" w:line="86"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Fumed silica is an ultra-fne, high-purity partcle used as a reinforcing, thickening, abrasive, thixotropic, suspending or ant-caking agent in a wide variety of products for the automotve, constructon, microelectronics, bateries and consumer products</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7" w:name="page8"/>
    <w:bookmarkEnd w:id="7"/>
    <w:p>
      <w:pPr>
        <w:spacing w:after="0" w:line="235" w:lineRule="auto"/>
        <w:rPr>
          <w:sz w:val="20"/>
          <w:szCs w:val="20"/>
          <w:color w:val="auto"/>
        </w:rPr>
      </w:pPr>
      <w:r>
        <w:rPr>
          <w:rFonts w:ascii="Calibri" w:cs="Calibri" w:eastAsia="Calibri" w:hAnsi="Calibri"/>
          <w:sz w:val="18"/>
          <w:szCs w:val="18"/>
          <w:color w:val="auto"/>
        </w:rPr>
        <w:t>industries. These products include adhesives, sealants, cosmetcs, bateries, inks, toners, silicone elastomers, coatngs, polishing slurries and pharmaceutcals. In additon to its batery applicatons discussed above, fumed alumina, also an ultra-fne, high-purity partcle, is used as an abrasive, absorbent or barrier agent in a variety of products, such as inkjet media, lightng, coatngs, cosmetcs and polishing slurries.</w:t>
      </w:r>
    </w:p>
    <w:p>
      <w:pPr>
        <w:spacing w:after="0" w:line="84"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Aerogel is a hydrophobic, silica-based partcle with a high surface area that is used in a variety of thermal insulaton and specialty chemical applicatons. In the building and constructon industry, the product is used in insulatve sprayable plasters and composite building products, as well as translucent skylight, window, wall and roof systems for insulatng eco-daylightng applicatons. In the specialty chemicals industry, the product is used to provide mate fnishing, insulatng and thickening propertes for use in a variety of applicatons including thermal runaway management for lithium-ion bateries.</w:t>
      </w:r>
    </w:p>
    <w:p>
      <w:pPr>
        <w:spacing w:after="0" w:line="85"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Our inkjet colorants are high-quality pigment-based black and color dispersions and inks. Our dispersions are based on our patented pigment surface modifcaton technology and polymer encapsulaton technology. The dispersions are used in aqueous inkjet inks to impart color, sharp print characteristcs and durability, while maintaining high printhead reliability. These products are used in various inkjet printng applicatons, including traditonal work-from-home and corporate ofce setngs, and, increasingly, in commercial and corrugated packaging, all of which require a high level of dispersibility and colloidal stability. Our inkjet inks, which utlize our pigment-based colorant dispersions, are used in the commercial printng segment for graphic arts.</w:t>
      </w:r>
    </w:p>
    <w:p>
      <w:pPr>
        <w:spacing w:after="0" w:line="7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Drivers of Demand and Sales and Customers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specialty carbons products have a wide variety of end-uses and demand is largely driven by the growth and development of the constructon and infrastructure, automotve, electronics and consumer products industries. Demand for our conductve additves for use in bateries is largely driven by the trend in electrifcaton of vehicles. Demand for fumed silica is mainly infuenced by trends in key markets for silicones, adhesives and coatngs applicatons, notably, structural adhesives for automobile light-weightng, epoxy bonding paste for wind turbines, high-performance coatngs and hybrid sealants for constructon and silicones for medical devices and the proliferaton of electronics. Demand for specialty compounds is mainly infuenced by growth and development of the automotve, infrastructure, consumer goods and electronic devices, packaging and agriculture industries.</w:t>
      </w:r>
    </w:p>
    <w:p>
      <w:pPr>
        <w:spacing w:after="0" w:line="86"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Demand for our inkjet colorants is mainly infuenced by developments in print media, pages printed in ofce and work-from-home environments, as well as press sales and utlizaton levels as digital aqueous pigment-based inks penetrate commercial and packaging applicatons historically served by analog printng methods.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Sales of these products are made by Cabot employees and through distributors and sales representatves. In our specialty carbons and specialty compounds product lines, sales are generally to a broad number of customers. In our fumed metal oxides product line, sales under contracts with fve customers account for approximately one-third of the revenue. In our batery materials product line, sales to three customers account for approximately 50% of revenue.</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Competton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a leading producer of the products we sell in this segment. We compete in the sale of carbon black with three companies that operate globally and numerous other companies that operate regionally, a number of which export product outside their region of manufacture. For batery applicatons, we compete primarily with two global companies that manufacture conductve carbons as well as a number of regional manufacturers. For carbon nanotubes, we compete primarily with one Chinese-based company as well as a number of regional manufacturers. We compete primarily with one manufacturer of fumed alumina that operates globally. For fumed silica, we compete with two companies with a global presence and several other companies that have a regional presence. For aerogel, we compete globally principally with one other company that produces aerogel products. We also compete with non-aerogel insulaton products manufactured by regional companies throughout the world. For specialty compounds, we compete with many regional companies and a small number of global companies. Our inkjet colorants and inks are designed to replace traditonal pigment dispersions and dyes used in inkjet printng applicatons. Compettve products for inkjet colorants are organic dyes and other dispersed pigments manufactured and marketed by large chemical companies and small independent producers.</w:t>
      </w:r>
    </w:p>
    <w:p>
      <w:pPr>
        <w:spacing w:after="0" w:line="8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Competton for our Performance Chemicals products is based on product performance, quality, reliability, service, technical innovaton and price. We believe our product diferentaton, technological leadership, operatons excellence and customer service provide us with a compettve advantage.</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8" w:name="page9"/>
    <w:bookmarkEnd w:id="8"/>
    <w:p>
      <w:pPr>
        <w:ind w:left="260"/>
        <w:spacing w:after="0"/>
        <w:rPr>
          <w:sz w:val="20"/>
          <w:szCs w:val="20"/>
          <w:color w:val="auto"/>
        </w:rPr>
      </w:pPr>
      <w:r>
        <w:rPr>
          <w:rFonts w:ascii="Calibri" w:cs="Calibri" w:eastAsia="Calibri" w:hAnsi="Calibri"/>
          <w:sz w:val="18"/>
          <w:szCs w:val="18"/>
          <w:b w:val="1"/>
          <w:bCs w:val="1"/>
          <w:i w:val="1"/>
          <w:iCs w:val="1"/>
          <w:color w:val="auto"/>
        </w:rPr>
        <w:t>Raw Materials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Raw materials for our products are, in general, readily available and in adequate supply. The principal raw material used in the manufacture of our specialty carbons and conductve additves is composed of residual heavy oils derived from petroleum refning operatons, the distllaton of coal tars, and the producton of ethylene throughout the world. Natural gas is also used in the producton of our specialty carbons. As product purity is one of the most critcal requirements for conductve carbons, we obtain raw materials for those products from select key suppliers. Our raw material costs generally are infuenced by the availability of various types of our feedstocks and natural gas, supply and demand of such raw materials and related transportaton costs. Our manufacturing processes also require water and electricity.</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primary raw materials for our carbon nanotubes are catalysts that we synthesize and propylene. Raw materials for the producton of fumed silica are various chlorosilane feedstocks. We purchase feedstocks and for certain customers convert their feedstock to product on a fee-basis (so called “toll conversion”). We also purchase aluminum chloride as feedstock for the producton of fumed alumina. We have long-term procurement contracts or arrangements in place for the purchase of fumed silica feedstock primarily from fence-line partners, which we believe will enable us to meet our raw material requirements for the foreseeable future. In additon, we buy some raw materials in the spot market to help ensure fexibility and minimize costs. The principal raw materials for the producton of aerogel are silica sol and/or sodium silicate.</w:t>
      </w:r>
    </w:p>
    <w:p>
      <w:pPr>
        <w:spacing w:after="0" w:line="8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primary raw materials used for our specialty compounds include carbon black, primarily sourced from our carbon black plants, prime and recycled thermoplastc resins and mineral fllers supplied from various sources. Raw materials for inkjet colorants include carbon black sourced from our carbon black plants, organic pigments and other treatng agents available from various sources. Raw materials for inkjet inks include pigment dispersions, solvents and other additves.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Operatons</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We own, or have a controlling interest in, and operate plants that produce specialty carbons primarily in China, the Netherlands and the U.S. We produce our conductve additves in China, and at our specialty carbon plants in the U.S. and in the Netherlands. We also own, or have a controlling interest in, manufacturing plants that produce fumed metal oxides in China, Germany, the United Kingdom (“U.K.”), and the U.S. and a manufacturing plant that produces aerogel in Frankfurt, Germany, which is currently idled. An equity afliate operates a fumed metal oxides plant in India. Our specialty compounds are predominately produced in facilites that we own, or have a controlling interest in, located in Belgium, Canada, China and the United Arab Emirates. Our inkjet colorants and inks are manufactured at our facility in the U.S.</w:t>
      </w:r>
    </w:p>
    <w:p>
      <w:pPr>
        <w:spacing w:after="0" w:line="81"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shows our ownership interest as of September 30, 2024 in operatons in which we own less than 100%:</w:t>
      </w:r>
    </w:p>
    <w:p>
      <w:pPr>
        <w:spacing w:after="0" w:line="305"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554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Locaton</w:t>
            </w:r>
          </w:p>
        </w:tc>
        <w:tc>
          <w:tcPr>
            <w:tcW w:w="160" w:type="dxa"/>
            <w:vAlign w:val="bottom"/>
          </w:tcPr>
          <w:p>
            <w:pPr>
              <w:spacing w:after="0"/>
              <w:rPr>
                <w:sz w:val="16"/>
                <w:szCs w:val="16"/>
                <w:color w:val="auto"/>
              </w:rPr>
            </w:pPr>
          </w:p>
        </w:tc>
        <w:tc>
          <w:tcPr>
            <w:tcW w:w="3160" w:type="dxa"/>
            <w:vAlign w:val="bottom"/>
            <w:tcBorders>
              <w:bottom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Percentage Interest</w:t>
            </w:r>
          </w:p>
        </w:tc>
      </w:tr>
      <w:tr>
        <w:trPr>
          <w:trHeight w:val="216"/>
        </w:trPr>
        <w:tc>
          <w:tcPr>
            <w:tcW w:w="55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Tianjin, China (Specialty Carbons and Compounds business)</w:t>
            </w:r>
          </w:p>
        </w:tc>
        <w:tc>
          <w:tcPr>
            <w:tcW w:w="500" w:type="dxa"/>
            <w:vAlign w:val="bottom"/>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w w:val="96"/>
              </w:rPr>
              <w:t>90%</w:t>
            </w:r>
          </w:p>
        </w:tc>
        <w:tc>
          <w:tcPr>
            <w:tcW w:w="28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(consolidated subsidiary)</w:t>
            </w:r>
          </w:p>
        </w:tc>
      </w:tr>
      <w:tr>
        <w:trPr>
          <w:trHeight w:val="215"/>
        </w:trPr>
        <w:tc>
          <w:tcPr>
            <w:tcW w:w="5540" w:type="dxa"/>
            <w:vAlign w:val="bottom"/>
          </w:tcPr>
          <w:p>
            <w:pPr>
              <w:spacing w:after="0" w:line="215" w:lineRule="exact"/>
              <w:rPr>
                <w:sz w:val="20"/>
                <w:szCs w:val="20"/>
                <w:color w:val="auto"/>
              </w:rPr>
            </w:pPr>
            <w:r>
              <w:rPr>
                <w:rFonts w:ascii="Calibri" w:cs="Calibri" w:eastAsia="Calibri" w:hAnsi="Calibri"/>
                <w:sz w:val="18"/>
                <w:szCs w:val="18"/>
                <w:color w:val="auto"/>
              </w:rPr>
              <w:t>Jiangxi Province, China (Fumed Metal Oxides business)</w:t>
            </w:r>
          </w:p>
        </w:tc>
        <w:tc>
          <w:tcPr>
            <w:tcW w:w="5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w w:val="96"/>
              </w:rPr>
              <w:t>90%</w:t>
            </w:r>
          </w:p>
        </w:tc>
        <w:tc>
          <w:tcPr>
            <w:tcW w:w="2820" w:type="dxa"/>
            <w:vAlign w:val="bottom"/>
          </w:tcPr>
          <w:p>
            <w:pPr>
              <w:ind w:left="20"/>
              <w:spacing w:after="0" w:line="215" w:lineRule="exact"/>
              <w:rPr>
                <w:sz w:val="20"/>
                <w:szCs w:val="20"/>
                <w:color w:val="auto"/>
              </w:rPr>
            </w:pPr>
            <w:r>
              <w:rPr>
                <w:rFonts w:ascii="Calibri" w:cs="Calibri" w:eastAsia="Calibri" w:hAnsi="Calibri"/>
                <w:sz w:val="18"/>
                <w:szCs w:val="18"/>
                <w:color w:val="auto"/>
              </w:rPr>
              <w:t>(consolidated subsidiary)</w:t>
            </w:r>
          </w:p>
        </w:tc>
      </w:tr>
      <w:tr>
        <w:trPr>
          <w:trHeight w:val="217"/>
        </w:trPr>
        <w:tc>
          <w:tcPr>
            <w:tcW w:w="55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Wuhai, China (Fumed Metal Oxides business)</w:t>
            </w:r>
          </w:p>
        </w:tc>
        <w:tc>
          <w:tcPr>
            <w:tcW w:w="5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w w:val="96"/>
              </w:rPr>
              <w:t>80%</w:t>
            </w:r>
          </w:p>
        </w:tc>
        <w:tc>
          <w:tcPr>
            <w:tcW w:w="28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(consolidated subsidiary)</w:t>
            </w:r>
          </w:p>
        </w:tc>
      </w:tr>
      <w:tr>
        <w:trPr>
          <w:trHeight w:val="215"/>
        </w:trPr>
        <w:tc>
          <w:tcPr>
            <w:tcW w:w="5540" w:type="dxa"/>
            <w:vAlign w:val="bottom"/>
          </w:tcPr>
          <w:p>
            <w:pPr>
              <w:spacing w:after="0" w:line="215" w:lineRule="exact"/>
              <w:rPr>
                <w:sz w:val="20"/>
                <w:szCs w:val="20"/>
                <w:color w:val="auto"/>
              </w:rPr>
            </w:pPr>
            <w:r>
              <w:rPr>
                <w:rFonts w:ascii="Calibri" w:cs="Calibri" w:eastAsia="Calibri" w:hAnsi="Calibri"/>
                <w:sz w:val="18"/>
                <w:szCs w:val="18"/>
                <w:color w:val="auto"/>
              </w:rPr>
              <w:t>Metur Dam, India (Fumed Metal Oxides business)</w:t>
            </w:r>
          </w:p>
        </w:tc>
        <w:tc>
          <w:tcPr>
            <w:tcW w:w="5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w w:val="96"/>
              </w:rPr>
              <w:t>50%</w:t>
            </w:r>
          </w:p>
        </w:tc>
        <w:tc>
          <w:tcPr>
            <w:tcW w:w="2820" w:type="dxa"/>
            <w:vAlign w:val="bottom"/>
          </w:tcPr>
          <w:p>
            <w:pPr>
              <w:ind w:left="20"/>
              <w:spacing w:after="0" w:line="215" w:lineRule="exact"/>
              <w:rPr>
                <w:sz w:val="20"/>
                <w:szCs w:val="20"/>
                <w:color w:val="auto"/>
              </w:rPr>
            </w:pPr>
            <w:r>
              <w:rPr>
                <w:rFonts w:ascii="Calibri" w:cs="Calibri" w:eastAsia="Calibri" w:hAnsi="Calibri"/>
                <w:sz w:val="18"/>
                <w:szCs w:val="18"/>
                <w:color w:val="auto"/>
              </w:rPr>
              <w:t>(equity afliate)</w:t>
            </w:r>
          </w:p>
        </w:tc>
      </w:tr>
    </w:tbl>
    <w:p>
      <w:pPr>
        <w:spacing w:after="0" w:line="276"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Currently, four of our reinforcing carbons/specialty carbons manufacturing sites have energy centers. These are described above in the discussion of our Reinforcement Materials segment.</w:t>
      </w:r>
    </w:p>
    <w:p>
      <w:pPr>
        <w:spacing w:after="0" w:line="83" w:lineRule="exact"/>
        <w:rPr>
          <w:sz w:val="20"/>
          <w:szCs w:val="20"/>
          <w:color w:val="auto"/>
        </w:rPr>
      </w:pPr>
    </w:p>
    <w:p>
      <w:pPr>
        <w:ind w:firstLine="509"/>
        <w:spacing w:after="0" w:line="252" w:lineRule="auto"/>
        <w:rPr>
          <w:sz w:val="20"/>
          <w:szCs w:val="20"/>
          <w:color w:val="auto"/>
        </w:rPr>
      </w:pPr>
      <w:r>
        <w:rPr>
          <w:rFonts w:ascii="Calibri" w:cs="Calibri" w:eastAsia="Calibri" w:hAnsi="Calibri"/>
          <w:sz w:val="17"/>
          <w:szCs w:val="17"/>
          <w:color w:val="auto"/>
        </w:rPr>
        <w:t>Over the last several years, we have been investng for growth with a number of capacity expansion projects and other transactons, partcularly to increase manufacturing capacity for our specialty carbons and batery materials products. These investments include our purchase in 2022 from Tokai Carbon Group of its carbon black manufacturing facility in Tianjin, China where we expect to make technical upgrades in the future to convert certain manufacturing units to allow us to produce conductve additves. We intend to pace our investments in additonal batery materials manufacturing capacity to meet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color w:val="auto"/>
        </w:rPr>
        <w:t>Global Operatons</w:t>
      </w:r>
    </w:p>
    <w:p>
      <w:pPr>
        <w:spacing w:after="0" w:line="82" w:lineRule="exact"/>
        <w:rPr>
          <w:sz w:val="20"/>
          <w:szCs w:val="20"/>
          <w:color w:val="auto"/>
        </w:rPr>
      </w:pPr>
    </w:p>
    <w:p>
      <w:pPr>
        <w:ind w:firstLine="749"/>
        <w:spacing w:after="0" w:line="250" w:lineRule="auto"/>
        <w:rPr>
          <w:sz w:val="20"/>
          <w:szCs w:val="20"/>
          <w:color w:val="auto"/>
        </w:rPr>
      </w:pPr>
      <w:r>
        <w:rPr>
          <w:rFonts w:ascii="Calibri" w:cs="Calibri" w:eastAsia="Calibri" w:hAnsi="Calibri"/>
          <w:sz w:val="17"/>
          <w:szCs w:val="17"/>
          <w:color w:val="auto"/>
        </w:rPr>
        <w:t>Both of our segments operate globally, and a signifcant porton of our revenues and operatng profts is derived from operatons outside the U.S. In partcular, manufacturers in China contnue to be important producers of tres and products for automotve applicatons, including more recently of bateries for electric vehicles, and since we made our inital investment in China in 1988, we have increased our operatons in China to support increased demand for our products in China. We employ local management teams for our operatons in China, and our business model in China is predominantly to make and sell product in-country to established local and mult-natonal customers with operatons in China. In fscal 2024, sales in China across our segments consttuted approximately 25% of our revenues, and our property, plant and equipment located in China consttuted approximately 25% of our total property, plant and equipment as of September 30, 2024, as disclosed in Note V to our Consolidated Financial Statements. There are legal, operatonal and other risks associated with having substantal operatons in China, which are more fully described under the heading “Risk Factors” in Item 1A. If our ability to operate in China were to be constrained by legal, regulatory and operatonal risks, it could have a material negatve impact on our overall operatons and the value of our securites.</w:t>
      </w:r>
    </w:p>
    <w:p>
      <w:pPr>
        <w:spacing w:after="0" w:line="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Patents and Trademarks</w:t>
      </w:r>
    </w:p>
    <w:p>
      <w:pPr>
        <w:spacing w:after="0" w:line="82" w:lineRule="exact"/>
        <w:rPr>
          <w:sz w:val="20"/>
          <w:szCs w:val="20"/>
          <w:color w:val="auto"/>
        </w:rPr>
      </w:pPr>
    </w:p>
    <w:p>
      <w:pPr>
        <w:ind w:right="140" w:firstLine="509"/>
        <w:spacing w:after="0" w:line="252" w:lineRule="auto"/>
        <w:rPr>
          <w:sz w:val="20"/>
          <w:szCs w:val="20"/>
          <w:color w:val="auto"/>
        </w:rPr>
      </w:pPr>
      <w:r>
        <w:rPr>
          <w:rFonts w:ascii="Calibri" w:cs="Calibri" w:eastAsia="Calibri" w:hAnsi="Calibri"/>
          <w:sz w:val="17"/>
          <w:szCs w:val="17"/>
          <w:color w:val="auto"/>
        </w:rPr>
        <w:t>We own and are a licensee of various patents, which expire at diferent tmes, covering many of our products as well as processes and product uses. Although the products made and sold under these patents and licenses are important to Cabot, the loss of any partcular patent or license would not materially afect our business, taken as a whole. We sell our products under a variety of trademarks we own and take reasonable measures to protect them. While our trademarks are important to Cabot, the loss of any one of our trademarks would not materially afect our business, taken as a whole.</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w:t>
      </w:r>
    </w:p>
    <w:p>
      <w:pPr>
        <w:spacing w:after="0" w:line="82" w:lineRule="exact"/>
        <w:rPr>
          <w:sz w:val="20"/>
          <w:szCs w:val="20"/>
          <w:color w:val="auto"/>
        </w:rPr>
      </w:pPr>
    </w:p>
    <w:p>
      <w:pPr>
        <w:ind w:right="80" w:firstLine="539"/>
        <w:spacing w:after="0" w:line="252" w:lineRule="auto"/>
        <w:rPr>
          <w:sz w:val="20"/>
          <w:szCs w:val="20"/>
          <w:color w:val="auto"/>
        </w:rPr>
      </w:pPr>
      <w:r>
        <w:rPr>
          <w:rFonts w:ascii="Calibri" w:cs="Calibri" w:eastAsia="Calibri" w:hAnsi="Calibri"/>
          <w:sz w:val="17"/>
          <w:szCs w:val="17"/>
          <w:color w:val="auto"/>
        </w:rPr>
        <w:t>Our products are highly versatle and meet specifc performance requirements across many industries, creatng opportunites for innovaton. In fscal 2024, we spent approximately $63 million on technology development. Our R&amp;D actvites included those focused in the areas of conductve additves, inkjet dispersions and engineered elastomer composites. We are also focused on process innovaton across our product lines. We are investng in furthering our sustainability eforts across various areas in order to reduce waste, reduce emissions and utlize more sustainable material in our producton processes.</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businesses are generally not seasonal in nature, although we may experience some regional seasonal declines during holiday periods.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 Resources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success is realized through the engagement and commitment of our people. We believe that our globally distributed workforce positons us well to serve our broad customer base in the regions and geographies in which they operate. As of September 30, 2024, we had approximately 4,200 employees across our global network of ofce and manufacturing locatons, with 41% of our employees located in the Americas (61% of whom are in the United States), 32% in Asia Pacifc (75% of whom are in China), and 27% in Europe, Middle East and Africa (“EMEA”). Of this global employee populaton, 42% are employed in manufacturing roles.</w:t>
      </w:r>
    </w:p>
    <w:p>
      <w:pPr>
        <w:spacing w:after="0" w:line="8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Management Executve Commitee (“Executve Commitee”) is comprised of our CEO and his nine direct reports who, collectvely, have management responsibility for our businesses and regional operatons, our fnancial, legal, safety, health, environment and sustainability, human resources, research and development, global business services and digital functons.</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primary human capital objectves are to atract, retain and develop the highest quality talent and ensure they feel safe, supported and empowered to do their best work. Accordingly, our management team places signifcant focus and atenton on maters concerning Cabot’s workforce – partcularly in the areas of employee health and safety, talent, engagement, diversity, retenton and development, and total rewards. Our Board of Directors provides oversight of our human capital management eforts, with a focus on employee engagement and development, executve succession and compensaton, diversity, equity and inclusion (DE&amp;I), and employee health and safety. These areas of focus are also represented in our 2025 Sustainability Goals, which include:</w:t>
      </w:r>
    </w:p>
    <w:p>
      <w:pPr>
        <w:spacing w:after="0" w:line="95"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fostering an environment where employees report high levels of inclusion and support for their professional development;</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increasing diverse representaton in leadership and professional roles; and</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reducing injuries and frequency of signifcant process safety events by 50%.</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Our Core Values &amp; Culture</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4" w:right="359" w:bottom="1440" w:gutter="0" w:footer="0" w:header="0"/>
        </w:sectPr>
      </w:pPr>
    </w:p>
    <w:bookmarkStart w:id="10" w:name="page11"/>
    <w:bookmarkEnd w:id="10"/>
    <w:p>
      <w:pPr>
        <w:jc w:val="both"/>
        <w:ind w:right="280" w:firstLine="509"/>
        <w:spacing w:after="0" w:line="235" w:lineRule="auto"/>
        <w:rPr>
          <w:sz w:val="20"/>
          <w:szCs w:val="20"/>
          <w:color w:val="auto"/>
        </w:rPr>
      </w:pPr>
      <w:r>
        <w:rPr>
          <w:rFonts w:ascii="Calibri" w:cs="Calibri" w:eastAsia="Calibri" w:hAnsi="Calibri"/>
          <w:sz w:val="18"/>
          <w:szCs w:val="18"/>
          <w:color w:val="auto"/>
        </w:rPr>
        <w:t>Our deeply held values of integrity, respect, excellence and responsibility are the foundaton of our company and the way we operate. They are the standards by which we interact with our customers, stakeholders and each other, fostering a positve working environment that inspires collaboraton and innovaton, and supports our focus on delivering shareholder value.</w:t>
      </w:r>
    </w:p>
    <w:p>
      <w:pPr>
        <w:spacing w:after="0" w:line="84"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Our culture embodies our values in the way we work to provide a safe environment where every team member can contribute and have an impact.</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Our culture is based on fve pillars:</w:t>
      </w:r>
    </w:p>
    <w:p>
      <w:pPr>
        <w:spacing w:after="0" w:line="96" w:lineRule="exact"/>
        <w:rPr>
          <w:sz w:val="20"/>
          <w:szCs w:val="20"/>
          <w:color w:val="auto"/>
        </w:rPr>
      </w:pPr>
    </w:p>
    <w:p>
      <w:pPr>
        <w:ind w:left="900" w:right="180" w:hanging="383"/>
        <w:spacing w:after="0" w:line="235" w:lineRule="auto"/>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Drive to Zero: We are commited to the health and safety of our people, the communites in which we work, and the environment. Our drive to zero pillar is our goal of achieving zero injuries at all of our facilites worldwide.</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One Cabot: We make decisions and act in Cabot's best interest in a collaboratve manner.</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Renewal mindset: We challenge ourselves to think diferently, learn, adapt and contnuously improve our way of working</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Accountable: We take personal ownership and accountability for our actons, performance and results.</w:t>
      </w:r>
    </w:p>
    <w:p>
      <w:pPr>
        <w:spacing w:after="0" w:line="14"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Inclusive: We strive to provide a diverse, equitable and inclusive environment where everyone feels accepted and valued with the opportunity to grow.</w:t>
      </w:r>
    </w:p>
    <w:p>
      <w:pPr>
        <w:spacing w:after="0" w:line="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fscal 2024, we rolled out a new values and culture workshop globally to foster shared understanding and reinforce how our values and culture positvely impact our daily work behaviors and performance. Our senior leaders and HR teams co-facilitated these interactve sessions with our employees in over 20 sites across all regions.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Diversity, Equity and Inclusion (DE&amp;I)</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support of our commitment to foster a diverse and inclusive environment, in fscal 2024 we contnued to use DE&amp;I objectves as factors that were considered in establishing the funding levels of our short-term incentve awards. These objectves were:</w:t>
      </w:r>
    </w:p>
    <w:p>
      <w:pPr>
        <w:spacing w:after="0" w:line="96" w:lineRule="exact"/>
        <w:rPr>
          <w:sz w:val="20"/>
          <w:szCs w:val="20"/>
          <w:color w:val="auto"/>
        </w:rPr>
      </w:pPr>
    </w:p>
    <w:p>
      <w:pPr>
        <w:ind w:left="900" w:right="20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Demonstrate improvement in the percentage of job searches in which candidates from underrepresented groups (for this purpose, defned as women in all regions and in the U.S. defned as women and people of color) are interviewed. Overall, our levels of diversity remained fat this year as compared to fscal 2023. However, we saw progress in candidate diversity in the U.S. (12% improvement) and China (8% improvement), two of our larger job markets.</w:t>
      </w:r>
    </w:p>
    <w:p>
      <w:pPr>
        <w:spacing w:after="0" w:line="16"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Ensure strong pay equity is maintained by putng acton plans in place to address any pay inequites identfed through our global compensaton review process. As noted below, we believe that we maintained strong pay parity during the fscal year.</w:t>
      </w:r>
    </w:p>
    <w:p>
      <w:pPr>
        <w:spacing w:after="0" w:line="218" w:lineRule="exact"/>
        <w:rPr>
          <w:sz w:val="20"/>
          <w:szCs w:val="20"/>
          <w:color w:val="auto"/>
        </w:rPr>
      </w:pPr>
    </w:p>
    <w:p>
      <w:pPr>
        <w:ind w:right="40" w:firstLine="436"/>
        <w:spacing w:after="0" w:line="254" w:lineRule="auto"/>
        <w:rPr>
          <w:sz w:val="20"/>
          <w:szCs w:val="20"/>
          <w:color w:val="auto"/>
        </w:rPr>
      </w:pPr>
      <w:r>
        <w:rPr>
          <w:rFonts w:ascii="Calibri" w:cs="Calibri" w:eastAsia="Calibri" w:hAnsi="Calibri"/>
          <w:sz w:val="17"/>
          <w:szCs w:val="17"/>
          <w:color w:val="auto"/>
        </w:rPr>
        <w:t>With a contnued focus on fostering an inclusive environment, as follow up to last fscal year's inclusive leadership training, we developed and deployed an inclusion self-assessment inventory for leaders to examine and strengthen their own local practces. Over 100 leaders completed the assessment and reviewed their results, working with their leadership teams to identfy opportunites and actons to further promote inclusivity in the workplace.</w:t>
      </w:r>
    </w:p>
    <w:p>
      <w:pPr>
        <w:spacing w:after="0" w:line="70" w:lineRule="exact"/>
        <w:rPr>
          <w:sz w:val="20"/>
          <w:szCs w:val="20"/>
          <w:color w:val="auto"/>
        </w:rPr>
      </w:pPr>
    </w:p>
    <w:p>
      <w:pPr>
        <w:ind w:right="360" w:firstLine="569"/>
        <w:spacing w:after="0" w:line="235" w:lineRule="auto"/>
        <w:rPr>
          <w:sz w:val="20"/>
          <w:szCs w:val="20"/>
          <w:color w:val="auto"/>
        </w:rPr>
      </w:pPr>
      <w:r>
        <w:rPr>
          <w:rFonts w:ascii="Calibri" w:cs="Calibri" w:eastAsia="Calibri" w:hAnsi="Calibri"/>
          <w:sz w:val="18"/>
          <w:szCs w:val="18"/>
          <w:color w:val="auto"/>
        </w:rPr>
        <w:t>Demographic informaton with respect to gender representaton among all Cabot employees and with respect to racial and ethnic representaton among Cabot employees located in the United States, as of September 30, 2024, is set forth in the tables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2600" w:type="dxa"/>
            <w:vAlign w:val="bottom"/>
            <w:gridSpan w:val="2"/>
          </w:tcPr>
          <w:p>
            <w:pPr>
              <w:ind w:left="60"/>
              <w:spacing w:after="0"/>
              <w:rPr>
                <w:sz w:val="20"/>
                <w:szCs w:val="20"/>
                <w:color w:val="auto"/>
              </w:rPr>
            </w:pPr>
            <w:r>
              <w:rPr>
                <w:rFonts w:ascii="Calibri" w:cs="Calibri" w:eastAsia="Calibri" w:hAnsi="Calibri"/>
                <w:sz w:val="18"/>
                <w:szCs w:val="18"/>
                <w:i w:val="1"/>
                <w:iCs w:val="1"/>
                <w:color w:val="auto"/>
              </w:rPr>
              <w:t>Gender Diversity</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120"/>
              <w:spacing w:after="0" w:line="216" w:lineRule="exact"/>
              <w:rPr>
                <w:sz w:val="20"/>
                <w:szCs w:val="20"/>
                <w:color w:val="auto"/>
              </w:rPr>
            </w:pPr>
            <w:r>
              <w:rPr>
                <w:rFonts w:ascii="Calibri" w:cs="Calibri" w:eastAsia="Calibri" w:hAnsi="Calibri"/>
                <w:sz w:val="18"/>
                <w:szCs w:val="18"/>
                <w:b w:val="1"/>
                <w:bCs w:val="1"/>
                <w:color w:val="auto"/>
                <w:w w:val="94"/>
              </w:rPr>
              <w:t>Total</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line="216" w:lineRule="exact"/>
              <w:rPr>
                <w:sz w:val="20"/>
                <w:szCs w:val="20"/>
                <w:color w:val="auto"/>
              </w:rPr>
            </w:pPr>
            <w:r>
              <w:rPr>
                <w:rFonts w:ascii="Calibri" w:cs="Calibri" w:eastAsia="Calibri" w:hAnsi="Calibri"/>
                <w:sz w:val="18"/>
                <w:szCs w:val="18"/>
                <w:b w:val="1"/>
                <w:bCs w:val="1"/>
                <w:color w:val="auto"/>
              </w:rPr>
              <w:t>Male</w:t>
            </w:r>
          </w:p>
        </w:tc>
        <w:tc>
          <w:tcPr>
            <w:tcW w:w="100" w:type="dxa"/>
            <w:vAlign w:val="bottom"/>
          </w:tcPr>
          <w:p>
            <w:pPr>
              <w:spacing w:after="0"/>
              <w:rPr>
                <w:sz w:val="18"/>
                <w:szCs w:val="18"/>
                <w:color w:val="auto"/>
              </w:rPr>
            </w:pPr>
          </w:p>
        </w:tc>
        <w:tc>
          <w:tcPr>
            <w:tcW w:w="1760" w:type="dxa"/>
            <w:vAlign w:val="bottom"/>
            <w:gridSpan w:val="3"/>
          </w:tcPr>
          <w:p>
            <w:pPr>
              <w:jc w:val="right"/>
              <w:ind w:right="680"/>
              <w:spacing w:after="0" w:line="216" w:lineRule="exact"/>
              <w:rPr>
                <w:sz w:val="20"/>
                <w:szCs w:val="20"/>
                <w:color w:val="auto"/>
              </w:rPr>
            </w:pPr>
            <w:r>
              <w:rPr>
                <w:rFonts w:ascii="Calibri" w:cs="Calibri" w:eastAsia="Calibri" w:hAnsi="Calibri"/>
                <w:sz w:val="18"/>
                <w:szCs w:val="18"/>
                <w:b w:val="1"/>
                <w:bCs w:val="1"/>
                <w:color w:val="auto"/>
              </w:rPr>
              <w:t>% of total</w:t>
            </w:r>
          </w:p>
        </w:tc>
        <w:tc>
          <w:tcPr>
            <w:tcW w:w="40" w:type="dxa"/>
            <w:vAlign w:val="bottom"/>
          </w:tcPr>
          <w:p>
            <w:pPr>
              <w:spacing w:after="0"/>
              <w:rPr>
                <w:sz w:val="18"/>
                <w:szCs w:val="18"/>
                <w:color w:val="auto"/>
              </w:rPr>
            </w:pPr>
          </w:p>
        </w:tc>
        <w:tc>
          <w:tcPr>
            <w:tcW w:w="1340" w:type="dxa"/>
            <w:vAlign w:val="bottom"/>
            <w:gridSpan w:val="3"/>
          </w:tcPr>
          <w:p>
            <w:pPr>
              <w:jc w:val="right"/>
              <w:ind w:right="420"/>
              <w:spacing w:after="0" w:line="216" w:lineRule="exact"/>
              <w:rPr>
                <w:sz w:val="20"/>
                <w:szCs w:val="20"/>
                <w:color w:val="auto"/>
              </w:rPr>
            </w:pPr>
            <w:r>
              <w:rPr>
                <w:rFonts w:ascii="Calibri" w:cs="Calibri" w:eastAsia="Calibri" w:hAnsi="Calibri"/>
                <w:sz w:val="18"/>
                <w:szCs w:val="18"/>
                <w:b w:val="1"/>
                <w:bCs w:val="1"/>
                <w:color w:val="auto"/>
              </w:rPr>
              <w:t>Female</w:t>
            </w:r>
          </w:p>
        </w:tc>
        <w:tc>
          <w:tcPr>
            <w:tcW w:w="100" w:type="dxa"/>
            <w:vAlign w:val="bottom"/>
          </w:tcPr>
          <w:p>
            <w:pPr>
              <w:spacing w:after="0"/>
              <w:rPr>
                <w:sz w:val="18"/>
                <w:szCs w:val="18"/>
                <w:color w:val="auto"/>
              </w:rPr>
            </w:pPr>
          </w:p>
        </w:tc>
        <w:tc>
          <w:tcPr>
            <w:tcW w:w="1480" w:type="dxa"/>
            <w:vAlign w:val="bottom"/>
            <w:gridSpan w:val="3"/>
          </w:tcPr>
          <w:p>
            <w:pPr>
              <w:ind w:left="220"/>
              <w:spacing w:after="0" w:line="216" w:lineRule="exact"/>
              <w:rPr>
                <w:sz w:val="20"/>
                <w:szCs w:val="20"/>
                <w:color w:val="auto"/>
              </w:rPr>
            </w:pPr>
            <w:r>
              <w:rPr>
                <w:rFonts w:ascii="Calibri" w:cs="Calibri" w:eastAsia="Calibri" w:hAnsi="Calibri"/>
                <w:sz w:val="18"/>
                <w:szCs w:val="18"/>
                <w:b w:val="1"/>
                <w:bCs w:val="1"/>
                <w:color w:val="auto"/>
              </w:rPr>
              <w:t>% of total</w:t>
            </w:r>
          </w:p>
        </w:tc>
        <w:tc>
          <w:tcPr>
            <w:tcW w:w="1360" w:type="dxa"/>
            <w:vAlign w:val="bottom"/>
            <w:gridSpan w:val="4"/>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6"/>
              </w:rPr>
              <w:t>Employees</w:t>
            </w:r>
          </w:p>
        </w:tc>
        <w:tc>
          <w:tcPr>
            <w:tcW w:w="500" w:type="dxa"/>
            <w:vAlign w:val="bottom"/>
          </w:tcPr>
          <w:p>
            <w:pPr>
              <w:spacing w:after="0"/>
              <w:rPr>
                <w:sz w:val="18"/>
                <w:szCs w:val="18"/>
                <w:color w:val="auto"/>
              </w:rPr>
            </w:pPr>
          </w:p>
        </w:tc>
      </w:tr>
      <w:tr>
        <w:trPr>
          <w:trHeight w:val="23"/>
        </w:trPr>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0"/>
        </w:trPr>
        <w:tc>
          <w:tcPr>
            <w:tcW w:w="520" w:type="dxa"/>
            <w:vAlign w:val="bottom"/>
          </w:tcPr>
          <w:p>
            <w:pPr>
              <w:spacing w:after="0"/>
              <w:rPr>
                <w:sz w:val="18"/>
                <w:szCs w:val="18"/>
                <w:color w:val="auto"/>
              </w:rPr>
            </w:pPr>
          </w:p>
        </w:tc>
        <w:tc>
          <w:tcPr>
            <w:tcW w:w="2600" w:type="dxa"/>
            <w:vAlign w:val="bottom"/>
            <w:gridSpan w:val="2"/>
            <w:shd w:val="clear" w:color="auto" w:fill="CFF0FC"/>
          </w:tcPr>
          <w:p>
            <w:pPr>
              <w:spacing w:after="0" w:line="209" w:lineRule="exact"/>
              <w:rPr>
                <w:sz w:val="20"/>
                <w:szCs w:val="20"/>
                <w:color w:val="auto"/>
              </w:rPr>
            </w:pPr>
            <w:r>
              <w:rPr>
                <w:rFonts w:ascii="Calibri" w:cs="Calibri" w:eastAsia="Calibri" w:hAnsi="Calibri"/>
                <w:sz w:val="18"/>
                <w:szCs w:val="18"/>
                <w:color w:val="auto"/>
              </w:rPr>
              <w:t>Executve Commitee</w:t>
            </w:r>
          </w:p>
        </w:tc>
        <w:tc>
          <w:tcPr>
            <w:tcW w:w="1440" w:type="dxa"/>
            <w:vAlign w:val="bottom"/>
            <w:gridSpan w:val="4"/>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7</w:t>
            </w:r>
          </w:p>
        </w:tc>
        <w:tc>
          <w:tcPr>
            <w:tcW w:w="1860" w:type="dxa"/>
            <w:vAlign w:val="bottom"/>
            <w:gridSpan w:val="4"/>
            <w:shd w:val="clear" w:color="auto" w:fill="CFF0FC"/>
          </w:tcPr>
          <w:p>
            <w:pPr>
              <w:jc w:val="right"/>
              <w:ind w:right="140"/>
              <w:spacing w:after="0" w:line="209" w:lineRule="exact"/>
              <w:rPr>
                <w:sz w:val="20"/>
                <w:szCs w:val="20"/>
                <w:color w:val="auto"/>
              </w:rPr>
            </w:pPr>
            <w:r>
              <w:rPr>
                <w:rFonts w:ascii="Calibri" w:cs="Calibri" w:eastAsia="Calibri" w:hAnsi="Calibri"/>
                <w:sz w:val="18"/>
                <w:szCs w:val="18"/>
                <w:color w:val="auto"/>
              </w:rPr>
              <w:t>70 %</w:t>
            </w:r>
          </w:p>
        </w:tc>
        <w:tc>
          <w:tcPr>
            <w:tcW w:w="1380" w:type="dxa"/>
            <w:vAlign w:val="bottom"/>
            <w:gridSpan w:val="4"/>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3</w:t>
            </w:r>
          </w:p>
        </w:tc>
        <w:tc>
          <w:tcPr>
            <w:tcW w:w="1480" w:type="dxa"/>
            <w:vAlign w:val="bottom"/>
            <w:gridSpan w:val="3"/>
            <w:shd w:val="clear" w:color="auto" w:fill="CFF0FC"/>
          </w:tcPr>
          <w:p>
            <w:pPr>
              <w:jc w:val="right"/>
              <w:ind w:right="60"/>
              <w:spacing w:after="0" w:line="209" w:lineRule="exact"/>
              <w:rPr>
                <w:sz w:val="20"/>
                <w:szCs w:val="20"/>
                <w:color w:val="auto"/>
              </w:rPr>
            </w:pPr>
            <w:r>
              <w:rPr>
                <w:rFonts w:ascii="Calibri" w:cs="Calibri" w:eastAsia="Calibri" w:hAnsi="Calibri"/>
                <w:sz w:val="18"/>
                <w:szCs w:val="18"/>
                <w:color w:val="auto"/>
              </w:rPr>
              <w:t>30 %</w:t>
            </w: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520" w:type="dxa"/>
            <w:vAlign w:val="bottom"/>
          </w:tcPr>
          <w:p>
            <w:pPr>
              <w:spacing w:after="0"/>
              <w:rPr>
                <w:sz w:val="18"/>
                <w:szCs w:val="18"/>
                <w:color w:val="auto"/>
              </w:rPr>
            </w:pPr>
          </w:p>
        </w:tc>
        <w:tc>
          <w:tcPr>
            <w:tcW w:w="2600" w:type="dxa"/>
            <w:vAlign w:val="bottom"/>
            <w:gridSpan w:val="2"/>
          </w:tcPr>
          <w:p>
            <w:pPr>
              <w:spacing w:after="0" w:line="215" w:lineRule="exact"/>
              <w:rPr>
                <w:sz w:val="20"/>
                <w:szCs w:val="20"/>
                <w:color w:val="auto"/>
              </w:rPr>
            </w:pPr>
            <w:r>
              <w:rPr>
                <w:rFonts w:ascii="Calibri" w:cs="Calibri" w:eastAsia="Calibri" w:hAnsi="Calibri"/>
                <w:sz w:val="18"/>
                <w:szCs w:val="18"/>
                <w:color w:val="auto"/>
              </w:rPr>
              <w:t>Management*</w:t>
            </w:r>
          </w:p>
        </w:tc>
        <w:tc>
          <w:tcPr>
            <w:tcW w:w="1440" w:type="dxa"/>
            <w:vAlign w:val="bottom"/>
            <w:gridSpan w:val="4"/>
          </w:tcPr>
          <w:p>
            <w:pPr>
              <w:jc w:val="right"/>
              <w:ind w:right="20"/>
              <w:spacing w:after="0" w:line="215" w:lineRule="exact"/>
              <w:rPr>
                <w:sz w:val="20"/>
                <w:szCs w:val="20"/>
                <w:color w:val="auto"/>
              </w:rPr>
            </w:pPr>
            <w:r>
              <w:rPr>
                <w:rFonts w:ascii="Calibri" w:cs="Calibri" w:eastAsia="Calibri" w:hAnsi="Calibri"/>
                <w:sz w:val="18"/>
                <w:szCs w:val="18"/>
                <w:color w:val="auto"/>
              </w:rPr>
              <w:t>579</w:t>
            </w:r>
          </w:p>
        </w:tc>
        <w:tc>
          <w:tcPr>
            <w:tcW w:w="1860" w:type="dxa"/>
            <w:vAlign w:val="bottom"/>
            <w:gridSpan w:val="4"/>
          </w:tcPr>
          <w:p>
            <w:pPr>
              <w:jc w:val="right"/>
              <w:ind w:right="140"/>
              <w:spacing w:after="0" w:line="215" w:lineRule="exact"/>
              <w:rPr>
                <w:sz w:val="20"/>
                <w:szCs w:val="20"/>
                <w:color w:val="auto"/>
              </w:rPr>
            </w:pPr>
            <w:r>
              <w:rPr>
                <w:rFonts w:ascii="Calibri" w:cs="Calibri" w:eastAsia="Calibri" w:hAnsi="Calibri"/>
                <w:sz w:val="18"/>
                <w:szCs w:val="18"/>
                <w:color w:val="auto"/>
              </w:rPr>
              <w:t>72 %</w:t>
            </w:r>
          </w:p>
        </w:tc>
        <w:tc>
          <w:tcPr>
            <w:tcW w:w="1380" w:type="dxa"/>
            <w:vAlign w:val="bottom"/>
            <w:gridSpan w:val="4"/>
          </w:tcPr>
          <w:p>
            <w:pPr>
              <w:jc w:val="right"/>
              <w:ind w:right="20"/>
              <w:spacing w:after="0" w:line="215" w:lineRule="exact"/>
              <w:rPr>
                <w:sz w:val="20"/>
                <w:szCs w:val="20"/>
                <w:color w:val="auto"/>
              </w:rPr>
            </w:pPr>
            <w:r>
              <w:rPr>
                <w:rFonts w:ascii="Calibri" w:cs="Calibri" w:eastAsia="Calibri" w:hAnsi="Calibri"/>
                <w:sz w:val="18"/>
                <w:szCs w:val="18"/>
                <w:color w:val="auto"/>
              </w:rPr>
              <w:t>227</w:t>
            </w:r>
          </w:p>
        </w:tc>
        <w:tc>
          <w:tcPr>
            <w:tcW w:w="148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28 %</w:t>
            </w:r>
          </w:p>
        </w:tc>
        <w:tc>
          <w:tcPr>
            <w:tcW w:w="100" w:type="dxa"/>
            <w:vAlign w:val="bottom"/>
          </w:tcPr>
          <w:p>
            <w:pPr>
              <w:spacing w:after="0"/>
              <w:rPr>
                <w:sz w:val="18"/>
                <w:szCs w:val="18"/>
                <w:color w:val="auto"/>
              </w:rPr>
            </w:pPr>
          </w:p>
        </w:tc>
        <w:tc>
          <w:tcPr>
            <w:tcW w:w="126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806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520" w:type="dxa"/>
            <w:vAlign w:val="bottom"/>
          </w:tcPr>
          <w:p>
            <w:pPr>
              <w:spacing w:after="0"/>
              <w:rPr>
                <w:sz w:val="18"/>
                <w:szCs w:val="18"/>
                <w:color w:val="auto"/>
              </w:rPr>
            </w:pPr>
          </w:p>
        </w:tc>
        <w:tc>
          <w:tcPr>
            <w:tcW w:w="2600" w:type="dxa"/>
            <w:vAlign w:val="bottom"/>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Professional Contributor</w:t>
            </w:r>
          </w:p>
        </w:tc>
        <w:tc>
          <w:tcPr>
            <w:tcW w:w="1440" w:type="dxa"/>
            <w:vAlign w:val="bottom"/>
            <w:gridSpan w:val="4"/>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824</w:t>
            </w:r>
          </w:p>
        </w:tc>
        <w:tc>
          <w:tcPr>
            <w:tcW w:w="1860" w:type="dxa"/>
            <w:vAlign w:val="bottom"/>
            <w:gridSpan w:val="4"/>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70 %</w:t>
            </w:r>
          </w:p>
        </w:tc>
        <w:tc>
          <w:tcPr>
            <w:tcW w:w="1380" w:type="dxa"/>
            <w:vAlign w:val="bottom"/>
            <w:gridSpan w:val="4"/>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351</w:t>
            </w:r>
          </w:p>
        </w:tc>
        <w:tc>
          <w:tcPr>
            <w:tcW w:w="1480" w:type="dxa"/>
            <w:vAlign w:val="bottom"/>
            <w:gridSpan w:val="3"/>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30 %</w:t>
            </w: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1,175</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520" w:type="dxa"/>
            <w:vAlign w:val="bottom"/>
          </w:tcPr>
          <w:p>
            <w:pPr>
              <w:spacing w:after="0"/>
              <w:rPr>
                <w:sz w:val="18"/>
                <w:szCs w:val="18"/>
                <w:color w:val="auto"/>
              </w:rPr>
            </w:pPr>
          </w:p>
        </w:tc>
        <w:tc>
          <w:tcPr>
            <w:tcW w:w="2600" w:type="dxa"/>
            <w:vAlign w:val="bottom"/>
            <w:gridSpan w:val="2"/>
          </w:tcPr>
          <w:p>
            <w:pPr>
              <w:spacing w:after="0" w:line="215" w:lineRule="exact"/>
              <w:rPr>
                <w:sz w:val="20"/>
                <w:szCs w:val="20"/>
                <w:color w:val="auto"/>
              </w:rPr>
            </w:pPr>
            <w:r>
              <w:rPr>
                <w:rFonts w:ascii="Calibri" w:cs="Calibri" w:eastAsia="Calibri" w:hAnsi="Calibri"/>
                <w:sz w:val="18"/>
                <w:szCs w:val="18"/>
                <w:color w:val="auto"/>
              </w:rPr>
              <w:t>Hourly &amp; Associate Staf</w:t>
            </w:r>
          </w:p>
        </w:tc>
        <w:tc>
          <w:tcPr>
            <w:tcW w:w="12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20"/>
              <w:spacing w:after="0" w:line="215" w:lineRule="exact"/>
              <w:rPr>
                <w:sz w:val="20"/>
                <w:szCs w:val="20"/>
                <w:color w:val="auto"/>
              </w:rPr>
            </w:pPr>
            <w:r>
              <w:rPr>
                <w:rFonts w:ascii="Calibri" w:cs="Calibri" w:eastAsia="Calibri" w:hAnsi="Calibri"/>
                <w:sz w:val="18"/>
                <w:szCs w:val="18"/>
                <w:color w:val="auto"/>
              </w:rPr>
              <w:t>1,719</w:t>
            </w:r>
          </w:p>
        </w:tc>
        <w:tc>
          <w:tcPr>
            <w:tcW w:w="1860" w:type="dxa"/>
            <w:vAlign w:val="bottom"/>
            <w:gridSpan w:val="4"/>
          </w:tcPr>
          <w:p>
            <w:pPr>
              <w:jc w:val="right"/>
              <w:ind w:right="140"/>
              <w:spacing w:after="0" w:line="215" w:lineRule="exact"/>
              <w:rPr>
                <w:sz w:val="20"/>
                <w:szCs w:val="20"/>
                <w:color w:val="auto"/>
              </w:rPr>
            </w:pPr>
            <w:r>
              <w:rPr>
                <w:rFonts w:ascii="Calibri" w:cs="Calibri" w:eastAsia="Calibri" w:hAnsi="Calibri"/>
                <w:sz w:val="18"/>
                <w:szCs w:val="18"/>
                <w:color w:val="auto"/>
              </w:rPr>
              <w:t>80 %</w:t>
            </w:r>
          </w:p>
        </w:tc>
        <w:tc>
          <w:tcPr>
            <w:tcW w:w="4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20"/>
              <w:spacing w:after="0" w:line="215" w:lineRule="exact"/>
              <w:rPr>
                <w:sz w:val="20"/>
                <w:szCs w:val="20"/>
                <w:color w:val="auto"/>
              </w:rPr>
            </w:pPr>
            <w:r>
              <w:rPr>
                <w:rFonts w:ascii="Calibri" w:cs="Calibri" w:eastAsia="Calibri" w:hAnsi="Calibri"/>
                <w:sz w:val="18"/>
                <w:szCs w:val="18"/>
                <w:color w:val="auto"/>
              </w:rPr>
              <w:t>441</w:t>
            </w:r>
          </w:p>
        </w:tc>
        <w:tc>
          <w:tcPr>
            <w:tcW w:w="148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20 %</w:t>
            </w:r>
          </w:p>
        </w:tc>
        <w:tc>
          <w:tcPr>
            <w:tcW w:w="100" w:type="dxa"/>
            <w:vAlign w:val="bottom"/>
          </w:tcPr>
          <w:p>
            <w:pPr>
              <w:spacing w:after="0"/>
              <w:rPr>
                <w:sz w:val="18"/>
                <w:szCs w:val="18"/>
                <w:color w:val="auto"/>
              </w:rPr>
            </w:pPr>
          </w:p>
        </w:tc>
        <w:tc>
          <w:tcPr>
            <w:tcW w:w="1260" w:type="dxa"/>
            <w:vAlign w:val="bottom"/>
            <w:tcBorders>
              <w:bottom w:val="single" w:sz="8" w:color="auto"/>
            </w:tcBorders>
            <w:gridSpan w:val="3"/>
          </w:tcPr>
          <w:p>
            <w:pPr>
              <w:jc w:val="right"/>
              <w:ind w:right="20"/>
              <w:spacing w:after="0" w:line="215" w:lineRule="exact"/>
              <w:rPr>
                <w:sz w:val="20"/>
                <w:szCs w:val="20"/>
                <w:color w:val="auto"/>
              </w:rPr>
            </w:pPr>
            <w:r>
              <w:rPr>
                <w:rFonts w:ascii="Calibri" w:cs="Calibri" w:eastAsia="Calibri" w:hAnsi="Calibri"/>
                <w:sz w:val="18"/>
                <w:szCs w:val="18"/>
                <w:color w:val="auto"/>
              </w:rPr>
              <w:t>2,160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0"/>
        </w:trPr>
        <w:tc>
          <w:tcPr>
            <w:tcW w:w="520" w:type="dxa"/>
            <w:vAlign w:val="bottom"/>
          </w:tcPr>
          <w:p>
            <w:pPr>
              <w:spacing w:after="0"/>
              <w:rPr>
                <w:sz w:val="21"/>
                <w:szCs w:val="21"/>
                <w:color w:val="auto"/>
              </w:rPr>
            </w:pPr>
          </w:p>
        </w:tc>
        <w:tc>
          <w:tcPr>
            <w:tcW w:w="2600" w:type="dxa"/>
            <w:vAlign w:val="bottom"/>
            <w:gridSpan w:val="2"/>
            <w:shd w:val="clear" w:color="auto" w:fill="CFF0FC"/>
          </w:tcPr>
          <w:p>
            <w:pPr>
              <w:spacing w:after="0" w:line="210" w:lineRule="exact"/>
              <w:rPr>
                <w:sz w:val="20"/>
                <w:szCs w:val="20"/>
                <w:color w:val="auto"/>
              </w:rPr>
            </w:pPr>
            <w:r>
              <w:rPr>
                <w:rFonts w:ascii="Calibri" w:cs="Calibri" w:eastAsia="Calibri" w:hAnsi="Calibri"/>
                <w:sz w:val="18"/>
                <w:szCs w:val="18"/>
                <w:color w:val="auto"/>
              </w:rPr>
              <w:t>Total Populaton</w:t>
            </w:r>
          </w:p>
        </w:tc>
        <w:tc>
          <w:tcPr>
            <w:tcW w:w="1440" w:type="dxa"/>
            <w:vAlign w:val="bottom"/>
            <w:gridSpan w:val="4"/>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3,129</w:t>
            </w:r>
          </w:p>
        </w:tc>
        <w:tc>
          <w:tcPr>
            <w:tcW w:w="1860" w:type="dxa"/>
            <w:vAlign w:val="bottom"/>
            <w:gridSpan w:val="4"/>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75 %</w:t>
            </w:r>
          </w:p>
        </w:tc>
        <w:tc>
          <w:tcPr>
            <w:tcW w:w="1380" w:type="dxa"/>
            <w:vAlign w:val="bottom"/>
            <w:gridSpan w:val="4"/>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1,022</w:t>
            </w:r>
          </w:p>
        </w:tc>
        <w:tc>
          <w:tcPr>
            <w:tcW w:w="1480" w:type="dxa"/>
            <w:vAlign w:val="bottom"/>
            <w:gridSpan w:val="3"/>
            <w:shd w:val="clear" w:color="auto" w:fill="CFF0FC"/>
          </w:tcPr>
          <w:p>
            <w:pPr>
              <w:jc w:val="right"/>
              <w:ind w:right="60"/>
              <w:spacing w:after="0" w:line="210" w:lineRule="exact"/>
              <w:rPr>
                <w:sz w:val="20"/>
                <w:szCs w:val="20"/>
                <w:color w:val="auto"/>
              </w:rPr>
            </w:pPr>
            <w:r>
              <w:rPr>
                <w:rFonts w:ascii="Calibri" w:cs="Calibri" w:eastAsia="Calibri" w:hAnsi="Calibri"/>
                <w:sz w:val="18"/>
                <w:szCs w:val="18"/>
                <w:color w:val="auto"/>
              </w:rPr>
              <w:t>25 %</w:t>
            </w:r>
          </w:p>
        </w:tc>
        <w:tc>
          <w:tcPr>
            <w:tcW w:w="10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4,151</w:t>
            </w:r>
          </w:p>
        </w:tc>
        <w:tc>
          <w:tcPr>
            <w:tcW w:w="10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r>
      <w:tr>
        <w:trPr>
          <w:trHeight w:val="551"/>
        </w:trPr>
        <w:tc>
          <w:tcPr>
            <w:tcW w:w="520" w:type="dxa"/>
            <w:vAlign w:val="bottom"/>
          </w:tcPr>
          <w:p>
            <w:pPr>
              <w:spacing w:after="0"/>
              <w:rPr>
                <w:sz w:val="24"/>
                <w:szCs w:val="24"/>
                <w:color w:val="auto"/>
              </w:rPr>
            </w:pPr>
          </w:p>
        </w:tc>
        <w:tc>
          <w:tcPr>
            <w:tcW w:w="2600" w:type="dxa"/>
            <w:vAlign w:val="bottom"/>
            <w:tcBorders>
              <w:top w:val="single" w:sz="8" w:color="CFF0FC"/>
            </w:tcBorders>
            <w:gridSpan w:val="2"/>
          </w:tcPr>
          <w:p>
            <w:pPr>
              <w:ind w:left="60"/>
              <w:spacing w:after="0"/>
              <w:rPr>
                <w:sz w:val="20"/>
                <w:szCs w:val="20"/>
                <w:color w:val="auto"/>
              </w:rPr>
            </w:pPr>
            <w:r>
              <w:rPr>
                <w:rFonts w:ascii="Calibri" w:cs="Calibri" w:eastAsia="Calibri" w:hAnsi="Calibri"/>
                <w:sz w:val="18"/>
                <w:szCs w:val="18"/>
                <w:i w:val="1"/>
                <w:iCs w:val="1"/>
                <w:color w:val="auto"/>
              </w:rPr>
              <w:t>Racial and Ethnic Diversity</w:t>
            </w:r>
          </w:p>
        </w:tc>
        <w:tc>
          <w:tcPr>
            <w:tcW w:w="12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0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4"/>
          </w:tcPr>
          <w:p>
            <w:pPr>
              <w:jc w:val="right"/>
              <w:ind w:right="240"/>
              <w:spacing w:after="0"/>
              <w:rPr>
                <w:sz w:val="20"/>
                <w:szCs w:val="20"/>
                <w:color w:val="auto"/>
              </w:rPr>
            </w:pPr>
            <w:r>
              <w:rPr>
                <w:rFonts w:ascii="Calibri" w:cs="Calibri" w:eastAsia="Calibri" w:hAnsi="Calibri"/>
                <w:sz w:val="18"/>
                <w:szCs w:val="18"/>
                <w:b w:val="1"/>
                <w:bCs w:val="1"/>
                <w:color w:val="auto"/>
                <w:w w:val="97"/>
              </w:rPr>
              <w:t>People of Color</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center"/>
              <w:ind w:right="320"/>
              <w:spacing w:after="0"/>
              <w:rPr>
                <w:sz w:val="20"/>
                <w:szCs w:val="20"/>
                <w:color w:val="auto"/>
              </w:rPr>
            </w:pPr>
            <w:r>
              <w:rPr>
                <w:rFonts w:ascii="Calibri" w:cs="Calibri" w:eastAsia="Calibri" w:hAnsi="Calibri"/>
                <w:sz w:val="18"/>
                <w:szCs w:val="18"/>
                <w:b w:val="1"/>
                <w:bCs w:val="1"/>
                <w:color w:val="auto"/>
                <w:w w:val="94"/>
              </w:rPr>
              <w:t>Total</w:t>
            </w:r>
          </w:p>
        </w:tc>
        <w:tc>
          <w:tcPr>
            <w:tcW w:w="50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gridSpan w:val="4"/>
          </w:tcPr>
          <w:p>
            <w:pPr>
              <w:jc w:val="right"/>
              <w:ind w:right="340"/>
              <w:spacing w:after="0" w:line="216" w:lineRule="exact"/>
              <w:rPr>
                <w:sz w:val="20"/>
                <w:szCs w:val="20"/>
                <w:color w:val="auto"/>
              </w:rPr>
            </w:pPr>
            <w:r>
              <w:rPr>
                <w:rFonts w:ascii="Calibri" w:cs="Calibri" w:eastAsia="Calibri" w:hAnsi="Calibri"/>
                <w:sz w:val="18"/>
                <w:szCs w:val="18"/>
                <w:b w:val="1"/>
                <w:bCs w:val="1"/>
                <w:color w:val="auto"/>
              </w:rPr>
              <w:t>Non-Minority</w:t>
            </w:r>
          </w:p>
        </w:tc>
        <w:tc>
          <w:tcPr>
            <w:tcW w:w="100" w:type="dxa"/>
            <w:vAlign w:val="bottom"/>
          </w:tcPr>
          <w:p>
            <w:pPr>
              <w:spacing w:after="0"/>
              <w:rPr>
                <w:sz w:val="18"/>
                <w:szCs w:val="18"/>
                <w:color w:val="auto"/>
              </w:rPr>
            </w:pPr>
          </w:p>
        </w:tc>
        <w:tc>
          <w:tcPr>
            <w:tcW w:w="1760" w:type="dxa"/>
            <w:vAlign w:val="bottom"/>
            <w:gridSpan w:val="3"/>
          </w:tcPr>
          <w:p>
            <w:pPr>
              <w:jc w:val="right"/>
              <w:ind w:right="800"/>
              <w:spacing w:after="0" w:line="216" w:lineRule="exact"/>
              <w:rPr>
                <w:sz w:val="20"/>
                <w:szCs w:val="20"/>
                <w:color w:val="auto"/>
              </w:rPr>
            </w:pPr>
            <w:r>
              <w:rPr>
                <w:rFonts w:ascii="Calibri" w:cs="Calibri" w:eastAsia="Calibri" w:hAnsi="Calibri"/>
                <w:sz w:val="18"/>
                <w:szCs w:val="18"/>
                <w:b w:val="1"/>
                <w:bCs w:val="1"/>
                <w:color w:val="auto"/>
              </w:rPr>
              <w:t>% of total</w:t>
            </w:r>
          </w:p>
        </w:tc>
        <w:tc>
          <w:tcPr>
            <w:tcW w:w="1220" w:type="dxa"/>
            <w:vAlign w:val="bottom"/>
            <w:gridSpan w:val="2"/>
          </w:tcPr>
          <w:p>
            <w:pPr>
              <w:jc w:val="right"/>
              <w:ind w:right="430"/>
              <w:spacing w:after="0" w:line="216" w:lineRule="exact"/>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160"/>
              <w:spacing w:after="0" w:line="216" w:lineRule="exact"/>
              <w:rPr>
                <w:sz w:val="20"/>
                <w:szCs w:val="20"/>
                <w:color w:val="auto"/>
              </w:rPr>
            </w:pPr>
            <w:r>
              <w:rPr>
                <w:rFonts w:ascii="Calibri" w:cs="Calibri" w:eastAsia="Calibri" w:hAnsi="Calibri"/>
                <w:sz w:val="18"/>
                <w:szCs w:val="18"/>
                <w:b w:val="1"/>
                <w:bCs w:val="1"/>
                <w:color w:val="auto"/>
              </w:rPr>
              <w:t>% of total</w:t>
            </w:r>
          </w:p>
        </w:tc>
        <w:tc>
          <w:tcPr>
            <w:tcW w:w="1360" w:type="dxa"/>
            <w:vAlign w:val="bottom"/>
            <w:gridSpan w:val="4"/>
          </w:tcPr>
          <w:p>
            <w:pPr>
              <w:jc w:val="center"/>
              <w:ind w:right="300"/>
              <w:spacing w:after="0" w:line="216" w:lineRule="exact"/>
              <w:rPr>
                <w:sz w:val="20"/>
                <w:szCs w:val="20"/>
                <w:color w:val="auto"/>
              </w:rPr>
            </w:pPr>
            <w:r>
              <w:rPr>
                <w:rFonts w:ascii="Calibri" w:cs="Calibri" w:eastAsia="Calibri" w:hAnsi="Calibri"/>
                <w:sz w:val="18"/>
                <w:szCs w:val="18"/>
                <w:b w:val="1"/>
                <w:bCs w:val="1"/>
                <w:color w:val="auto"/>
                <w:w w:val="96"/>
              </w:rPr>
              <w:t>Employees</w:t>
            </w:r>
          </w:p>
        </w:tc>
        <w:tc>
          <w:tcPr>
            <w:tcW w:w="500" w:type="dxa"/>
            <w:vAlign w:val="bottom"/>
          </w:tcPr>
          <w:p>
            <w:pPr>
              <w:spacing w:after="0"/>
              <w:rPr>
                <w:sz w:val="18"/>
                <w:szCs w:val="18"/>
                <w:color w:val="auto"/>
              </w:rPr>
            </w:pPr>
          </w:p>
        </w:tc>
      </w:tr>
      <w:tr>
        <w:trPr>
          <w:trHeight w:val="23"/>
        </w:trPr>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9"/>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Executve Commitee</w:t>
            </w:r>
          </w:p>
        </w:tc>
        <w:tc>
          <w:tcPr>
            <w:tcW w:w="120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4"/>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100 %</w:t>
            </w:r>
          </w:p>
        </w:tc>
        <w:tc>
          <w:tcPr>
            <w:tcW w:w="122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60"/>
              <w:spacing w:after="0" w:line="209" w:lineRule="exact"/>
              <w:rPr>
                <w:sz w:val="20"/>
                <w:szCs w:val="20"/>
                <w:color w:val="auto"/>
              </w:rPr>
            </w:pPr>
            <w:r>
              <w:rPr>
                <w:rFonts w:ascii="Calibri" w:cs="Calibri" w:eastAsia="Calibri" w:hAnsi="Calibri"/>
                <w:sz w:val="18"/>
                <w:szCs w:val="18"/>
                <w:color w:val="auto"/>
              </w:rPr>
              <w:t>0 %</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Management*</w:t>
            </w:r>
          </w:p>
        </w:tc>
        <w:tc>
          <w:tcPr>
            <w:tcW w:w="12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ind w:right="160"/>
              <w:spacing w:after="0" w:line="215" w:lineRule="exact"/>
              <w:rPr>
                <w:sz w:val="20"/>
                <w:szCs w:val="20"/>
                <w:color w:val="auto"/>
              </w:rPr>
            </w:pPr>
            <w:r>
              <w:rPr>
                <w:rFonts w:ascii="Calibri" w:cs="Calibri" w:eastAsia="Calibri" w:hAnsi="Calibri"/>
                <w:sz w:val="18"/>
                <w:szCs w:val="18"/>
                <w:color w:val="auto"/>
              </w:rPr>
              <w:t>77 %</w:t>
            </w:r>
          </w:p>
        </w:tc>
        <w:tc>
          <w:tcPr>
            <w:tcW w:w="12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23 %</w:t>
            </w:r>
          </w:p>
        </w:tc>
        <w:tc>
          <w:tcPr>
            <w:tcW w:w="10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Professional Contributor</w:t>
            </w:r>
          </w:p>
        </w:tc>
        <w:tc>
          <w:tcPr>
            <w:tcW w:w="12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4"/>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80 %</w:t>
            </w:r>
          </w:p>
        </w:tc>
        <w:tc>
          <w:tcPr>
            <w:tcW w:w="12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20 %</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Hourly &amp; Associate Staf</w:t>
            </w:r>
          </w:p>
        </w:tc>
        <w:tc>
          <w:tcPr>
            <w:tcW w:w="120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ind w:right="160"/>
              <w:spacing w:after="0" w:line="215" w:lineRule="exact"/>
              <w:rPr>
                <w:sz w:val="20"/>
                <w:szCs w:val="20"/>
                <w:color w:val="auto"/>
              </w:rPr>
            </w:pPr>
            <w:r>
              <w:rPr>
                <w:rFonts w:ascii="Calibri" w:cs="Calibri" w:eastAsia="Calibri" w:hAnsi="Calibri"/>
                <w:sz w:val="18"/>
                <w:szCs w:val="18"/>
                <w:color w:val="auto"/>
              </w:rPr>
              <w:t>73 %</w:t>
            </w:r>
          </w:p>
        </w:tc>
        <w:tc>
          <w:tcPr>
            <w:tcW w:w="122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132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28 %</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0"/>
        </w:trPr>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Populaton</w:t>
            </w:r>
          </w:p>
        </w:tc>
        <w:tc>
          <w:tcPr>
            <w:tcW w:w="1200" w:type="dxa"/>
            <w:vAlign w:val="bottom"/>
            <w:tcBorders>
              <w:bottom w:val="single" w:sz="8" w:color="auto"/>
            </w:tcBorders>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780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CFF0FC"/>
            </w:tcBorders>
            <w:gridSpan w:val="4"/>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76 %</w:t>
            </w:r>
          </w:p>
        </w:tc>
        <w:tc>
          <w:tcPr>
            <w:tcW w:w="1220" w:type="dxa"/>
            <w:vAlign w:val="bottom"/>
            <w:tcBorders>
              <w:bottom w:val="single" w:sz="8" w:color="auto"/>
            </w:tcBorders>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251</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3"/>
            <w:shd w:val="clear" w:color="auto" w:fill="CFF0FC"/>
          </w:tcPr>
          <w:p>
            <w:pPr>
              <w:jc w:val="right"/>
              <w:ind w:right="60"/>
              <w:spacing w:after="0" w:line="210" w:lineRule="exact"/>
              <w:rPr>
                <w:sz w:val="20"/>
                <w:szCs w:val="20"/>
                <w:color w:val="auto"/>
              </w:rPr>
            </w:pPr>
            <w:r>
              <w:rPr>
                <w:rFonts w:ascii="Calibri" w:cs="Calibri" w:eastAsia="Calibri" w:hAnsi="Calibri"/>
                <w:sz w:val="18"/>
                <w:szCs w:val="18"/>
                <w:color w:val="auto"/>
              </w:rPr>
              <w:t>24 %</w:t>
            </w: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1,031</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605"/>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290"/>
              <w:spacing w:after="0"/>
              <w:rPr>
                <w:sz w:val="20"/>
                <w:szCs w:val="20"/>
                <w:color w:val="auto"/>
              </w:rPr>
            </w:pPr>
            <w:r>
              <w:rPr>
                <w:rFonts w:ascii="Calibri" w:cs="Calibri" w:eastAsia="Calibri" w:hAnsi="Calibri"/>
                <w:sz w:val="18"/>
                <w:szCs w:val="18"/>
                <w:color w:val="auto"/>
              </w:rPr>
              <w:t>11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86"/>
        </w:trPr>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-2365375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-2348230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-2365375</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-2348230</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-2365375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-2348230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-933450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-916305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-933450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-916305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-933450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-916305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 w:name="page12"/>
    <w:bookmarkEnd w:id="11"/>
    <w:p>
      <w:pPr>
        <w:ind w:right="1180" w:firstLine="8"/>
        <w:spacing w:after="0" w:line="235" w:lineRule="auto"/>
        <w:tabs>
          <w:tab w:leader="none" w:pos="127"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Management includes both people managers, excluding members of the Executve Commitee, and senior-level individual contributor roles. ** People of Color consists of U.S. based employees who identfy as a race or ethnicity other than white.</w:t>
      </w:r>
    </w:p>
    <w:p>
      <w:pPr>
        <w:spacing w:after="0" w:line="294"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Talent Atracton, Development and Retenton</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have numerous initatves and programs to atract, develop and retain our talent tailored to specifc employee populatons and geographies, including leadership and executve development programs, technical training, and other skill-based training. In fscal 2024, we deployed a new manufacturing leadership development program in our Asia Pacifc region, focused on building the capabilites and readiness of our future plant leaders. This initatve included assessments and 360-degree feedback to help build awareness and inform individual development plans, coaching and support from senior leaders, self-study through a learning platorm, peer learning and group discussions to help educate and prepare them for these future roles. We also further expanded internal promoton and use of our online learning platorm and made it available to all employees globally to support our leadership development programs, DE&amp;I knowledge and skill building, and self-directed learning through our career development portal for employees. We contnue to see strong adopton and use of this platorm with metrics exceeding peer benchmarks as shared by our platorm provider.</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Employee Engagement</w:t>
      </w:r>
    </w:p>
    <w:p>
      <w:pPr>
        <w:spacing w:after="0" w:line="82"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We believe that our contnued focus on and investment in employee engagement and development contnues to be well received by our employees and in fscal 2024, we introduced the use of employee engagement "pulse" surveys to monitor results throughout the year based on the insights and actons put in place based on last year's biennial global survey.</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have well-established performance management and talent development processes in which managers provide regular feedback and coaching to develop employees. Throughout the year, managers and employees engage in annual objectve setng, quarterly reviews of goal progress, performance feedback, career development discussions, and a year-end performance evaluaton. In additon, we regularly review talent development and succession plans for each of our functons and business segments to identfy and develop a pipeline of talent.</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Some of our employees in the U.S. and abroad are covered by collectve bargaining or similar agreements. We have generally positve and productve employee relatons with our employees, unions and works councils globally.</w:t>
      </w:r>
    </w:p>
    <w:p>
      <w:pPr>
        <w:spacing w:after="0" w:line="8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Cabot’s global voluntary turnover rate for fscal 2024 was approximately 6.0%, which represents a decrease in the Company’s atriton rate relatve to fscal 2023, which was 7.3%.</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Total Rewards</w:t>
      </w:r>
    </w:p>
    <w:p>
      <w:pPr>
        <w:spacing w:after="0" w:line="82" w:lineRule="exact"/>
        <w:rPr>
          <w:sz w:val="20"/>
          <w:szCs w:val="20"/>
          <w:color w:val="auto"/>
        </w:rPr>
      </w:pPr>
    </w:p>
    <w:p>
      <w:pPr>
        <w:ind w:right="160" w:firstLine="509"/>
        <w:spacing w:after="0" w:line="251" w:lineRule="auto"/>
        <w:rPr>
          <w:sz w:val="20"/>
          <w:szCs w:val="20"/>
          <w:color w:val="auto"/>
        </w:rPr>
      </w:pPr>
      <w:r>
        <w:rPr>
          <w:rFonts w:ascii="Calibri" w:cs="Calibri" w:eastAsia="Calibri" w:hAnsi="Calibri"/>
          <w:sz w:val="17"/>
          <w:szCs w:val="17"/>
          <w:color w:val="auto"/>
        </w:rPr>
        <w:t>We strive to provide a total rewards program that enables us to atract, retain and motvate the best talent to support our businesses. Our compensaton programs embrace a pay for performance philosophy and are designed to be compettve within the markets in which we compete for talent. Our pay practces reward individual and Company performance and are equitably diferentated based on role, experience, contributons, and performance. We value our employees' eforts and reward those contributons through our recogniton and incentve programs. We regularly assess these practces to ensure we are market compettve in each of our geographic locatons, ofering what we believe is a compelling and atractve place to work.</w:t>
      </w:r>
    </w:p>
    <w:p>
      <w:pPr>
        <w:spacing w:after="0" w:line="76"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Cabot is commited to ensuring that employees are paid fairly and without discriminaton while taking into account job-related factors such as responsibilites, locaton, work experience, educaton, performance, and contributons. We conduct reviews annually to monitor our pay practces and develop pay actons where appropriate. Our overall fndings for this fscal year contnue to indicate that we have strong pay parity between females and males globally as well as with under-represented groups in the United States across all pay components (annual base salary, short-term incentves, and long-term incentves) for those in the same job and locaton.</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also aim to provide highly compettve benefts programs in all the locatons where we operate, including meetng or exceeding local regulatons and focusing on health and welfare, employee well-being, employee assistance program (EAP), and retrement savings. Examples of beneft programs we ofer in the U.S. include a robust 401(k) plan that exceeds market standards in levels of employer matching, expansive health benefts (including medical, dental and/or vision), life and accident insurance, disability coverage, paid tme of, tuiton reimbursement and other voluntary benefts. We believe that our employees' health and well-being is important to Cabot’s success, and as a result, in fscal 2024 we:</w:t>
      </w:r>
    </w:p>
    <w:p>
      <w:pPr>
        <w:spacing w:after="0" w:line="99" w:lineRule="exact"/>
        <w:rPr>
          <w:sz w:val="20"/>
          <w:szCs w:val="20"/>
          <w:color w:val="auto"/>
        </w:rPr>
      </w:pPr>
    </w:p>
    <w:p>
      <w:pPr>
        <w:ind w:left="900" w:right="4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Introduced a healthcare initatve in the U.S., ofering enhanced mental health and work-life support programs, including several therapy sessions per year that are covered by Cabot at no cost to our employees</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Developed a comprehensive roadmap for our Asia Pacifc employees, advancing local well-being initatves</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Ofered a global movement challenge to encourage physical actvity; and</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left="90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Held well-being learning sessions in various countries designed to educate our employees on the importance of this topic and increase awareness of Cabot's available programs.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Employee Health &amp; Safety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believe that one of our primary responsibilites as an employer is to provide a safe work environment and promote wellness across the workforce. Our goal is for all employees, contractors, and visitors to return home in the same conditon as when they arrived at work that day. As part of our “Drive to Zero” initatve, we have set a long-term goal of achieving zero injuries at our facilites worldwide. We intend to achieve this ambitous objectve by following a number of measures, including training employees in hazard recogniton, ensuring procedures are established to mitgate risks and equipping supervisory personnel with the tools and skills required to execute our work safely. As part of this efort, members of our leadership team partcipate in root cause determinatons and the results are shared throughout our network of operatng facilites. Recognizing that it may take many years to achieve our Drive to Zero goal, we have established a contnuous improvement goal for personal safety to achieve a 50% reducton in our recordable and severe injury rate from our baseline measurement in 2019 by 2025. For fscal 2024, our Total Recordable Incident Rate (TRIR) based upon the number of injuries per 200,000 work hours for both employees and contractors was 0.22 and our Lost Time Incident Rate (LTIR) was 0.16. For comparison, the US Bureau of Labor Statstcs reports for chemical manufacturing an average TRIR of 1.8 and LTIR of 0.6 in calendar year 2023.</w:t>
      </w:r>
    </w:p>
    <w:p>
      <w:pPr>
        <w:spacing w:after="0" w:line="89" w:lineRule="exact"/>
        <w:rPr>
          <w:sz w:val="20"/>
          <w:szCs w:val="20"/>
          <w:color w:val="auto"/>
        </w:rPr>
      </w:pPr>
    </w:p>
    <w:p>
      <w:pPr>
        <w:ind w:right="60" w:firstLine="509"/>
        <w:spacing w:after="0" w:line="254" w:lineRule="auto"/>
        <w:rPr>
          <w:sz w:val="20"/>
          <w:szCs w:val="20"/>
          <w:color w:val="auto"/>
        </w:rPr>
      </w:pPr>
      <w:r>
        <w:rPr>
          <w:rFonts w:ascii="Calibri" w:cs="Calibri" w:eastAsia="Calibri" w:hAnsi="Calibri"/>
          <w:sz w:val="17"/>
          <w:szCs w:val="17"/>
          <w:color w:val="auto"/>
        </w:rPr>
        <w:t>We contnue to be recognized as an American Chemistry Counsel Responsible Care® company and as part of our commitment to Responsible Care, we remain focused on contnuously improving the health and safety of our processes and products. In accordance with this certfcaton, we report our safety performance metrics annually and undergo external audits regularly to evaluate our program, identfy gaps, and undertake correctve actons as needed.</w:t>
      </w:r>
    </w:p>
    <w:p>
      <w:pPr>
        <w:spacing w:after="0" w:line="70" w:lineRule="exact"/>
        <w:rPr>
          <w:sz w:val="20"/>
          <w:szCs w:val="20"/>
          <w:color w:val="auto"/>
        </w:rPr>
      </w:pPr>
    </w:p>
    <w:p>
      <w:pPr>
        <w:ind w:right="220" w:firstLine="374"/>
        <w:spacing w:after="0" w:line="235" w:lineRule="auto"/>
        <w:rPr>
          <w:sz w:val="20"/>
          <w:szCs w:val="20"/>
          <w:color w:val="auto"/>
        </w:rPr>
      </w:pPr>
      <w:r>
        <w:rPr>
          <w:rFonts w:ascii="Calibri" w:cs="Calibri" w:eastAsia="Calibri" w:hAnsi="Calibri"/>
          <w:sz w:val="18"/>
          <w:szCs w:val="18"/>
          <w:color w:val="auto"/>
        </w:rPr>
        <w:t>Through our global SHE &amp; Sustainability Commitment, which is endorsed by our Executve Commitee and adopted by our Board of Directors, we hold ourselves accountable to demonstrate our company values and contnuously improve the way we operate. The SHE &amp; Sustainability Commitment defnes several important objectves for our contnuous improvement in safety, including:</w:t>
      </w:r>
    </w:p>
    <w:p>
      <w:pPr>
        <w:spacing w:after="0" w:line="92"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Complying with all applicable regulatons;</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Sharing complete informaton about the safe handling and appropriate use of our products;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the safety and security of our employees, contractors and neighbors;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Managing our operatons to minimize any impacts on our communites;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Exemplifying the Responsible Care® Guiding Principles;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Partnering with customers and suppliers to advance innovatve and sustainable solutons; and</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Improving efciencies, reducing environmental impacts and ensuring that we are prepared for emergencies that could occur.</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Safety, Health, Environment and Sustainability</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 recogniton of the importance of safety, health, environment and sustainability maters to Cabot, our Board of Directors has a Safety, Health, Environment, and Sustainability Commitee. The Commitee, which is comprised of independent directors, meets regularly and oversees our safety, health, and environmental performance, process safety, security, product stewardship, community engagement and governmental afairs. In partcular, the Commitee reviews metrics, audit results, emerging trends, overall performance, risks and opportunity assessments and management processes related to our safety, health, environmental and sustainability program.</w:t>
      </w:r>
    </w:p>
    <w:p>
      <w:pPr>
        <w:spacing w:after="0" w:line="85"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Our ongoing operatons are subject to extensive federal, state, local, and foreign laws, regulatons, rules, and ordinances relatng to safety, health, and environmental maters (“SH&amp;E Requirements”). The SH&amp;E Requirements to which our operatons are subject include requirements to obtain and comply with various environmental-related permits for constructng any new facilites and operatng all of our existng facilites and for product registratons. We have expended and will contnue to expend considerable resources to construct, maintain, operate, and improve our facilites throughout the world for safety, health and environmental protecton and to comply with SH&amp;E Requirements. We spent $58 million in environmental-related capital expenditures in fscal 2024. We antcipate spending approximately $78 million for such maters in fscal 2025. These costs include costs associated with our compliance with the Consent Decree we entered into in November 2013 with the U.S. Environmental Protecton Agency (“EPA”) and the Louisiana Department of Environmental Quality (“LDEQ”) regarding Cabot’s three carbon black manufacturing facilites in the U.S., and a signifcant porton of our antcipated capital expenditures for fscal 2025 will contnue to be for the installaton of air polluton control equipment at our third and fnal plant in Ville Plate, Louisiana. This setlement is related to the EPA’s natonal enforcement initatve focused on the U.S. carbon black manufacturing sector alleging non-compliance with certain regulatory and permitng requirements under The Clean Air Act, including the New Source Review (“NSR”) constructon permitng requirements.</w:t>
      </w:r>
    </w:p>
    <w:p>
      <w:pPr>
        <w:spacing w:after="0" w:line="2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3" w:name="page14"/>
    <w:bookmarkEnd w:id="13"/>
    <w:p>
      <w:pPr>
        <w:spacing w:after="0" w:line="250" w:lineRule="auto"/>
        <w:rPr>
          <w:sz w:val="20"/>
          <w:szCs w:val="20"/>
          <w:color w:val="auto"/>
        </w:rPr>
      </w:pPr>
      <w:r>
        <w:rPr>
          <w:rFonts w:ascii="Calibri" w:cs="Calibri" w:eastAsia="Calibri" w:hAnsi="Calibri"/>
          <w:sz w:val="17"/>
          <w:szCs w:val="17"/>
          <w:color w:val="auto"/>
        </w:rPr>
        <w:t>Pursuant to this setlement, Cabot has installed technology controls for sulfur dioxide and/or nitrogen oxide at its carbon black plants in Pampa, Texas and Franklin, Louisiana, and is in the process of installing such technology controls at its plant in Ville Plate. We are currently in discussions with the EPA and LDEQ to extend our compliance date at the Ville Plate facility to 2025 based upon force majeure events primarily related to the COVID-19 pandemic. We expect that the total capital costs to install these technology controls will be approximately $250 million and will be incurred through mid-calendar year 2025. As of September 30, 2024, we have incurred $201 million to install these controls in the U.S. Operatng these controls increases our plant operatng costs. All carbon black manufacturers in the U.S. have setled with the EPA and have installed similar controls. In additon, under the Province of Ontario Ministry of Environment, Conservaton and Parks’ (“MECP”) Regulaton 419, a new requirement for sulfur dioxide (“SO2”) emissions went into efect on July 1, 2023 for our reinforcing carbons plant in Sarnia, Ontario. We are out of compliance with this new air standard and are in discussions with the MECP on an abatement plan regarding this requirement that we expect, in its current form, would require the installaton of air polluton controls at the plant by July 1, 2028. To date, this has not restricted our ability to operate our reinforcing carbons plant in Sarnia as we are working with MECP on a soluton. We antcipate that we will need to incur signifcant capital costs for the installaton of these new SO2 emissions controls, partcularly during the 24-month period prior to the date of installaton. In additon, in the EU, the large volume inorganic chemicals BREF is currently under revision, and we expect that requirements to install technology controls for sulfur dioxide and/or nitrogen oxide at the Company’s four carbon black facilites in the EU may be initated startng as early as 2028.</w:t>
      </w:r>
    </w:p>
    <w:p>
      <w:pPr>
        <w:spacing w:after="0" w:line="79"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As described above, environmental agencies worldwide are increasingly implementng regulatons and other requirements resultng in more restrictve air emission limits globally, partcularly as they relate to nitrogen oxide, sulfur dioxide and partculate mater emissions. In additon, growing concerns about climate change have led to global eforts to reduce greenhouse gas (“GHG”) emissions with a goal of achieving net zero GHG emissions in the future, which will impact the carbon black industry and our business as carbon dioxide is emited from those manufacturing processes. Currently, in Europe, our four carbon black facilites are subject to the EU Emissions Trading Scheme (“EU ETS”). The fourth phase of the EU ETS began in January 2021, with updated product benchmarks for our carbon black facilites. As a result of revisions to the EU ETS program following the ETS Directve reform adopted in May 2023 that increased the ambiton of the EU ETS, the free allowances under the program will be phased out over tme likely resultng in increased costs to the Company due to an increased need to purchase emission credits. Further, in order for our carbon black plant in Botlek, the Netherlands, to retain the maximum amount of free allowances allocated to this plant beginning in calendar year 2025, in June 2024 we submited to the Dutch Emission Authorites our plan for achieving carbon neutrality at that plant by 2050. Our plan assumes a potental investment in carbon capture, utlizaton and storage technology at the plant that would be installed and operatonal for these operatons by 2050. We will contnue to monitor revisions and updates to the EU ETS program and related reportng, including updates to the carbon black product benchmarks that will apply at the beginning of calendar year 2026, and other measures that may reduce the maximum amount of free allowances allocated to our carbon black plants and increase our compliance costs. In additon, we are evaluatng the future potental applicability of the new carbon border adjustment mechanism (“CBAM”) program in the EU as an alternatve to free allowances under the EU ETS and as a system complementary to the EU ETS. Our carbon black facility in The Netherlands is also subject to The Netherlands CO2 tax, which is a top-up tax to the EU ETS scheme. In China, a natonal emissions trading program is currently in place for the power sector and is expected to be expanded to apply to the cement, steel, and electrolytc aluminum sectors. We contnue to monitor that program’s further implementaton and expect it may apply to the carbon black industry in the future with the existng regional pilot programs expected to contnue to operate untl the natonal program becomes efectve. Our carbon black facility in Ontario, Canada is subject to the Ontario Emissions Performance Standard trading system, a transiton from the federal carbon tax program and under which specifc transiton requirements became efectve on January 1, 2022. In Mexico, our carbon black facility is partcipatng in the natonal ETS program, a transiton from the pilot program that was in efect for our plant in 2023. In other regions where we operate, some of our facilites are required to report their greenhouse gas emissions but are not currently subject to programs requiring trading or emission controls but may be subject to limited carbon tax programs afectng fuels we purchase. We generally expect to pay any incurred taxes or purchase emission credits as needed to respond to any allocaton shortalls and pass these costs on to our customers. In additon, further air emission regulatons may be adopted in the future in regions and countries where we operate, which could have an impact on our operatons. Increasing regulatory programs associated with emissions and concerns regarding climate change are expected to increase our capital and operatonal costs in the future.</w:t>
      </w:r>
    </w:p>
    <w:p>
      <w:pPr>
        <w:spacing w:after="0" w:line="29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Cabot has been named as a potentally responsible party under the Comprehensive Environmental Response, Compensaton, and Liability Act of 1980 (the “Superfund law”) and comparable state statutes with respect to several sites primarily associated with our divested businesses. (See “Legal Proceedings” in Item 3 below, and Note T in Item 8 below, under the heading “Contngencies”.) During the next several years, as remediaton of various environmental sites is carried out, we expect to spend against our environmental reserve for costs associated with such remediaton. As of September 30, 2024, our environmental reserve was approximately $5 million. Adjustments are made to the reserve based on our contnuing analysis of our share of costs likely to be incurred at each site. Inherent uncertaintes exist in these estmates due to unknown conditons at the various sites, changing governmental regulatons and legal standards regarding liability, and changing technologies for handling site investgaton and</w:t>
      </w: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4" w:name="page15"/>
    <w:bookmarkEnd w:id="14"/>
    <w:p>
      <w:pPr>
        <w:ind w:right="20"/>
        <w:spacing w:after="0" w:line="235" w:lineRule="auto"/>
        <w:rPr>
          <w:sz w:val="20"/>
          <w:szCs w:val="20"/>
          <w:color w:val="auto"/>
        </w:rPr>
      </w:pPr>
      <w:r>
        <w:rPr>
          <w:rFonts w:ascii="Calibri" w:cs="Calibri" w:eastAsia="Calibri" w:hAnsi="Calibri"/>
          <w:sz w:val="18"/>
          <w:szCs w:val="18"/>
          <w:color w:val="auto"/>
        </w:rPr>
        <w:t>remediaton. While the reserve represents our best estmate of the costs we expect to incur, the actual costs to investgate and remediate these sites may exceed the amounts accrued in the environmental reserve. While it is always possible that an unusual event may occur with respect to a given site and have a material adverse efect on our results of operatons in a partcular period, we do not believe that the costs relatng to these sites, in the aggregate, are likely to have a material adverse efect on our consolidated fnancial positon. Furthermore, it is possible that we may also incur future costs relatng to environmental liabilites not currently known to us or as to which it is currently not possible to make an estmate.</w:t>
      </w:r>
    </w:p>
    <w:p>
      <w:pPr>
        <w:spacing w:after="0" w:line="8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Internatonal Agency for Research on Cancer (“IARC”) classifes carbon black as a Group 2B substance (known animal carcinogen, possible human carcinogen). We have communicated IARC’s classifcaton of carbon black to our customers and employees and have included that informaton in our safety data sheets and elsewhere, as appropriate. We contnue to believe that the available evidence, taken as a whole, indicates that carbon black is not carcinogenic to humans, and does not present a health hazard when handled in accordance with good housekeeping and safe workplace practces as described in our safety data sheets.</w:t>
      </w:r>
    </w:p>
    <w:p>
      <w:pPr>
        <w:spacing w:after="0" w:line="85"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Our products are subject to the chemical control laws and regulatory requirements of the countries in which they are manufactured or imported and distributed commercially. These laws include the regulaton of chemical substances and inventories under the Toxic Substances Control Act (“TSCA”) in the U.S. and the Registraton, Evaluaton and Authorizaton of Chemicals (“REACh”) in the European Union. Manufacturers or importers of these chemical substances are required to submit specifed health, safety, environment, risk and use informaton about these substances. Under the “Evaluaton” porton of the REACh framework, the European Chemicals Agency (ECHA) and European Union Member States assess the informaton submited by companies within registraton dossiers and testng proposals to determine whether the associated substances are safe for use. The silica substance evaluaton was concluded in 2021, and following this, the Netherlands has proposed a STOT RE 1 classifcaton for untreated silica which has not yet been fnalized. Carbon black is scheduled for a substance review in 2026. Analogous regimes exist in other parts of the world, including the UK, Turkey, China, South Korea, and Taiwan. Many of these chemical control regulatons are in the process of a mult-year implementaton period for product/substance registratons or notfcatons.</w:t>
      </w:r>
    </w:p>
    <w:p>
      <w:pPr>
        <w:spacing w:after="0" w:line="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 requirements for nanomaterials apply to many of our existng products including carbon black, fumed silica, inkjet pigments, fumed alumina, and advanced carbons such as carbon nano structures and carbon nanotubes. Country-specifc nanomaterial reportng programs have been implemented in some countries and are being developed by others. In the European Union, applicaton-specifc safety evaluatons are ongoing for nanomaterials. Additonally, in 2022, an opinion was adopted to classify a subset of mult-walled carbon nanotubes that includes a carbon nanotube grade we currently manufacture, as carcinogen category 1B and specifc target organ toxicant (lung) afer repeated exposure category 1 under European Union regulatons. The opinion has not yet been published in the Adaptaton to Technical Progress (ATP), which would make the classifcaton legally binding. Our carbon nanotubes are bound in a matrix or contained within conductve materials in bateries, molded parts, plastcs, coatngs, adhesives, and sealants, and we do not believe they present a health risk to end users under normal use conditons. Exposure to carbon nanotubes could occur in the workplace. However, we believe workplace exposures can be appropriately managed with engineering controls in place at our manufacturing facilites and the use of required personal protectve equipment at our sites.</w:t>
      </w:r>
    </w:p>
    <w:p>
      <w:pPr>
        <w:spacing w:after="0" w:line="8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 number of organizatons and regulatory agencies have become increasingly focused on the issue of water scarcity, water conservaton and water quality, partcularly in certain geographic regions. We are engaged in various actvites to promote water conservaton and wastewater recycling, partcularly given that some of our manufacturing processes are water intensive. The costs associated with these actvites are not expected to have a material adverse efect on our operatons.</w:t>
      </w:r>
    </w:p>
    <w:p>
      <w:pPr>
        <w:spacing w:after="0" w:line="84"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Various U.S. agencies and internatonal bodies have adopted security requirements applicable to certain manufacturing and industrial facilites and marine port locatons. These security-related requirements involve the preparaton of security assessments and security plans in some cases, and in other cases the registraton of certain facilites with specifed governmental authorites. We closely monitor all security-related regulatory developments and believe we are in compliance with all existng requirements. Compliance with such requirements is not expected to have a material adverse efect on our operatons.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1A. </w:t>
      </w:r>
      <w:r>
        <w:rPr>
          <w:rFonts w:ascii="Calibri" w:cs="Calibri" w:eastAsia="Calibri" w:hAnsi="Calibri"/>
          <w:sz w:val="18"/>
          <w:szCs w:val="18"/>
          <w:b w:val="1"/>
          <w:bCs w:val="1"/>
          <w:i w:val="1"/>
          <w:iCs w:val="1"/>
          <w:color w:val="auto"/>
        </w:rPr>
        <w:t>Risk Factors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additon to factors described elsewhere in this report, the following are important factors that could adversely afect our business. The risks described below are not the only risks we face. Additonal risks not presently known to us or that we currently deem immaterial may also impair our business operatons and fnancial results.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Industry Risks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color w:val="auto"/>
        </w:rPr>
        <w:t>Industry capacity utlizaton and competton from other specialty chemical companies may adversely impact our business.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businesses are sensitve to industry capacity utlizaton, and pricing tends to fuctuate when capacity utlizaton changes occur, which could afect our fnancial performance. Further, we operate in a highly compettve marketplace. Our ability to compete successfully depends in part upon our ability to maintain a superior technological capability and to contnue to identfy, develop and commercialize new and innovatve, high value-added products for existng and future customers. Increased competton from existng or newly developed products ofered by our compettors or companies whose products ofer similar functonality as our products, partcularly those with an improved environmental footprint, that could be substtuted for our products, may negatvely afect demand for our products. In additon, actons by our compettors could impair our ability to maintain or raise prices, successfully enter new markets or maintain or grow our market positon.</w:t>
      </w:r>
    </w:p>
    <w:p>
      <w:pPr>
        <w:spacing w:after="0" w:line="87"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color w:val="auto"/>
        </w:rPr>
        <w:t>Environmental laws and regulatons that afect our industries impose constraints on our operatons, and could threaten our compettve positon and increase our operatng costs, which may adversely impact our business and results of operatons.</w:t>
      </w:r>
    </w:p>
    <w:p>
      <w:pPr>
        <w:spacing w:after="0" w:line="8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ongoing manufacturing operatons are subject to extensive federal, state, local and foreign laws, regulatons, rules and ordinances relatng to environmental maters, many of which provide for substantal monetary fnes, civil and criminal sanctons and possible injunctve relief for violatons. These include requirements to obtain and comply with various environmental-related and other permits for constructng new facilites and operatng our existng facilites, as well as setlements with agencies regarding environmental maters and environmental requirements. These environmental regulatory requirements impose constraints on our operatons and could threaten our compettve positon. We have expended and will contnue to expend considerable amounts to construct, maintain, operate, and improve our facilites around the world for environmental protecton. In additon, the increased emphasis on environmental justce, which is the fair treatment and meaningful involvement of all individuals and communites in which we operate, regardless of race, color, natonal origin, or income, with respect to the development, implementaton and enforcement of environmental laws, regulatons, and policies, could result in increased compliance requirements and costs. Furthermore, our actual or perceived failure to adhere to these principles could harm our reputaton.</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 environmental agencies worldwide are increasingly implementng regulatons and other requirements resultng in more restrictve air emission limits globally, partcularly as they relate to nitrogen oxides, sulfur dioxide and partculate mater emissions. We expect complying with existng regulatons and other regulatory and tax changes being proposed in regions where we operate, if approved, will require us to incur signifcant additonal costs for compliance, capital improvements or possibly limit our current or planned operatons. We may not be able to ofset the costs of these compliance obligatons through price increases. Our ability to implement price increases is largely infuenced by compettve and economic conditons and could vary signifcantly depending on the segment served. Such increases may not be accepted by our customers, may not be sufcient to compensate for increased regulatory costs or may decrease demand for our products and our volume of sales. Further, the capital improvements needed to comply with environmental requirements frequently involves the development and installaton of new technologies within existng plant operatons and there is a risk that these new technologies will not operate as we expect. There may be delays in the start-up of these capital improvements and our ability to comply with these requirements in a tmely manner. In partcular, it is possible we will experience these issues at our plant in Sarnia in light of the complexity of the new technology we expect to install at that plant.</w:t>
      </w:r>
    </w:p>
    <w:p>
      <w:pPr>
        <w:spacing w:after="0" w:line="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descripton of these maters is included in the discussion under the heading “Safety, Health, Environment, and Sustainability” in Item 1 above, and in Note T in Item 8 below under the heading “Contngencies”.</w:t>
      </w:r>
    </w:p>
    <w:p>
      <w:pPr>
        <w:spacing w:after="0" w:line="83"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b w:val="1"/>
          <w:bCs w:val="1"/>
          <w:color w:val="auto"/>
        </w:rPr>
        <w:t>We may be exposed to certain regulatory and fnancial risks related to climate change developments and an increased focus on carbon neutrality and net zero emissions, which may adversely afect our business and results of operatons, and increased pressures and adverse publicity about potental impacts on climate change by us or other companies in our industry could harm our reputaton.</w:t>
      </w:r>
    </w:p>
    <w:p>
      <w:pPr>
        <w:spacing w:after="0" w:line="84"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Carbon dioxide, a greenhouse gas, is emited in carbon black manufacturing processes. Concerns about the relatonship between greenhouse gases and global climate change, and an increased focus on carbon neutrality and net zero, may result in additonal regulatons on both natonal and supranatonal levels, to monitor, regulate, control and impose taxes on emissions of carbon dioxide and other greenhouse gases. Climate changes include extreme weather impacts, such as changes in rainfall and in storm paterns and intensites, water shortages, signifcantly changing sea levels and increasing atmospheric and water temperatures. A number of governmental bodies have introduced or are contemplatng regulatory changes in response to climate change, including regulatng greenhouse gas emissions. Specifcally, in certain geographic areas, our carbon black facilites are or may become subject to greenhouse gas emission trading schemes or carbon tax programs under which we may be required to pay any incurred taxes or purchase emission credits if our emission levels exceed our free allocaton. The outcome of new legislaton or regulaton in the U.S. and other jurisdictons in which we operate may result in new or additonal requirements and fees or restrictons on certain actvites. Compliance with greenhouse gas and climate change initatves may result in additonal costs to us, including, among other things, increased producton costs, increased feedstock costs, additonal taxes, reduced emission allowances</w:t>
      </w: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6" w:name="page17"/>
    <w:bookmarkEnd w:id="16"/>
    <w:p>
      <w:pPr>
        <w:ind w:right="100"/>
        <w:spacing w:after="0" w:line="251" w:lineRule="auto"/>
        <w:rPr>
          <w:sz w:val="20"/>
          <w:szCs w:val="20"/>
          <w:color w:val="auto"/>
        </w:rPr>
      </w:pPr>
      <w:r>
        <w:rPr>
          <w:rFonts w:ascii="Calibri" w:cs="Calibri" w:eastAsia="Calibri" w:hAnsi="Calibri"/>
          <w:sz w:val="17"/>
          <w:szCs w:val="17"/>
          <w:color w:val="auto"/>
        </w:rPr>
        <w:t>or additonal restrictons on producton or operatons. In additon, certain of our carbon black products for specialty applicatons have higher greenhouse gas emissions than our other products, which may increase our compliance costs and make it more challenging to achieve our emissions goals without technology developments. We may not be able to ofset the efects of these new or more stringent laws and regulatons and compliance costs through price increases, which could adversely afect our business and negatvely impact our growth. Our ability to implement price increases is largely infuenced by compettve and economic conditons and could vary signifcantly depending on the segment served. Such increases may not be accepted by our customers, may not be sufcient to compensate for increased regulatory costs or may decrease demand for our products and our volume of sales. Any adopted future climate change regulatons could also negatvely impact our ability to compete with companies situated in areas not subject to such limitatons.</w:t>
      </w:r>
    </w:p>
    <w:p>
      <w:pPr>
        <w:spacing w:after="0" w:line="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Furthermore, the potental impact of climate change and related regulaton on our feedstock suppliers and customers is highly uncertain and there can be no assurance that it will not have an adverse efect on the availability, over tme, of our traditonal carbon black feedstocks, our customers’ businesses and sourcing arrangements, and on our fnancial conditon and results of operatons. For instance, lower demand for oil refnery products may reduce the availability and increase the cost of certain of the key raw materials we use. In additon, many of our tre customers have set sustainability goals for the 2030 to 2050 tme period to purchase more sustainable raw materials, including reduced use of fossil-derived materials, which could reduce demand for our traditonal carbon black products.</w:t>
      </w:r>
    </w:p>
    <w:p>
      <w:pPr>
        <w:spacing w:after="0" w:line="86"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additon, even without increased regulaton, increased public awareness and adverse publicity about potental impacts on climate change or environmental harm from us or our industry could harm our reputaton or otherwise impact the Company adversely. In recent years, investors have also begun to show increased interest in sustainability and climate change as it relates to their investment decisions. Our failure to execute our sustainability strategy in a way that adequately responds to these environmental concerns in a tmely manner could harm our reputaton and negatvely impact the perceived value of our securites. In additon, new disclosure requirements related to GHG emissions and climate change, including the European Sustainability Reportng Standards, any fnal rules approved by the SEC and upheld by the courts, and state laws requiring climate disclosure, may negatvely impact our business by divertng resources, increasing our compliance costs and harming our reputaton. Further, increasing weather-related impacts on our operatons and plant sites may impact the cost or availability of insurance.</w:t>
      </w:r>
    </w:p>
    <w:p>
      <w:pPr>
        <w:spacing w:after="0" w:line="88"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We cannot predict how legal, regulatory and social responses to concerns about climate change, as well as other sustainability and environmental maters, will impact our business.</w:t>
      </w:r>
    </w:p>
    <w:p>
      <w:pPr>
        <w:spacing w:after="0" w:line="8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color w:val="auto"/>
        </w:rPr>
        <w:t>Volatlity in the price and availability of raw materials and energy could impact our margins and working capital and our revenues from our energy center operatons.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manufacturing processes consume signifcant amounts of energy and raw materials, the costs of which are subject to worldwide supply and demand as well as other factors beyond our control. Our carbon black businesses use a variety of feedstocks as raw material including high sulfur fuel oils, low sulfur fuel oils, coal tar distllates, and ethylene cracker residue, the cost and availability of which vary, based in part on geography. Signifcant movements or volatlity in our carbon black feedstock costs could have an adverse efect on our working capital and results of operatons. In additon, regulatory changes or geopolitcal confict may impact the availability and prices of our raw materials. For example, the Russian invasion of Ukraine and the resultng ongoing war has in the past disrupted and may in the future contnue to disrupt the price and availability of natural gas in Europe.</w:t>
      </w:r>
    </w:p>
    <w:p>
      <w:pPr>
        <w:spacing w:after="0" w:line="127" w:lineRule="exact"/>
        <w:rPr>
          <w:sz w:val="20"/>
          <w:szCs w:val="20"/>
          <w:color w:val="auto"/>
        </w:rPr>
      </w:pPr>
    </w:p>
    <w:p>
      <w:pPr>
        <w:ind w:firstLine="509"/>
        <w:spacing w:after="0" w:line="237" w:lineRule="auto"/>
        <w:rPr>
          <w:sz w:val="20"/>
          <w:szCs w:val="20"/>
          <w:color w:val="auto"/>
        </w:rPr>
      </w:pPr>
      <w:r>
        <w:rPr>
          <w:rFonts w:ascii="Calibri" w:cs="Calibri" w:eastAsia="Calibri" w:hAnsi="Calibri"/>
          <w:sz w:val="18"/>
          <w:szCs w:val="18"/>
          <w:color w:val="auto"/>
        </w:rPr>
        <w:t>Certain of our carbon black supply arrangements contain provisions that adjust prices to account for changes in relevant feedstock and natural gas price indices. We also atempt to ofset the efects of increases in raw material and energy costs through price increases in our non-contract sales, productvity improvements and cost reducton eforts. Success in ofsetng increased raw material and energy costs with price increases is largely infuenced by compettve and economic conditons and could vary signifcantly depending on the segment served. Such increases may not be accepted by our customers, may not be sufcient to compensate for increased raw material and energy costs or may decrease demand for our products and our volume of sales. If we are not able to fully ofset the efects of increased raw material or energy costs, it could have a signifcant impact on our fnancial results. Rapid declines in energy prices and raw material costs can also negatvely impact our fnancial results, as such changes can negatvely afect the revenues we receive from our energy centers and yield improvement investments, and may negatvely impact our contract pricing adjustments. In additon, we use a variety of feedstock indices in our supply arrangements to adjust our prices for changes in raw materials costs. Depending on feedstock markets and our choice of feedstocks, the indices we use in our supply arrangements may not precisely track our actual costs. This could result in an incongruity between our pricing adjustments and changes in our actual feedstock costs, which can afect our net working capital and our margins. Further, the tming of the implementaton of any of these pricing adjustments may not precisely track our actual costs as refected in our fnancial statements.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obtain certain of our raw materials from selected key suppliers and certain joint venture partners. If any supplier of raw materials ceases supplying raw materials to us or is unable to meet its obligatons under supply agreements with us on a tmely basis or at an acceptable price, or at all, we may be forced to incur higher costs to obtain the necessary raw materials elsewhere.</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7" w:name="page18"/>
    <w:bookmarkEnd w:id="17"/>
    <w:p>
      <w:pPr>
        <w:ind w:right="80" w:firstLine="509"/>
        <w:spacing w:after="0" w:line="235" w:lineRule="auto"/>
        <w:rPr>
          <w:sz w:val="20"/>
          <w:szCs w:val="20"/>
          <w:color w:val="auto"/>
        </w:rPr>
      </w:pPr>
      <w:r>
        <w:rPr>
          <w:rFonts w:ascii="Calibri" w:cs="Calibri" w:eastAsia="Calibri" w:hAnsi="Calibri"/>
          <w:sz w:val="18"/>
          <w:szCs w:val="18"/>
          <w:color w:val="auto"/>
        </w:rPr>
        <w:t>In additon, our manufacturing processes require water in their operatons. If climate change, manufacturing, and trends in digitzaton and electricity demands create a mismatch between water supply and demand that makes water less available for our operatons, there is a risk that our operatons may be curtailed, partcularly in situatons where water for human use needs to be prioritzed over other uses, such as manufacturing operatons. These costs could increase in the future in the event of water shortages.</w:t>
      </w:r>
    </w:p>
    <w:p>
      <w:pPr>
        <w:spacing w:after="0" w:line="84"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color w:val="auto"/>
        </w:rPr>
        <w:t>A signifcant adverse change in a customer or joint venture relatonship or the failure of a customer or joint venture partner to perform its obligatons under agreements with us could harm our business or cash fows.</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success in strengthening relatonships and growing business with our largest customers and retaining their business over extended tme periods is important to our future results. We have a group of key customers across our businesses that together represent a signifcant porton of our total net sales and operatng revenues. The loss of any of our important customers, or a signifcant reducton in volumes sold to them, could adversely afect our results of operatons untl such business is replaced or any temporary disrupton ends. Further, in our Reinforcement Materials segment we enter into supply arrangements with a number of key customers that typically have a duraton of one year, which account for approximately two-thirds of our total reinforcing carbons volumes. Our success in negotatng the price and volume terms under these arrangements could have a material efect on our results. In additon, a number of our operatons are conducted through joint venture arrangements that operate pursuant to long-term contracts, including for the supply of raw materials and the provision of other services for the joint venture operatons. Any dispute as to the terms of these contractual arrangements or deterioraton in the relatonship between us and our joint venture partner could disrupt the operatons of the joint venture, which could afect our fnancial results and harm our reputaton. In additon, any deterioraton in the fnancial conditon of any of our customers that impairs our customers’ ability to make payments to us also could increase our uncollectble receivables and could afect our future results and fnancial conditon.</w:t>
      </w:r>
    </w:p>
    <w:p>
      <w:pPr>
        <w:spacing w:after="0" w:line="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We are exposed to politcal or country risk inherent in doing business in some countries, including China.</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Sales outside of the U.S. consttuted the majority of our revenues in fscal 2024. We conduct business in several countries, including China, that have less stable legal systems and fnancial markets, and potentally more corrupt, or less predictable, business environments than the U.S. As set forth in Note V to our Consolidated Financial Statements, sales in China consttuted approximately 25% of our revenues in fscal 2024 and our property, plant and equipment located in China consttuted approximately 25% of our total property, plant and equipment as of September 30, 2024. Our operatons outside of the U.S., including in China, expose us to risks related to uncertain enforcement of laws by foreign governments as well as risks that foreign governmental enttes will change applicable rules and regulatons with minimal advance notce. These risks could result in a material change in our operatons, which could negatvely impact the value of our securites. Additonally, our operatons in some countries, including China, are subject to the following risks: changes in the rate of economic growth; unsetled politcal or economic conditons; non-renewal of operatng permits or licenses; possible expropriaton or other governmental actons; corrupton by government ofcials and other third partes; social unrest, war, terrorist actvites or other armed confict; confscatory taxaton or other adverse tax policies; deprivaton of contract rights; trade regulatons afectng producton, pricing and marketng of products; reduced protecton of intellectual property rights; restrictons or additonal costs associated with repatriatng cash; exchange controls; infaton; currency fuctuatons and devaluaton; politcal tension that could result in sanctons being imposed against our customers or suppliers in countries where sanctons have not been imposed in the past; the efect of global health, safety and environmental maters on economic conditons and market opportunites; and changes in fnancial policy and availability of credit.</w:t>
      </w:r>
    </w:p>
    <w:p>
      <w:pPr>
        <w:spacing w:after="0" w:line="9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For example, the Chinese government has, from tme to tme, curtailed manufacturing operatons, with litle or no notce, in industrial regions out of concerns over air quality. The tming and length of these curtailments has been difcult to predict and, at tmes, were applied to manufacturing operatons without regard to whether the operatons being curtailed comply with environmental regulatons in the area. Accordingly, our manufacturing operatons in China have been subject to these curtailments in the past and may be subject to them in the future. These events could negatvely impact our results of operatons and cash fows both during and afer the period of any government-imposed curtailment afectng our operatons. Further, any such curtailments on the operatons at our customers’ facilites could reduce demand for our products and our volumes.</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i w:val="1"/>
          <w:iCs w:val="1"/>
          <w:color w:val="auto"/>
        </w:rPr>
        <w:t>Operatonal Risks</w:t>
      </w:r>
    </w:p>
    <w:p>
      <w:pPr>
        <w:spacing w:after="0" w:line="8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color w:val="auto"/>
        </w:rPr>
        <w:t>As a chemical manufacturing company, our operatons are subject to operatonal risks and have the potental to cause environmental or other damage as well as personal injury, or disrupt our ability to supply our customers, any of which could adversely afect our business, results of operatons and cash fows.</w:t>
      </w:r>
    </w:p>
    <w:p>
      <w:pPr>
        <w:spacing w:after="0" w:line="12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operaton of a chemical manufacturing business as well as the sale and distributon of chemical products are subject to operatonal as well as safety, health and environmental risks. For example, the producton and/or processing of carbon black, specialty compounds, fumed metal oxides, aerogel, carbon nanotubes and other chemicals involve the handling, transportaton, manufacture or use of certain substances or components that may be considered dangerous, toxic or hazardous. While we take precautons to handle and transport these materials in a safe manner, if they are mishandled or released into the environment, they could cause property damage or result in personal injury claims against us.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manufacturing processes and the transportaton of our chemical products and/or the raw materials used to manufacture our products are subject to risks inherent in chemical manufacturing, including leaks, fres, explosions, toxic releases, severe weather, mechanical failures or unscheduled downtme. In additon, the occurrence of material operatng problems at our facilites, partcularly at a facility that is the sole source of a partcular product we manufacture, or a disrupton in our supply chain or distributon operatons may result in loss of producton, which, in turn, may make it difcult for us to meet customer needs. For example, in recent years we have experienced unplanned plant outages at our plants in Franklin, Louisiana and Altamira, Mexico that caused a period of reduced volumes and earnings and increased our fxed costs. Other disruptons in supply chains and distributon channels, including those caused by global or regional logistcs delays and constraints, such as rail or other transportaton interruptons, could disrupt our business operatons. These events and their consequences could negatvely impact our results of operatons and cash fows, both during and afer the period of operatonal difcultes, and could harm our reputaton.</w:t>
      </w:r>
    </w:p>
    <w:p>
      <w:pPr>
        <w:spacing w:after="0" w:line="8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color w:val="auto"/>
        </w:rPr>
        <w:t>An interrupton in our operatons as a result of fence-line arrangements or a joint venture partner's actons could disrupt our manufacturing operatons and adversely afect our fnancial results.</w:t>
      </w:r>
    </w:p>
    <w:p>
      <w:pPr>
        <w:spacing w:after="0" w:line="83" w:lineRule="exact"/>
        <w:rPr>
          <w:sz w:val="20"/>
          <w:szCs w:val="20"/>
          <w:color w:val="auto"/>
        </w:rPr>
      </w:pPr>
    </w:p>
    <w:p>
      <w:pPr>
        <w:ind w:right="60" w:firstLine="509"/>
        <w:spacing w:after="0" w:line="250" w:lineRule="auto"/>
        <w:rPr>
          <w:sz w:val="20"/>
          <w:szCs w:val="20"/>
          <w:color w:val="auto"/>
        </w:rPr>
      </w:pPr>
      <w:r>
        <w:rPr>
          <w:rFonts w:ascii="Calibri" w:cs="Calibri" w:eastAsia="Calibri" w:hAnsi="Calibri"/>
          <w:sz w:val="17"/>
          <w:szCs w:val="17"/>
          <w:color w:val="auto"/>
        </w:rPr>
        <w:t>At certain of our fumed metal oxides facilites, we have fence-line arrangements (many of which are closed-loop) with adjacent third-party manufacturing operatons (“fence-line partners”), who provide raw materials for our manufacturing operatons and/or take by-products generated from our operatons. Accordingly, any disruptons or curtailments in a fence-line partner’s producton facilites that impacts their ability to supply us with raw materials or to take our manufacturing by-products could disrupt our manufacturing operatons or cause us to incur increased operatng costs to mitgate such disrupton. We have experienced disruptons in the supply of raw materials from certain of our fence-line partners in recent years, which have caused us to curtail our operatons or incur higher operatng costs. In additon, we operate certain of our carbon black facilites through joint venture arrangements, pursuant to which our joint venture partners provide feedstock and/or take by-products generated from our operatons. A dispute with a joint venture partner concerning the terms of those arrangements could impact our joint venture operatons and could decrease our income from such operatons. For example, we are currently in arbitraton following an on-going dispute with our joint venture partner in the Czech Republic, which has, and contnues to, negatvely impact those operatons and reduce our income from those joint venture operatons. Further, signifcant events at neighboring industrial facilites, such as environmental releases, could also disrupt our operatons and result in negatve publicity about us and harm our reputaton.</w:t>
      </w:r>
    </w:p>
    <w:p>
      <w:pPr>
        <w:spacing w:after="0" w:line="79"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color w:val="auto"/>
        </w:rPr>
        <w:t>Our products are subject to extensive safety, health and environmental requirements, which could impair our ability to manufacture and sell certain products.</w:t>
      </w:r>
    </w:p>
    <w:p>
      <w:pPr>
        <w:spacing w:after="0" w:line="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order to secure and maintain the right to produce or sell our products, we must satsfy product related registraton and other regulatory requirements in diferent jurisdictons. Obtaining and maintaining these approvals requires a signifcant amount of product testng and data, and there is no certainty these approvals will be obtained.</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ind w:firstLine="509"/>
        <w:spacing w:after="0" w:line="235" w:lineRule="auto"/>
        <w:rPr>
          <w:sz w:val="20"/>
          <w:szCs w:val="20"/>
          <w:color w:val="auto"/>
        </w:rPr>
      </w:pPr>
      <w:r>
        <w:rPr>
          <w:rFonts w:ascii="Calibri" w:cs="Calibri" w:eastAsia="Calibri" w:hAnsi="Calibri"/>
          <w:sz w:val="18"/>
          <w:szCs w:val="18"/>
          <w:color w:val="auto"/>
        </w:rPr>
        <w:t>Certain natonal and internatonal health organizatons have classifed carbon black as a possible or suspected human carcinogen. To the extent that, in the future, (i) these organizatons re-classify carbon black as a known or confrmed carcinogen, (ii) other organizatons or government authorites in other jurisdictons classify carbon black or any of our other fnished products, raw materials or intermediates as suspected or known carcinogens or otherwise hazardous, or (iii) there is discovery of adverse health efects atributable to producton or use of carbon black or any of our other fnished products, raw materials or intermediates, we could be required to incur signifcantly higher costs to comply with environmental, health and safety laws, or to comply with restrictons on sales of our products, be subject to legal claims, and our reputaton and business could be adversely afected. Further, a subset of mult-walled carbon nanotubes that includes a carbon nanotube grade we currently manufacture have been classifed as carcinogen category 1B and specifc target organ toxicant (lung) afer repeated exposure category 1 under European Union regulatons. Although our carbon nanotubes are bound in a matrix or contained within conductve materials, exposure to carbon nanotubes could occur in the workplace. We could be required to incur additonal costs to comply with requirements for the safe manufacturing and handling of these materials and we could be subject to legal claims associated with our products. In additon, chemicals that are currently classifed as non-hazardous may be reclassifed as hazardous in the future, and our products may have characteristcs that are not recognized today but may be found in the future to impair human health or to be carcinogenic.</w:t>
      </w:r>
    </w:p>
    <w:p>
      <w:pPr>
        <w:spacing w:after="0" w:line="91"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b w:val="1"/>
          <w:bCs w:val="1"/>
          <w:color w:val="auto"/>
        </w:rPr>
        <w:t>Informaton technology systems failures, data security breaches, cybersecurity atacks or network disruptons have harmed us in the past and could compromise our informaton, disrupt our operatons and expose us to liability, which may adversely impact our operatons.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rely on informaton technology, some of which is managed by third partes, to manage the day-to-day operatons and actvites of our business, operate elements of our manufacturing facilites, manage our customer and vendor transactons, and maintain our fnancial, accountng and business records. In additon, we collect and store certain data, including proprietary business informaton, and may have access to confdental or personal informaton that is subject to privacy and security laws and regulatons.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secure processing, maintenance and transmission of this data is critcal to our operatons and business strategy. Informaton technology systems failures, including those associated with our managed service provider or related to maintaining or upgrading our systems or integratng informaton technology and other systems in connecton with the integraton of businesses we acquire, or network disruptons could disrupt our operatons by impeding our processing of transactons and our fnancial reportng, and our operatons, including by contributng to a process safety event, any of which could have a material adverse efect on our business or results of operatons. In the past, our networks have been subject to an atack, potentally by suspected foreign naton-state atackers, who conducted reconnaissance and deployed malware. While our systems were able to isolate and expel the atacker before material harm was caused, criminals, rogue insiders, naton-state, and other atackers may contnue to atack our network, and our defenses may be unable to succeed in detectng their actons or stop them from infictng potentally material harms including by thef, destructon, misuse, or corrupton of our data or systems or those of other enttes whose systems may interconnect with ours.</w:t>
      </w:r>
    </w:p>
    <w:p>
      <w:pPr>
        <w:spacing w:after="0" w:line="89" w:lineRule="exact"/>
        <w:rPr>
          <w:sz w:val="20"/>
          <w:szCs w:val="20"/>
          <w:color w:val="auto"/>
        </w:rPr>
      </w:pPr>
    </w:p>
    <w:p>
      <w:pPr>
        <w:ind w:right="60" w:firstLine="509"/>
        <w:spacing w:after="0" w:line="250" w:lineRule="auto"/>
        <w:rPr>
          <w:sz w:val="20"/>
          <w:szCs w:val="20"/>
          <w:color w:val="auto"/>
        </w:rPr>
      </w:pPr>
      <w:r>
        <w:rPr>
          <w:rFonts w:ascii="Calibri" w:cs="Calibri" w:eastAsia="Calibri" w:hAnsi="Calibri"/>
          <w:sz w:val="17"/>
          <w:szCs w:val="17"/>
          <w:color w:val="auto"/>
        </w:rPr>
        <w:t>In additon, our informaton technology systems could be compromised by outside partes intent on extractng informaton, corruptng informaton or disruptng business processes. Despite our security design and controls, and those of our third-party providers, we may be vulnerable to cyber-atacks, computer viruses, security breaches, inadvertent or intentonal employee actons, system failures and other risks that could potentally lead to the compromising of sensitve, confdental or personal data, improper use of our, or our third-party provider systems, solutons or networks, unauthorized access, use, disclosure, modifcaton or destructon of informaton, or operatonal disruptons. We face increased informaton technology security and fraud risks due to our increased reliance on working remotely, which may create additonal informaton security vulnerabilites and/or magnify the impact of any disrupton in informaton technology systems. Additonally, as we increase our use of artfcial intelligence tools into our operatons, the risk of unauthorized access to our data and of making compliance errors or erroneous decisions based on our reliance on the AI tool will increase. We have in the past and may in the future be exposed to unauthorized access to our informaton technology systems through undetected vulnerabilites in our or our service providers’ informaton systems or sofware. With the evolving nature of cybersecurity threats, the scope and impact of any informaton security incident cannot be predicted. In additon, more than a dozen states in the United States have also passed comprehensive data protecton legislaton, and the global regulatory environment pertaining to informaton security and privacy is increasingly demanding, with new and changing requirements, such as the European Union’s General Data Protecton Regulaton, The Personal Informaton Protecton Law of the People’s Republic of China, and Brazil’s Lei Geral de Protecao de Dados. Complying with these laws and regulatons may be more costly or take longer than we antcipate, and any failure to comply could result in fnes or penaltes.</w:t>
      </w:r>
    </w:p>
    <w:p>
      <w:pPr>
        <w:spacing w:after="0" w:line="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Breaches of our security measures, cyber incidents and disruptons, the thef or accidental loss, inadvertent disclosure, or unapproved disseminaton of proprietary informaton or sensitve or confdental informaton about the Company, our employees, our vendors, or our customers, or failure to comply with laws and regulatons related to informaton security or privacy, could harm our compettve positon, reduce the value of our investment in research and development and other strategic initatves or result in</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0" w:name="page21"/>
    <w:bookmarkEnd w:id="20"/>
    <w:p>
      <w:pPr>
        <w:ind w:right="200"/>
        <w:spacing w:after="0" w:line="235" w:lineRule="auto"/>
        <w:rPr>
          <w:sz w:val="20"/>
          <w:szCs w:val="20"/>
          <w:color w:val="auto"/>
        </w:rPr>
      </w:pPr>
      <w:r>
        <w:rPr>
          <w:rFonts w:ascii="Calibri" w:cs="Calibri" w:eastAsia="Calibri" w:hAnsi="Calibri"/>
          <w:sz w:val="18"/>
          <w:szCs w:val="18"/>
          <w:color w:val="auto"/>
        </w:rPr>
        <w:t>legal claims or proceedings against us by governmental enttes or individuals, signifcant fnes, penaltes and judgments, disrupton of our operatons, remediaton requirements, changes to our business practces, and damage to our reputaton, and could otherwise harm our business and our results of operatons. The devoton of additonal resources to the security of our informaton technology systems in the future could signifcantly increase the cost of doing business or otherwise adversely impact our fnancial results.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Natural disasters and severe weather events could afect our operatons and fnancial results.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operate facilites in areas of the world that are exposed to natural hazards, such as foods, windstorms, hurricanes, droughts and earthquakes. Extreme weather events and changing weather paterns present physical risks on existng infrastructure that may become more frequent or more severe as a result of factors related to climate change, including in areas that have not historically been exposed to natural hazards. Such events could disrupt our supply of raw materials or otherwise afect producton, transportaton and delivery of our products or afect demand for our products and otherwise harm our business and our results of operatons, potentally in material ways that may exceed available insurance coverage in the partcular circumstances. In additon, certain of our facilites are located in areas that have, in recent years, experienced extreme heat conditons. Our operatons at those facilites may be disrupted if extreme heat conditons create an unsafe work environment or be subject to additonal safe workplace requirements that could increase their operatng costs.</w:t>
      </w:r>
    </w:p>
    <w:p>
      <w:pPr>
        <w:spacing w:after="0" w:line="88"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We have experienced recent disruptons of the type described above. For example, the severe fooding that occurred in Western Europe in July 2021 caused signifcant damage to our specialty compounds plant in Pepinster, Belgium. That disrupton resulted in a near-term reducton in earnings from lower volumes and certain increases in our operatng costs. We also experienced severe weather events in fscal 2024 that negatvely impacted the results of our Reinforcement Materials segment. Specifcally, drought conditons in Mexico afected our operatons and fooding conditons in Brazil afected our customers.</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Financial and Other Risks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Negatve or uncertain worldwide or regional economic conditons or trade relatons may adversely impact our business.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operatons and performance are afected by worldwide and regional economic conditons. Uncertainty or a deterioraton in the economic conditons afectng the businesses to which, or geographic areas in which, we sell products could reduce demand for our products, while infatonary pressures may increase our costs. We may also experience pricing pressure on products and services, or be unsuccessful in passing along to our customers an increase in our raw materials costs or energy prices, which could decrease our revenues and have an adverse efect on our fnancial conditon and cash fows. In additon, during periods of economic uncertainty, our customers may temporarily pursue inventory reducton (“destocking”) measures that exceed declines in the actual underlying demand. Given our positon in the value chains for our principal products, we typically experience greater destocking impacts in our results of operatons early in a recessionary cycle.</w:t>
      </w:r>
    </w:p>
    <w:p>
      <w:pPr>
        <w:spacing w:after="0" w:line="87"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Our operatons in the EU are material to our business and important to our customers. If the compettveness of chemical manufacturing in the EU contnues to deteriorate in light of factors such as increased environmental compliance costs, inconsistent economic policies and rigid labor practces, our customers may have difculty maintaining the compettveness of their operatons in this region or lose meaningful market share to lower cost imports from other regions, partcularly Asia. For example, a shif in tre producton from a higher cost region (such as the EU) to a lower cost region (such as Asia) could increase the export of tres made in Asia for sales into Europe and could result in a reducton in tre producton in the EU and reduce our proftability.</w:t>
      </w:r>
    </w:p>
    <w:p>
      <w:pPr>
        <w:spacing w:after="0" w:line="7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additon, changes in, or tensions relatng to, U.S. trade relatons with countries where we do business may adversely impact our business. For example, tensions in the U.S.-China trade relatonship have led to an increased risk of sanctons being imposed against our suppliers and customers in China which, if imposed, could restrict our ability to do business with such companies. In additon, we may encounter unexpected operatng difcultes in China, more restrictve investment opportunites in China, greater difculty transferring funds, more restrictve travel in and out of China, or negatve currency impacts. Further, trade tarifs imposed by the U.S. on imports from China could increase the cost of our capital projects or have a negatve impact on our customers and reduce demand for our products. In additon, escalatng tensions in the U.S.-China trade relatonship and/or actual or potental additonal restrictve policies by either country could require us to duplicate the technology or other resources and capabilites we have in China, in a geography outside China, thereby increasing our costs.</w:t>
      </w:r>
    </w:p>
    <w:p>
      <w:pPr>
        <w:spacing w:after="0" w:line="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Litgaton or legal proceedings could expose us to signifcant liabilites and thus negatvely afect our fnancial results.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more fully described in Note T in Item 8 below under the heading “Contngencies”, we are a party to or the subject of lawsuits, claims, and proceedings, including, but not limited to, those involving environmental, and health and safety maters as well as product liability and personal injury claims relatng to asbestosis, silicosis, and coal worker’s pneumoconiosis. We are also a potentally responsible party in various environmental proceedings and remediaton maters wherein substantal amounts are at issue. Adverse rulings, judgments or setlements in pending or future litgaton (including liabilites associated with respirator claims) or in connecton with environmental remediaton actvites could adversely afect our fnancial results or cause our results to difer materially from those expressed or forecasted in any forward-looking statements.</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 w:name="page22"/>
    <w:bookmarkEnd w:id="21"/>
    <w:p>
      <w:pPr>
        <w:ind w:right="240"/>
        <w:spacing w:after="0" w:line="235" w:lineRule="auto"/>
        <w:rPr>
          <w:sz w:val="20"/>
          <w:szCs w:val="20"/>
          <w:color w:val="auto"/>
        </w:rPr>
      </w:pPr>
      <w:r>
        <w:rPr>
          <w:rFonts w:ascii="Calibri" w:cs="Calibri" w:eastAsia="Calibri" w:hAnsi="Calibri"/>
          <w:sz w:val="18"/>
          <w:szCs w:val="18"/>
          <w:b w:val="1"/>
          <w:bCs w:val="1"/>
          <w:color w:val="auto"/>
        </w:rPr>
        <w:t>Our tax rate and other tax obligatons are dependent upon a number of factors, a change in any of which could impact our future tax rates and fnancial results.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future tax rates may be adversely afected by a number of factors, including: changes in the jurisdictons in which our profts are determined to be earned and taxed; changes in the estmated realizaton of our net deferred tax assets; the repatriaton of non-U.S. earnings for which we have not previously accrued for non-U.S. withholding taxes; adjustments to estmated taxes upon fnalizaton of various tax returns; increases in expenses that are not deductble for tax purposes; changes in available tax credits; the resoluton of issues arising from tax audits with various tax authorites; and changes in tax laws including Pillar Two legislaton adopted as part of the OECD Inclusion Framework, which established a global minimum corporate tax rate of 15% for certain multnatonal enterprises, or the interpretaton of such tax laws. In additon, losses for which no tax benefts can be recorded could materially impact our tax rate and its volatlity from one quarter to another.</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Fluctuatons in foreign currency exchange and interest rates afect our fnancial results.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earn revenues, pay expenses, own assets and incur liabilites in countries using currencies other than the U.S. dollar. In fscal 2024, we derived a majority of our revenues from sales outside the U.S. Because our consolidated fnancial statements are presented in U.S. dollars, we must translate revenues and expenses, as well as assets and liabilites, into U.S. dollars at exchange rates in efect during or at the end of each reportng period. Therefore, increases or decreases in the value of the U.S. dollar against other currencies in countries where we operate will afect our results of operatons and the value of balance sheet items denominated in foreign currencies. For example, in both fscal 2023 and 2024, we recorded foreign exchange losses related to the remeasurement of our net monetary assets denominated in Argentne pesos, as the ofcial Argentne exchange rate weakened compared to the U.S. dollar throughout the year. In additon, we may have foreign currency losses from government-controlled currency devaluatons, such as the foreign currency losses we recorded in both fscal 2023 and 2024 related to the impact of the sharp devaluaton of the Argentne peso that was guided by the Argentne central bank. Due to the geographic diversity of our operatons, weaknesses in some currencies might be ofset by strengths in others over tme. In additon, we are exposed to adverse changes in interest rates. We use a combinaton of commercial paper and borrowings under our Credit Agreements to meet our short-term cash needs, with borrowings intra-quarter that may be higher than at quarter-end. As this debt is at variable interest rates, changes in interest rates can impact our borrowing costs. We manage both these risks through normal operatng and fnancing actvites and, when deemed appropriate, through the use of derivatve instruments as well as foreign currency debt. We cannot be certain, however, that we will be successful in reducing the risks inherent in exposures to foreign currency and interest rate fuctuatons.</w:t>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12529"/>
        </w:rPr>
        <w:t>Any future outbreak of a widespread health epidemic could materially and adversely impact our business in the future.</w:t>
      </w:r>
    </w:p>
    <w:p>
      <w:pPr>
        <w:spacing w:after="0" w:line="82" w:lineRule="exact"/>
        <w:rPr>
          <w:sz w:val="20"/>
          <w:szCs w:val="20"/>
          <w:color w:val="auto"/>
        </w:rPr>
      </w:pPr>
    </w:p>
    <w:p>
      <w:pPr>
        <w:ind w:firstLine="499"/>
        <w:spacing w:after="0" w:line="235" w:lineRule="auto"/>
        <w:rPr>
          <w:sz w:val="20"/>
          <w:szCs w:val="20"/>
          <w:color w:val="auto"/>
        </w:rPr>
      </w:pPr>
      <w:r>
        <w:rPr>
          <w:rFonts w:ascii="Calibri" w:cs="Calibri" w:eastAsia="Calibri" w:hAnsi="Calibri"/>
          <w:sz w:val="18"/>
          <w:szCs w:val="18"/>
          <w:color w:val="auto"/>
        </w:rPr>
        <w:t>Our global operatons expose us to risks associated with public health crises and outbreaks of epidemics, pandemics, or contagious diseases could have a serious adverse impact on the economy and on our business, results of operatons and cash fows. Specifcally, a pandemic or future global health crisis may disrupt operatons at our customers and reduce demand for our products, require or cause us to cease operatons or idle producton lines at our facilites, could materially afect our ability to adequately staf and maintain our operatons, and could disrupt our supply chain and materially and adversely impact our ability to secure supplies for our facilites. A pandemic could also contribute to increased costs and decreased availability of labor and materials for constructon projects, which could increase the costs of our capital improvement projects and delay our completon of such projects.</w:t>
      </w:r>
    </w:p>
    <w:p>
      <w:pPr>
        <w:spacing w:after="0" w:line="86"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color w:val="auto"/>
        </w:rPr>
        <w:t>We have entered into a number of derivatve contracts with fnancial counterpartes. The efectveness of these contracts is dependent on the ability of these fnancial counterpartes to perform their obligatons, and their nonperformance could harm our fnancial conditon.</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entered into forward foreign currency contracts and cross-currency swaps as part of our fnancial risk management strategy. The efectveness of our risk management program using these instruments is dependent, in part, upon the counterpartes to these contracts honoring their fnancial obligatons. If any of our counterpartes are unable to perform their obligatons in the future, we could be exposed to increased earnings and cash fow volatlity due to an instrument’s failure to hedge or adequately address a fnancial risk.</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b w:val="1"/>
          <w:bCs w:val="1"/>
          <w:i w:val="1"/>
          <w:iCs w:val="1"/>
          <w:color w:val="auto"/>
        </w:rPr>
        <w:t>Technology Risks</w:t>
      </w:r>
    </w:p>
    <w:p>
      <w:pPr>
        <w:spacing w:after="0" w:line="8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color w:val="auto"/>
        </w:rPr>
        <w:t>We may not be successful achieving our growth expectatons from new products, new applicatons and technology developments, and money we spend on these eforts may not result in an increase in revenues or profts commensurate with our investment.</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may not be successful in achieving our growth expectatons from developing new products or product applicatons. Moreover, we cannot be certain that the costs we incur investng in new product and technology development will result in an increase in revenues or profts commensurate with our investment or within the tme period we expect. For example, our investments to further develop our E2C® solutons, inkjet dispersions and inks, and batery materials applicatons may not result in the earnings growth expectatons on which these investments are being made. Further, we atempt to pace our strategic investments, including those we are making to develop our batery materials business in Europe and the U.S. to meet market expectatons for the growth in demand for electric vehicles, but, as has been the case with the transiton to electric vehicles, market demand for and acceptance of new products may not develop as we expect and we may not realize growth in line with our expectatons at the tme we made such investments. Similarly, we cannot be certain that the investments we are making in our EVOLVE® Sustainable Solutons technology platorm to develop products for our customers using sustainable reinforcing carbons from renewable or recycled materials or using processes that result in lower GHG emissions will be successful, including within the tme period our customers expect. In additon, the tmely commercializaton of products that we are developing may be disrupted or delayed by manufacturing or other technical difcultes, market acceptance or insufcient market size to support a new product, compettors’ new products launched in advance of our own, and difcultes in moving from the experimental stage to the producton stage. These disruptons or delays could afect our future business results.</w:t>
      </w:r>
    </w:p>
    <w:p>
      <w:pPr>
        <w:spacing w:after="0" w:line="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The contnued protecton of our patents, trade secrets and other proprietary intellectual property rights is important to our success.</w:t>
      </w:r>
    </w:p>
    <w:p>
      <w:pPr>
        <w:spacing w:after="0" w:line="82"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Our patents, trade secrets and other intellectual property rights are important to our success and compettve positon. We own various patents and other intellectual property rights in the U.S. and other countries covering many of our products, as well as processes and product uses. Where we believe patent protecton is not appropriate or obtainable, we rely on trade secret laws and practces to protect our proprietary technology and processes, such as physical security, limited disseminaton and access and confdentality agreements with our employees, customers, consultants, business partners, potental licensees and others to protect our trade secrets and other proprietary informaton. However, trade secrets can be difcult to protect and the protectve measures we have put in place may not prevent disclosure or unauthorized use of our proprietary informaton or provide an adequate remedy in the event of misappropriaton or other violatons of our proprietary rights. In additon, we are a licensee of various patents and intellectual property rights belonging to others in the U.S. and other countries. Because the laws and enforcement mechanisms of some countries may not allow us to protect our proprietary rights to the same extent as we are able to do in the U.S., the strength of our intellectual property rights will vary from country to country.</w:t>
      </w:r>
    </w:p>
    <w:p>
      <w:pPr>
        <w:spacing w:after="0" w:line="8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Irrespectve of our proprietary intellectual property rights, we may be subject to claims that our products, processes or product uses infringe the intellectual property rights of others. These claims, even if they are without merit, could be expensive and tme consuming to defend and if we were to lose such claims, we could be enjoined from selling our products or using our processes and/or be subject to damages, or be required to enter into licensing agreements requiring royalty payments and/or use restrictons. Licensing agreements may not be available to us, or if available, may not be available on acceptable terms.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Portolio Management, Capacity Expansion and Integraton Risks</w:t>
      </w:r>
    </w:p>
    <w:p>
      <w:pPr>
        <w:spacing w:after="0" w:line="82"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color w:val="auto"/>
        </w:rPr>
        <w:t>Any failure to realize benefts from acquisitons, alliances or joint ventures or to achieve our portolio management objectves could adversely afect future fnancial results.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achieving our strategic plan objectves, we may pursue acquisitons, alliances or joint ventures intended to complement or expand our existng businesses globally or add product technology, or both. The success of acquisitons of businesses, new technologies and products, or arrangements with third partes is not always predictable and we may not be successful in realizing our objectves as antcipated. We may not be able to integrate any acquired businesses successfully into our existng businesses, make such businesses proftable, or realize antcipated cost savings or synergies, if any, from these acquisitons, which could adversely afect our business results. In additon to strategic acquisitons, we evaluate our portolio in light of our objectves and alignment with our growth strategy. In implementng this strategy, we may not be successful in separatng non-strategic assets. The gains or losses on the divestture of, or lost operatng income from, such assets may afect our earnings. Moreover, we have in the past, and may again in the future, incur asset impairment charges related to acquisitons or divesttures that reduce earnings.</w:t>
      </w:r>
    </w:p>
    <w:p>
      <w:pPr>
        <w:spacing w:after="0" w:line="21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color w:val="auto"/>
        </w:rPr>
        <w:t>Plant capacity expansions and site development projects may impact existng plant operatons, be delayed and/or not achieve the expected benefts.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ability to complete capacity expansions and site development projects as planned may be delayed or interrupted by the need to obtain environmental and other regulatory approvals, unexpected cost increases, availability of labor and materials, unforeseen hazards such as weather conditons, and other risks customarily associated with constructon projects. These risks include the risk that existng plant operatons are disrupted as well as the risk associated with delays in the start-up of operatons using new technologies, which disruptons could make it difcult for us to meet our customer needs. Moreover, in the case of capacity expansions, the cost of these actvites could have a negatve impact on the fnancial performance of the relevant business untl capacity utlizaton at the partcular facility is sufcient to absorb the incremental costs associated with expansion. In additon, our ability to expand capacity in emerging regions depends in part on economic and politcal conditons in these regions and, in some cases, on our ability to establish operatons, construct additonal manufacturing capacity or form strategic business alliances.</w:t>
      </w:r>
    </w:p>
    <w:p>
      <w:pPr>
        <w:spacing w:after="0" w:line="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1B. </w:t>
      </w:r>
      <w:r>
        <w:rPr>
          <w:rFonts w:ascii="Calibri" w:cs="Calibri" w:eastAsia="Calibri" w:hAnsi="Calibri"/>
          <w:sz w:val="18"/>
          <w:szCs w:val="18"/>
          <w:b w:val="1"/>
          <w:bCs w:val="1"/>
          <w:i w:val="1"/>
          <w:iCs w:val="1"/>
          <w:color w:val="auto"/>
        </w:rPr>
        <w:t>Unresolved Staf Comments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 Management and Strategy</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noted in Part I, Item IA, Risk Factors, Cabot recognizes that the threat of cybersecurity breaches may create signifcant risks for the Company. Accordingly, we have taken measures to protect Company data and the contnuing operaton of our informaton technology and communicatons systems. Our cybersecurity program includes informaton technology (“IT”) policies and standards and an IT risk management program. Our cybersecurity risk management program leverages standards established by the Natonal Insttute of Standards and Technology (“NIST”) Cybersecurity Framework, which provides guidance to organizatons on how to identfy, prevent, detect, respond and recover from cybersecurity threats.</w:t>
      </w:r>
    </w:p>
    <w:p>
      <w:pPr>
        <w:spacing w:after="0" w:line="22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Further, cybersecurity risk is integrated into our enterprise risk management (“ERM”) approach and is among the core enterprise risks that are subject to oversight by the Board, as described below, actng through the Audit Commitee. We use several tools and controls designed to manage IT risk, including, but not limited to, controls for the management of privileged access, ant-malware tools, simulated email phishing atacks, and other email security tools intended to detect and prevent intrusions as well as monitor risks. Cabot employees have access to formal IT policies that defne and clarify expected behaviors with respect to IT resources in various areas. We have a Cyber Incident Response Plan, which establishes procedures to prepare for and respond to a variety of cyber incidents, and engage in response planning, simulatons, trainings, tabletop exercises, and other eforts to prepare for any incidents should they occur.</w:t>
      </w:r>
    </w:p>
    <w:p>
      <w:pPr>
        <w:spacing w:after="0" w:line="222"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periodically engage assessors, consultants, auditors and other third partes to assess our cybersecurity programs, including informaton security maturity assessments, audits and independent reviews of our informaton security control environment and operatng efectveness. These assessments provide insight for areas of future improvement in risk mitgaton and further program development. In additon, we rely on third partes for various business functons and oversee such third-party service providers by conductng vendor diligence upon onboarding as well as ongoing monitoring.</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Governance and Oversight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Management Oversight in Cybersecurity Governance</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Cabot’s Cyber Risk Steering Commitee is responsible for review and oversight of the Company’s cybersecurity programs and risk assessment as well as the strategic directon of the program to address evolving risks. Bart Kalkstein, an Executve Vice President of Cabot and a member of Cabot’s Management Executve Commitee, is a member of the Steering Commitee and has executve responsibility for Digital maters. He is supported by our Chief Digital Informaton Ofcer (the “CDIO”) and our Senior Director of Digital Security (the “SDDS”). The SDDS is the member of the Company’s management principally responsible for overseeing the Company’s cybersecurity risk management programs in partnership with business and functonal leaders across the Company as well as a managed security service provider that provides threat intelligence, global infrastructure monitoring and threat detecton and response to cyber events. The SDDS has held various positons within Cabot’s IT department over her approximately 30-year tenure with the Company, has an educatonal background in Informaton Systems and contributes technical expertse to the Company’s management team.</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4" w:name="page25"/>
    <w:bookmarkEnd w:id="24"/>
    <w:p>
      <w:pPr>
        <w:spacing w:after="0" w:line="235" w:lineRule="auto"/>
        <w:rPr>
          <w:sz w:val="20"/>
          <w:szCs w:val="20"/>
          <w:color w:val="auto"/>
        </w:rPr>
      </w:pPr>
      <w:r>
        <w:rPr>
          <w:rFonts w:ascii="Calibri" w:cs="Calibri" w:eastAsia="Calibri" w:hAnsi="Calibri"/>
          <w:sz w:val="18"/>
          <w:szCs w:val="18"/>
          <w:color w:val="auto"/>
        </w:rPr>
        <w:t>We have established a process to assess the nature, scope and tming of a cyber incident and, as appropriate, communicate the facts of an incident to management and the Board of Directors and, as appropriate, investors. In the event of a cybersecurity incident, the incident response team is responsible for notfying senior management in a tmely manner, to the extent that the facts and circumstances of a partcular incident warrant such notfcaton. If it is determined that the event is material to the Company, the mater will be escalated to the Board. For material incidents, the Company will provide informaton regarding the nature and scope of the incident to investors in compliance with SEC regulatons.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Board of Directors Oversight in Cybersecurity Governance</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Cabot’s Board of Directors oversees the Company’s cybersecurity program primarily through its Audit Commitee, which comprises independent directors. Company executves along with external and internal cybersecurity personnel update the Audit Commitee at least quarterly on risks related to cybersecurity and the steps taken to monitor and control risk exposure. Additonally, the results of periodic assessments of the Company’s cybersecurity programs, described above, are communicated to the Audit Commitee upon completon. Relevant maters are also reviewed with the full Board on at least an annual basis.</w:t>
      </w:r>
    </w:p>
    <w:p>
      <w:pPr>
        <w:spacing w:after="0" w:line="22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As of the date of this report, we have not experienced a cybersecurity incident that resulted in a material efect on our business strategy, results of operatons, or fnancial conditon. Despite our eforts, we cannot guarantee that our cybersecurity safeguards will prevent breaches or breakdowns of our or our third-party service providers’ informaton technology systems, partcularly in the face of contnually evolving cybersecurity threats and increasingly sophistcated threat actors. A cybersecurity incident may materially afect our business, results of operatons or fnancial conditon, including where such an incident results in reputatonal, compettve or business harm or damage to our brand, lost sales, physical damage to facilites, physical harm to individuals, reduced demand, loss of intellectual property rights, signifcant costs or the Company being subject to government investgatons, litgaton, fnes or damages. For additonal informaton, see Part I, Item 1A, “Risk Factors—Operatonal Risks—Informaton technology systems failures, data security breaches, cybersecurity atacks or network disruptons have harmed us in the past and could compromise our informaton, disrupt our operatons and expose us to liability, which may adversely impact our operatons.”</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color w:val="auto"/>
        </w:rPr>
        <w:t xml:space="preserve">Item 2. </w:t>
      </w:r>
      <w:r>
        <w:rPr>
          <w:rFonts w:ascii="Calibri" w:cs="Calibri" w:eastAsia="Calibri" w:hAnsi="Calibri"/>
          <w:sz w:val="18"/>
          <w:szCs w:val="18"/>
          <w:b w:val="1"/>
          <w:bCs w:val="1"/>
          <w:i w:val="1"/>
          <w:iCs w:val="1"/>
          <w:color w:val="auto"/>
        </w:rPr>
        <w:t>Propertes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Cabot’s corporate headquarters are in leased ofce space in Boston, Massachusets. We also own or lease ofce, manufacturing, storage, distributon, marketng and research and development facilites in the U.S. and in foreign countries. The locatons of our principal manufacturing and/or administratve facilites are set forth in the table below. Unless otherwise indicated, all the propertes are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Reinforcement</w:t>
            </w: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Performance</w:t>
            </w:r>
          </w:p>
        </w:tc>
      </w:tr>
      <w:tr>
        <w:trPr>
          <w:trHeight w:val="189"/>
        </w:trPr>
        <w:tc>
          <w:tcPr>
            <w:tcW w:w="44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auto"/>
              </w:rPr>
              <w:t>Locaton by Region</w:t>
            </w:r>
          </w:p>
        </w:tc>
        <w:tc>
          <w:tcPr>
            <w:tcW w:w="3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Materials</w:t>
            </w:r>
          </w:p>
        </w:tc>
        <w:tc>
          <w:tcPr>
            <w:tcW w:w="16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Chemicals</w:t>
            </w:r>
          </w:p>
        </w:tc>
      </w:tr>
      <w:tr>
        <w:trPr>
          <w:trHeight w:val="216"/>
        </w:trPr>
        <w:tc>
          <w:tcPr>
            <w:tcW w:w="44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Americas Region</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Alphareta, Georgia*</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Tuscola, Illinois</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Carrollton, Kentucky**</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Franklin, Louisiana</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5"/>
              </w:rPr>
              <w:t>X</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Ville Plate, Louisiana</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Billerica, Massachusets</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5"/>
              </w:rPr>
              <w:t>X</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Haverhill, Massachusets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Midland, Michigan</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Pampa, Texas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Campana, Argentna</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5"/>
              </w:rPr>
              <w:t>X</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169"/>
        </w:trPr>
        <w:tc>
          <w:tcPr>
            <w:tcW w:w="4460" w:type="dxa"/>
            <w:vAlign w:val="bottom"/>
          </w:tcPr>
          <w:p>
            <w:pPr>
              <w:ind w:left="200"/>
              <w:spacing w:after="0" w:line="169" w:lineRule="exact"/>
              <w:rPr>
                <w:sz w:val="20"/>
                <w:szCs w:val="20"/>
                <w:color w:val="auto"/>
              </w:rPr>
            </w:pPr>
            <w:r>
              <w:rPr>
                <w:rFonts w:ascii="Calibri" w:cs="Calibri" w:eastAsia="Calibri" w:hAnsi="Calibri"/>
                <w:sz w:val="18"/>
                <w:szCs w:val="18"/>
                <w:color w:val="auto"/>
              </w:rPr>
              <w:t>Maua, Brazil</w:t>
            </w: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Calibri" w:cs="Calibri" w:eastAsia="Calibri" w:hAnsi="Calibri"/>
                <w:sz w:val="18"/>
                <w:szCs w:val="18"/>
                <w:color w:val="auto"/>
              </w:rPr>
              <w:t>X</w:t>
            </w:r>
          </w:p>
        </w:tc>
      </w:tr>
      <w:tr>
        <w:trPr>
          <w:trHeight w:val="263"/>
        </w:trPr>
        <w:tc>
          <w:tcPr>
            <w:tcW w:w="4460" w:type="dxa"/>
            <w:vAlign w:val="bottom"/>
          </w:tcPr>
          <w:p>
            <w:pPr>
              <w:ind w:left="200"/>
              <w:spacing w:after="0" w:line="263" w:lineRule="exact"/>
              <w:rPr>
                <w:sz w:val="20"/>
                <w:szCs w:val="20"/>
                <w:color w:val="auto"/>
              </w:rPr>
            </w:pPr>
            <w:r>
              <w:rPr>
                <w:rFonts w:ascii="Calibri" w:cs="Calibri" w:eastAsia="Calibri" w:hAnsi="Calibri"/>
                <w:sz w:val="18"/>
                <w:szCs w:val="18"/>
                <w:color w:val="auto"/>
              </w:rPr>
              <w:t>Sao Paulo, Brazil*</w:t>
            </w:r>
            <w:r>
              <w:rPr>
                <w:rFonts w:ascii="Calibri" w:cs="Calibri" w:eastAsia="Calibri" w:hAnsi="Calibri"/>
                <w:sz w:val="24"/>
                <w:szCs w:val="24"/>
                <w:color w:val="auto"/>
                <w:vertAlign w:val="superscript"/>
              </w:rPr>
              <w:t>(1)</w:t>
            </w:r>
          </w:p>
        </w:tc>
        <w:tc>
          <w:tcPr>
            <w:tcW w:w="3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Saint-Jean-sur-Richelieu, Québec, Canada</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Sarnia, Ontario, Canada</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5"/>
              </w:rPr>
              <w:t>X</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Cartagena, Colombia</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Altamira, Mexico</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5"/>
              </w:rPr>
              <w:t>X</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5"/>
        </w:trPr>
        <w:tc>
          <w:tcPr>
            <w:tcW w:w="44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Europe, Middle East and Africa Region</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Loncin, Belgium</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Pepinster, Belgium</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Valasske Mezirici (Valmez), Czech Republic**</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5"/>
              </w:rPr>
              <w:t>X</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Port Jerome, France**</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Frankfurt, Germany*</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Münster, Germany*</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Rheinfelden, Germany</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169"/>
        </w:trPr>
        <w:tc>
          <w:tcPr>
            <w:tcW w:w="4460" w:type="dxa"/>
            <w:vAlign w:val="bottom"/>
          </w:tcPr>
          <w:p>
            <w:pPr>
              <w:ind w:left="200"/>
              <w:spacing w:after="0" w:line="169" w:lineRule="exact"/>
              <w:rPr>
                <w:sz w:val="20"/>
                <w:szCs w:val="20"/>
                <w:color w:val="auto"/>
              </w:rPr>
            </w:pPr>
            <w:r>
              <w:rPr>
                <w:rFonts w:ascii="Calibri" w:cs="Calibri" w:eastAsia="Calibri" w:hAnsi="Calibri"/>
                <w:sz w:val="18"/>
                <w:szCs w:val="18"/>
                <w:color w:val="auto"/>
              </w:rPr>
              <w:t>Ravenna, Italy</w:t>
            </w: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63"/>
        </w:trPr>
        <w:tc>
          <w:tcPr>
            <w:tcW w:w="4460" w:type="dxa"/>
            <w:vAlign w:val="bottom"/>
          </w:tcPr>
          <w:p>
            <w:pPr>
              <w:ind w:left="200"/>
              <w:spacing w:after="0" w:line="263" w:lineRule="exact"/>
              <w:rPr>
                <w:sz w:val="20"/>
                <w:szCs w:val="20"/>
                <w:color w:val="auto"/>
              </w:rPr>
            </w:pPr>
            <w:r>
              <w:rPr>
                <w:rFonts w:ascii="Calibri" w:cs="Calibri" w:eastAsia="Calibri" w:hAnsi="Calibri"/>
                <w:sz w:val="18"/>
                <w:szCs w:val="18"/>
                <w:color w:val="auto"/>
              </w:rPr>
              <w:t>Riga, Latvia*</w:t>
            </w:r>
            <w:r>
              <w:rPr>
                <w:rFonts w:ascii="Calibri" w:cs="Calibri" w:eastAsia="Calibri" w:hAnsi="Calibri"/>
                <w:sz w:val="24"/>
                <w:szCs w:val="24"/>
                <w:color w:val="auto"/>
                <w:vertAlign w:val="superscript"/>
              </w:rPr>
              <w:t>(1)</w:t>
            </w:r>
          </w:p>
        </w:tc>
        <w:tc>
          <w:tcPr>
            <w:tcW w:w="3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Schafausen, Switzerland*</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w w:val="85"/>
              </w:rPr>
              <w:t>X</w:t>
            </w: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Botlek, Netherlands**</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5"/>
              </w:rPr>
              <w:t>X</w:t>
            </w: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Dubai, United Arab Emirates*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44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Barry, United Kingdom (Wales)**</w:t>
            </w:r>
          </w:p>
        </w:tc>
        <w:tc>
          <w:tcPr>
            <w:tcW w:w="3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625"/>
        </w:trPr>
        <w:tc>
          <w:tcPr>
            <w:tcW w:w="4460" w:type="dxa"/>
            <w:vAlign w:val="bottom"/>
          </w:tcPr>
          <w:p>
            <w:pPr>
              <w:spacing w:after="0"/>
              <w:rPr>
                <w:sz w:val="24"/>
                <w:szCs w:val="24"/>
                <w:color w:val="auto"/>
              </w:rPr>
            </w:pPr>
          </w:p>
        </w:tc>
        <w:tc>
          <w:tcPr>
            <w:tcW w:w="3100" w:type="dxa"/>
            <w:vAlign w:val="bottom"/>
          </w:tcPr>
          <w:p>
            <w:pPr>
              <w:jc w:val="right"/>
              <w:ind w:right="1750"/>
              <w:spacing w:after="0"/>
              <w:rPr>
                <w:sz w:val="20"/>
                <w:szCs w:val="20"/>
                <w:color w:val="auto"/>
              </w:rPr>
            </w:pPr>
            <w:r>
              <w:rPr>
                <w:rFonts w:ascii="Calibri" w:cs="Calibri" w:eastAsia="Calibri" w:hAnsi="Calibri"/>
                <w:sz w:val="18"/>
                <w:szCs w:val="18"/>
                <w:color w:val="auto"/>
              </w:rPr>
              <w:t>26</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786"/>
        </w:trPr>
        <w:tc>
          <w:tcPr>
            <w:tcW w:w="44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Reinforcement</w:t>
            </w: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Performance</w:t>
            </w:r>
          </w:p>
        </w:tc>
      </w:tr>
      <w:tr>
        <w:trPr>
          <w:trHeight w:val="189"/>
        </w:trPr>
        <w:tc>
          <w:tcPr>
            <w:tcW w:w="754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auto"/>
              </w:rPr>
              <w:t>Locaton by Region</w:t>
            </w:r>
          </w:p>
        </w:tc>
        <w:tc>
          <w:tcPr>
            <w:tcW w:w="1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Materials</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Chemicals</w:t>
            </w:r>
          </w:p>
        </w:tc>
      </w:tr>
      <w:tr>
        <w:trPr>
          <w:trHeight w:val="216"/>
        </w:trPr>
        <w:tc>
          <w:tcPr>
            <w:tcW w:w="75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Asia Pacifc Region</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Jiangsu Province, China**</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75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Jiangxi Province, China**</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169"/>
        </w:trPr>
        <w:tc>
          <w:tcPr>
            <w:tcW w:w="7540" w:type="dxa"/>
            <w:vAlign w:val="bottom"/>
          </w:tcPr>
          <w:p>
            <w:pPr>
              <w:ind w:left="200"/>
              <w:spacing w:after="0" w:line="169" w:lineRule="exact"/>
              <w:rPr>
                <w:sz w:val="20"/>
                <w:szCs w:val="20"/>
                <w:color w:val="auto"/>
              </w:rPr>
            </w:pPr>
            <w:r>
              <w:rPr>
                <w:rFonts w:ascii="Calibri" w:cs="Calibri" w:eastAsia="Calibri" w:hAnsi="Calibri"/>
                <w:sz w:val="18"/>
                <w:szCs w:val="18"/>
                <w:color w:val="auto"/>
              </w:rPr>
              <w:t>Tianjin, China** (2 plants)</w:t>
            </w:r>
          </w:p>
        </w:tc>
        <w:tc>
          <w:tcPr>
            <w:tcW w:w="1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Calibri" w:cs="Calibri" w:eastAsia="Calibri" w:hAnsi="Calibri"/>
                <w:sz w:val="18"/>
                <w:szCs w:val="18"/>
                <w:color w:val="auto"/>
              </w:rPr>
              <w:t>X</w:t>
            </w:r>
          </w:p>
        </w:tc>
      </w:tr>
      <w:tr>
        <w:trPr>
          <w:trHeight w:val="263"/>
        </w:trPr>
        <w:tc>
          <w:tcPr>
            <w:tcW w:w="7540" w:type="dxa"/>
            <w:vAlign w:val="bottom"/>
          </w:tcPr>
          <w:p>
            <w:pPr>
              <w:ind w:left="200"/>
              <w:spacing w:after="0" w:line="263" w:lineRule="exact"/>
              <w:rPr>
                <w:sz w:val="20"/>
                <w:szCs w:val="20"/>
                <w:color w:val="auto"/>
              </w:rPr>
            </w:pPr>
            <w:r>
              <w:rPr>
                <w:rFonts w:ascii="Calibri" w:cs="Calibri" w:eastAsia="Calibri" w:hAnsi="Calibri"/>
                <w:sz w:val="18"/>
                <w:szCs w:val="18"/>
                <w:color w:val="auto"/>
              </w:rPr>
              <w:t>Shanghai, China*</w:t>
            </w:r>
            <w:r>
              <w:rPr>
                <w:rFonts w:ascii="Calibri" w:cs="Calibri" w:eastAsia="Calibri" w:hAnsi="Calibri"/>
                <w:sz w:val="24"/>
                <w:szCs w:val="24"/>
                <w:color w:val="auto"/>
                <w:vertAlign w:val="superscript"/>
              </w:rPr>
              <w:t>(1)</w:t>
            </w: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Shanghai, China** (plant)</w:t>
            </w: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5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Xingtai City, China**</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Wuhai, China**</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75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Shenzhen, China**</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Zhuhai, China**</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7"/>
        </w:trPr>
        <w:tc>
          <w:tcPr>
            <w:tcW w:w="75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Mumbai, India*</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X</w:t>
            </w:r>
          </w:p>
        </w:tc>
      </w:tr>
      <w:tr>
        <w:trPr>
          <w:trHeight w:val="169"/>
        </w:trPr>
        <w:tc>
          <w:tcPr>
            <w:tcW w:w="7540" w:type="dxa"/>
            <w:vAlign w:val="bottom"/>
          </w:tcPr>
          <w:p>
            <w:pPr>
              <w:ind w:left="200"/>
              <w:spacing w:after="0" w:line="169" w:lineRule="exact"/>
              <w:rPr>
                <w:sz w:val="20"/>
                <w:szCs w:val="20"/>
                <w:color w:val="auto"/>
              </w:rPr>
            </w:pPr>
            <w:r>
              <w:rPr>
                <w:rFonts w:ascii="Calibri" w:cs="Calibri" w:eastAsia="Calibri" w:hAnsi="Calibri"/>
                <w:sz w:val="18"/>
                <w:szCs w:val="18"/>
                <w:color w:val="auto"/>
              </w:rPr>
              <w:t>Cilegon, Indonesia**</w:t>
            </w:r>
          </w:p>
        </w:tc>
        <w:tc>
          <w:tcPr>
            <w:tcW w:w="1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Calibri" w:cs="Calibri" w:eastAsia="Calibri" w:hAnsi="Calibri"/>
                <w:sz w:val="18"/>
                <w:szCs w:val="18"/>
                <w:color w:val="auto"/>
              </w:rPr>
              <w:t>X</w:t>
            </w:r>
          </w:p>
        </w:tc>
      </w:tr>
      <w:tr>
        <w:trPr>
          <w:trHeight w:val="263"/>
        </w:trPr>
        <w:tc>
          <w:tcPr>
            <w:tcW w:w="7540" w:type="dxa"/>
            <w:vAlign w:val="bottom"/>
          </w:tcPr>
          <w:p>
            <w:pPr>
              <w:ind w:left="200"/>
              <w:spacing w:after="0" w:line="263" w:lineRule="exact"/>
              <w:rPr>
                <w:sz w:val="20"/>
                <w:szCs w:val="20"/>
                <w:color w:val="auto"/>
              </w:rPr>
            </w:pPr>
            <w:r>
              <w:rPr>
                <w:rFonts w:ascii="Calibri" w:cs="Calibri" w:eastAsia="Calibri" w:hAnsi="Calibri"/>
                <w:sz w:val="18"/>
                <w:szCs w:val="18"/>
                <w:color w:val="auto"/>
              </w:rPr>
              <w:t>Jakarta, Indonesia*</w:t>
            </w:r>
            <w:r>
              <w:rPr>
                <w:rFonts w:ascii="Calibri" w:cs="Calibri" w:eastAsia="Calibri" w:hAnsi="Calibri"/>
                <w:sz w:val="24"/>
                <w:szCs w:val="24"/>
                <w:color w:val="auto"/>
                <w:vertAlign w:val="superscript"/>
              </w:rPr>
              <w:t>(1)</w:t>
            </w: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Chiba, Japan</w:t>
            </w: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0"/>
        </w:trPr>
        <w:tc>
          <w:tcPr>
            <w:tcW w:w="7540" w:type="dxa"/>
            <w:vAlign w:val="bottom"/>
          </w:tcPr>
          <w:p>
            <w:pPr>
              <w:ind w:left="200"/>
              <w:spacing w:after="0" w:line="170" w:lineRule="exact"/>
              <w:rPr>
                <w:sz w:val="20"/>
                <w:szCs w:val="20"/>
                <w:color w:val="auto"/>
              </w:rPr>
            </w:pPr>
            <w:r>
              <w:rPr>
                <w:rFonts w:ascii="Calibri" w:cs="Calibri" w:eastAsia="Calibri" w:hAnsi="Calibri"/>
                <w:sz w:val="18"/>
                <w:szCs w:val="18"/>
                <w:color w:val="auto"/>
              </w:rPr>
              <w:t>Shimonoseki, Japan**</w:t>
            </w:r>
          </w:p>
        </w:tc>
        <w:tc>
          <w:tcPr>
            <w:tcW w:w="180" w:type="dxa"/>
            <w:vAlign w:val="bottom"/>
          </w:tcPr>
          <w:p>
            <w:pPr>
              <w:spacing w:after="0"/>
              <w:rPr>
                <w:sz w:val="14"/>
                <w:szCs w:val="14"/>
                <w:color w:val="auto"/>
              </w:rPr>
            </w:pPr>
          </w:p>
        </w:tc>
        <w:tc>
          <w:tcPr>
            <w:tcW w:w="1680" w:type="dxa"/>
            <w:vAlign w:val="bottom"/>
          </w:tcPr>
          <w:p>
            <w:pPr>
              <w:jc w:val="center"/>
              <w:spacing w:after="0" w:line="170"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63"/>
        </w:trPr>
        <w:tc>
          <w:tcPr>
            <w:tcW w:w="7540" w:type="dxa"/>
            <w:vAlign w:val="bottom"/>
          </w:tcPr>
          <w:p>
            <w:pPr>
              <w:ind w:left="200"/>
              <w:spacing w:after="0" w:line="263" w:lineRule="exact"/>
              <w:rPr>
                <w:sz w:val="20"/>
                <w:szCs w:val="20"/>
                <w:color w:val="auto"/>
              </w:rPr>
            </w:pPr>
            <w:r>
              <w:rPr>
                <w:rFonts w:ascii="Calibri" w:cs="Calibri" w:eastAsia="Calibri" w:hAnsi="Calibri"/>
                <w:sz w:val="18"/>
                <w:szCs w:val="18"/>
                <w:color w:val="auto"/>
              </w:rPr>
              <w:t>Tokyo, Japan*</w:t>
            </w:r>
            <w:r>
              <w:rPr>
                <w:rFonts w:ascii="Calibri" w:cs="Calibri" w:eastAsia="Calibri" w:hAnsi="Calibri"/>
                <w:sz w:val="24"/>
                <w:szCs w:val="24"/>
                <w:color w:val="auto"/>
                <w:vertAlign w:val="superscript"/>
              </w:rPr>
              <w:t>(1)</w:t>
            </w: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color w:val="auto"/>
              </w:rPr>
              <w:t>X</w:t>
            </w:r>
          </w:p>
        </w:tc>
      </w:tr>
      <w:tr>
        <w:trPr>
          <w:trHeight w:val="216"/>
        </w:trPr>
        <w:tc>
          <w:tcPr>
            <w:tcW w:w="754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Port Dickson, Malaysia**</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ind w:right="8500" w:firstLine="8"/>
        <w:spacing w:after="0" w:line="220" w:lineRule="auto"/>
        <w:tabs>
          <w:tab w:leader="none" w:pos="509" w:val="left"/>
        </w:tabs>
        <w:numPr>
          <w:ilvl w:val="0"/>
          <w:numId w:val="10"/>
        </w:numPr>
        <w:rPr>
          <w:rFonts w:ascii="Calibri" w:cs="Calibri" w:eastAsia="Calibri" w:hAnsi="Calibri"/>
          <w:sz w:val="24"/>
          <w:szCs w:val="24"/>
          <w:color w:val="auto"/>
          <w:vertAlign w:val="superscript"/>
        </w:rPr>
      </w:pPr>
      <w:r>
        <w:rPr>
          <w:rFonts w:ascii="Calibri" w:cs="Calibri" w:eastAsia="Calibri" w:hAnsi="Calibri"/>
          <w:sz w:val="18"/>
          <w:szCs w:val="18"/>
          <w:color w:val="auto"/>
        </w:rPr>
        <w:t>Global Business Services center * Leased premises</w:t>
      </w:r>
    </w:p>
    <w:p>
      <w:pPr>
        <w:spacing w:after="0" w:line="38" w:lineRule="exact"/>
        <w:rPr>
          <w:rFonts w:ascii="Calibri" w:cs="Calibri" w:eastAsia="Calibri" w:hAnsi="Calibri"/>
          <w:sz w:val="24"/>
          <w:szCs w:val="24"/>
          <w:color w:val="auto"/>
          <w:vertAlign w:val="superscript"/>
        </w:rPr>
      </w:pPr>
    </w:p>
    <w:p>
      <w:pPr>
        <w:spacing w:after="0"/>
        <w:rPr>
          <w:rFonts w:ascii="Calibri" w:cs="Calibri" w:eastAsia="Calibri" w:hAnsi="Calibri"/>
          <w:sz w:val="24"/>
          <w:szCs w:val="24"/>
          <w:color w:val="auto"/>
          <w:vertAlign w:val="superscript"/>
        </w:rPr>
      </w:pPr>
      <w:r>
        <w:rPr>
          <w:rFonts w:ascii="Calibri" w:cs="Calibri" w:eastAsia="Calibri" w:hAnsi="Calibri"/>
          <w:sz w:val="18"/>
          <w:szCs w:val="18"/>
          <w:color w:val="auto"/>
        </w:rPr>
        <w:t>** Building(s) owned by Cabot on leased land</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We conduct research and development for our various businesses primarily at facilites in Billerica, Massachusets; Pampa, Texas; Pepinster, Belgium; Münster, Germany; Chiba, Japan, Port Dickson, Malaysia and Zhuhai and Shanghai, China.</w:t>
      </w:r>
    </w:p>
    <w:p>
      <w:pPr>
        <w:spacing w:after="0" w:line="83"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With our existng manufacturing plants and planned expansions, we generally have sufcient producton capacity to meet current requirements and expected near-term growth. These plants are generally well maintained, in good operatng conditon and suitable and adequate for their intended use. Our administratve ofces and other facilites are suitable and adequate for their intended purposes.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3. </w:t>
      </w:r>
      <w:r>
        <w:rPr>
          <w:rFonts w:ascii="Calibri" w:cs="Calibri" w:eastAsia="Calibri" w:hAnsi="Calibri"/>
          <w:sz w:val="18"/>
          <w:szCs w:val="18"/>
          <w:b w:val="1"/>
          <w:bCs w:val="1"/>
          <w:i w:val="1"/>
          <w:iCs w:val="1"/>
          <w:color w:val="auto"/>
        </w:rPr>
        <w:t>Legal Proceedings</w:t>
      </w:r>
    </w:p>
    <w:p>
      <w:pPr>
        <w:spacing w:after="0" w:line="82" w:lineRule="exact"/>
        <w:rPr>
          <w:sz w:val="20"/>
          <w:szCs w:val="20"/>
          <w:color w:val="auto"/>
        </w:rPr>
      </w:pPr>
    </w:p>
    <w:p>
      <w:pPr>
        <w:ind w:right="160" w:firstLine="509"/>
        <w:spacing w:after="0" w:line="258" w:lineRule="auto"/>
        <w:rPr>
          <w:sz w:val="20"/>
          <w:szCs w:val="20"/>
          <w:color w:val="auto"/>
        </w:rPr>
      </w:pPr>
      <w:r>
        <w:rPr>
          <w:rFonts w:ascii="Calibri" w:cs="Calibri" w:eastAsia="Calibri" w:hAnsi="Calibri"/>
          <w:sz w:val="17"/>
          <w:szCs w:val="17"/>
          <w:color w:val="auto"/>
        </w:rPr>
        <w:t>Cabot is a party in various lawsuits and environmental proceedings wherein substantal amounts are claimed. Additonal informaton regarding legal proceedings involving Cabot is disclosed in Note T in Item 8 below, under the heading “Contngencies”, which disclosure is incorporated herein by reference.</w:t>
      </w:r>
    </w:p>
    <w:p>
      <w:pPr>
        <w:spacing w:after="0" w:line="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4. </w:t>
      </w:r>
      <w:r>
        <w:rPr>
          <w:rFonts w:ascii="Calibri" w:cs="Calibri" w:eastAsia="Calibri" w:hAnsi="Calibri"/>
          <w:sz w:val="18"/>
          <w:szCs w:val="18"/>
          <w:b w:val="1"/>
          <w:bCs w:val="1"/>
          <w:i w:val="1"/>
          <w:iCs w:val="1"/>
          <w:color w:val="auto"/>
        </w:rPr>
        <w:t>Mine Safety Disclosures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Informaton about our Executve Ofcers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Set forth below is certain informaton about Cabot’s executve ofcers as of November 13, 2024.</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Sean D. Keohane, age 57, is President and Chief Executve Ofcer and a member of Cabot’s Board of Directors, positons he has held since March 2016. Mr. Keohane joined Cabot in 2002. From November 2014 untl March 2016, he was Executve Vice President and President of Reinforcement Materials. From March 2012 untl November 2014, he was Senior Vice President and President of Performance Chemicals, and from May 2008 untl March 2012, he was General Manager of Performance Chemicals. He was appointed Vice President in March 2005, Senior Vice President in March 2012 and Executve Vice President in November 2014. He was a member of the Interim Ofce of the Chief Executve Ofcer, which was in place from December 2015 untl March 2016.</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Erica McLaughlin, age 48, is Executve Vice President, Chief Financial Ofcer and Head of Corporate Strategy. Ms. McLaughlin joined Cabot in 2002. She was elected Executve Vice President efectve December 2022, Senior Vice President and Chief Financial Ofcer in May 2018, and in October 2018 she assumed responsibility for Corporate Strategy and Development. From June 2016 untl May 2018, she was Vice President of Business Operatons for Reinforcement Materials and General Manager of the tre business, and from July 2011 untl June 2016, she was Vice President of Investor Relatons and Corporate Communicatons. Prior to July 2011, she held a variety of leadership positons in Finance and Corporate Planning.</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7" w:name="page28"/>
    <w:bookmarkEnd w:id="27"/>
    <w:p>
      <w:pPr>
        <w:ind w:right="60" w:firstLine="509"/>
        <w:spacing w:after="0" w:line="235" w:lineRule="auto"/>
        <w:rPr>
          <w:sz w:val="20"/>
          <w:szCs w:val="20"/>
          <w:color w:val="auto"/>
        </w:rPr>
      </w:pPr>
      <w:r>
        <w:rPr>
          <w:rFonts w:ascii="Calibri" w:cs="Calibri" w:eastAsia="Calibri" w:hAnsi="Calibri"/>
          <w:sz w:val="18"/>
          <w:szCs w:val="18"/>
          <w:color w:val="auto"/>
        </w:rPr>
        <w:t>Karen A. Kalita, age 45, is Senior Vice President and General Counsel. Ms. Kalita joined Cabot in 2008. Prior to assuming her current positon in June 2019, she held several key positons in Cabot’s Law Department, including Chief Counsel to the Company’s Reinforcement Materials segment from November 2015 to June 2019 and Purifcaton Solutons segment from June 2013 to June 2019, and senior legal counsel to the Company’s previous Advanced Technologies segment. Prior to joining the Company, Ms. Kalita was in private practce at WilmerHale LLP in Boston, MA.</w:t>
      </w:r>
    </w:p>
    <w:p>
      <w:pPr>
        <w:spacing w:after="0" w:line="84"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Hobart C. Kalkstein, age 54, is Executve Vice President and President, Reinforcement Materials Segment and President, Americas Region. Mr. Kalkstein also has executve responsibility for Cabot’s Digital functon. Mr. Kalkstein joined Cabot in 2005. He was elected Executve Vice President efectve December 2022, and Senior Vice President and President, Reinforcement Materials Segment and President, Americas Region in April 2016. Prior to this, he was Vice President of Corporate Strategy and Development from December 2015 to April 2016. From October 2013 to December 2015, he served as Vice President of Global Business Operatons for Purifcaton Solutons and from November 2012 to December 2015 as General Manager of Global Emission Control Solutons for Purifcaton Solutons, and from January 2012 to November 2012 he served as Vice President of Business Operatons and Executve Director of Marketng and Business Strategy for Performance Chemicals. Prior to that, he served as General Manager of the Aerogel business from October 2007 to February 2010.</w:t>
      </w:r>
    </w:p>
    <w:p>
      <w:pPr>
        <w:spacing w:after="0" w:line="7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Jef Zhu, age 56, is Executve Vice President and President, Carbon and Silica Technologies, and Batery Materials businesses within Cabot’s Performance Chemicals Segment and President, Asia Pacifc Region. Mr. Zhu joined Cabot in 2012. He was elected Executve Vice President efectve December 2022 and Senior Vice President and President, Performance Additves business and President, Asia Pacifc Region in October 2019. Prior to this, he had served as President, Asia Pacifc Region since joining Cabot. Prior to joining Cabot, Mr. Zhu served in a variety of regional and global business leadership roles at Rhodia from 1994 untl 2010, including Asia Pacifc regional commercial director from 1994 to 2002, regional vice president and general manager of Rhodia Novacare Asia Pacifc from 2002 to 2008, and vice president and global director of Rhodia electronics and catalysis from 2008 to 2010. In additon, Mr. Zhu served as head of global pulp and paper sales at Asia Pacifc Resources Internatonal Holdings Limited from 2010 to 2012.</w:t>
      </w:r>
    </w:p>
    <w:p>
      <w:pPr>
        <w:spacing w:after="0" w:line="1" w:lineRule="exact"/>
        <w:rPr>
          <w:sz w:val="20"/>
          <w:szCs w:val="20"/>
          <w:color w:val="auto"/>
        </w:rPr>
      </w:pPr>
    </w:p>
    <w:p>
      <w:pPr>
        <w:ind w:left="5380"/>
        <w:spacing w:after="0"/>
        <w:rPr>
          <w:sz w:val="20"/>
          <w:szCs w:val="20"/>
          <w:color w:val="auto"/>
        </w:rPr>
      </w:pPr>
      <w:r>
        <w:rPr>
          <w:rFonts w:ascii="Calibri" w:cs="Calibri" w:eastAsia="Calibri" w:hAnsi="Calibri"/>
          <w:sz w:val="18"/>
          <w:szCs w:val="18"/>
          <w:b w:val="1"/>
          <w:bCs w:val="1"/>
          <w:color w:val="auto"/>
        </w:rPr>
        <w:t>PART II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5. </w:t>
      </w:r>
      <w:r>
        <w:rPr>
          <w:rFonts w:ascii="Calibri" w:cs="Calibri" w:eastAsia="Calibri" w:hAnsi="Calibri"/>
          <w:sz w:val="18"/>
          <w:szCs w:val="18"/>
          <w:b w:val="1"/>
          <w:bCs w:val="1"/>
          <w:i w:val="1"/>
          <w:iCs w:val="1"/>
          <w:color w:val="auto"/>
        </w:rPr>
        <w:t>Market for Registrant’s Common Equity, Related Stockholder Maters and Issuer Purchases of Equity Securites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Cabot’s common stock is listed for trading (symbol CBT) on the New York Stock Exchange. As of November 13, 2024, there were 530 holders of record of Cabot’s common stock.</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sets forth informaton regarding Cabot’s purchases of its equity securites during the quarter ended September 30, 2024: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Maximum Number</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(or</w:t>
            </w:r>
          </w:p>
        </w:tc>
      </w:tr>
      <w:tr>
        <w:trPr>
          <w:trHeight w:val="176"/>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Approximate</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Dollar</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Calibri" w:cs="Calibri" w:eastAsia="Calibri" w:hAnsi="Calibri"/>
                <w:sz w:val="14"/>
                <w:szCs w:val="14"/>
                <w:b w:val="1"/>
                <w:bCs w:val="1"/>
                <w:color w:val="auto"/>
              </w:rPr>
              <w:t>Value) of Shares</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2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w w:val="99"/>
              </w:rPr>
              <w:t>that</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Shares Purchased</w:t>
            </w:r>
          </w:p>
        </w:tc>
        <w:tc>
          <w:tcPr>
            <w:tcW w:w="2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w w:val="99"/>
              </w:rPr>
              <w:t>May Yet Be</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119"/>
              <w:spacing w:after="0"/>
              <w:rPr>
                <w:sz w:val="20"/>
                <w:szCs w:val="20"/>
                <w:color w:val="auto"/>
              </w:rPr>
            </w:pPr>
            <w:r>
              <w:rPr>
                <w:rFonts w:ascii="Calibri" w:cs="Calibri" w:eastAsia="Calibri" w:hAnsi="Calibri"/>
                <w:sz w:val="14"/>
                <w:szCs w:val="14"/>
                <w:b w:val="1"/>
                <w:bCs w:val="1"/>
                <w:color w:val="auto"/>
              </w:rPr>
              <w:t>Average</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as Part of Publicly</w:t>
            </w:r>
          </w:p>
        </w:tc>
        <w:tc>
          <w:tcPr>
            <w:tcW w:w="22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Purchased</w:t>
            </w:r>
          </w:p>
        </w:tc>
      </w:tr>
      <w:tr>
        <w:trPr>
          <w:trHeight w:val="159"/>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of Shares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9" w:lineRule="exact"/>
              <w:rPr>
                <w:sz w:val="20"/>
                <w:szCs w:val="20"/>
                <w:color w:val="auto"/>
              </w:rPr>
            </w:pPr>
            <w:r>
              <w:rPr>
                <w:rFonts w:ascii="Calibri" w:cs="Calibri" w:eastAsia="Calibri" w:hAnsi="Calibri"/>
                <w:sz w:val="14"/>
                <w:szCs w:val="14"/>
                <w:b w:val="1"/>
                <w:bCs w:val="1"/>
                <w:color w:val="auto"/>
              </w:rPr>
              <w:t>Price Paid</w:t>
            </w:r>
          </w:p>
        </w:tc>
        <w:tc>
          <w:tcPr>
            <w:tcW w:w="220" w:type="dxa"/>
            <w:vAlign w:val="bottom"/>
          </w:tcPr>
          <w:p>
            <w:pPr>
              <w:spacing w:after="0"/>
              <w:rPr>
                <w:sz w:val="13"/>
                <w:szCs w:val="13"/>
                <w:color w:val="auto"/>
              </w:rPr>
            </w:pPr>
          </w:p>
        </w:tc>
        <w:tc>
          <w:tcPr>
            <w:tcW w:w="11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Announced Plans</w:t>
            </w: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Calibri" w:cs="Calibri" w:eastAsia="Calibri" w:hAnsi="Calibri"/>
                <w:sz w:val="14"/>
                <w:szCs w:val="14"/>
                <w:b w:val="1"/>
                <w:bCs w:val="1"/>
                <w:color w:val="auto"/>
              </w:rPr>
              <w:t>Under the Plans or</w:t>
            </w:r>
          </w:p>
        </w:tc>
      </w:tr>
      <w:tr>
        <w:trPr>
          <w:trHeight w:val="212"/>
        </w:trPr>
        <w:tc>
          <w:tcPr>
            <w:tcW w:w="570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auto"/>
              </w:rPr>
              <w:t>Period</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line="212" w:lineRule="exact"/>
              <w:rPr>
                <w:sz w:val="20"/>
                <w:szCs w:val="20"/>
                <w:color w:val="auto"/>
              </w:rPr>
            </w:pPr>
            <w:r>
              <w:rPr>
                <w:rFonts w:ascii="Calibri" w:cs="Calibri" w:eastAsia="Calibri" w:hAnsi="Calibri"/>
                <w:sz w:val="14"/>
                <w:szCs w:val="14"/>
                <w:b w:val="1"/>
                <w:bCs w:val="1"/>
                <w:color w:val="auto"/>
                <w:w w:val="94"/>
              </w:rPr>
              <w:t>Purchased</w:t>
            </w:r>
            <w:r>
              <w:rPr>
                <w:rFonts w:ascii="Calibri" w:cs="Calibri" w:eastAsia="Calibri" w:hAnsi="Calibri"/>
                <w:sz w:val="19"/>
                <w:szCs w:val="19"/>
                <w:b w:val="1"/>
                <w:bCs w:val="1"/>
                <w:color w:val="auto"/>
                <w:w w:val="94"/>
                <w:vertAlign w:val="superscript"/>
              </w:rPr>
              <w:t>(1)(2)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Calibri" w:cs="Calibri" w:eastAsia="Calibri" w:hAnsi="Calibri"/>
                <w:sz w:val="14"/>
                <w:szCs w:val="14"/>
                <w:b w:val="1"/>
                <w:bCs w:val="1"/>
                <w:color w:val="auto"/>
              </w:rPr>
              <w:t>per Share</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12" w:lineRule="exact"/>
              <w:rPr>
                <w:sz w:val="20"/>
                <w:szCs w:val="20"/>
                <w:color w:val="auto"/>
              </w:rPr>
            </w:pPr>
            <w:r>
              <w:rPr>
                <w:rFonts w:ascii="Calibri" w:cs="Calibri" w:eastAsia="Calibri" w:hAnsi="Calibri"/>
                <w:sz w:val="14"/>
                <w:szCs w:val="14"/>
                <w:b w:val="1"/>
                <w:bCs w:val="1"/>
                <w:color w:val="auto"/>
                <w:w w:val="95"/>
              </w:rPr>
              <w:t>or Programs</w:t>
            </w:r>
            <w:r>
              <w:rPr>
                <w:rFonts w:ascii="Calibri" w:cs="Calibri" w:eastAsia="Calibri" w:hAnsi="Calibri"/>
                <w:sz w:val="19"/>
                <w:szCs w:val="19"/>
                <w:b w:val="1"/>
                <w:bCs w:val="1"/>
                <w:color w:val="auto"/>
                <w:w w:val="95"/>
                <w:vertAlign w:val="superscript"/>
              </w:rPr>
              <w:t>(1)</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center"/>
              <w:spacing w:after="0" w:line="212"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100" w:type="dxa"/>
            <w:vAlign w:val="bottom"/>
          </w:tcPr>
          <w:p>
            <w:pPr>
              <w:spacing w:after="0"/>
              <w:rPr>
                <w:sz w:val="18"/>
                <w:szCs w:val="18"/>
                <w:color w:val="auto"/>
              </w:rPr>
            </w:pPr>
          </w:p>
        </w:tc>
      </w:tr>
      <w:tr>
        <w:trPr>
          <w:trHeight w:val="210"/>
        </w:trPr>
        <w:tc>
          <w:tcPr>
            <w:tcW w:w="57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July 1, 2024 — July 31, 2024</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440" w:type="dxa"/>
            <w:vAlign w:val="bottom"/>
            <w:gridSpan w:val="2"/>
            <w:shd w:val="clear" w:color="auto" w:fill="CFF0FC"/>
          </w:tcPr>
          <w:p>
            <w:pPr>
              <w:jc w:val="right"/>
              <w:ind w:right="8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40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1,938,177</w:t>
            </w:r>
          </w:p>
        </w:tc>
        <w:tc>
          <w:tcPr>
            <w:tcW w:w="100" w:type="dxa"/>
            <w:vAlign w:val="bottom"/>
            <w:shd w:val="clear" w:color="auto" w:fill="CFF0FC"/>
          </w:tcPr>
          <w:p>
            <w:pPr>
              <w:spacing w:after="0"/>
              <w:rPr>
                <w:sz w:val="18"/>
                <w:szCs w:val="18"/>
                <w:color w:val="auto"/>
              </w:rPr>
            </w:pPr>
          </w:p>
        </w:tc>
      </w:tr>
      <w:tr>
        <w:trPr>
          <w:trHeight w:val="215"/>
        </w:trPr>
        <w:tc>
          <w:tcPr>
            <w:tcW w:w="5700" w:type="dxa"/>
            <w:vAlign w:val="bottom"/>
          </w:tcPr>
          <w:p>
            <w:pPr>
              <w:ind w:left="20"/>
              <w:spacing w:after="0" w:line="215" w:lineRule="exact"/>
              <w:rPr>
                <w:sz w:val="20"/>
                <w:szCs w:val="20"/>
                <w:color w:val="auto"/>
              </w:rPr>
            </w:pPr>
            <w:r>
              <w:rPr>
                <w:rFonts w:ascii="Calibri" w:cs="Calibri" w:eastAsia="Calibri" w:hAnsi="Calibri"/>
                <w:sz w:val="18"/>
                <w:szCs w:val="18"/>
                <w:color w:val="auto"/>
              </w:rPr>
              <w:t>August 1, 2024 — August 31, 2024</w:t>
            </w:r>
          </w:p>
        </w:tc>
        <w:tc>
          <w:tcPr>
            <w:tcW w:w="1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440,000</w:t>
            </w:r>
          </w:p>
        </w:tc>
        <w:tc>
          <w:tcPr>
            <w:tcW w:w="4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102.62</w:t>
            </w:r>
          </w:p>
        </w:tc>
        <w:tc>
          <w:tcPr>
            <w:tcW w:w="1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440,000</w:t>
            </w: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1,498,177</w:t>
            </w:r>
          </w:p>
        </w:tc>
        <w:tc>
          <w:tcPr>
            <w:tcW w:w="10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September 1, 2024 — September 30, 2024</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197,206</w:t>
            </w:r>
          </w:p>
        </w:tc>
        <w:tc>
          <w:tcPr>
            <w:tcW w:w="440" w:type="dxa"/>
            <w:vAlign w:val="bottom"/>
            <w:tcBorders>
              <w:bottom w:val="single" w:sz="8" w:color="CFF0FC"/>
            </w:tcBorders>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100.70</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197,206</w:t>
            </w:r>
          </w:p>
        </w:tc>
        <w:tc>
          <w:tcPr>
            <w:tcW w:w="1400" w:type="dxa"/>
            <w:vAlign w:val="bottom"/>
            <w:tcBorders>
              <w:bottom w:val="single" w:sz="8" w:color="CFF0FC"/>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1,300,971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ind w:left="200"/>
              <w:spacing w:after="0" w:line="210" w:lineRule="exact"/>
              <w:rPr>
                <w:sz w:val="20"/>
                <w:szCs w:val="20"/>
                <w:color w:val="auto"/>
              </w:rPr>
            </w:pPr>
            <w:r>
              <w:rPr>
                <w:rFonts w:ascii="Calibri" w:cs="Calibri" w:eastAsia="Calibri" w:hAnsi="Calibri"/>
                <w:sz w:val="18"/>
                <w:szCs w:val="18"/>
                <w:color w:val="auto"/>
              </w:rPr>
              <w:t>Total</w:t>
            </w:r>
          </w:p>
        </w:tc>
        <w:tc>
          <w:tcPr>
            <w:tcW w:w="132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637,206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637,206</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-170815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jc w:val="both"/>
        <w:ind w:left="520" w:right="100" w:hanging="512"/>
        <w:spacing w:after="0" w:line="21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On July 13, 2018, Cabot publicly announced that the Board of Directors authorized the Company to repurchase up to an additonal ten million shares of its common stock on the open market or in privately negotated transactons, increasing the amount of shares available for repurchase at that tme to approximately eleven million shares. The current authorizaton does not have a set expiraton date.</w:t>
      </w:r>
    </w:p>
    <w:p>
      <w:pPr>
        <w:spacing w:after="0" w:line="44" w:lineRule="exact"/>
        <w:rPr>
          <w:rFonts w:ascii="Calibri" w:cs="Calibri" w:eastAsia="Calibri" w:hAnsi="Calibri"/>
          <w:sz w:val="24"/>
          <w:szCs w:val="24"/>
          <w:color w:val="auto"/>
          <w:vertAlign w:val="superscript"/>
        </w:rPr>
      </w:pPr>
    </w:p>
    <w:p>
      <w:pPr>
        <w:ind w:left="520" w:right="320" w:hanging="512"/>
        <w:spacing w:after="0" w:line="20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Total number of shares purchased does not include 4,038 shares withheld to pay taxes on the vestng of equity awards made under the Company's equity incentve plans or to pay the exercise price of optons exercised during the period.</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b w:val="1"/>
          <w:bCs w:val="1"/>
          <w:color w:val="auto"/>
        </w:rPr>
        <w:t>Comparatve Stock Performance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graph compares the cumulatve total stockholder return on Cabot common stock for the fve-year period ended September 30, 2024 with the S&amp;P 400 Chemical Index and the S&amp;P Midcap 400 Index. The comparisons assume the investment of $100 on October 1, 2019 in Cabot’s common stock and in each of the indices and the reinvestment of all dividends.</w:t>
      </w:r>
    </w:p>
    <w:p>
      <w:pPr>
        <w:spacing w:after="0" w:line="37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stock price performance on the graph below is not necessarily indicatve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83185</wp:posOffset>
            </wp:positionV>
            <wp:extent cx="5083175" cy="2966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8317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informaton included under the heading comparatve stock performance in Item 5 shall not be deemed to be “solicitng material” or subject to Regulaton 14A, shall not be deemed “fled” for purposes of Secton 18 of the Exchange Act, or otherwise be subject to the liabilites of that secton, nor shall it be deemed incorporated by reference in any fling under the Securites Act of 1933, as amended, or the Exchange Act.</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29" w:name="page30"/>
    <w:bookmarkEnd w:id="29"/>
    <w:p>
      <w:pPr>
        <w:ind w:right="4200"/>
        <w:spacing w:after="0" w:line="319" w:lineRule="auto"/>
        <w:rPr>
          <w:sz w:val="20"/>
          <w:szCs w:val="20"/>
          <w:color w:val="auto"/>
        </w:rPr>
      </w:pPr>
      <w:r>
        <w:rPr>
          <w:rFonts w:ascii="Calibri" w:cs="Calibri" w:eastAsia="Calibri" w:hAnsi="Calibri"/>
          <w:sz w:val="18"/>
          <w:szCs w:val="18"/>
          <w:b w:val="1"/>
          <w:bCs w:val="1"/>
          <w:color w:val="auto"/>
        </w:rPr>
        <w:t xml:space="preserve">Item 7. </w:t>
      </w:r>
      <w:r>
        <w:rPr>
          <w:rFonts w:ascii="Calibri" w:cs="Calibri" w:eastAsia="Calibri" w:hAnsi="Calibri"/>
          <w:sz w:val="18"/>
          <w:szCs w:val="18"/>
          <w:b w:val="1"/>
          <w:bCs w:val="1"/>
          <w:i w:val="1"/>
          <w:iCs w:val="1"/>
          <w:color w:val="auto"/>
        </w:rPr>
        <w:t>Management’s Discussion and Analysis of Financial Conditon and Results of Operatons</w:t>
      </w:r>
      <w:r>
        <w:rPr>
          <w:rFonts w:ascii="Calibri" w:cs="Calibri" w:eastAsia="Calibri" w:hAnsi="Calibri"/>
          <w:sz w:val="18"/>
          <w:szCs w:val="18"/>
          <w:b w:val="1"/>
          <w:bCs w:val="1"/>
          <w:color w:val="auto"/>
        </w:rPr>
        <w:t xml:space="preserve"> Critcal Accountng Estmates</w:t>
      </w:r>
    </w:p>
    <w:p>
      <w:pPr>
        <w:spacing w:after="0" w:line="10"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Our consolidated fnancial statements have been prepared in conformity with U.S. GAAP. This preparaton of our fnancial statements requires management to make estmates and judgments that afect the reported amounts of assets, liabilites, revenues, and expenses and related disclosure of contngent assets and liabilites. We consider an accountng estmate to be critcal to the fnancial statements if (i) the estmate is complex in nature or requires a high degree of judgment and if (ii) diferent estmates and assumptons were used, the results could have a material impact on the consolidated fnancial statements. On an ongoing basis, we evaluate our estmates and the applicaton of our policies. We base our estmates on historical experience, current conditons and on various other assumptons that we believe are reasonable under the circumstances, the results of which form the basis for making judgments about the carrying values of assets and liabilites that are not readily apparent from other sources. Actual results may difer from these estmates. We believe the following critcal accountng estmates are the most signifcant to understanding our consolidated fnancial statements.</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Deferred Tax Assets</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have established valuaton allowances against a variety of deferred tax assets, including net operatng loss carryforwards, capital loss carryforwards, foreign tax credits, and other income tax credits. We assess the realizability of our deferred tax assets quarterly and recognize a valuaton allowance when it is more likely than not that some or all of our deferred tax assets are not realizable. This assessment is completed on a jurisdicton-by-jurisdicton basis and relies on the weight of all positve and negatve evidence available. Cumulatve pre-tax losses for a three-year period are considered signifcant objectve negatve evidence that some or all of our deferred tax assets may not be realizable. Cumulatve reported pre-tax income is considered objectvely verifable positve evidence of our ability to generate positve pretax income in the future.</w:t>
      </w:r>
    </w:p>
    <w:p>
      <w:pPr>
        <w:spacing w:after="0" w:line="86"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accordance with U.S. GAAP, when there is a recent history of pre-tax losses, there is litle weight placed on forecasts for purposes of assessing the recoverability of our deferred tax assets. Judgment is required when considering the relatve impact of positve and negatve evidence. The weight given to the potental efect of positve and negatve evidence is commensurate with the extent that it can be objectvely verifed. The more negatve evidence that exists, the more positve evidence is necessary to support a conclusion that a valuaton allowance is not needed. We consider the availability of objectvely verifable evidence, such as positve recent core operatng results afer adjustng for nonrecurring items in determining our ability to utlize deferred tax assets. We use systematc and logical methods to estmate when deferred tax liabilites will reverse and generate taxable income and when deferred tax assets will reverse and generate tax deductons. Assumptons, judgment, and estmates are required when estmatng future income and scheduling the reversal of deferred tax assets and liabilites, and the exercise is inherently complex and subjectve.</w:t>
      </w:r>
    </w:p>
    <w:p>
      <w:pPr>
        <w:spacing w:after="0" w:line="88" w:lineRule="exact"/>
        <w:rPr>
          <w:sz w:val="20"/>
          <w:szCs w:val="20"/>
          <w:color w:val="auto"/>
        </w:rPr>
      </w:pPr>
    </w:p>
    <w:p>
      <w:pPr>
        <w:ind w:left="260" w:right="1020" w:firstLine="254"/>
        <w:spacing w:after="0" w:line="319" w:lineRule="auto"/>
        <w:rPr>
          <w:sz w:val="20"/>
          <w:szCs w:val="20"/>
          <w:color w:val="auto"/>
        </w:rPr>
      </w:pPr>
      <w:r>
        <w:rPr>
          <w:rFonts w:ascii="Calibri" w:cs="Calibri" w:eastAsia="Calibri" w:hAnsi="Calibri"/>
          <w:sz w:val="18"/>
          <w:szCs w:val="18"/>
          <w:color w:val="auto"/>
        </w:rPr>
        <w:t xml:space="preserve">Refer to Note A and Note R of our Notes to the Consolidated Financial Statements for descripton of our policies related to income taxes. </w:t>
      </w:r>
      <w:r>
        <w:rPr>
          <w:rFonts w:ascii="Calibri" w:cs="Calibri" w:eastAsia="Calibri" w:hAnsi="Calibri"/>
          <w:sz w:val="18"/>
          <w:szCs w:val="18"/>
          <w:b w:val="1"/>
          <w:bCs w:val="1"/>
          <w:i w:val="1"/>
          <w:iCs w:val="1"/>
          <w:color w:val="auto"/>
        </w:rPr>
        <w:t>Contngencies</w:t>
      </w:r>
    </w:p>
    <w:p>
      <w:pPr>
        <w:spacing w:after="0" w:line="1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have recorded a signifcant reserve for respirator liability claims. Our current estmate of the cost of our share of pending and future respirator liability claims is based on facts and circumstances existng at this tme, including the number and nature of the remaining claims. Developments that could afect our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(ix) exhauston or changes in the recoverability of the insurance coverage maintained by certain of the partes that contribute to the setlement of respirator claims, or a change in the availability of the indemnity provided by a former owner of the business, (x) changes in the allocaton of costs among the various partes paying legal and setlement costs, and (xi) a determinaton that the assumptons that were used to estmate our share of liability are no longer reasonable. We cannot determine the impact of these potental developments on our current estmate of our share of liability for these existng and future claims. Because reserves are limited to amounts that are probable and estmable as of a relevant measurement date, and there is inherent difculty in projectng the impact of potental developments on our share of liability for these existng and future claims, it is reasonably possible that the liabilites for existng and future claims could change in the near term and that change could be material. Refer to Note A and Note T of our Notes to the Consolidated Financial Statements for descripton of our policies related to contngencies.</w:t>
      </w:r>
    </w:p>
    <w:p>
      <w:pPr>
        <w:spacing w:after="0" w:line="2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30" w:name="page31"/>
    <w:bookmarkEnd w:id="30"/>
    <w:p>
      <w:pPr>
        <w:ind w:left="260"/>
        <w:spacing w:after="0"/>
        <w:rPr>
          <w:sz w:val="20"/>
          <w:szCs w:val="20"/>
          <w:color w:val="auto"/>
        </w:rPr>
      </w:pPr>
      <w:r>
        <w:rPr>
          <w:rFonts w:ascii="Calibri" w:cs="Calibri" w:eastAsia="Calibri" w:hAnsi="Calibri"/>
          <w:sz w:val="18"/>
          <w:szCs w:val="18"/>
          <w:b w:val="1"/>
          <w:bCs w:val="1"/>
          <w:i w:val="1"/>
          <w:iCs w:val="1"/>
          <w:color w:val="auto"/>
        </w:rPr>
        <w:t>Goodwill Impairment</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Goodwill is comprised of the purchase price of business acquisitons in excess of the fair value assigned to the net tangible and identfable intangible assets acquired. Goodwill is not amortzed and is subject to impairment testng annually, or when events or changes in the business environment indicate that the carrying value of the reportng unit may exceed its fair value.</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Evaluatng goodwill for impairment involves applying signifcant assumptons including discount rates and forecasted results for the applicable reportng unit, including earnings before interest and tax (“EBIT”), market multples and growth rates. These assumptons are forward looking and could be afected by future economic and market conditons. We engage third-party valuaton specialists as needed to develop the assumptons used in the calculaton and the evaluaton of goodwill balances. Refer to Note A and Note G of our Notes to the Consolidated Financial Statements for a descripton of our policies related to goodwill.</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Recently Issued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Refer to the discussion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96" w:lineRule="exact"/>
        <w:rPr>
          <w:sz w:val="20"/>
          <w:szCs w:val="20"/>
          <w:color w:val="auto"/>
        </w:rPr>
      </w:pPr>
    </w:p>
    <w:p>
      <w:pPr>
        <w:ind w:firstLine="509"/>
        <w:spacing w:after="0" w:line="254" w:lineRule="auto"/>
        <w:rPr>
          <w:sz w:val="20"/>
          <w:szCs w:val="20"/>
          <w:color w:val="auto"/>
        </w:rPr>
      </w:pPr>
      <w:r>
        <w:rPr>
          <w:rFonts w:ascii="Calibri" w:cs="Calibri" w:eastAsia="Calibri" w:hAnsi="Calibri"/>
          <w:sz w:val="17"/>
          <w:szCs w:val="17"/>
          <w:color w:val="auto"/>
        </w:rPr>
        <w:t>Cabot is organized into two reportable segments: Reinforcement Materials and Performance Chemicals. The Company’s former Purifcaton Solutons business was a separate reportable segment prior to divestture in the second quarter of fscal 2022. Cabot is also organized for operatonal purposes into three geographic regions: the Americas; EMEA; and Asia Pacifc. The discussions of our results of operatons for the periods presented refect these structures.</w:t>
      </w:r>
    </w:p>
    <w:p>
      <w:pPr>
        <w:spacing w:after="0" w:line="7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analysis of fnancial conditon and operatng results should be read with our consolidated fnancial statements and accompanying notes. Unless a calendar year is specifed, all references to years in this discussion are to our fscal years ended September 30.</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This secton discusses our fscal 2024 and 2023 results of operatons and year-to-year comparisons between fscal 2024 and 2023. For the discussions of our fscal 2022 results and year-to-year comparisons between fscal 2023 and fscal 2022, refer to our discussions under the headings “Results of Operatons” and “Cash Flows and Liquidity” in Item 7 of the Company’s Annual Report on Form 10-K for the fscal year ended September 30, 2023, which was fled with the United States Securites and Exchange Commission on November 22, 2023.</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b w:val="1"/>
          <w:bCs w:val="1"/>
          <w:i w:val="1"/>
          <w:iCs w:val="1"/>
          <w:color w:val="auto"/>
        </w:rPr>
        <w:t>Defniton of Terms and Non-GAAP Financial Measures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When discussing our results of operatons, we use several terms as described below.</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83"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next fscal year. Our operatng tax rate is a non-GAAP fnancial measure and should not be considered as an alternatve to our efectve tax rate, the most comparable GAAP fnancial measure. The operatng tax rate excludes income tax (expense) beneft on certain items and discrete tax items.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ind w:right="20" w:firstLine="509"/>
        <w:spacing w:after="0" w:line="250" w:lineRule="auto"/>
        <w:rPr>
          <w:sz w:val="20"/>
          <w:szCs w:val="20"/>
          <w:color w:val="auto"/>
        </w:rPr>
      </w:pPr>
      <w:r>
        <w:rPr>
          <w:rFonts w:ascii="Calibri" w:cs="Calibri" w:eastAsia="Calibri" w:hAnsi="Calibri"/>
          <w:sz w:val="17"/>
          <w:szCs w:val="17"/>
          <w:color w:val="auto"/>
        </w:rPr>
        <w:t>Our discussion under the heading “Fiscal 2024 versus Fiscal 2023—By Business Segment” includes a discussion of Total segment EBIT, which is a non-GAAP fnancial measure defned as Income (loss) from operatons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Total segment EBIT should not be considered an alternatve for Income (loss) from operatons before income taxes and equity in earnings of afliated companies, which is the most directly comparable U.S. GAAP fnancial measure. A reconciliaton of Total segment EBIT to Income (loss) from operatons before income taxes and equity in earnings of afliated companies is provided under the heading “Fiscal 2024 versus Fiscal 2023—By Business Segment”. Investors should consider the limitatons associated with this non-GAAP measure, including the potental lack of comparability of this measure from one company to another.</w:t>
      </w:r>
    </w:p>
    <w:p>
      <w:pPr>
        <w:spacing w:after="0" w:line="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calculatng Total segment EBIT, we exclude from our Income (loss) from operatons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 that would not otherwise be apparent on a GAAP basis and also facilitates an evaluaton of our operatng performance without the impact of these costs or benefts. The items of income and expense that we have excluded from Total segment EBIT, as applicable, but that are included in our GAAP Income (loss) from operatons before income taxes and equity in earnings of afliated companies, as applicable, are described below.</w:t>
      </w:r>
    </w:p>
    <w:p>
      <w:pPr>
        <w:spacing w:after="0" w:line="102" w:lineRule="exact"/>
        <w:rPr>
          <w:sz w:val="20"/>
          <w:szCs w:val="20"/>
          <w:color w:val="auto"/>
        </w:rPr>
      </w:pPr>
    </w:p>
    <w:p>
      <w:pPr>
        <w:ind w:left="90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Argentna controlled currency devaluaton loss related to the foreign exchange loss from government-controlled currency devaluatons on our net monetary assets denominated in the Argentne peso and investment losses related to the utlizaton of government bond programs established for the setlement of certain foreign payables.</w:t>
      </w:r>
    </w:p>
    <w:p>
      <w:pPr>
        <w:spacing w:after="0" w:line="97"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97"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Legal and environmental maters and reserves, which consist of costs or benefts for maters typically related to former businesses or that are otherwise incurred outside of the ordinary course of business.</w:t>
      </w:r>
    </w:p>
    <w:p>
      <w:pPr>
        <w:spacing w:after="0" w:line="96"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96"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 impairment charges, which primarily include charges associated with an impairment of goodwill, other long-lived assets or assets held for sale.</w:t>
      </w:r>
    </w:p>
    <w:p>
      <w:pPr>
        <w:spacing w:after="0" w:line="96"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Charges related to the divestture of our Purifcaton Solutons business, which include accelerated costs associated with the change in control and employee incentve compensaton.</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Beneft from the setlement of a royalty arrangement entered into in connecton with the divestture of our former Specialty Fluids business.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Gains (losses) on sale of a business.</w:t>
      </w:r>
    </w:p>
    <w:p>
      <w:pPr>
        <w:spacing w:after="0" w:line="95"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beneft plan setlements, which consist of either charges or benefts associated with the terminaton of a pension plan or the transfer of a pension plan to a mult-employer plan.</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associated with the bargain purchase of a business.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32" w:name="page33"/>
    <w:bookmarkEnd w:id="32"/>
    <w:p>
      <w:pPr>
        <w:ind w:left="260"/>
        <w:spacing w:after="0"/>
        <w:rPr>
          <w:sz w:val="20"/>
          <w:szCs w:val="20"/>
          <w:color w:val="auto"/>
        </w:rPr>
      </w:pPr>
      <w:r>
        <w:rPr>
          <w:rFonts w:ascii="Calibri" w:cs="Calibri" w:eastAsia="Calibri" w:hAnsi="Calibri"/>
          <w:sz w:val="18"/>
          <w:szCs w:val="18"/>
          <w:b w:val="1"/>
          <w:bCs w:val="1"/>
          <w:i w:val="1"/>
          <w:iCs w:val="1"/>
          <w:color w:val="auto"/>
        </w:rPr>
        <w:t>Drivers of Demand and Key Factors Afectng Proftability</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Drivers of demand and key factors afectng our proftability difer by segment. In Reinforcement Materials, longer term demand is driven primarily by:</w:t>
      </w:r>
    </w:p>
    <w:p>
      <w:pPr>
        <w:spacing w:after="0" w:line="8" w:lineRule="exact"/>
        <w:rPr>
          <w:sz w:val="20"/>
          <w:szCs w:val="20"/>
          <w:color w:val="auto"/>
        </w:rPr>
      </w:pPr>
    </w:p>
    <w:p>
      <w:pPr>
        <w:ind w:left="140" w:hanging="132"/>
        <w:spacing w:after="0"/>
        <w:tabs>
          <w:tab w:leader="none" w:pos="14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the number of vehicle miles driven globally; ii) the number of original equipment and replacement tres produced; iii) the number of automotve builds; and</w:t>
      </w:r>
    </w:p>
    <w:p>
      <w:pPr>
        <w:spacing w:after="0" w:line="8" w:lineRule="exact"/>
        <w:rPr>
          <w:rFonts w:ascii="Calibri" w:cs="Calibri" w:eastAsia="Calibri" w:hAnsi="Calibri"/>
          <w:sz w:val="17"/>
          <w:szCs w:val="17"/>
          <w:color w:val="auto"/>
        </w:rPr>
      </w:pPr>
    </w:p>
    <w:p>
      <w:pPr>
        <w:ind w:right="20" w:firstLine="8"/>
        <w:spacing w:after="0" w:line="235" w:lineRule="auto"/>
        <w:tabs>
          <w:tab w:leader="none" w:pos="212"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changes in supply chain inventory levels to adapt to end-market demand and other market dynamics. Over the past several years, operatng results have been driven by a number of factors, including: i) increases or decreases in our sales volumes driven by changes in producton levels for tres or industrial rubber products and the level at which we service that demand; ii) changes in raw material costs and our ability to adjust the sales price for our products commensurate with changes in raw material costs; iii) changes in pricing and product mix, which includes customer pricing as well as the mix of products sold or the region in which they are sold; iv) global and regional capacity utlizaton for carbon black; v) fxed cost savings achieved through restructuring and other cost saving actvites; vi) the growth of our volumes and market positon in emerging economies; vii) capacity management and technology investments, including the impact of energy utlizaton and yield improvement technologies at our manufacturing facilites; viii) royaltes and technology payments related to our patented elastomer composites technology that is used in tre applicatons; and ix) changes in energy prices associated with our energy center sales and the cost of utlites.</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Performance Chemicals, longer term demand is driven primarily by the constructon and infrastructure, automotve, including sales into bateries for electric vehicles, electronics, inkjet printng, and consumer products industries. In recent years, operatng results in Performance Chemicals have been driven by: i) increases or decreases in sales volumes to the industries previously noted; ii) changes in pricing and product mix, which includes customer pricing as well as the mix of products sold or the region in which they are sold; iii) our ability to deliver diferentated products that drive enhanced performance in customers’ applicatons; iv) our ability to obtain value pricing for this diferentaton; v) the cost of new capacity; vi) changes in selling prices relatve to variatons in the cost of raw materials; vii) the adopton of new products for use in our customers’ applicatons; and viii) changes in supply chain inventory levels to adapt to end-market demand and other market dynamics.</w:t>
      </w:r>
    </w:p>
    <w:p>
      <w:pPr>
        <w:spacing w:after="0" w:line="8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Overview of Results for Fiscal 2024</w:t>
      </w:r>
    </w:p>
    <w:p>
      <w:pPr>
        <w:spacing w:after="0" w:line="82" w:lineRule="exact"/>
        <w:rPr>
          <w:sz w:val="20"/>
          <w:szCs w:val="20"/>
          <w:color w:val="auto"/>
        </w:rPr>
      </w:pPr>
    </w:p>
    <w:p>
      <w:pPr>
        <w:ind w:right="100" w:firstLine="424"/>
        <w:spacing w:after="0" w:line="235" w:lineRule="auto"/>
        <w:rPr>
          <w:sz w:val="20"/>
          <w:szCs w:val="20"/>
          <w:color w:val="auto"/>
        </w:rPr>
      </w:pPr>
      <w:r>
        <w:rPr>
          <w:rFonts w:ascii="Calibri" w:cs="Calibri" w:eastAsia="Calibri" w:hAnsi="Calibri"/>
          <w:sz w:val="18"/>
          <w:szCs w:val="18"/>
          <w:color w:val="auto"/>
        </w:rPr>
        <w:t>During fscal 2024, Income (loss) from operatons before income taxes and equity in earnings of afliated companies increased compared to fscal 2023 primarily due to higher earnings in both our Reinforcement Materials and Performance Chemicals segments.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Fiscal 2024 compared to Fiscal 2023—Consolidated</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Net Sales and Other Operatng Revenues and Gross Proft</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260"/>
              <w:spacing w:after="0"/>
              <w:rPr>
                <w:sz w:val="20"/>
                <w:szCs w:val="20"/>
                <w:color w:val="auto"/>
              </w:rPr>
            </w:pPr>
            <w:r>
              <w:rPr>
                <w:rFonts w:ascii="Calibri" w:cs="Calibri" w:eastAsia="Calibri" w:hAnsi="Calibri"/>
                <w:sz w:val="14"/>
                <w:szCs w:val="14"/>
                <w:b w:val="1"/>
                <w:bCs w:val="1"/>
                <w:color w:val="auto"/>
              </w:rPr>
              <w:t>Years Ended September 30</w:t>
            </w:r>
          </w:p>
        </w:tc>
      </w:tr>
      <w:tr>
        <w:trPr>
          <w:trHeight w:val="173"/>
        </w:trPr>
        <w:tc>
          <w:tcPr>
            <w:tcW w:w="61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6"/>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1"/>
              <w:spacing w:after="0" w:line="169" w:lineRule="exact"/>
              <w:rPr>
                <w:sz w:val="20"/>
                <w:szCs w:val="20"/>
                <w:color w:val="auto"/>
              </w:rPr>
            </w:pPr>
            <w:r>
              <w:rPr>
                <w:rFonts w:ascii="Calibri" w:cs="Calibri" w:eastAsia="Calibri" w:hAnsi="Calibri"/>
                <w:sz w:val="14"/>
                <w:szCs w:val="14"/>
                <w:b w:val="1"/>
                <w:bCs w:val="1"/>
                <w:color w:val="auto"/>
              </w:rPr>
              <w:t>(In</w:t>
            </w:r>
          </w:p>
        </w:tc>
        <w:tc>
          <w:tcPr>
            <w:tcW w:w="580" w:type="dxa"/>
            <w:vAlign w:val="bottom"/>
            <w:gridSpan w:val="2"/>
          </w:tcPr>
          <w:p>
            <w:pPr>
              <w:jc w:val="right"/>
              <w:ind w:right="140"/>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61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Net sales and other operatng revenues</w:t>
            </w:r>
          </w:p>
        </w:tc>
        <w:tc>
          <w:tcPr>
            <w:tcW w:w="300" w:type="dxa"/>
            <w:vAlign w:val="bottom"/>
            <w:shd w:val="clear" w:color="auto" w:fill="CFF0FC"/>
          </w:tcPr>
          <w:p>
            <w:pPr>
              <w:jc w:val="right"/>
              <w:ind w:right="110"/>
              <w:spacing w:after="0" w:line="217"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3,994</w:t>
            </w:r>
          </w:p>
        </w:tc>
        <w:tc>
          <w:tcPr>
            <w:tcW w:w="580" w:type="dxa"/>
            <w:vAlign w:val="bottom"/>
            <w:gridSpan w:val="2"/>
            <w:shd w:val="clear" w:color="auto" w:fill="CFF0FC"/>
          </w:tcPr>
          <w:p>
            <w:pPr>
              <w:jc w:val="right"/>
              <w:ind w:right="260"/>
              <w:spacing w:after="0" w:line="217"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3,931</w:t>
            </w:r>
          </w:p>
        </w:tc>
        <w:tc>
          <w:tcPr>
            <w:tcW w:w="80" w:type="dxa"/>
            <w:vAlign w:val="bottom"/>
            <w:shd w:val="clear" w:color="auto" w:fill="CFF0FC"/>
          </w:tcPr>
          <w:p>
            <w:pPr>
              <w:spacing w:after="0"/>
              <w:rPr>
                <w:sz w:val="19"/>
                <w:szCs w:val="19"/>
                <w:color w:val="auto"/>
              </w:rPr>
            </w:pP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Gross proft</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960</w:t>
            </w:r>
          </w:p>
        </w:tc>
        <w:tc>
          <w:tcPr>
            <w:tcW w:w="5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839</w:t>
            </w:r>
          </w:p>
        </w:tc>
        <w:tc>
          <w:tcPr>
            <w:tcW w:w="80" w:type="dxa"/>
            <w:vAlign w:val="bottom"/>
          </w:tcPr>
          <w:p>
            <w:pPr>
              <w:spacing w:after="0"/>
              <w:rPr>
                <w:sz w:val="18"/>
                <w:szCs w:val="18"/>
                <w:color w:val="auto"/>
              </w:rPr>
            </w:pPr>
          </w:p>
        </w:tc>
      </w:tr>
    </w:tbl>
    <w:p>
      <w:pPr>
        <w:spacing w:after="0" w:line="141"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Net sales and other operatng revenues increased by $63 million in fscal 2024 as compared to fscal 2023. The increase in net sales and other operatng revenues was driven by higher volumes in both the Reinforcement Materials and Performance Chemicals segments ($148 million combined), partally ofset by unfavorable pricing and product mix in both segments ($48 million combined), the unfavorable impact from foreign currency translaton in both segments ($22 million combined) and lower by-product revenue in both segments ($5 million combined). The higher volumes were due to higher volumes in Asia Pacifc and EMEA in Reinforcement Materials and higher volumes in Performance Chemicals as volumes reconnected to underlying demand drivers in key end markets. The unfavorable pricing in both segments was primarily due to lower raw material costs that are generally passed through to our customers.</w:t>
      </w:r>
    </w:p>
    <w:p>
      <w:pPr>
        <w:spacing w:after="0" w:line="87" w:lineRule="exact"/>
        <w:rPr>
          <w:sz w:val="20"/>
          <w:szCs w:val="20"/>
          <w:color w:val="auto"/>
        </w:rPr>
      </w:pPr>
    </w:p>
    <w:p>
      <w:pPr>
        <w:ind w:right="680" w:firstLine="509"/>
        <w:spacing w:after="0" w:line="235" w:lineRule="auto"/>
        <w:rPr>
          <w:sz w:val="20"/>
          <w:szCs w:val="20"/>
          <w:color w:val="auto"/>
        </w:rPr>
      </w:pPr>
      <w:r>
        <w:rPr>
          <w:rFonts w:ascii="Calibri" w:cs="Calibri" w:eastAsia="Calibri" w:hAnsi="Calibri"/>
          <w:sz w:val="18"/>
          <w:szCs w:val="18"/>
          <w:color w:val="auto"/>
        </w:rPr>
        <w:t>Gross proft increased by $121 million in fscal 2024 as compared to fscal 2023. The increase was primarily due to higher earnings in both our Reinforcement Materials and Performance Chemicals segments as volumes and unit margins, net of costs, in both segments improved.</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Selling and Administratve Expenses</w:t>
      </w:r>
    </w:p>
    <w:p>
      <w:pPr>
        <w:spacing w:after="0" w:line="89" w:lineRule="exact"/>
        <w:rPr>
          <w:sz w:val="20"/>
          <w:szCs w:val="20"/>
          <w:color w:val="auto"/>
        </w:rPr>
      </w:pPr>
    </w:p>
    <w:p>
      <w:pPr>
        <w:ind w:left="7880"/>
        <w:spacing w:after="0"/>
        <w:rPr>
          <w:sz w:val="20"/>
          <w:szCs w:val="20"/>
          <w:color w:val="auto"/>
        </w:rPr>
      </w:pPr>
      <w:r>
        <w:rPr>
          <w:rFonts w:ascii="Calibri" w:cs="Calibri" w:eastAsia="Calibri" w:hAnsi="Calibri"/>
          <w:sz w:val="14"/>
          <w:szCs w:val="14"/>
          <w:b w:val="1"/>
          <w:bCs w:val="1"/>
          <w:color w:val="auto"/>
        </w:rPr>
        <w:t>Years Ended September 30</w:t>
      </w:r>
    </w:p>
    <w:p>
      <w:pPr>
        <w:spacing w:after="0" w:line="18" w:lineRule="exact"/>
        <w:rPr>
          <w:sz w:val="20"/>
          <w:szCs w:val="20"/>
          <w:color w:val="auto"/>
        </w:rPr>
      </w:pPr>
    </w:p>
    <w:p>
      <w:pPr>
        <w:ind w:left="7800"/>
        <w:spacing w:after="0"/>
        <w:tabs>
          <w:tab w:leader="none" w:pos="92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83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1140"/>
        <w:spacing w:after="0"/>
        <w:tabs>
          <w:tab w:leader="none" w:pos="7320" w:val="left"/>
          <w:tab w:leader="none" w:pos="8280" w:val="left"/>
          <w:tab w:leader="none" w:pos="8800" w:val="left"/>
          <w:tab w:leader="none" w:pos="9740" w:val="left"/>
        </w:tabs>
        <w:rPr>
          <w:sz w:val="20"/>
          <w:szCs w:val="20"/>
          <w:color w:val="auto"/>
        </w:rPr>
      </w:pPr>
      <w:r>
        <w:rPr>
          <w:rFonts w:ascii="Calibri" w:cs="Calibri" w:eastAsia="Calibri" w:hAnsi="Calibri"/>
          <w:sz w:val="18"/>
          <w:szCs w:val="18"/>
          <w:color w:val="auto"/>
        </w:rPr>
        <w:t>Selling and administratve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283</w:t>
        <w:tab/>
        <w:t>$</w:t>
      </w:r>
      <w:r>
        <w:rPr>
          <w:sz w:val="20"/>
          <w:szCs w:val="20"/>
          <w:color w:val="auto"/>
        </w:rPr>
        <w:tab/>
      </w:r>
      <w:r>
        <w:rPr>
          <w:rFonts w:ascii="Calibri" w:cs="Calibri" w:eastAsia="Calibri" w:hAnsi="Calibri"/>
          <w:sz w:val="17"/>
          <w:szCs w:val="17"/>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ind w:firstLine="509"/>
        <w:spacing w:after="0" w:line="235" w:lineRule="auto"/>
        <w:rPr>
          <w:sz w:val="20"/>
          <w:szCs w:val="20"/>
          <w:color w:val="auto"/>
        </w:rPr>
      </w:pPr>
      <w:r>
        <w:rPr>
          <w:rFonts w:ascii="Calibri" w:cs="Calibri" w:eastAsia="Calibri" w:hAnsi="Calibri"/>
          <w:sz w:val="18"/>
          <w:szCs w:val="18"/>
          <w:color w:val="auto"/>
        </w:rPr>
        <w:t>Selling and administratve expenses increased by $30 million in fscal 2024 as compared to fscal 2023. The increase was primarily due to an increase in the incentve compensaton expense.</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Research and Technical Expenses</w:t>
      </w:r>
    </w:p>
    <w:p>
      <w:pPr>
        <w:spacing w:after="0" w:line="89" w:lineRule="exact"/>
        <w:rPr>
          <w:sz w:val="20"/>
          <w:szCs w:val="20"/>
          <w:color w:val="auto"/>
        </w:rPr>
      </w:pPr>
    </w:p>
    <w:p>
      <w:pPr>
        <w:ind w:left="7880"/>
        <w:spacing w:after="0"/>
        <w:rPr>
          <w:sz w:val="20"/>
          <w:szCs w:val="20"/>
          <w:color w:val="auto"/>
        </w:rPr>
      </w:pPr>
      <w:r>
        <w:rPr>
          <w:rFonts w:ascii="Calibri" w:cs="Calibri" w:eastAsia="Calibri" w:hAnsi="Calibri"/>
          <w:sz w:val="14"/>
          <w:szCs w:val="14"/>
          <w:b w:val="1"/>
          <w:bCs w:val="1"/>
          <w:color w:val="auto"/>
        </w:rPr>
        <w:t>Years Ended September 30</w:t>
      </w:r>
    </w:p>
    <w:p>
      <w:pPr>
        <w:spacing w:after="0" w:line="18" w:lineRule="exact"/>
        <w:rPr>
          <w:sz w:val="20"/>
          <w:szCs w:val="20"/>
          <w:color w:val="auto"/>
        </w:rPr>
      </w:pPr>
    </w:p>
    <w:p>
      <w:pPr>
        <w:ind w:left="7800"/>
        <w:spacing w:after="0"/>
        <w:tabs>
          <w:tab w:leader="none" w:pos="92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83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1140"/>
        <w:spacing w:after="0"/>
        <w:tabs>
          <w:tab w:leader="none" w:pos="7320" w:val="left"/>
          <w:tab w:leader="none" w:pos="8360" w:val="left"/>
          <w:tab w:leader="none" w:pos="8800" w:val="left"/>
          <w:tab w:leader="none" w:pos="9820" w:val="left"/>
        </w:tabs>
        <w:rPr>
          <w:sz w:val="20"/>
          <w:szCs w:val="20"/>
          <w:color w:val="auto"/>
        </w:rPr>
      </w:pPr>
      <w:r>
        <w:rPr>
          <w:rFonts w:ascii="Calibri" w:cs="Calibri" w:eastAsia="Calibri" w:hAnsi="Calibri"/>
          <w:sz w:val="18"/>
          <w:szCs w:val="18"/>
          <w:color w:val="auto"/>
        </w:rPr>
        <w:t>Research and technical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63</w:t>
        <w:tab/>
        <w:t>$</w:t>
      </w:r>
      <w:r>
        <w:rPr>
          <w:sz w:val="20"/>
          <w:szCs w:val="20"/>
          <w:color w:val="auto"/>
        </w:rPr>
        <w:tab/>
      </w:r>
      <w:r>
        <w:rPr>
          <w:rFonts w:ascii="Calibri" w:cs="Calibri" w:eastAsia="Calibri" w:hAnsi="Calibri"/>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4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Research and technical expenses increased by $6 million in fscal 2024 as compared to fscal 2023. The increase was primarily due to an increase in the incentve compensaton expense.</w:t>
      </w:r>
    </w:p>
    <w:p>
      <w:pPr>
        <w:spacing w:after="0" w:line="375"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Loss on Sale of Business</w:t>
      </w:r>
    </w:p>
    <w:p>
      <w:pPr>
        <w:spacing w:after="0" w:line="116" w:lineRule="exact"/>
        <w:rPr>
          <w:sz w:val="20"/>
          <w:szCs w:val="20"/>
          <w:color w:val="auto"/>
        </w:rPr>
      </w:pPr>
    </w:p>
    <w:p>
      <w:pPr>
        <w:ind w:left="7880"/>
        <w:spacing w:after="0"/>
        <w:rPr>
          <w:sz w:val="20"/>
          <w:szCs w:val="20"/>
          <w:color w:val="auto"/>
        </w:rPr>
      </w:pPr>
      <w:r>
        <w:rPr>
          <w:rFonts w:ascii="Calibri" w:cs="Calibri" w:eastAsia="Calibri" w:hAnsi="Calibri"/>
          <w:sz w:val="14"/>
          <w:szCs w:val="14"/>
          <w:b w:val="1"/>
          <w:bCs w:val="1"/>
          <w:color w:val="auto"/>
        </w:rPr>
        <w:t>Years Ended September 30</w:t>
      </w:r>
    </w:p>
    <w:p>
      <w:pPr>
        <w:spacing w:after="0" w:line="18" w:lineRule="exact"/>
        <w:rPr>
          <w:sz w:val="20"/>
          <w:szCs w:val="20"/>
          <w:color w:val="auto"/>
        </w:rPr>
      </w:pPr>
    </w:p>
    <w:p>
      <w:pPr>
        <w:ind w:left="7800"/>
        <w:spacing w:after="0"/>
        <w:tabs>
          <w:tab w:leader="none" w:pos="92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83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1140"/>
        <w:spacing w:after="0" w:line="232" w:lineRule="auto"/>
        <w:tabs>
          <w:tab w:leader="none" w:pos="7320" w:val="left"/>
          <w:tab w:leader="none" w:pos="8380" w:val="left"/>
          <w:tab w:leader="none" w:pos="8800" w:val="left"/>
          <w:tab w:leader="none" w:pos="9900" w:val="left"/>
        </w:tabs>
        <w:rPr>
          <w:sz w:val="20"/>
          <w:szCs w:val="20"/>
          <w:color w:val="auto"/>
        </w:rPr>
      </w:pPr>
      <w:r>
        <w:rPr>
          <w:rFonts w:ascii="Calibri" w:cs="Calibri" w:eastAsia="Calibri" w:hAnsi="Calibri"/>
          <w:sz w:val="18"/>
          <w:szCs w:val="18"/>
          <w:color w:val="auto"/>
        </w:rPr>
        <w:t>Loss on sale of business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tab/>
        <w:t>$</w:t>
      </w:r>
      <w:r>
        <w:rPr>
          <w:sz w:val="20"/>
          <w:szCs w:val="20"/>
          <w:color w:val="auto"/>
        </w:rPr>
        <w:tab/>
      </w: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84"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 loss on sale of business associated with the sale of the Purifcaton Solutons business is described in Note D of our Notes to the Consolidated Financial Statements.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Interest and Dividend Income</w:t>
      </w:r>
    </w:p>
    <w:p>
      <w:pPr>
        <w:spacing w:after="0" w:line="89" w:lineRule="exact"/>
        <w:rPr>
          <w:sz w:val="20"/>
          <w:szCs w:val="20"/>
          <w:color w:val="auto"/>
        </w:rPr>
      </w:pPr>
    </w:p>
    <w:p>
      <w:pPr>
        <w:ind w:left="7880"/>
        <w:spacing w:after="0"/>
        <w:rPr>
          <w:sz w:val="20"/>
          <w:szCs w:val="20"/>
          <w:color w:val="auto"/>
        </w:rPr>
      </w:pPr>
      <w:r>
        <w:rPr>
          <w:rFonts w:ascii="Calibri" w:cs="Calibri" w:eastAsia="Calibri" w:hAnsi="Calibri"/>
          <w:sz w:val="14"/>
          <w:szCs w:val="14"/>
          <w:b w:val="1"/>
          <w:bCs w:val="1"/>
          <w:color w:val="auto"/>
        </w:rPr>
        <w:t>Years Ended September 30</w:t>
      </w:r>
    </w:p>
    <w:p>
      <w:pPr>
        <w:spacing w:after="0" w:line="18" w:lineRule="exact"/>
        <w:rPr>
          <w:sz w:val="20"/>
          <w:szCs w:val="20"/>
          <w:color w:val="auto"/>
        </w:rPr>
      </w:pPr>
    </w:p>
    <w:p>
      <w:pPr>
        <w:ind w:left="7800"/>
        <w:spacing w:after="0"/>
        <w:tabs>
          <w:tab w:leader="none" w:pos="92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ind w:left="83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1140"/>
        <w:spacing w:after="0"/>
        <w:tabs>
          <w:tab w:leader="none" w:pos="7320" w:val="left"/>
          <w:tab w:leader="none" w:pos="8360" w:val="left"/>
          <w:tab w:leader="none" w:pos="8800" w:val="left"/>
          <w:tab w:leader="none" w:pos="9820" w:val="left"/>
        </w:tabs>
        <w:rPr>
          <w:sz w:val="20"/>
          <w:szCs w:val="20"/>
          <w:color w:val="auto"/>
        </w:rPr>
      </w:pPr>
      <w:r>
        <w:rPr>
          <w:rFonts w:ascii="Calibri" w:cs="Calibri" w:eastAsia="Calibri" w:hAnsi="Calibri"/>
          <w:sz w:val="18"/>
          <w:szCs w:val="18"/>
          <w:color w:val="auto"/>
        </w:rPr>
        <w:t>Interest and dividend income</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32</w:t>
        <w:tab/>
        <w:t>$</w:t>
      </w:r>
      <w:r>
        <w:rPr>
          <w:sz w:val="20"/>
          <w:szCs w:val="20"/>
          <w:color w:val="auto"/>
        </w:rPr>
        <w:tab/>
      </w:r>
      <w:r>
        <w:rPr>
          <w:rFonts w:ascii="Calibri" w:cs="Calibri" w:eastAsia="Calibri" w:hAnsi="Calibri"/>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4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Interest and dividend income in fscal 2024 increased by $1 million as compared to fscal 2023 primarily due to higher interest rates and the currency mix of deposit balances.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Interest Expense</w:t>
      </w:r>
    </w:p>
    <w:p>
      <w:pPr>
        <w:spacing w:after="0" w:line="89" w:lineRule="exact"/>
        <w:rPr>
          <w:sz w:val="20"/>
          <w:szCs w:val="20"/>
          <w:color w:val="auto"/>
        </w:rPr>
      </w:pPr>
    </w:p>
    <w:p>
      <w:pPr>
        <w:ind w:left="7880"/>
        <w:spacing w:after="0"/>
        <w:rPr>
          <w:sz w:val="20"/>
          <w:szCs w:val="20"/>
          <w:color w:val="auto"/>
        </w:rPr>
      </w:pPr>
      <w:r>
        <w:rPr>
          <w:rFonts w:ascii="Calibri" w:cs="Calibri" w:eastAsia="Calibri" w:hAnsi="Calibri"/>
          <w:sz w:val="14"/>
          <w:szCs w:val="14"/>
          <w:b w:val="1"/>
          <w:bCs w:val="1"/>
          <w:color w:val="auto"/>
        </w:rPr>
        <w:t>Years Ended September 30</w:t>
      </w:r>
    </w:p>
    <w:p>
      <w:pPr>
        <w:spacing w:after="0" w:line="18" w:lineRule="exact"/>
        <w:rPr>
          <w:sz w:val="20"/>
          <w:szCs w:val="20"/>
          <w:color w:val="auto"/>
        </w:rPr>
      </w:pPr>
    </w:p>
    <w:p>
      <w:pPr>
        <w:ind w:left="7800"/>
        <w:spacing w:after="0"/>
        <w:tabs>
          <w:tab w:leader="none" w:pos="92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83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1140"/>
        <w:spacing w:after="0"/>
        <w:tabs>
          <w:tab w:leader="none" w:pos="7320" w:val="left"/>
          <w:tab w:leader="none" w:pos="8360" w:val="left"/>
          <w:tab w:leader="none" w:pos="8800" w:val="left"/>
          <w:tab w:leader="none" w:pos="9820" w:val="left"/>
        </w:tabs>
        <w:rPr>
          <w:sz w:val="20"/>
          <w:szCs w:val="20"/>
          <w:color w:val="auto"/>
        </w:rPr>
      </w:pPr>
      <w:r>
        <w:rPr>
          <w:rFonts w:ascii="Calibri" w:cs="Calibri" w:eastAsia="Calibri" w:hAnsi="Calibri"/>
          <w:sz w:val="18"/>
          <w:szCs w:val="18"/>
          <w:color w:val="auto"/>
        </w:rPr>
        <w:t>Interest expense</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81</w:t>
        <w:tab/>
        <w:t>$</w:t>
      </w:r>
      <w:r>
        <w:rPr>
          <w:sz w:val="20"/>
          <w:szCs w:val="20"/>
          <w:color w:val="auto"/>
        </w:rPr>
        <w:tab/>
      </w:r>
      <w:r>
        <w:rPr>
          <w:rFonts w:ascii="Calibri" w:cs="Calibri" w:eastAsia="Calibri" w:hAnsi="Calibri"/>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43"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Interest expense decreased by $9 million in fscal 2024 as compared to fscal 2023 primarily due to lower average short-term borrowings, partally ofset by higher interest rates.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Other Income (Expense)</w:t>
      </w:r>
    </w:p>
    <w:p>
      <w:pPr>
        <w:spacing w:after="0" w:line="89" w:lineRule="exact"/>
        <w:rPr>
          <w:sz w:val="20"/>
          <w:szCs w:val="20"/>
          <w:color w:val="auto"/>
        </w:rPr>
      </w:pPr>
    </w:p>
    <w:p>
      <w:pPr>
        <w:ind w:left="7880"/>
        <w:spacing w:after="0"/>
        <w:rPr>
          <w:sz w:val="20"/>
          <w:szCs w:val="20"/>
          <w:color w:val="auto"/>
        </w:rPr>
      </w:pPr>
      <w:r>
        <w:rPr>
          <w:rFonts w:ascii="Calibri" w:cs="Calibri" w:eastAsia="Calibri" w:hAnsi="Calibri"/>
          <w:sz w:val="14"/>
          <w:szCs w:val="14"/>
          <w:b w:val="1"/>
          <w:bCs w:val="1"/>
          <w:color w:val="auto"/>
        </w:rPr>
        <w:t>Years Ended September 30</w:t>
      </w:r>
    </w:p>
    <w:p>
      <w:pPr>
        <w:spacing w:after="0" w:line="18" w:lineRule="exact"/>
        <w:rPr>
          <w:sz w:val="20"/>
          <w:szCs w:val="20"/>
          <w:color w:val="auto"/>
        </w:rPr>
      </w:pPr>
    </w:p>
    <w:p>
      <w:pPr>
        <w:ind w:left="7800"/>
        <w:spacing w:after="0"/>
        <w:tabs>
          <w:tab w:leader="none" w:pos="92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ind w:left="83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-106680</wp:posOffset>
            </wp:positionV>
            <wp:extent cx="17227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1140"/>
        <w:spacing w:after="0"/>
        <w:tabs>
          <w:tab w:leader="none" w:pos="7320" w:val="left"/>
          <w:tab w:leader="none" w:pos="8300" w:val="left"/>
          <w:tab w:leader="none" w:pos="8800" w:val="left"/>
          <w:tab w:leader="none" w:pos="9760" w:val="left"/>
        </w:tabs>
        <w:rPr>
          <w:sz w:val="20"/>
          <w:szCs w:val="20"/>
          <w:color w:val="auto"/>
        </w:rPr>
      </w:pPr>
      <w:r>
        <w:rPr>
          <w:rFonts w:ascii="Calibri" w:cs="Calibri" w:eastAsia="Calibri" w:hAnsi="Calibri"/>
          <w:sz w:val="18"/>
          <w:szCs w:val="18"/>
          <w:color w:val="auto"/>
        </w:rPr>
        <w:t>Other income (expense)</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(36 )</w:t>
        <w:tab/>
        <w:t>$</w:t>
      </w:r>
      <w:r>
        <w:rPr>
          <w:sz w:val="20"/>
          <w:szCs w:val="20"/>
          <w:color w:val="auto"/>
        </w:rPr>
        <w:tab/>
      </w:r>
      <w:r>
        <w:rPr>
          <w:rFonts w:ascii="Calibri" w:cs="Calibri" w:eastAsia="Calibri" w:hAnsi="Calibri"/>
          <w:sz w:val="17"/>
          <w:szCs w:val="17"/>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4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Other expense increased during fscal 2024 by $20 million as compared to fscal 2023. The increase was primarily due to higher foreign currency losses in Argentna, including the impact of the government devaluaton of the currency that occurred during the frst quarter of fscal 2024.</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4" w:name="page35"/>
    <w:bookmarkEnd w:id="34"/>
    <w:p>
      <w:pPr>
        <w:ind w:left="260"/>
        <w:spacing w:after="0"/>
        <w:rPr>
          <w:sz w:val="20"/>
          <w:szCs w:val="20"/>
          <w:color w:val="auto"/>
        </w:rPr>
      </w:pPr>
      <w:r>
        <w:rPr>
          <w:rFonts w:ascii="Calibri" w:cs="Calibri" w:eastAsia="Calibri" w:hAnsi="Calibri"/>
          <w:sz w:val="18"/>
          <w:szCs w:val="18"/>
          <w:i w:val="1"/>
          <w:iCs w:val="1"/>
          <w:color w:val="auto"/>
        </w:rPr>
        <w:t>(Provision) Beneft for Income Taxes and Reconciliaton of Efectve Tax Rate to Operatng Tax Rate</w:t>
      </w:r>
    </w:p>
    <w:p>
      <w:pPr>
        <w:spacing w:after="0" w:line="89" w:lineRule="exact"/>
        <w:rPr>
          <w:sz w:val="20"/>
          <w:szCs w:val="20"/>
          <w:color w:val="auto"/>
        </w:rPr>
      </w:pPr>
    </w:p>
    <w:p>
      <w:pPr>
        <w:jc w:val="right"/>
        <w:ind w:right="268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0</wp:posOffset>
            </wp:positionV>
            <wp:extent cx="8572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0</wp:posOffset>
            </wp:positionV>
            <wp:extent cx="7683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5430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tbl>
      <w:tblPr>
        <w:tblLayout w:type="fixed"/>
        <w:tblInd w:w="5440" w:type="dxa"/>
        <w:tblCellMar>
          <w:top w:w="0" w:type="dxa"/>
          <w:left w:w="0" w:type="dxa"/>
          <w:bottom w:w="0" w:type="dxa"/>
          <w:right w:w="0" w:type="dxa"/>
        </w:tblCellMar>
      </w:tblPr>
      <w:tr>
        <w:trPr>
          <w:trHeight w:val="186"/>
        </w:trPr>
        <w:tc>
          <w:tcPr>
            <w:tcW w:w="9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888"/>
              <w:spacing w:after="0"/>
              <w:rPr>
                <w:sz w:val="20"/>
                <w:szCs w:val="20"/>
                <w:color w:val="auto"/>
              </w:rPr>
            </w:pPr>
            <w:r>
              <w:rPr>
                <w:rFonts w:ascii="Calibri" w:cs="Calibri" w:eastAsia="Calibri" w:hAnsi="Calibri"/>
                <w:sz w:val="14"/>
                <w:szCs w:val="14"/>
                <w:b w:val="1"/>
                <w:bCs w:val="1"/>
                <w:color w:val="auto"/>
              </w:rPr>
              <w:t>2024</w:t>
            </w:r>
          </w:p>
        </w:tc>
      </w:tr>
      <w:tr>
        <w:trPr>
          <w:trHeight w:val="157"/>
        </w:trPr>
        <w:tc>
          <w:tcPr>
            <w:tcW w:w="920" w:type="dxa"/>
            <w:vAlign w:val="bottom"/>
          </w:tcPr>
          <w:p>
            <w:pPr>
              <w:jc w:val="center"/>
              <w:spacing w:after="0" w:line="157" w:lineRule="exact"/>
              <w:rPr>
                <w:sz w:val="20"/>
                <w:szCs w:val="20"/>
                <w:color w:val="auto"/>
              </w:rPr>
            </w:pPr>
            <w:r>
              <w:rPr>
                <w:rFonts w:ascii="Calibri" w:cs="Calibri" w:eastAsia="Calibri" w:hAnsi="Calibri"/>
                <w:sz w:val="14"/>
                <w:szCs w:val="14"/>
                <w:b w:val="1"/>
                <w:bCs w:val="1"/>
                <w:color w:val="auto"/>
              </w:rPr>
              <w:t>(Provision) /</w:t>
            </w:r>
          </w:p>
        </w:tc>
        <w:tc>
          <w:tcPr>
            <w:tcW w:w="1280" w:type="dxa"/>
            <w:vAlign w:val="bottom"/>
          </w:tcPr>
          <w:p>
            <w:pPr>
              <w:spacing w:after="0"/>
              <w:rPr>
                <w:sz w:val="13"/>
                <w:szCs w:val="13"/>
                <w:color w:val="auto"/>
              </w:rPr>
            </w:pPr>
          </w:p>
        </w:tc>
      </w:tr>
      <w:tr>
        <w:trPr>
          <w:trHeight w:val="170"/>
        </w:trPr>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Beneft for</w:t>
            </w:r>
          </w:p>
        </w:tc>
        <w:tc>
          <w:tcPr>
            <w:tcW w:w="1280" w:type="dxa"/>
            <w:vAlign w:val="bottom"/>
          </w:tcPr>
          <w:p>
            <w:pPr>
              <w:spacing w:after="0"/>
              <w:rPr>
                <w:sz w:val="14"/>
                <w:szCs w:val="14"/>
                <w:color w:val="auto"/>
              </w:rPr>
            </w:pPr>
          </w:p>
        </w:tc>
      </w:tr>
      <w:tr>
        <w:trPr>
          <w:trHeight w:val="176"/>
        </w:trPr>
        <w:tc>
          <w:tcPr>
            <w:tcW w:w="920" w:type="dxa"/>
            <w:vAlign w:val="bottom"/>
          </w:tcPr>
          <w:p>
            <w:pPr>
              <w:jc w:val="center"/>
              <w:ind w:left="8"/>
              <w:spacing w:after="0"/>
              <w:rPr>
                <w:sz w:val="20"/>
                <w:szCs w:val="20"/>
                <w:color w:val="auto"/>
              </w:rPr>
            </w:pPr>
            <w:r>
              <w:rPr>
                <w:rFonts w:ascii="Calibri" w:cs="Calibri" w:eastAsia="Calibri" w:hAnsi="Calibri"/>
                <w:sz w:val="14"/>
                <w:szCs w:val="14"/>
                <w:b w:val="1"/>
                <w:bCs w:val="1"/>
                <w:color w:val="auto"/>
              </w:rPr>
              <w:t>Income Taxes</w:t>
            </w:r>
          </w:p>
        </w:tc>
        <w:tc>
          <w:tcPr>
            <w:tcW w:w="1280" w:type="dxa"/>
            <w:vAlign w:val="bottom"/>
          </w:tcPr>
          <w:p>
            <w:pPr>
              <w:jc w:val="right"/>
              <w:ind w:right="348"/>
              <w:spacing w:after="0"/>
              <w:rPr>
                <w:sz w:val="20"/>
                <w:szCs w:val="20"/>
                <w:color w:val="auto"/>
              </w:rPr>
            </w:pPr>
            <w:r>
              <w:rPr>
                <w:rFonts w:ascii="Calibri" w:cs="Calibri" w:eastAsia="Calibri" w:hAnsi="Calibri"/>
                <w:sz w:val="14"/>
                <w:szCs w:val="14"/>
                <w:b w:val="1"/>
                <w:bCs w:val="1"/>
                <w:color w:val="auto"/>
              </w:rPr>
              <w:t>Rate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848"/>
              <w:spacing w:after="0"/>
              <w:rPr>
                <w:sz w:val="20"/>
                <w:szCs w:val="20"/>
                <w:color w:val="auto"/>
              </w:rPr>
            </w:pPr>
            <w:r>
              <w:rPr>
                <w:rFonts w:ascii="Calibri" w:cs="Calibri" w:eastAsia="Calibri" w:hAnsi="Calibri"/>
                <w:sz w:val="14"/>
                <w:szCs w:val="14"/>
                <w:b w:val="1"/>
                <w:bCs w:val="1"/>
                <w:color w:val="auto"/>
                <w:w w:val="98"/>
              </w:rPr>
              <w:t>2023</w:t>
            </w:r>
          </w:p>
        </w:tc>
      </w:tr>
      <w:tr>
        <w:trPr>
          <w:trHeight w:val="157"/>
        </w:trPr>
        <w:tc>
          <w:tcPr>
            <w:tcW w:w="900" w:type="dxa"/>
            <w:vAlign w:val="bottom"/>
          </w:tcPr>
          <w:p>
            <w:pPr>
              <w:jc w:val="center"/>
              <w:spacing w:after="0" w:line="157" w:lineRule="exact"/>
              <w:rPr>
                <w:sz w:val="20"/>
                <w:szCs w:val="20"/>
                <w:color w:val="auto"/>
              </w:rPr>
            </w:pPr>
            <w:r>
              <w:rPr>
                <w:rFonts w:ascii="Calibri" w:cs="Calibri" w:eastAsia="Calibri" w:hAnsi="Calibri"/>
                <w:sz w:val="14"/>
                <w:szCs w:val="14"/>
                <w:b w:val="1"/>
                <w:bCs w:val="1"/>
                <w:color w:val="auto"/>
              </w:rPr>
              <w:t>(Provision) /</w:t>
            </w:r>
          </w:p>
        </w:tc>
        <w:tc>
          <w:tcPr>
            <w:tcW w:w="1220" w:type="dxa"/>
            <w:vAlign w:val="bottom"/>
          </w:tcPr>
          <w:p>
            <w:pPr>
              <w:spacing w:after="0"/>
              <w:rPr>
                <w:sz w:val="13"/>
                <w:szCs w:val="13"/>
                <w:color w:val="auto"/>
              </w:rPr>
            </w:pPr>
          </w:p>
        </w:tc>
      </w:tr>
      <w:tr>
        <w:trPr>
          <w:trHeight w:val="170"/>
        </w:trPr>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Beneft for</w:t>
            </w:r>
          </w:p>
        </w:tc>
        <w:tc>
          <w:tcPr>
            <w:tcW w:w="1220" w:type="dxa"/>
            <w:vAlign w:val="bottom"/>
          </w:tcPr>
          <w:p>
            <w:pPr>
              <w:spacing w:after="0"/>
              <w:rPr>
                <w:sz w:val="14"/>
                <w:szCs w:val="14"/>
                <w:color w:val="auto"/>
              </w:rPr>
            </w:pPr>
          </w:p>
        </w:tc>
      </w:tr>
      <w:tr>
        <w:trPr>
          <w:trHeight w:val="176"/>
        </w:trPr>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Income Taxes</w:t>
            </w:r>
          </w:p>
        </w:tc>
        <w:tc>
          <w:tcPr>
            <w:tcW w:w="1220" w:type="dxa"/>
            <w:vAlign w:val="bottom"/>
          </w:tcPr>
          <w:p>
            <w:pPr>
              <w:jc w:val="right"/>
              <w:ind w:right="328"/>
              <w:spacing w:after="0"/>
              <w:rPr>
                <w:sz w:val="20"/>
                <w:szCs w:val="20"/>
                <w:color w:val="auto"/>
              </w:rPr>
            </w:pPr>
            <w:r>
              <w:rPr>
                <w:rFonts w:ascii="Calibri" w:cs="Calibri" w:eastAsia="Calibri" w:hAnsi="Calibri"/>
                <w:sz w:val="14"/>
                <w:szCs w:val="14"/>
                <w:b w:val="1"/>
                <w:bCs w:val="1"/>
                <w:color w:val="auto"/>
              </w:rPr>
              <w:t>Rate</w:t>
            </w:r>
          </w:p>
        </w:tc>
      </w:tr>
    </w:tbl>
    <w:p>
      <w:pPr>
        <w:spacing w:after="0" w:line="1" w:lineRule="exact"/>
        <w:rPr>
          <w:sz w:val="20"/>
          <w:szCs w:val="20"/>
          <w:color w:val="auto"/>
        </w:rPr>
      </w:pPr>
    </w:p>
    <w:p>
      <w:pPr>
        <w:sectPr>
          <w:pgSz w:w="11900" w:h="16838" w:orient="portrait"/>
          <w:cols w:equalWidth="0" w:num="2">
            <w:col w:w="7640" w:space="280"/>
            <w:col w:w="3300"/>
          </w:cols>
          <w:pgMar w:left="320" w:top="1057" w:right="359" w:bottom="1440" w:gutter="0" w:footer="0" w:header="0"/>
          <w:type w:val="continuous"/>
        </w:sectPr>
      </w:pPr>
    </w:p>
    <w:tbl>
      <w:tblPr>
        <w:tblLayout w:type="fixed"/>
        <w:tblInd w:w="1140" w:type="dxa"/>
        <w:tblCellMar>
          <w:top w:w="0" w:type="dxa"/>
          <w:left w:w="0" w:type="dxa"/>
          <w:bottom w:w="0" w:type="dxa"/>
          <w:right w:w="0" w:type="dxa"/>
        </w:tblCellMar>
      </w:tblPr>
      <w:tr>
        <w:trPr>
          <w:trHeight w:val="142"/>
        </w:trPr>
        <w:tc>
          <w:tcPr>
            <w:tcW w:w="4300" w:type="dxa"/>
            <w:vAlign w:val="bottom"/>
          </w:tcPr>
          <w:p>
            <w:pPr>
              <w:spacing w:after="0" w:line="142" w:lineRule="exact"/>
              <w:rPr>
                <w:sz w:val="20"/>
                <w:szCs w:val="20"/>
                <w:color w:val="auto"/>
              </w:rPr>
            </w:pPr>
            <w:r>
              <w:rPr>
                <w:rFonts w:ascii="Calibri" w:cs="Calibri" w:eastAsia="Calibri" w:hAnsi="Calibri"/>
                <w:sz w:val="14"/>
                <w:szCs w:val="14"/>
                <w:color w:val="auto"/>
              </w:rPr>
              <w:t>(Dollars in millions)</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63"/>
        </w:trPr>
        <w:tc>
          <w:tcPr>
            <w:tcW w:w="4300" w:type="dxa"/>
            <w:vAlign w:val="bottom"/>
          </w:tcPr>
          <w:p>
            <w:pPr>
              <w:spacing w:after="0" w:line="263" w:lineRule="exact"/>
              <w:rPr>
                <w:sz w:val="20"/>
                <w:szCs w:val="20"/>
                <w:color w:val="auto"/>
              </w:rPr>
            </w:pPr>
            <w:r>
              <w:rPr>
                <w:rFonts w:ascii="Calibri" w:cs="Calibri" w:eastAsia="Calibri" w:hAnsi="Calibri"/>
                <w:sz w:val="18"/>
                <w:szCs w:val="18"/>
                <w:color w:val="auto"/>
              </w:rPr>
              <w:t>Efectve tax rate</w:t>
            </w:r>
            <w:r>
              <w:rPr>
                <w:rFonts w:ascii="Calibri" w:cs="Calibri" w:eastAsia="Calibri" w:hAnsi="Calibri"/>
                <w:sz w:val="24"/>
                <w:szCs w:val="24"/>
                <w:color w:val="auto"/>
                <w:vertAlign w:val="superscript"/>
              </w:rPr>
              <w:t>(1)</w:t>
            </w:r>
          </w:p>
        </w:tc>
        <w:tc>
          <w:tcPr>
            <w:tcW w:w="400" w:type="dxa"/>
            <w:vAlign w:val="bottom"/>
          </w:tcPr>
          <w:p>
            <w:pPr>
              <w:jc w:val="right"/>
              <w:ind w:right="210"/>
              <w:spacing w:after="0"/>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40"/>
              <w:spacing w:after="0"/>
              <w:rPr>
                <w:sz w:val="20"/>
                <w:szCs w:val="20"/>
                <w:color w:val="auto"/>
              </w:rPr>
            </w:pPr>
            <w:r>
              <w:rPr>
                <w:rFonts w:ascii="Calibri" w:cs="Calibri" w:eastAsia="Calibri" w:hAnsi="Calibri"/>
                <w:sz w:val="18"/>
                <w:szCs w:val="18"/>
                <w:color w:val="auto"/>
              </w:rPr>
              <w:t>(111 )</w:t>
            </w:r>
          </w:p>
        </w:tc>
        <w:tc>
          <w:tcPr>
            <w:tcW w:w="13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21 %</w:t>
            </w: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rPr>
                <w:sz w:val="20"/>
                <w:szCs w:val="20"/>
                <w:color w:val="auto"/>
              </w:rPr>
            </w:pPr>
            <w:r>
              <w:rPr>
                <w:rFonts w:ascii="Calibri" w:cs="Calibri" w:eastAsia="Calibri" w:hAnsi="Calibri"/>
                <w:sz w:val="18"/>
                <w:szCs w:val="18"/>
                <w:color w:val="auto"/>
              </w:rPr>
              <w:t>28</w:t>
            </w:r>
          </w:p>
        </w:tc>
        <w:tc>
          <w:tcPr>
            <w:tcW w:w="8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Calibri" w:cs="Calibri" w:eastAsia="Calibri" w:hAnsi="Calibri"/>
                <w:sz w:val="18"/>
                <w:szCs w:val="18"/>
                <w:color w:val="auto"/>
              </w:rPr>
              <w:t>-6 %</w:t>
            </w:r>
          </w:p>
        </w:tc>
      </w:tr>
      <w:tr>
        <w:trPr>
          <w:trHeight w:val="216"/>
        </w:trPr>
        <w:tc>
          <w:tcPr>
            <w:tcW w:w="43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7"/>
                <w:szCs w:val="17"/>
                <w:color w:val="auto"/>
              </w:rPr>
              <w:t>Less: Non-GAAP tax adjustments</w:t>
            </w:r>
            <w:r>
              <w:rPr>
                <w:rFonts w:ascii="Calibri" w:cs="Calibri" w:eastAsia="Calibri" w:hAnsi="Calibri"/>
                <w:sz w:val="23"/>
                <w:szCs w:val="23"/>
                <w:color w:val="auto"/>
                <w:vertAlign w:val="superscript"/>
              </w:rPr>
              <w:t>(2)</w:t>
            </w:r>
          </w:p>
        </w:tc>
        <w:tc>
          <w:tcPr>
            <w:tcW w:w="4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w:t>
            </w: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300" w:type="dxa"/>
            <w:vAlign w:val="bottom"/>
          </w:tcPr>
          <w:p>
            <w:pPr>
              <w:spacing w:after="0" w:line="209" w:lineRule="exact"/>
              <w:rPr>
                <w:sz w:val="20"/>
                <w:szCs w:val="20"/>
                <w:color w:val="auto"/>
              </w:rPr>
            </w:pPr>
            <w:r>
              <w:rPr>
                <w:rFonts w:ascii="Calibri" w:cs="Calibri" w:eastAsia="Calibri" w:hAnsi="Calibri"/>
                <w:sz w:val="18"/>
                <w:szCs w:val="18"/>
                <w:color w:val="auto"/>
              </w:rPr>
              <w:t>Operatng tax rate</w:t>
            </w:r>
          </w:p>
        </w:tc>
        <w:tc>
          <w:tcPr>
            <w:tcW w:w="400" w:type="dxa"/>
            <w:vAlign w:val="bottom"/>
          </w:tcPr>
          <w:p>
            <w:pPr>
              <w:jc w:val="right"/>
              <w:ind w:right="210"/>
              <w:spacing w:after="0" w:line="209"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(151 )</w:t>
            </w:r>
          </w:p>
        </w:tc>
        <w:tc>
          <w:tcPr>
            <w:tcW w:w="136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26 %</w:t>
            </w:r>
          </w:p>
        </w:tc>
        <w:tc>
          <w:tcPr>
            <w:tcW w:w="380" w:type="dxa"/>
            <w:vAlign w:val="bottom"/>
          </w:tcPr>
          <w:p>
            <w:pPr>
              <w:jc w:val="right"/>
              <w:ind w:right="190"/>
              <w:spacing w:after="0" w:line="209" w:lineRule="exact"/>
              <w:rPr>
                <w:sz w:val="20"/>
                <w:szCs w:val="20"/>
                <w:color w:val="auto"/>
              </w:rPr>
            </w:pPr>
            <w:r>
              <w:rPr>
                <w:rFonts w:ascii="Calibri" w:cs="Calibri" w:eastAsia="Calibri" w:hAnsi="Calibri"/>
                <w:sz w:val="18"/>
                <w:szCs w:val="18"/>
                <w:color w:val="auto"/>
                <w:w w:val="87"/>
              </w:rPr>
              <w:t>$</w:t>
            </w:r>
          </w:p>
        </w:tc>
        <w:tc>
          <w:tcPr>
            <w:tcW w:w="68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(133 )</w:t>
            </w:r>
          </w:p>
        </w:tc>
        <w:tc>
          <w:tcPr>
            <w:tcW w:w="1200" w:type="dxa"/>
            <w:vAlign w:val="bottom"/>
            <w:gridSpan w:val="3"/>
          </w:tcPr>
          <w:p>
            <w:pPr>
              <w:jc w:val="right"/>
              <w:spacing w:after="0" w:line="209" w:lineRule="exact"/>
              <w:rPr>
                <w:sz w:val="20"/>
                <w:szCs w:val="20"/>
                <w:color w:val="auto"/>
              </w:rPr>
            </w:pPr>
            <w:r>
              <w:rPr>
                <w:rFonts w:ascii="Calibri" w:cs="Calibri" w:eastAsia="Calibri" w:hAnsi="Calibri"/>
                <w:sz w:val="18"/>
                <w:szCs w:val="18"/>
                <w:color w:val="auto"/>
              </w:rPr>
              <w:t>28 %</w:t>
            </w:r>
          </w:p>
        </w:tc>
      </w:tr>
      <w:tr>
        <w:trPr>
          <w:trHeight w:val="20"/>
        </w:trPr>
        <w:tc>
          <w:tcPr>
            <w:tcW w:w="4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-170815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4" w:lineRule="exact"/>
        <w:rPr>
          <w:sz w:val="20"/>
          <w:szCs w:val="20"/>
          <w:color w:val="auto"/>
        </w:rPr>
      </w:pPr>
    </w:p>
    <w:p>
      <w:pPr>
        <w:ind w:left="520" w:right="160" w:hanging="512"/>
        <w:spacing w:after="0" w:line="201" w:lineRule="auto"/>
        <w:tabs>
          <w:tab w:leader="none" w:pos="520" w:val="left"/>
        </w:tabs>
        <w:numPr>
          <w:ilvl w:val="0"/>
          <w:numId w:val="15"/>
        </w:numPr>
        <w:rPr>
          <w:rFonts w:ascii="Calibri" w:cs="Calibri" w:eastAsia="Calibri" w:hAnsi="Calibri"/>
          <w:sz w:val="24"/>
          <w:szCs w:val="24"/>
          <w:color w:val="auto"/>
          <w:vertAlign w:val="superscript"/>
        </w:rPr>
      </w:pPr>
      <w:r>
        <w:rPr>
          <w:rFonts w:ascii="Calibri" w:cs="Calibri" w:eastAsia="Calibri" w:hAnsi="Calibri"/>
          <w:sz w:val="18"/>
          <w:szCs w:val="18"/>
          <w:color w:val="auto"/>
        </w:rPr>
        <w:t>Refer to the reconciliaton of computed tax expense at the federal statutory rate to the Provision (beneft) for income taxes in Note R of our Notes to the Consolidated Financial Statements.</w:t>
      </w:r>
    </w:p>
    <w:p>
      <w:pPr>
        <w:spacing w:after="0" w:line="43" w:lineRule="exact"/>
        <w:rPr>
          <w:rFonts w:ascii="Calibri" w:cs="Calibri" w:eastAsia="Calibri" w:hAnsi="Calibri"/>
          <w:sz w:val="24"/>
          <w:szCs w:val="24"/>
          <w:color w:val="auto"/>
          <w:vertAlign w:val="superscript"/>
        </w:rPr>
      </w:pPr>
    </w:p>
    <w:p>
      <w:pPr>
        <w:ind w:left="520" w:right="260" w:hanging="512"/>
        <w:spacing w:after="0" w:line="201" w:lineRule="auto"/>
        <w:tabs>
          <w:tab w:leader="none" w:pos="520" w:val="left"/>
        </w:tabs>
        <w:numPr>
          <w:ilvl w:val="0"/>
          <w:numId w:val="15"/>
        </w:numPr>
        <w:rPr>
          <w:rFonts w:ascii="Calibri" w:cs="Calibri" w:eastAsia="Calibri" w:hAnsi="Calibri"/>
          <w:sz w:val="24"/>
          <w:szCs w:val="24"/>
          <w:color w:val="auto"/>
          <w:vertAlign w:val="superscript"/>
        </w:rPr>
      </w:pPr>
      <w:r>
        <w:rPr>
          <w:rFonts w:ascii="Calibri" w:cs="Calibri" w:eastAsia="Calibri" w:hAnsi="Calibri"/>
          <w:sz w:val="18"/>
          <w:szCs w:val="18"/>
          <w:color w:val="auto"/>
        </w:rPr>
        <w:t>Non-GAAP tax adjustments made to arrive at the operatng tax provision include the income tax (expense) beneft on certain items and discrete tax items, as further described above under the heading “Defniton of Terms and Non-GAAP Financial Measures”.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For the year ended September 30, 2024, the (Provision) beneft for income taxes was a $111 million expense compared to a $28 million beneft for fscal 2023. Included in the (provision) beneft for income taxes for the year ended September 30, 2024 and 2023 is a tax beneft of $24 million and $152 million, respectvely, related to a partal valuaton allowance release on the Company’s U.S. net deferred tax assets. Our income taxes are afected by the mix of earnings in the tax jurisdictons in which we operate, and the presence of valuaton allowances in certain tax jurisdictons.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fscal 2025, we expect our Operatng tax rate to be in the range of 27% to 29%. We are not providing a forward-looking reconciliaton of the operatng tax rate range with an efectve tax rate range because, without unreasonable efort, we are unable to predict with reasonable certainty the maters we would allocate to “certain items,” including unusual gains and losses, costs associated with future restructurings, acquisiton-related expenses and litgaton outcomes. These items are uncertain, depend on various factors, and could have a material impact on the efectve tax rate in future periods.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Equity in Earnings of Afliated Companies and Net Income (Loss) Atributable to Noncontrolling Interest, Net of Tax</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68"/>
              <w:spacing w:after="0"/>
              <w:rPr>
                <w:sz w:val="20"/>
                <w:szCs w:val="20"/>
                <w:color w:val="auto"/>
              </w:rPr>
            </w:pPr>
            <w:r>
              <w:rPr>
                <w:rFonts w:ascii="Calibri" w:cs="Calibri" w:eastAsia="Calibri" w:hAnsi="Calibri"/>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6180" w:type="dxa"/>
            <w:vAlign w:val="bottom"/>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Calibri" w:cs="Calibri" w:eastAsia="Calibri" w:hAnsi="Calibri"/>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ind w:right="16"/>
              <w:spacing w:after="0" w:line="169" w:lineRule="exact"/>
              <w:rPr>
                <w:sz w:val="20"/>
                <w:szCs w:val="20"/>
                <w:color w:val="auto"/>
              </w:rPr>
            </w:pPr>
            <w:r>
              <w:rPr>
                <w:rFonts w:ascii="Calibri" w:cs="Calibri" w:eastAsia="Calibri" w:hAnsi="Calibri"/>
                <w:sz w:val="14"/>
                <w:szCs w:val="14"/>
                <w:b w:val="1"/>
                <w:bCs w:val="1"/>
                <w:color w:val="auto"/>
              </w:rPr>
              <w:t>(In</w:t>
            </w:r>
          </w:p>
        </w:tc>
        <w:tc>
          <w:tcPr>
            <w:tcW w:w="1120" w:type="dxa"/>
            <w:vAlign w:val="bottom"/>
            <w:gridSpan w:val="2"/>
          </w:tcPr>
          <w:p>
            <w:pPr>
              <w:jc w:val="right"/>
              <w:ind w:right="608"/>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61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Equity in earnings of afliated companies, net of tax</w:t>
            </w:r>
          </w:p>
        </w:tc>
        <w:tc>
          <w:tcPr>
            <w:tcW w:w="880" w:type="dxa"/>
            <w:vAlign w:val="bottom"/>
            <w:shd w:val="clear" w:color="auto" w:fill="CFF0FC"/>
          </w:tcPr>
          <w:p>
            <w:pPr>
              <w:jc w:val="right"/>
              <w:ind w:right="699"/>
              <w:spacing w:after="0" w:line="217"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6</w:t>
            </w:r>
          </w:p>
        </w:tc>
        <w:tc>
          <w:tcPr>
            <w:tcW w:w="1120" w:type="dxa"/>
            <w:vAlign w:val="bottom"/>
            <w:gridSpan w:val="2"/>
            <w:shd w:val="clear" w:color="auto" w:fill="CFF0FC"/>
          </w:tcPr>
          <w:p>
            <w:pPr>
              <w:jc w:val="right"/>
              <w:ind w:right="728"/>
              <w:spacing w:after="0" w:line="217"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5</w:t>
            </w:r>
          </w:p>
        </w:tc>
        <w:tc>
          <w:tcPr>
            <w:tcW w:w="80" w:type="dxa"/>
            <w:vAlign w:val="bottom"/>
            <w:shd w:val="clear" w:color="auto" w:fill="CFF0FC"/>
          </w:tcPr>
          <w:p>
            <w:pPr>
              <w:spacing w:after="0"/>
              <w:rPr>
                <w:sz w:val="19"/>
                <w:szCs w:val="19"/>
                <w:color w:val="auto"/>
              </w:rPr>
            </w:pPr>
          </w:p>
        </w:tc>
      </w:tr>
      <w:tr>
        <w:trPr>
          <w:trHeight w:val="194"/>
        </w:trPr>
        <w:tc>
          <w:tcPr>
            <w:tcW w:w="6180" w:type="dxa"/>
            <w:vAlign w:val="bottom"/>
          </w:tcPr>
          <w:p>
            <w:pPr>
              <w:spacing w:after="0" w:line="194" w:lineRule="exact"/>
              <w:rPr>
                <w:sz w:val="20"/>
                <w:szCs w:val="20"/>
                <w:color w:val="auto"/>
              </w:rPr>
            </w:pPr>
            <w:r>
              <w:rPr>
                <w:rFonts w:ascii="Calibri" w:cs="Calibri" w:eastAsia="Calibri" w:hAnsi="Calibri"/>
                <w:sz w:val="18"/>
                <w:szCs w:val="18"/>
                <w:color w:val="auto"/>
              </w:rPr>
              <w:t>Net income (loss) atributable to noncontrolling interests,</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6180" w:type="dxa"/>
            <w:vAlign w:val="bottom"/>
          </w:tcPr>
          <w:p>
            <w:pPr>
              <w:ind w:left="120"/>
              <w:spacing w:after="0" w:line="215" w:lineRule="exact"/>
              <w:rPr>
                <w:sz w:val="20"/>
                <w:szCs w:val="20"/>
                <w:color w:val="auto"/>
              </w:rPr>
            </w:pPr>
            <w:r>
              <w:rPr>
                <w:rFonts w:ascii="Calibri" w:cs="Calibri" w:eastAsia="Calibri" w:hAnsi="Calibri"/>
                <w:sz w:val="18"/>
                <w:szCs w:val="18"/>
                <w:color w:val="auto"/>
              </w:rPr>
              <w:t>net of tax</w:t>
            </w:r>
          </w:p>
        </w:tc>
        <w:tc>
          <w:tcPr>
            <w:tcW w:w="880" w:type="dxa"/>
            <w:vAlign w:val="bottom"/>
          </w:tcPr>
          <w:p>
            <w:pPr>
              <w:jc w:val="right"/>
              <w:ind w:right="69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1120" w:type="dxa"/>
            <w:vAlign w:val="bottom"/>
            <w:gridSpan w:val="2"/>
          </w:tcPr>
          <w:p>
            <w:pPr>
              <w:jc w:val="right"/>
              <w:ind w:right="728"/>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80" w:type="dxa"/>
            <w:vAlign w:val="bottom"/>
          </w:tcPr>
          <w:p>
            <w:pPr>
              <w:spacing w:after="0"/>
              <w:rPr>
                <w:sz w:val="18"/>
                <w:szCs w:val="18"/>
                <w:color w:val="auto"/>
              </w:rPr>
            </w:pPr>
          </w:p>
        </w:tc>
      </w:tr>
    </w:tbl>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Equity in earnings of afliated companies, net of tax, increased by $1 million in fscal 2024 compared to fscal 2023 primarily due to higher proftability at our equity afliate in Venezuela.</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Net income (loss) atributable to noncontrolling interests, net of tax, increased by $5 million in fscal 2024 compared to fscal 2023 primarily due to increase earnings of our joint ventures in China and the Czech Republic.</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Net Income (Loss) Atributable to Cabot Corporaton</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fscal 2024 and 2023, we reported net income atributable to Cabot Corporaton of $380 million ($6.72 earnings per diluted common share) and</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$445 million ($7.73 earnings per diluted common share), respectvely. The decrease in fscal 2024 was primarily due to a lower partal release of the valuaton</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allowance on our U.S. deferred tax assets ($128 million) and higher losses from government-controlled currency devaluatons in Argentna ($26 million),</w:t>
      </w:r>
    </w:p>
    <w:p>
      <w:pPr>
        <w:spacing w:after="0" w:line="235" w:lineRule="auto"/>
        <w:rPr>
          <w:sz w:val="20"/>
          <w:szCs w:val="20"/>
          <w:color w:val="auto"/>
        </w:rPr>
      </w:pPr>
      <w:r>
        <w:rPr>
          <w:rFonts w:ascii="Calibri" w:cs="Calibri" w:eastAsia="Calibri" w:hAnsi="Calibri"/>
          <w:sz w:val="18"/>
          <w:szCs w:val="18"/>
          <w:color w:val="auto"/>
        </w:rPr>
        <w:t>partally ofset by higher earnings in both our Reinforcement Material and Performance Chemicals segments ($94 million combined).</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35" w:name="page36"/>
    <w:bookmarkEnd w:id="35"/>
    <w:p>
      <w:pPr>
        <w:ind w:left="260"/>
        <w:spacing w:after="0"/>
        <w:rPr>
          <w:sz w:val="20"/>
          <w:szCs w:val="20"/>
          <w:color w:val="auto"/>
        </w:rPr>
      </w:pPr>
      <w:r>
        <w:rPr>
          <w:rFonts w:ascii="Calibri" w:cs="Calibri" w:eastAsia="Calibri" w:hAnsi="Calibri"/>
          <w:sz w:val="18"/>
          <w:szCs w:val="18"/>
          <w:b w:val="1"/>
          <w:bCs w:val="1"/>
          <w:i w:val="1"/>
          <w:iCs w:val="1"/>
          <w:color w:val="auto"/>
        </w:rPr>
        <w:t>Fiscal 2024 compared to Fiscal 2023—By Business Segment</w:t>
      </w:r>
    </w:p>
    <w:p>
      <w:pPr>
        <w:spacing w:after="0" w:line="82"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Income (loss) from operatons before income taxes and equity in earnings of afliated companies, pre-tax certain items, other unallocated items and Total segment EBIT for fscal 2024 and 2023 are set forth in the table below. The details of certain items and other unallocated items are shown below and in Note V of our Notes to the Consolidated Financial Statements.</w:t>
      </w:r>
    </w:p>
    <w:p>
      <w:pPr>
        <w:spacing w:after="0" w:line="91"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96"/>
              <w:spacing w:after="0"/>
              <w:rPr>
                <w:sz w:val="20"/>
                <w:szCs w:val="20"/>
                <w:color w:val="auto"/>
              </w:rPr>
            </w:pPr>
            <w:r>
              <w:rPr>
                <w:rFonts w:ascii="Calibri" w:cs="Calibri" w:eastAsia="Calibri" w:hAnsi="Calibri"/>
                <w:sz w:val="14"/>
                <w:szCs w:val="14"/>
                <w:b w:val="1"/>
                <w:bCs w:val="1"/>
                <w:color w:val="auto"/>
              </w:rPr>
              <w:t>Years Ended 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61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ind w:right="14"/>
              <w:spacing w:after="0" w:line="169" w:lineRule="exact"/>
              <w:rPr>
                <w:sz w:val="20"/>
                <w:szCs w:val="20"/>
                <w:color w:val="auto"/>
              </w:rPr>
            </w:pPr>
            <w:r>
              <w:rPr>
                <w:rFonts w:ascii="Calibri" w:cs="Calibri" w:eastAsia="Calibri" w:hAnsi="Calibri"/>
                <w:sz w:val="14"/>
                <w:szCs w:val="14"/>
                <w:b w:val="1"/>
                <w:bCs w:val="1"/>
                <w:color w:val="auto"/>
              </w:rPr>
              <w:t>(In</w:t>
            </w:r>
          </w:p>
        </w:tc>
        <w:tc>
          <w:tcPr>
            <w:tcW w:w="1060" w:type="dxa"/>
            <w:vAlign w:val="bottom"/>
            <w:gridSpan w:val="2"/>
          </w:tcPr>
          <w:p>
            <w:pPr>
              <w:jc w:val="right"/>
              <w:ind w:right="536"/>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6180" w:type="dxa"/>
            <w:vAlign w:val="bottom"/>
            <w:shd w:val="clear" w:color="auto" w:fill="CFF0FC"/>
          </w:tcPr>
          <w:p>
            <w:pPr>
              <w:spacing w:after="0" w:line="196" w:lineRule="exact"/>
              <w:rPr>
                <w:sz w:val="20"/>
                <w:szCs w:val="20"/>
                <w:color w:val="auto"/>
              </w:rPr>
            </w:pPr>
            <w:r>
              <w:rPr>
                <w:rFonts w:ascii="Calibri" w:cs="Calibri" w:eastAsia="Calibri" w:hAnsi="Calibri"/>
                <w:sz w:val="18"/>
                <w:szCs w:val="18"/>
                <w:color w:val="auto"/>
              </w:rPr>
              <w:t>Income (loss) from operatons before income</w:t>
            </w: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8"/>
        </w:trPr>
        <w:tc>
          <w:tcPr>
            <w:tcW w:w="61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taxes and equity in earnings of afliated companies</w:t>
            </w:r>
          </w:p>
        </w:tc>
        <w:tc>
          <w:tcPr>
            <w:tcW w:w="840" w:type="dxa"/>
            <w:vAlign w:val="bottom"/>
            <w:tcBorders>
              <w:bottom w:val="single" w:sz="8" w:color="CFF0FC"/>
            </w:tcBorders>
            <w:shd w:val="clear" w:color="auto" w:fill="CFF0FC"/>
          </w:tcPr>
          <w:p>
            <w:pPr>
              <w:jc w:val="right"/>
              <w:ind w:right="659"/>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529</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Less: Certain items, pre-tax</w:t>
            </w:r>
          </w:p>
        </w:tc>
        <w:tc>
          <w:tcPr>
            <w:tcW w:w="840" w:type="dxa"/>
            <w:vAlign w:val="bottom"/>
          </w:tcPr>
          <w:p>
            <w:pPr>
              <w:spacing w:after="0"/>
              <w:rPr>
                <w:sz w:val="18"/>
                <w:szCs w:val="18"/>
                <w:color w:val="auto"/>
              </w:rPr>
            </w:pPr>
          </w:p>
        </w:tc>
        <w:tc>
          <w:tcPr>
            <w:tcW w:w="64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(59 )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(29 )</w:t>
            </w:r>
          </w:p>
        </w:tc>
      </w:tr>
      <w:tr>
        <w:trPr>
          <w:trHeight w:val="216"/>
        </w:trPr>
        <w:tc>
          <w:tcPr>
            <w:tcW w:w="61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Less: Other unallocated items</w:t>
            </w: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8"/>
              <w:spacing w:after="0" w:line="216" w:lineRule="exact"/>
              <w:rPr>
                <w:sz w:val="20"/>
                <w:szCs w:val="20"/>
                <w:color w:val="auto"/>
              </w:rPr>
            </w:pPr>
            <w:r>
              <w:rPr>
                <w:rFonts w:ascii="Calibri" w:cs="Calibri" w:eastAsia="Calibri" w:hAnsi="Calibri"/>
                <w:sz w:val="18"/>
                <w:szCs w:val="18"/>
                <w:color w:val="auto"/>
              </w:rPr>
              <w:t>(113 )</w:t>
            </w:r>
          </w:p>
        </w:tc>
        <w:tc>
          <w:tcPr>
            <w:tcW w:w="8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(127 )</w:t>
            </w:r>
          </w:p>
        </w:tc>
      </w:tr>
      <w:tr>
        <w:trPr>
          <w:trHeight w:val="210"/>
        </w:trPr>
        <w:tc>
          <w:tcPr>
            <w:tcW w:w="6180" w:type="dxa"/>
            <w:vAlign w:val="bottom"/>
            <w:tcBorders>
              <w:top w:val="single" w:sz="8" w:color="CFF0FC"/>
            </w:tcBorders>
          </w:tcPr>
          <w:p>
            <w:pPr>
              <w:spacing w:after="0" w:line="210" w:lineRule="exact"/>
              <w:rPr>
                <w:sz w:val="20"/>
                <w:szCs w:val="20"/>
                <w:color w:val="auto"/>
              </w:rPr>
            </w:pPr>
            <w:r>
              <w:rPr>
                <w:rFonts w:ascii="Calibri" w:cs="Calibri" w:eastAsia="Calibri" w:hAnsi="Calibri"/>
                <w:sz w:val="18"/>
                <w:szCs w:val="18"/>
                <w:color w:val="auto"/>
              </w:rPr>
              <w:t>Total segment EBIT</w:t>
            </w:r>
          </w:p>
        </w:tc>
        <w:tc>
          <w:tcPr>
            <w:tcW w:w="840" w:type="dxa"/>
            <w:vAlign w:val="bottom"/>
            <w:tcBorders>
              <w:top w:val="single" w:sz="8" w:color="auto"/>
              <w:bottom w:val="single" w:sz="8" w:color="auto"/>
            </w:tcBorders>
          </w:tcPr>
          <w:p>
            <w:pPr>
              <w:jc w:val="right"/>
              <w:ind w:right="659"/>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701</w:t>
            </w:r>
          </w:p>
        </w:tc>
        <w:tc>
          <w:tcPr>
            <w:tcW w:w="220" w:type="dxa"/>
            <w:vAlign w:val="bottom"/>
            <w:tcBorders>
              <w:top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line="210" w:lineRule="exact"/>
              <w:rPr>
                <w:sz w:val="20"/>
                <w:szCs w:val="20"/>
                <w:color w:val="auto"/>
              </w:rPr>
            </w:pPr>
            <w:r>
              <w:rPr>
                <w:rFonts w:ascii="Calibri" w:cs="Calibri" w:eastAsia="Calibri" w:hAnsi="Calibri"/>
                <w:sz w:val="18"/>
                <w:szCs w:val="18"/>
                <w:color w:val="auto"/>
                <w:w w:val="87"/>
              </w:rPr>
              <w:t>$</w:t>
            </w:r>
          </w:p>
        </w:tc>
        <w:tc>
          <w:tcPr>
            <w:tcW w:w="4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607</w:t>
            </w:r>
          </w:p>
        </w:tc>
        <w:tc>
          <w:tcPr>
            <w:tcW w:w="80" w:type="dxa"/>
            <w:vAlign w:val="bottom"/>
            <w:tcBorders>
              <w:top w:val="single" w:sz="8" w:color="CFF0FC"/>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right="20" w:firstLine="509"/>
        <w:spacing w:after="0" w:line="254" w:lineRule="auto"/>
        <w:rPr>
          <w:sz w:val="20"/>
          <w:szCs w:val="20"/>
          <w:color w:val="auto"/>
        </w:rPr>
      </w:pPr>
      <w:r>
        <w:rPr>
          <w:rFonts w:ascii="Calibri" w:cs="Calibri" w:eastAsia="Calibri" w:hAnsi="Calibri"/>
          <w:sz w:val="17"/>
          <w:szCs w:val="17"/>
          <w:color w:val="auto"/>
        </w:rPr>
        <w:t>In fscal 2024, Income (loss) from operatons before income taxes and equity in earnings of afliated companies increased by $78 million. The increase was primarily driven by higher earnings in both our Reinforcement Materials and Performance Chemicals segment ($94 combined) and higher General unallocated income ($20 million), partally ofset by higher expenses from Argentna controlled currency devaluaton and other losses ($36 million).</w:t>
      </w:r>
    </w:p>
    <w:p>
      <w:pPr>
        <w:spacing w:after="0" w:line="65"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Certain Items: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Details of the certain items for fscal 2024 and 2023 are as follows: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136"/>
              <w:spacing w:after="0"/>
              <w:rPr>
                <w:sz w:val="20"/>
                <w:szCs w:val="20"/>
                <w:color w:val="auto"/>
              </w:rPr>
            </w:pPr>
            <w:r>
              <w:rPr>
                <w:rFonts w:ascii="Calibri" w:cs="Calibri" w:eastAsia="Calibri" w:hAnsi="Calibri"/>
                <w:sz w:val="14"/>
                <w:szCs w:val="14"/>
                <w:b w:val="1"/>
                <w:bCs w:val="1"/>
                <w:color w:val="auto"/>
              </w:rPr>
              <w:t>Years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6180" w:type="dxa"/>
            <w:vAlign w:val="bottom"/>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Calibri" w:cs="Calibri" w:eastAsia="Calibri" w:hAnsi="Calibri"/>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36"/>
              <w:spacing w:after="0"/>
              <w:rPr>
                <w:sz w:val="20"/>
                <w:szCs w:val="20"/>
                <w:color w:val="auto"/>
              </w:rPr>
            </w:pPr>
            <w:r>
              <w:rPr>
                <w:rFonts w:ascii="Calibri" w:cs="Calibri" w:eastAsia="Calibri" w:hAnsi="Calibri"/>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ind w:right="12"/>
              <w:spacing w:after="0" w:line="169" w:lineRule="exact"/>
              <w:rPr>
                <w:sz w:val="20"/>
                <w:szCs w:val="20"/>
                <w:color w:val="auto"/>
              </w:rPr>
            </w:pPr>
            <w:r>
              <w:rPr>
                <w:rFonts w:ascii="Calibri" w:cs="Calibri" w:eastAsia="Calibri" w:hAnsi="Calibri"/>
                <w:sz w:val="14"/>
                <w:szCs w:val="14"/>
                <w:b w:val="1"/>
                <w:bCs w:val="1"/>
                <w:color w:val="auto"/>
              </w:rPr>
              <w:t>(In</w:t>
            </w:r>
          </w:p>
        </w:tc>
        <w:tc>
          <w:tcPr>
            <w:tcW w:w="1100" w:type="dxa"/>
            <w:vAlign w:val="bottom"/>
            <w:gridSpan w:val="2"/>
          </w:tcPr>
          <w:p>
            <w:pPr>
              <w:jc w:val="right"/>
              <w:ind w:right="576"/>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61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Argentna controlled currency devaluaton and other losses</w:t>
            </w:r>
          </w:p>
        </w:tc>
        <w:tc>
          <w:tcPr>
            <w:tcW w:w="880" w:type="dxa"/>
            <w:vAlign w:val="bottom"/>
            <w:shd w:val="clear" w:color="auto" w:fill="CFF0FC"/>
          </w:tcPr>
          <w:p>
            <w:pPr>
              <w:jc w:val="right"/>
              <w:ind w:right="699"/>
              <w:spacing w:after="0" w:line="217" w:lineRule="exact"/>
              <w:rPr>
                <w:sz w:val="20"/>
                <w:szCs w:val="20"/>
                <w:color w:val="auto"/>
              </w:rPr>
            </w:pPr>
            <w:r>
              <w:rPr>
                <w:rFonts w:ascii="Calibri" w:cs="Calibri" w:eastAsia="Calibri" w:hAnsi="Calibri"/>
                <w:sz w:val="18"/>
                <w:szCs w:val="18"/>
                <w:color w:val="auto"/>
                <w:w w:val="87"/>
              </w:rPr>
              <w:t>$</w:t>
            </w:r>
          </w:p>
        </w:tc>
        <w:tc>
          <w:tcPr>
            <w:tcW w:w="600" w:type="dxa"/>
            <w:vAlign w:val="bottom"/>
            <w:gridSpan w:val="2"/>
            <w:shd w:val="clear" w:color="auto" w:fill="CFF0FC"/>
          </w:tcPr>
          <w:p>
            <w:pPr>
              <w:jc w:val="right"/>
              <w:ind w:right="88"/>
              <w:spacing w:after="0" w:line="217" w:lineRule="exact"/>
              <w:rPr>
                <w:sz w:val="20"/>
                <w:szCs w:val="20"/>
                <w:color w:val="auto"/>
              </w:rPr>
            </w:pPr>
            <w:r>
              <w:rPr>
                <w:rFonts w:ascii="Calibri" w:cs="Calibri" w:eastAsia="Calibri" w:hAnsi="Calibri"/>
                <w:sz w:val="18"/>
                <w:szCs w:val="18"/>
                <w:color w:val="auto"/>
              </w:rPr>
              <w:t>(43 )</w:t>
            </w:r>
          </w:p>
        </w:tc>
        <w:tc>
          <w:tcPr>
            <w:tcW w:w="880" w:type="dxa"/>
            <w:vAlign w:val="bottom"/>
            <w:shd w:val="clear" w:color="auto" w:fill="CFF0FC"/>
          </w:tcPr>
          <w:p>
            <w:pPr>
              <w:jc w:val="right"/>
              <w:ind w:right="696"/>
              <w:spacing w:after="0" w:line="217"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(7 )</w:t>
            </w: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Global restructuring actvites (Note O)</w:t>
            </w:r>
          </w:p>
        </w:tc>
        <w:tc>
          <w:tcPr>
            <w:tcW w:w="880" w:type="dxa"/>
            <w:vAlign w:val="bottom"/>
          </w:tcPr>
          <w:p>
            <w:pPr>
              <w:spacing w:after="0"/>
              <w:rPr>
                <w:sz w:val="18"/>
                <w:szCs w:val="18"/>
                <w:color w:val="auto"/>
              </w:rPr>
            </w:pPr>
          </w:p>
        </w:tc>
        <w:tc>
          <w:tcPr>
            <w:tcW w:w="60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(13 )</w:t>
            </w:r>
          </w:p>
        </w:tc>
        <w:tc>
          <w:tcPr>
            <w:tcW w:w="880" w:type="dxa"/>
            <w:vAlign w:val="bottom"/>
          </w:tcPr>
          <w:p>
            <w:pPr>
              <w:spacing w:after="0"/>
              <w:rPr>
                <w:sz w:val="18"/>
                <w:szCs w:val="18"/>
                <w:color w:val="auto"/>
              </w:rPr>
            </w:pPr>
          </w:p>
        </w:tc>
        <w:tc>
          <w:tcPr>
            <w:tcW w:w="4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(4 )</w:t>
            </w:r>
          </w:p>
        </w:tc>
      </w:tr>
      <w:tr>
        <w:trPr>
          <w:trHeight w:val="217"/>
        </w:trPr>
        <w:tc>
          <w:tcPr>
            <w:tcW w:w="61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Legal and environmental maters and reserves (Note T)</w:t>
            </w: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88"/>
              <w:spacing w:after="0" w:line="216" w:lineRule="exact"/>
              <w:rPr>
                <w:sz w:val="20"/>
                <w:szCs w:val="20"/>
                <w:color w:val="auto"/>
              </w:rPr>
            </w:pPr>
            <w:r>
              <w:rPr>
                <w:rFonts w:ascii="Calibri" w:cs="Calibri" w:eastAsia="Calibri" w:hAnsi="Calibri"/>
                <w:sz w:val="18"/>
                <w:szCs w:val="18"/>
                <w:color w:val="auto"/>
              </w:rPr>
              <w:t>(2 )</w:t>
            </w:r>
          </w:p>
        </w:tc>
        <w:tc>
          <w:tcPr>
            <w:tcW w:w="8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(10 )</w:t>
            </w: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Gain on sale of land</w:t>
            </w:r>
          </w:p>
        </w:tc>
        <w:tc>
          <w:tcPr>
            <w:tcW w:w="880" w:type="dxa"/>
            <w:vAlign w:val="bottom"/>
          </w:tcPr>
          <w:p>
            <w:pPr>
              <w:spacing w:after="0"/>
              <w:rPr>
                <w:sz w:val="18"/>
                <w:szCs w:val="18"/>
                <w:color w:val="auto"/>
              </w:rPr>
            </w:pPr>
          </w:p>
        </w:tc>
        <w:tc>
          <w:tcPr>
            <w:tcW w:w="600" w:type="dxa"/>
            <w:vAlign w:val="bottom"/>
            <w:gridSpan w:val="2"/>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r>
      <w:tr>
        <w:trPr>
          <w:trHeight w:val="217"/>
        </w:trPr>
        <w:tc>
          <w:tcPr>
            <w:tcW w:w="61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Acquisiton and integraton-related charges</w:t>
            </w: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8"/>
              <w:spacing w:after="0" w:line="216"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(4 )</w:t>
            </w: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Loss on sale of business (Note D)</w:t>
            </w:r>
          </w:p>
        </w:tc>
        <w:tc>
          <w:tcPr>
            <w:tcW w:w="880" w:type="dxa"/>
            <w:vAlign w:val="bottom"/>
          </w:tcPr>
          <w:p>
            <w:pPr>
              <w:spacing w:after="0"/>
              <w:rPr>
                <w:sz w:val="18"/>
                <w:szCs w:val="18"/>
                <w:color w:val="auto"/>
              </w:rPr>
            </w:pPr>
          </w:p>
        </w:tc>
        <w:tc>
          <w:tcPr>
            <w:tcW w:w="600" w:type="dxa"/>
            <w:vAlign w:val="bottom"/>
            <w:gridSpan w:val="2"/>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(3 )</w:t>
            </w:r>
          </w:p>
        </w:tc>
      </w:tr>
      <w:tr>
        <w:trPr>
          <w:trHeight w:val="216"/>
        </w:trPr>
        <w:tc>
          <w:tcPr>
            <w:tcW w:w="61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Other certain items</w:t>
            </w: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88"/>
              <w:spacing w:after="0" w:line="216" w:lineRule="exact"/>
              <w:rPr>
                <w:sz w:val="20"/>
                <w:szCs w:val="20"/>
                <w:color w:val="auto"/>
              </w:rPr>
            </w:pPr>
            <w:r>
              <w:rPr>
                <w:rFonts w:ascii="Calibri" w:cs="Calibri" w:eastAsia="Calibri" w:hAnsi="Calibri"/>
                <w:sz w:val="18"/>
                <w:szCs w:val="18"/>
                <w:color w:val="auto"/>
              </w:rPr>
              <w:t>(1 )</w:t>
            </w:r>
          </w:p>
        </w:tc>
        <w:tc>
          <w:tcPr>
            <w:tcW w:w="8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(2 )</w:t>
            </w:r>
          </w:p>
        </w:tc>
      </w:tr>
      <w:tr>
        <w:trPr>
          <w:trHeight w:val="20"/>
        </w:trPr>
        <w:tc>
          <w:tcPr>
            <w:tcW w:w="61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6180" w:type="dxa"/>
            <w:vAlign w:val="bottom"/>
          </w:tcPr>
          <w:p>
            <w:pPr>
              <w:ind w:left="180"/>
              <w:spacing w:after="0" w:line="210" w:lineRule="exact"/>
              <w:rPr>
                <w:sz w:val="20"/>
                <w:szCs w:val="20"/>
                <w:color w:val="auto"/>
              </w:rPr>
            </w:pPr>
            <w:r>
              <w:rPr>
                <w:rFonts w:ascii="Calibri" w:cs="Calibri" w:eastAsia="Calibri" w:hAnsi="Calibri"/>
                <w:sz w:val="18"/>
                <w:szCs w:val="18"/>
                <w:color w:val="auto"/>
              </w:rPr>
              <w:t>Total certain items</w:t>
            </w:r>
          </w:p>
        </w:tc>
        <w:tc>
          <w:tcPr>
            <w:tcW w:w="880" w:type="dxa"/>
            <w:vAlign w:val="bottom"/>
          </w:tcPr>
          <w:p>
            <w:pPr>
              <w:jc w:val="right"/>
              <w:ind w:right="699"/>
              <w:spacing w:after="0" w:line="210" w:lineRule="exact"/>
              <w:rPr>
                <w:sz w:val="20"/>
                <w:szCs w:val="20"/>
                <w:color w:val="auto"/>
              </w:rPr>
            </w:pPr>
            <w:r>
              <w:rPr>
                <w:rFonts w:ascii="Calibri" w:cs="Calibri" w:eastAsia="Calibri" w:hAnsi="Calibri"/>
                <w:sz w:val="18"/>
                <w:szCs w:val="18"/>
                <w:color w:val="auto"/>
                <w:w w:val="87"/>
              </w:rPr>
              <w:t>$</w:t>
            </w:r>
          </w:p>
        </w:tc>
        <w:tc>
          <w:tcPr>
            <w:tcW w:w="600" w:type="dxa"/>
            <w:vAlign w:val="bottom"/>
            <w:gridSpan w:val="2"/>
          </w:tcPr>
          <w:p>
            <w:pPr>
              <w:jc w:val="right"/>
              <w:ind w:right="88"/>
              <w:spacing w:after="0" w:line="210" w:lineRule="exact"/>
              <w:rPr>
                <w:sz w:val="20"/>
                <w:szCs w:val="20"/>
                <w:color w:val="auto"/>
              </w:rPr>
            </w:pPr>
            <w:r>
              <w:rPr>
                <w:rFonts w:ascii="Calibri" w:cs="Calibri" w:eastAsia="Calibri" w:hAnsi="Calibri"/>
                <w:sz w:val="18"/>
                <w:szCs w:val="18"/>
                <w:color w:val="auto"/>
              </w:rPr>
              <w:t>(59 )</w:t>
            </w:r>
          </w:p>
        </w:tc>
        <w:tc>
          <w:tcPr>
            <w:tcW w:w="880" w:type="dxa"/>
            <w:vAlign w:val="bottom"/>
          </w:tcPr>
          <w:p>
            <w:pPr>
              <w:jc w:val="right"/>
              <w:ind w:right="696"/>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gridSpan w:val="2"/>
          </w:tcPr>
          <w:p>
            <w:pPr>
              <w:jc w:val="right"/>
              <w:ind w:right="20"/>
              <w:spacing w:after="0" w:line="210" w:lineRule="exact"/>
              <w:rPr>
                <w:sz w:val="20"/>
                <w:szCs w:val="20"/>
                <w:color w:val="auto"/>
              </w:rPr>
            </w:pPr>
            <w:r>
              <w:rPr>
                <w:rFonts w:ascii="Calibri" w:cs="Calibri" w:eastAsia="Calibri" w:hAnsi="Calibri"/>
                <w:sz w:val="18"/>
                <w:szCs w:val="18"/>
                <w:color w:val="auto"/>
              </w:rPr>
              <w:t>(29 )</w:t>
            </w:r>
          </w:p>
        </w:tc>
      </w:tr>
      <w:tr>
        <w:trPr>
          <w:trHeight w:val="20"/>
        </w:trPr>
        <w:tc>
          <w:tcPr>
            <w:tcW w:w="6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An explanaton of these items of expense and income is included in our discussion under the heading “Defniton of Terms and Non-GAAP Financial Measures”.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Other Unallocated Items: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96"/>
              <w:spacing w:after="0"/>
              <w:rPr>
                <w:sz w:val="20"/>
                <w:szCs w:val="20"/>
                <w:color w:val="auto"/>
              </w:rPr>
            </w:pPr>
            <w:r>
              <w:rPr>
                <w:rFonts w:ascii="Calibri" w:cs="Calibri" w:eastAsia="Calibri" w:hAnsi="Calibri"/>
                <w:sz w:val="14"/>
                <w:szCs w:val="14"/>
                <w:b w:val="1"/>
                <w:bCs w:val="1"/>
                <w:color w:val="auto"/>
              </w:rPr>
              <w:t>Years Ended 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61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ind w:right="13"/>
              <w:spacing w:after="0" w:line="169" w:lineRule="exact"/>
              <w:rPr>
                <w:sz w:val="20"/>
                <w:szCs w:val="20"/>
                <w:color w:val="auto"/>
              </w:rPr>
            </w:pPr>
            <w:r>
              <w:rPr>
                <w:rFonts w:ascii="Calibri" w:cs="Calibri" w:eastAsia="Calibri" w:hAnsi="Calibri"/>
                <w:sz w:val="14"/>
                <w:szCs w:val="14"/>
                <w:b w:val="1"/>
                <w:bCs w:val="1"/>
                <w:color w:val="auto"/>
              </w:rPr>
              <w:t>(In</w:t>
            </w:r>
          </w:p>
        </w:tc>
        <w:tc>
          <w:tcPr>
            <w:tcW w:w="1060" w:type="dxa"/>
            <w:vAlign w:val="bottom"/>
            <w:gridSpan w:val="2"/>
          </w:tcPr>
          <w:p>
            <w:pPr>
              <w:jc w:val="right"/>
              <w:ind w:right="536"/>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61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Interest expense</w:t>
            </w:r>
          </w:p>
        </w:tc>
        <w:tc>
          <w:tcPr>
            <w:tcW w:w="840" w:type="dxa"/>
            <w:vAlign w:val="bottom"/>
            <w:shd w:val="clear" w:color="auto" w:fill="CFF0FC"/>
          </w:tcPr>
          <w:p>
            <w:pPr>
              <w:jc w:val="right"/>
              <w:ind w:right="659"/>
              <w:spacing w:after="0" w:line="217" w:lineRule="exact"/>
              <w:rPr>
                <w:sz w:val="20"/>
                <w:szCs w:val="20"/>
                <w:color w:val="auto"/>
              </w:rPr>
            </w:pPr>
            <w:r>
              <w:rPr>
                <w:rFonts w:ascii="Calibri" w:cs="Calibri" w:eastAsia="Calibri" w:hAnsi="Calibri"/>
                <w:sz w:val="18"/>
                <w:szCs w:val="18"/>
                <w:color w:val="auto"/>
                <w:w w:val="87"/>
              </w:rPr>
              <w:t>$</w:t>
            </w:r>
          </w:p>
        </w:tc>
        <w:tc>
          <w:tcPr>
            <w:tcW w:w="640" w:type="dxa"/>
            <w:vAlign w:val="bottom"/>
            <w:gridSpan w:val="2"/>
            <w:shd w:val="clear" w:color="auto" w:fill="CFF0FC"/>
          </w:tcPr>
          <w:p>
            <w:pPr>
              <w:jc w:val="right"/>
              <w:ind w:right="88"/>
              <w:spacing w:after="0" w:line="217" w:lineRule="exact"/>
              <w:rPr>
                <w:sz w:val="20"/>
                <w:szCs w:val="20"/>
                <w:color w:val="auto"/>
              </w:rPr>
            </w:pPr>
            <w:r>
              <w:rPr>
                <w:rFonts w:ascii="Calibri" w:cs="Calibri" w:eastAsia="Calibri" w:hAnsi="Calibri"/>
                <w:sz w:val="18"/>
                <w:szCs w:val="18"/>
                <w:color w:val="auto"/>
              </w:rPr>
              <w:t>(81 )</w:t>
            </w:r>
          </w:p>
        </w:tc>
        <w:tc>
          <w:tcPr>
            <w:tcW w:w="840" w:type="dxa"/>
            <w:vAlign w:val="bottom"/>
            <w:shd w:val="clear" w:color="auto" w:fill="CFF0FC"/>
          </w:tcPr>
          <w:p>
            <w:pPr>
              <w:jc w:val="right"/>
              <w:ind w:right="656"/>
              <w:spacing w:after="0" w:line="217"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(90 )</w:t>
            </w: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Unallocated corporate costs</w:t>
            </w:r>
          </w:p>
        </w:tc>
        <w:tc>
          <w:tcPr>
            <w:tcW w:w="840" w:type="dxa"/>
            <w:vAlign w:val="bottom"/>
          </w:tcPr>
          <w:p>
            <w:pPr>
              <w:spacing w:after="0"/>
              <w:rPr>
                <w:sz w:val="18"/>
                <w:szCs w:val="18"/>
                <w:color w:val="auto"/>
              </w:rPr>
            </w:pPr>
          </w:p>
        </w:tc>
        <w:tc>
          <w:tcPr>
            <w:tcW w:w="64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(68 )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(54 )</w:t>
            </w:r>
          </w:p>
        </w:tc>
      </w:tr>
      <w:tr>
        <w:trPr>
          <w:trHeight w:val="217"/>
        </w:trPr>
        <w:tc>
          <w:tcPr>
            <w:tcW w:w="61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General unallocated income (expense)</w:t>
            </w: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w:t>
            </w:r>
          </w:p>
        </w:tc>
        <w:tc>
          <w:tcPr>
            <w:tcW w:w="80" w:type="dxa"/>
            <w:vAlign w:val="bottom"/>
            <w:shd w:val="clear" w:color="auto" w:fill="CFF0FC"/>
          </w:tcPr>
          <w:p>
            <w:pPr>
              <w:spacing w:after="0"/>
              <w:rPr>
                <w:sz w:val="18"/>
                <w:szCs w:val="18"/>
                <w:color w:val="auto"/>
              </w:rPr>
            </w:pP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Less: Equity in earnings of afliated companies, net of tax</w:t>
            </w: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8"/>
                <w:szCs w:val="18"/>
                <w:color w:val="auto"/>
              </w:rPr>
            </w:pPr>
          </w:p>
        </w:tc>
      </w:tr>
      <w:tr>
        <w:trPr>
          <w:trHeight w:val="230"/>
        </w:trPr>
        <w:tc>
          <w:tcPr>
            <w:tcW w:w="6180" w:type="dxa"/>
            <w:vAlign w:val="bottom"/>
            <w:shd w:val="clear" w:color="auto" w:fill="CFF0FC"/>
          </w:tcPr>
          <w:p>
            <w:pPr>
              <w:ind w:left="180"/>
              <w:spacing w:after="0" w:line="210" w:lineRule="exact"/>
              <w:rPr>
                <w:sz w:val="20"/>
                <w:szCs w:val="20"/>
                <w:color w:val="auto"/>
              </w:rPr>
            </w:pPr>
            <w:r>
              <w:rPr>
                <w:rFonts w:ascii="Calibri" w:cs="Calibri" w:eastAsia="Calibri" w:hAnsi="Calibri"/>
                <w:sz w:val="18"/>
                <w:szCs w:val="18"/>
                <w:color w:val="auto"/>
              </w:rPr>
              <w:t>Total other unallocated items</w:t>
            </w:r>
          </w:p>
        </w:tc>
        <w:tc>
          <w:tcPr>
            <w:tcW w:w="840" w:type="dxa"/>
            <w:vAlign w:val="bottom"/>
            <w:shd w:val="clear" w:color="auto" w:fill="CFF0FC"/>
          </w:tcPr>
          <w:p>
            <w:pPr>
              <w:jc w:val="right"/>
              <w:ind w:right="659"/>
              <w:spacing w:after="0" w:line="210" w:lineRule="exact"/>
              <w:rPr>
                <w:sz w:val="20"/>
                <w:szCs w:val="20"/>
                <w:color w:val="auto"/>
              </w:rPr>
            </w:pPr>
            <w:r>
              <w:rPr>
                <w:rFonts w:ascii="Calibri" w:cs="Calibri" w:eastAsia="Calibri" w:hAnsi="Calibri"/>
                <w:sz w:val="18"/>
                <w:szCs w:val="18"/>
                <w:color w:val="auto"/>
                <w:w w:val="87"/>
              </w:rPr>
              <w:t>$</w:t>
            </w:r>
          </w:p>
        </w:tc>
        <w:tc>
          <w:tcPr>
            <w:tcW w:w="640" w:type="dxa"/>
            <w:vAlign w:val="bottom"/>
            <w:gridSpan w:val="2"/>
            <w:shd w:val="clear" w:color="auto" w:fill="CFF0FC"/>
          </w:tcPr>
          <w:p>
            <w:pPr>
              <w:jc w:val="right"/>
              <w:ind w:right="88"/>
              <w:spacing w:after="0" w:line="210" w:lineRule="exact"/>
              <w:rPr>
                <w:sz w:val="20"/>
                <w:szCs w:val="20"/>
                <w:color w:val="auto"/>
              </w:rPr>
            </w:pPr>
            <w:r>
              <w:rPr>
                <w:rFonts w:ascii="Calibri" w:cs="Calibri" w:eastAsia="Calibri" w:hAnsi="Calibri"/>
                <w:sz w:val="18"/>
                <w:szCs w:val="18"/>
                <w:color w:val="auto"/>
              </w:rPr>
              <w:t>(113 )</w:t>
            </w:r>
          </w:p>
        </w:tc>
        <w:tc>
          <w:tcPr>
            <w:tcW w:w="840" w:type="dxa"/>
            <w:vAlign w:val="bottom"/>
            <w:shd w:val="clear" w:color="auto" w:fill="CFF0FC"/>
          </w:tcPr>
          <w:p>
            <w:pPr>
              <w:jc w:val="right"/>
              <w:ind w:right="656"/>
              <w:spacing w:after="0" w:line="210"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(127 )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interest and dividend income, and the proft or loss related to the corporate adjustment for unearned revenue and unrealized holdings gains (losses) for investments. This does not include items of income or expense from the items that are separately treated as Certain items.</w:t>
      </w:r>
    </w:p>
    <w:p>
      <w:pPr>
        <w:spacing w:after="0" w:line="21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36" w:name="page37"/>
    <w:bookmarkEnd w:id="36"/>
    <w:p>
      <w:pPr>
        <w:ind w:right="60" w:firstLine="509"/>
        <w:spacing w:after="0" w:line="235" w:lineRule="auto"/>
        <w:rPr>
          <w:sz w:val="20"/>
          <w:szCs w:val="20"/>
          <w:color w:val="auto"/>
        </w:rPr>
      </w:pPr>
      <w:r>
        <w:rPr>
          <w:rFonts w:ascii="Calibri" w:cs="Calibri" w:eastAsia="Calibri" w:hAnsi="Calibri"/>
          <w:sz w:val="18"/>
          <w:szCs w:val="18"/>
          <w:color w:val="auto"/>
        </w:rPr>
        <w:t>In fscal 2024, Total other unallocated items expense decreased by $14 million as compared to fscal 2023 primarily due to higher General unallocated income partally ofset by higher Unallocated corporate costs. General unallocated income (expense) was increased by $20 million of income primarily due to less foreign currency operatng losses in Argentna in fscal 2024 as compared to fscal 2023. The foreign currency losses from government devaluatons in Argentna are treated as a certain item and are not included in General unallocated income (expense). Unallocated corporate costs increased by $14 million primarily due to an increase in incentve compensaton expense.</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Reinforcement Materials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Reinforcement Materials for fscal 2024 and 2023 are as follows: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260"/>
              <w:spacing w:after="0"/>
              <w:rPr>
                <w:sz w:val="20"/>
                <w:szCs w:val="20"/>
                <w:color w:val="auto"/>
              </w:rPr>
            </w:pPr>
            <w:r>
              <w:rPr>
                <w:rFonts w:ascii="Calibri" w:cs="Calibri" w:eastAsia="Calibri" w:hAnsi="Calibri"/>
                <w:sz w:val="14"/>
                <w:szCs w:val="14"/>
                <w:b w:val="1"/>
                <w:bCs w:val="1"/>
                <w:color w:val="auto"/>
              </w:rPr>
              <w:t>Years Ended September 30</w:t>
            </w:r>
          </w:p>
        </w:tc>
      </w:tr>
      <w:tr>
        <w:trPr>
          <w:trHeight w:val="173"/>
        </w:trPr>
        <w:tc>
          <w:tcPr>
            <w:tcW w:w="61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6"/>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1"/>
              <w:spacing w:after="0" w:line="169" w:lineRule="exact"/>
              <w:rPr>
                <w:sz w:val="20"/>
                <w:szCs w:val="20"/>
                <w:color w:val="auto"/>
              </w:rPr>
            </w:pPr>
            <w:r>
              <w:rPr>
                <w:rFonts w:ascii="Calibri" w:cs="Calibri" w:eastAsia="Calibri" w:hAnsi="Calibri"/>
                <w:sz w:val="14"/>
                <w:szCs w:val="14"/>
                <w:b w:val="1"/>
                <w:bCs w:val="1"/>
                <w:color w:val="auto"/>
              </w:rPr>
              <w:t>(In</w:t>
            </w:r>
          </w:p>
        </w:tc>
        <w:tc>
          <w:tcPr>
            <w:tcW w:w="580" w:type="dxa"/>
            <w:vAlign w:val="bottom"/>
            <w:gridSpan w:val="2"/>
          </w:tcPr>
          <w:p>
            <w:pPr>
              <w:jc w:val="right"/>
              <w:ind w:right="140"/>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61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Reinforcement Materials Sales</w:t>
            </w:r>
          </w:p>
        </w:tc>
        <w:tc>
          <w:tcPr>
            <w:tcW w:w="300" w:type="dxa"/>
            <w:vAlign w:val="bottom"/>
            <w:shd w:val="clear" w:color="auto" w:fill="CFF0FC"/>
          </w:tcPr>
          <w:p>
            <w:pPr>
              <w:jc w:val="right"/>
              <w:ind w:right="110"/>
              <w:spacing w:after="0" w:line="217"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2,610</w:t>
            </w:r>
          </w:p>
        </w:tc>
        <w:tc>
          <w:tcPr>
            <w:tcW w:w="580" w:type="dxa"/>
            <w:vAlign w:val="bottom"/>
            <w:gridSpan w:val="2"/>
            <w:shd w:val="clear" w:color="auto" w:fill="CFF0FC"/>
          </w:tcPr>
          <w:p>
            <w:pPr>
              <w:jc w:val="right"/>
              <w:ind w:right="260"/>
              <w:spacing w:after="0" w:line="217"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2,563</w:t>
            </w:r>
          </w:p>
        </w:tc>
        <w:tc>
          <w:tcPr>
            <w:tcW w:w="80" w:type="dxa"/>
            <w:vAlign w:val="bottom"/>
            <w:shd w:val="clear" w:color="auto" w:fill="CFF0FC"/>
          </w:tcPr>
          <w:p>
            <w:pPr>
              <w:spacing w:after="0"/>
              <w:rPr>
                <w:sz w:val="19"/>
                <w:szCs w:val="19"/>
                <w:color w:val="auto"/>
              </w:rPr>
            </w:pP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Reinforcement Materials EBIT</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537</w:t>
            </w:r>
          </w:p>
        </w:tc>
        <w:tc>
          <w:tcPr>
            <w:tcW w:w="5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482</w:t>
            </w:r>
          </w:p>
        </w:tc>
        <w:tc>
          <w:tcPr>
            <w:tcW w:w="80" w:type="dxa"/>
            <w:vAlign w:val="bottom"/>
          </w:tcPr>
          <w:p>
            <w:pPr>
              <w:spacing w:after="0"/>
              <w:rPr>
                <w:sz w:val="18"/>
                <w:szCs w:val="18"/>
                <w:color w:val="auto"/>
              </w:rPr>
            </w:pPr>
          </w:p>
        </w:tc>
      </w:tr>
    </w:tbl>
    <w:p>
      <w:pPr>
        <w:spacing w:after="0" w:line="13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fscal 2024, sales in Reinforcement Materials increased by $47 million compared to fscal 2023. The increase was primarily due to higher volumes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($79 million), partally ofset by the unfavorable impact from foreign currency translaton ($17 million) and unfavorable pricing and product mix ($13 million).</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The higher volumes were primarily in Asia Pacifc and EMEA. The unfavorable pricing was primarily due to lower raw material costs that are generally passed</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through to our customers. EBIT in Reinforcement Materials increased by $55 million compared to fscal 2023. The increase was driven by higher volumes ($28</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million) and higher unit margins, net of higher costs ($25 million). The higher volumes were primarily in Asia Pacifc and EMEA. The higher unit margins, net of</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higher costs, were primarily driven by favorable pricing and product mix in our 2023 and 2024 calendar year customer agreements, and higher costs were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primarily driven by higher selling and administratve costs.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Performance Chemicals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Performance Chemicals for fscal 2024 and 2023 are as follows: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260"/>
              <w:spacing w:after="0"/>
              <w:rPr>
                <w:sz w:val="20"/>
                <w:szCs w:val="20"/>
                <w:color w:val="auto"/>
              </w:rPr>
            </w:pPr>
            <w:r>
              <w:rPr>
                <w:rFonts w:ascii="Calibri" w:cs="Calibri" w:eastAsia="Calibri" w:hAnsi="Calibri"/>
                <w:sz w:val="14"/>
                <w:szCs w:val="14"/>
                <w:b w:val="1"/>
                <w:bCs w:val="1"/>
                <w:color w:val="auto"/>
              </w:rPr>
              <w:t>Years Ended September 30</w:t>
            </w:r>
          </w:p>
        </w:tc>
      </w:tr>
      <w:tr>
        <w:trPr>
          <w:trHeight w:val="173"/>
        </w:trPr>
        <w:tc>
          <w:tcPr>
            <w:tcW w:w="61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6"/>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1"/>
              <w:spacing w:after="0" w:line="169" w:lineRule="exact"/>
              <w:rPr>
                <w:sz w:val="20"/>
                <w:szCs w:val="20"/>
                <w:color w:val="auto"/>
              </w:rPr>
            </w:pPr>
            <w:r>
              <w:rPr>
                <w:rFonts w:ascii="Calibri" w:cs="Calibri" w:eastAsia="Calibri" w:hAnsi="Calibri"/>
                <w:sz w:val="14"/>
                <w:szCs w:val="14"/>
                <w:b w:val="1"/>
                <w:bCs w:val="1"/>
                <w:color w:val="auto"/>
              </w:rPr>
              <w:t>(In</w:t>
            </w:r>
          </w:p>
        </w:tc>
        <w:tc>
          <w:tcPr>
            <w:tcW w:w="580" w:type="dxa"/>
            <w:vAlign w:val="bottom"/>
            <w:gridSpan w:val="2"/>
          </w:tcPr>
          <w:p>
            <w:pPr>
              <w:jc w:val="right"/>
              <w:ind w:right="140"/>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61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Performance Chemicals Sales</w:t>
            </w:r>
          </w:p>
        </w:tc>
        <w:tc>
          <w:tcPr>
            <w:tcW w:w="300" w:type="dxa"/>
            <w:vAlign w:val="bottom"/>
            <w:shd w:val="clear" w:color="auto" w:fill="CFF0FC"/>
          </w:tcPr>
          <w:p>
            <w:pPr>
              <w:jc w:val="right"/>
              <w:ind w:right="110"/>
              <w:spacing w:after="0" w:line="217"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1,250</w:t>
            </w:r>
          </w:p>
        </w:tc>
        <w:tc>
          <w:tcPr>
            <w:tcW w:w="580" w:type="dxa"/>
            <w:vAlign w:val="bottom"/>
            <w:gridSpan w:val="2"/>
            <w:shd w:val="clear" w:color="auto" w:fill="CFF0FC"/>
          </w:tcPr>
          <w:p>
            <w:pPr>
              <w:jc w:val="right"/>
              <w:ind w:right="260"/>
              <w:spacing w:after="0" w:line="217"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1,225</w:t>
            </w:r>
          </w:p>
        </w:tc>
        <w:tc>
          <w:tcPr>
            <w:tcW w:w="80" w:type="dxa"/>
            <w:vAlign w:val="bottom"/>
            <w:shd w:val="clear" w:color="auto" w:fill="CFF0FC"/>
          </w:tcPr>
          <w:p>
            <w:pPr>
              <w:spacing w:after="0"/>
              <w:rPr>
                <w:sz w:val="19"/>
                <w:szCs w:val="19"/>
                <w:color w:val="auto"/>
              </w:rPr>
            </w:pPr>
          </w:p>
        </w:tc>
      </w:tr>
      <w:tr>
        <w:trPr>
          <w:trHeight w:val="215"/>
        </w:trPr>
        <w:tc>
          <w:tcPr>
            <w:tcW w:w="6180" w:type="dxa"/>
            <w:vAlign w:val="bottom"/>
          </w:tcPr>
          <w:p>
            <w:pPr>
              <w:spacing w:after="0" w:line="215" w:lineRule="exact"/>
              <w:rPr>
                <w:sz w:val="20"/>
                <w:szCs w:val="20"/>
                <w:color w:val="auto"/>
              </w:rPr>
            </w:pPr>
            <w:r>
              <w:rPr>
                <w:rFonts w:ascii="Calibri" w:cs="Calibri" w:eastAsia="Calibri" w:hAnsi="Calibri"/>
                <w:sz w:val="18"/>
                <w:szCs w:val="18"/>
                <w:color w:val="auto"/>
              </w:rPr>
              <w:t>Performance Chemicals EBIT</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164</w:t>
            </w:r>
          </w:p>
        </w:tc>
        <w:tc>
          <w:tcPr>
            <w:tcW w:w="5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125</w:t>
            </w:r>
          </w:p>
        </w:tc>
        <w:tc>
          <w:tcPr>
            <w:tcW w:w="80" w:type="dxa"/>
            <w:vAlign w:val="bottom"/>
          </w:tcPr>
          <w:p>
            <w:pPr>
              <w:spacing w:after="0"/>
              <w:rPr>
                <w:sz w:val="18"/>
                <w:szCs w:val="18"/>
                <w:color w:val="auto"/>
              </w:rPr>
            </w:pPr>
          </w:p>
        </w:tc>
      </w:tr>
    </w:tbl>
    <w:p>
      <w:pPr>
        <w:spacing w:after="0" w:line="141"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In fscal 2024, sales in Performance Chemicals increased by $25 million compared to the same period of fscal 2023. The increase was driven by higher volumes ($69 million), partally ofset by unfavorable pricing and product mix ($36 million) and the unfavorable impact from foreign currency translaton ($5 million). The higher volumes were primarily due to demand recovery in key end markets as the customer destocking that occurred in fscal 2023 did not reoccur in fscal 2024.The less favorable pricing was primarily due to lower raw material costs that are generally passed through to our customers.</w:t>
      </w:r>
    </w:p>
    <w:p>
      <w:pPr>
        <w:spacing w:after="0" w:line="7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2E2E2E"/>
        </w:rPr>
        <w:t xml:space="preserve">EBIT in Performance Chemicals increased by $39 million compared to fscal 2023 due to higher volumes ($35 million) and higher unit margins, net of higher costs ($11 million), partally ofset by the unfavorable impact of foreign currency translaton ($6 million). </w:t>
      </w:r>
      <w:r>
        <w:rPr>
          <w:rFonts w:ascii="Calibri" w:cs="Calibri" w:eastAsia="Calibri" w:hAnsi="Calibri"/>
          <w:sz w:val="18"/>
          <w:szCs w:val="18"/>
          <w:color w:val="000000"/>
        </w:rPr>
        <w:t>The higher volumes were primarily due to</w:t>
      </w:r>
      <w:r>
        <w:rPr>
          <w:rFonts w:ascii="Calibri" w:cs="Calibri" w:eastAsia="Calibri" w:hAnsi="Calibri"/>
          <w:sz w:val="18"/>
          <w:szCs w:val="18"/>
          <w:color w:val="2E2E2E"/>
        </w:rPr>
        <w:t xml:space="preserve"> </w:t>
      </w:r>
      <w:r>
        <w:rPr>
          <w:rFonts w:ascii="Calibri" w:cs="Calibri" w:eastAsia="Calibri" w:hAnsi="Calibri"/>
          <w:sz w:val="18"/>
          <w:szCs w:val="18"/>
          <w:color w:val="000000"/>
        </w:rPr>
        <w:t>demand recovery in key end markets as the customer destocking that occurred in fscal 2023 did not reoccur in fscal 2024. The higher unit margins, net of higher costs, were primarily due to higher unit margins from a more favorable product mix with higher sales into the automotve and electronics end markets. Higher costs were primarily driven by higher maintenance and turnaround costs.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Fiscal 2025 Outlook</w:t>
      </w:r>
    </w:p>
    <w:p>
      <w:pPr>
        <w:spacing w:after="0" w:line="82" w:lineRule="exact"/>
        <w:rPr>
          <w:sz w:val="20"/>
          <w:szCs w:val="20"/>
          <w:color w:val="auto"/>
        </w:rPr>
      </w:pPr>
    </w:p>
    <w:p>
      <w:pPr>
        <w:jc w:val="both"/>
        <w:ind w:right="100" w:firstLine="509"/>
        <w:spacing w:after="0" w:line="254" w:lineRule="auto"/>
        <w:rPr>
          <w:sz w:val="20"/>
          <w:szCs w:val="20"/>
          <w:color w:val="auto"/>
        </w:rPr>
      </w:pPr>
      <w:r>
        <w:rPr>
          <w:rFonts w:ascii="Calibri" w:cs="Calibri" w:eastAsia="Calibri" w:hAnsi="Calibri"/>
          <w:sz w:val="17"/>
          <w:szCs w:val="17"/>
          <w:color w:val="auto"/>
        </w:rPr>
        <w:t>Looking forward to fscal 2025, we remain focused on our strategy of Creatng for Tomorrow, advancing several strategic initatves, generatng strong cash fows, contnuing our disciplined approach to capital allocaton, and remain commited to our investment grade credit ratng. We expect contnued EBIT growth in Reinforcement Materials and Performance Chemicals with higher volumes in both segments and higher margins in Reinforcement Materials.</w:t>
      </w:r>
    </w:p>
    <w:p>
      <w:pPr>
        <w:spacing w:after="0" w:line="65"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liquidity positon, as measured by cash and cash equivalents plus borrowing availability, increased by $137 million during fscal 2024, primarily due to lower outstanding revolving credit and commercial paper balances at the end of the period. As of September 30, 2024, we had cash and cash equivalents of $223 million and borrowing availability under our revolving credit agreements of $1.2 billion.</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37" w:name="page38"/>
    <w:bookmarkEnd w:id="37"/>
    <w:p>
      <w:pPr>
        <w:ind w:left="520"/>
        <w:spacing w:after="0"/>
        <w:rPr>
          <w:sz w:val="20"/>
          <w:szCs w:val="20"/>
          <w:color w:val="auto"/>
        </w:rPr>
      </w:pPr>
      <w:r>
        <w:rPr>
          <w:rFonts w:ascii="Calibri" w:cs="Calibri" w:eastAsia="Calibri" w:hAnsi="Calibri"/>
          <w:sz w:val="18"/>
          <w:szCs w:val="18"/>
          <w:color w:val="auto"/>
        </w:rPr>
        <w:t>We have access to borrowings under the following two credit agreements:</w:t>
      </w:r>
    </w:p>
    <w:p>
      <w:pPr>
        <w:spacing w:after="0" w:line="96" w:lineRule="exact"/>
        <w:rPr>
          <w:sz w:val="20"/>
          <w:szCs w:val="20"/>
          <w:color w:val="auto"/>
        </w:rPr>
      </w:pPr>
    </w:p>
    <w:p>
      <w:pPr>
        <w:ind w:left="900" w:right="40" w:hanging="383"/>
        <w:spacing w:after="0" w:line="254" w:lineRule="auto"/>
        <w:tabs>
          <w:tab w:leader="none" w:pos="900" w:val="left"/>
        </w:tabs>
        <w:numPr>
          <w:ilvl w:val="0"/>
          <w:numId w:val="16"/>
        </w:numPr>
        <w:rPr>
          <w:rFonts w:ascii="Times New Roman" w:cs="Times New Roman" w:eastAsia="Times New Roman" w:hAnsi="Times New Roman"/>
          <w:sz w:val="17"/>
          <w:szCs w:val="17"/>
          <w:color w:val="auto"/>
        </w:rPr>
      </w:pPr>
      <w:r>
        <w:rPr>
          <w:rFonts w:ascii="Calibri" w:cs="Calibri" w:eastAsia="Calibri" w:hAnsi="Calibri"/>
          <w:sz w:val="17"/>
          <w:szCs w:val="17"/>
          <w:color w:val="auto"/>
        </w:rPr>
        <w:t>$1 billion unsecured revolving credit agreement (the “U.S. Credit Agreement”) with JPMorgan Chase Bank, N.A., as Administratve Agent, Citbank, N.A., as Syndicaton Agent, and the other lenders party thereto, which matures in August 2027. The U.S. Credit Agreement supports our issuance of commercial paper, and borrowings under it may be used for working capital, leters of credit and other general corporate purposes.</w:t>
      </w:r>
    </w:p>
    <w:p>
      <w:pPr>
        <w:spacing w:after="0" w:line="83" w:lineRule="exact"/>
        <w:rPr>
          <w:rFonts w:ascii="Times New Roman" w:cs="Times New Roman" w:eastAsia="Times New Roman" w:hAnsi="Times New Roman"/>
          <w:sz w:val="17"/>
          <w:szCs w:val="17"/>
          <w:color w:val="auto"/>
        </w:rPr>
      </w:pPr>
    </w:p>
    <w:p>
      <w:pPr>
        <w:ind w:left="900" w:right="2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€300 million unsecured revolving credit agreement (the “Euro Credit Agreement”, and together with the U.S. Credit Agreement, the “Credit Agreements”), with PNC Bank, Natonal Associaton, as Administratve Agent, and the other lenders party thereto, which matures in August 2027.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85"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As of September 30, 2024,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84"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including the utlizaton of customer supply chain fnancing programs, setlement of intercompany balances and short-term intercompany loans. If additonal funds are needed in the U.S., we expect to be able to repatriate cash, including cash from China, while paying any withholding or other taxes. Changes in regulatons and tax laws in the U.S. or foreign countries could restrict our ability to transfer funds or impose material costs on such transfers.</w:t>
      </w:r>
    </w:p>
    <w:p>
      <w:pPr>
        <w:spacing w:after="0" w:line="79"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As of September 30, 2024 and 2023, we had $113 million and $120 million, respectvely, of borrowings outstanding under the Euro Credit Agreement and no outstanding borrowings under the U.S. Credit Agreement at either date. There was $45 million and $172 million of commercial paper outstanding at September 30, 2024 and 2023, respectvely.</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both the next twelve months and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84" w:lineRule="exact"/>
        <w:rPr>
          <w:sz w:val="20"/>
          <w:szCs w:val="20"/>
          <w:color w:val="auto"/>
        </w:rPr>
      </w:pPr>
    </w:p>
    <w:p>
      <w:pPr>
        <w:ind w:left="260" w:right="1060" w:firstLine="254"/>
        <w:spacing w:after="0" w:line="319" w:lineRule="auto"/>
        <w:rPr>
          <w:sz w:val="20"/>
          <w:szCs w:val="20"/>
          <w:color w:val="auto"/>
        </w:rPr>
      </w:pPr>
      <w:r>
        <w:rPr>
          <w:rFonts w:ascii="Calibri" w:cs="Calibri" w:eastAsia="Calibri" w:hAnsi="Calibri"/>
          <w:sz w:val="18"/>
          <w:szCs w:val="18"/>
          <w:color w:val="auto"/>
        </w:rPr>
        <w:t xml:space="preserve">The following discussion of the changes in our cash balance refers to the various sectons of our Consolidated Statements of Cash Flows. </w:t>
      </w:r>
      <w:r>
        <w:rPr>
          <w:rFonts w:ascii="Calibri" w:cs="Calibri" w:eastAsia="Calibri" w:hAnsi="Calibri"/>
          <w:sz w:val="18"/>
          <w:szCs w:val="18"/>
          <w:b w:val="1"/>
          <w:bCs w:val="1"/>
          <w:i w:val="1"/>
          <w:iCs w:val="1"/>
          <w:color w:val="auto"/>
        </w:rPr>
        <w:t>Cash Flows from Operatng Actvites</w:t>
      </w:r>
    </w:p>
    <w:p>
      <w:pPr>
        <w:spacing w:after="0" w:line="10" w:lineRule="exact"/>
        <w:rPr>
          <w:sz w:val="20"/>
          <w:szCs w:val="20"/>
          <w:color w:val="auto"/>
        </w:rPr>
      </w:pPr>
    </w:p>
    <w:p>
      <w:pPr>
        <w:jc w:val="both"/>
        <w:ind w:right="280" w:firstLine="509"/>
        <w:spacing w:after="0" w:line="235" w:lineRule="auto"/>
        <w:rPr>
          <w:sz w:val="20"/>
          <w:szCs w:val="20"/>
          <w:color w:val="auto"/>
        </w:rPr>
      </w:pPr>
      <w:r>
        <w:rPr>
          <w:rFonts w:ascii="Calibri" w:cs="Calibri" w:eastAsia="Calibri" w:hAnsi="Calibri"/>
          <w:sz w:val="18"/>
          <w:szCs w:val="18"/>
          <w:color w:val="auto"/>
        </w:rPr>
        <w:t>Cash provided by operatng actvites, which consists of net income adjusted for the various non-cash items included in income, changes in working capital and changes in certain other balance sheet accounts, totaled $692 million in fscal 2024. Operatng actvites provided $595 million of cash in fscal 2023.</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Cash provided by operatng actvites in fscal 2024 was driven by business earnings excluding the non-cash impacts of depreciaton and amortzaton of $151 million, plus a decrease in net working capital of $57 million. The decrease in net working capital was largely driven by a decrease in inventories from lower cost of raw materials and an increase in accounts payable and accrued liabilites, partally ofset by an increase in accounts receivable from increased sales volumes.</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Cash provided by operatng actvites in fscal 2023 was driven by business earnings excluding the non-cash impacts of depreciaton and amortzaton of $144 million, plus a decrease in net working capital of $97 million. The decrease in net working capital was largely driven by a decrease in accounts receivable due to lower customer prices from lower cost of raw materials and decreased sales volumes and a decrease in inventories, partally ofset by a decrease in accounts payable and accrued expenses driven by lower cost of raw materials.</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ind w:left="260"/>
        <w:spacing w:after="0"/>
        <w:rPr>
          <w:sz w:val="20"/>
          <w:szCs w:val="20"/>
          <w:color w:val="auto"/>
        </w:rPr>
      </w:pPr>
      <w:r>
        <w:rPr>
          <w:rFonts w:ascii="Calibri" w:cs="Calibri" w:eastAsia="Calibri" w:hAnsi="Calibri"/>
          <w:sz w:val="18"/>
          <w:szCs w:val="18"/>
          <w:b w:val="1"/>
          <w:bCs w:val="1"/>
          <w:i w:val="1"/>
          <w:iCs w:val="1"/>
          <w:color w:val="auto"/>
        </w:rPr>
        <w:t>Cash Flows from Investng Actvites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Investng actvites consumed $235 million of cash in fscal 2024 compared to $214 million in fscal 2023. In fscal 2024, the use of cash by investng actvites primarily consisted of $241 million of capital expenditures for sustaining and compliance capital projects at our operatng facilites as well as growth-related capital, including capacity expansion projects.</w:t>
      </w:r>
    </w:p>
    <w:p>
      <w:pPr>
        <w:spacing w:after="0" w:line="84"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 fscal 2023, the use of cash by investng actvites primarily consisted of $244 million of capital expenditures for sustaining and compliance capital projects at our operatng facilites as well as growth-related capital, including a capacity expansion project in Performance Chemicals, partally ofset by proceeds from insurance setlements of $12 million, proceeds from the sale of land of $7 million, and proceeds from the sale of our Purifcaton Solutons business of $6 million.</w:t>
      </w:r>
    </w:p>
    <w:p>
      <w:pPr>
        <w:spacing w:after="0" w:line="84" w:lineRule="exact"/>
        <w:rPr>
          <w:sz w:val="20"/>
          <w:szCs w:val="20"/>
          <w:color w:val="auto"/>
        </w:rPr>
      </w:pPr>
    </w:p>
    <w:p>
      <w:pPr>
        <w:ind w:right="20" w:firstLine="509"/>
        <w:spacing w:after="0" w:line="258" w:lineRule="auto"/>
        <w:rPr>
          <w:sz w:val="20"/>
          <w:szCs w:val="20"/>
          <w:color w:val="auto"/>
        </w:rPr>
      </w:pPr>
      <w:r>
        <w:rPr>
          <w:rFonts w:ascii="Calibri" w:cs="Calibri" w:eastAsia="Calibri" w:hAnsi="Calibri"/>
          <w:sz w:val="17"/>
          <w:szCs w:val="17"/>
          <w:color w:val="auto"/>
        </w:rPr>
        <w:t>Capital expenditures for fscal 2025 are expected to be between $250 million and $300 million. Our planned capital spending program for fscal 2025 is primarily for sustaining, compliance and improvement capital projects at our operatng facilites as well as capacity expansion capital expenditures.</w:t>
      </w:r>
    </w:p>
    <w:p>
      <w:pPr>
        <w:spacing w:after="0" w:line="6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Cash Flows from Financing Actvites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Financing actvites consumed $415 million of cash in fscal 2024 compared to $403 million consumed in fscal 2023. The cash consumed by fnancing actvites in fscal 2024 primarily consisted of repurchases of common stock of $172 million, net repayments of commercial paper of $127 million, dividend payments to stockholders of $93 million, dividend payments to noncontrolling interests of $27 million, and net repayments of long-term debt of $12 million under our Euro Credit Agreement, which includes repayments of $26 million partally ofset by proceeds of $14 million. These payments were partally ofset by proceeds from the sales of common stock of $20 million from stock opton exercises.</w:t>
      </w:r>
    </w:p>
    <w:p>
      <w:pPr>
        <w:spacing w:after="0" w:line="85"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cash consumed by fnancing actvites in fscal 2023 primarily consisted of net repayments of long-term debt of $6 million, which consisted of repayments of $90 million partally ofset by proceeds of $84 million, net repayments of commercial paper of $149 million, net repayments of credit facility borrowings of $24 million, dividend payments to stockholders of $88 million, repurchases of common stock of $98 million and dividend payments to noncontrolling interests of $42 million.</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Our long-term total debt, of which $8 million is current, matures at various tmes as presented in Note I of our Notes to the Consolidated Financial Statements. The weighted-average interest rate on our fxed rate long-term debt was 4.29% as of September 30, 2024.</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Share Repurchases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fscal 2018, our Board of Directors authorized us to repurchase up to an additonal ten million shares of common stock. In fscal 2024, we repurchased approximately 1.7 million shares of common stock on the open market for $159 million. In fscal 2023, we repurchased approximately 1.3 million shares of common stock on the open market for $91 million. Additonally, during fscal 2024 and 2023, we repurchased 0.2 million and 0.1 million, respectvely, shares of our common stock associated with employee tax obligatons on stock-based compensaton awards for $13 million and $7 million, respectvely. As of September 30, 2024, we had approximately 1.3 million shares available for repurchase under the Board of Directors’ share repurchase authorizaton.</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Dividend Payments</w:t>
      </w:r>
    </w:p>
    <w:p>
      <w:pPr>
        <w:spacing w:after="0" w:line="82"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In fscal 2024 and 2023, we paid cash dividends on our common stock of $1.66 and $1.54 per share, respectvely. These cash dividend payments totaled $93 million and $88 million in fscal 2024 and 2023, respectvely.</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Employee Beneft Plans</w:t>
      </w:r>
    </w:p>
    <w:p>
      <w:pPr>
        <w:spacing w:after="0" w:line="82"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As of September 30, 2024, we had a consolidated pension obligaton, net of the fair value of plan assets, of $26 million, primarily associated with postretrement beneft plan liabilites.</w:t>
      </w:r>
    </w:p>
    <w:p>
      <w:pPr>
        <w:spacing w:after="0" w:line="83" w:lineRule="exact"/>
        <w:rPr>
          <w:sz w:val="20"/>
          <w:szCs w:val="20"/>
          <w:color w:val="auto"/>
        </w:rPr>
      </w:pPr>
    </w:p>
    <w:p>
      <w:pPr>
        <w:ind w:right="940" w:firstLine="509"/>
        <w:spacing w:after="0" w:line="235" w:lineRule="auto"/>
        <w:rPr>
          <w:sz w:val="20"/>
          <w:szCs w:val="20"/>
          <w:color w:val="auto"/>
        </w:rPr>
      </w:pPr>
      <w:r>
        <w:rPr>
          <w:rFonts w:ascii="Calibri" w:cs="Calibri" w:eastAsia="Calibri" w:hAnsi="Calibri"/>
          <w:sz w:val="18"/>
          <w:szCs w:val="18"/>
          <w:color w:val="auto"/>
        </w:rPr>
        <w:t>In fscal 2024, we made cash contributons totaling $4 million to our defned beneft pension plans. In fscal 2025, we expect to make cash contributons of $5 million to our defned beneft pension plans.</w:t>
      </w:r>
    </w:p>
    <w:p>
      <w:pPr>
        <w:spacing w:after="0" w:line="83" w:lineRule="exact"/>
        <w:rPr>
          <w:sz w:val="20"/>
          <w:szCs w:val="20"/>
          <w:color w:val="auto"/>
        </w:rPr>
      </w:pPr>
    </w:p>
    <w:p>
      <w:pPr>
        <w:ind w:right="20" w:firstLine="509"/>
        <w:spacing w:after="0" w:line="252" w:lineRule="auto"/>
        <w:rPr>
          <w:sz w:val="20"/>
          <w:szCs w:val="20"/>
          <w:color w:val="auto"/>
        </w:rPr>
      </w:pPr>
      <w:r>
        <w:rPr>
          <w:rFonts w:ascii="Calibri" w:cs="Calibri" w:eastAsia="Calibri" w:hAnsi="Calibri"/>
          <w:sz w:val="17"/>
          <w:szCs w:val="17"/>
          <w:color w:val="auto"/>
        </w:rPr>
        <w:t>The $25 million of unfunded postretrement beneft plan liabilites is comprised of $13 million for our U.S. and $12 million for our foreign postretrement beneft plans. These postretrement beneft plans provide certain health care and life insurance benefts for retred employees. Typical of such plans, our postretrement plans are unfunded and, therefore, have no plan assets. We fund these plans as claims or insurance premiums come due. In fscal 2024, we paid postretrement benefts of $4 million. For fscal 2025, our beneft payments for our postretrement plans are expected to be $3 million.</w:t>
      </w:r>
    </w:p>
    <w:p>
      <w:pPr>
        <w:spacing w:after="0" w:line="7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fscal 2023, we commenced the plan terminaton process for the Cabot Carbon Limited Pension Plan and Carbon Plastcs Pension Plan and expect to complete this process in fscal 2025.</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9" w:name="page40"/>
    <w:bookmarkEnd w:id="39"/>
    <w:p>
      <w:pPr>
        <w:ind w:left="260"/>
        <w:spacing w:after="0"/>
        <w:rPr>
          <w:sz w:val="20"/>
          <w:szCs w:val="20"/>
          <w:color w:val="auto"/>
        </w:rPr>
      </w:pPr>
      <w:r>
        <w:rPr>
          <w:rFonts w:ascii="Calibri" w:cs="Calibri" w:eastAsia="Calibri" w:hAnsi="Calibri"/>
          <w:sz w:val="18"/>
          <w:szCs w:val="18"/>
          <w:b w:val="1"/>
          <w:bCs w:val="1"/>
          <w:i w:val="1"/>
          <w:iCs w:val="1"/>
          <w:color w:val="auto"/>
        </w:rPr>
        <w:t>Contractual Obligatons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sets forth our long-term contractual obligatons.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jc w:val="center"/>
              <w:spacing w:after="0"/>
              <w:rPr>
                <w:sz w:val="20"/>
                <w:szCs w:val="20"/>
                <w:color w:val="auto"/>
              </w:rPr>
            </w:pPr>
            <w:r>
              <w:rPr>
                <w:rFonts w:ascii="Calibri" w:cs="Calibri" w:eastAsia="Calibri" w:hAnsi="Calibri"/>
                <w:sz w:val="14"/>
                <w:szCs w:val="14"/>
                <w:b w:val="1"/>
                <w:bCs w:val="1"/>
                <w:color w:val="auto"/>
              </w:rPr>
              <w:t>Payments Due by Fiscal Year</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2025</w:t>
            </w:r>
          </w:p>
        </w:tc>
        <w:tc>
          <w:tcPr>
            <w:tcW w:w="3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Calibri" w:cs="Calibri" w:eastAsia="Calibri" w:hAnsi="Calibri"/>
                <w:sz w:val="14"/>
                <w:szCs w:val="14"/>
                <w:b w:val="1"/>
                <w:bCs w:val="1"/>
                <w:color w:val="auto"/>
              </w:rPr>
              <w:t>2026</w:t>
            </w:r>
          </w:p>
        </w:tc>
        <w:tc>
          <w:tcPr>
            <w:tcW w:w="3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Calibri" w:cs="Calibri" w:eastAsia="Calibri" w:hAnsi="Calibri"/>
                <w:sz w:val="14"/>
                <w:szCs w:val="14"/>
                <w:b w:val="1"/>
                <w:bCs w:val="1"/>
                <w:color w:val="auto"/>
              </w:rPr>
              <w:t>2027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2028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Calibri" w:cs="Calibri" w:eastAsia="Calibri" w:hAnsi="Calibri"/>
                <w:sz w:val="14"/>
                <w:szCs w:val="14"/>
                <w:b w:val="1"/>
                <w:bCs w:val="1"/>
                <w:color w:val="auto"/>
              </w:rPr>
              <w:t>2029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Calibri" w:cs="Calibri" w:eastAsia="Calibri" w:hAnsi="Calibri"/>
                <w:sz w:val="14"/>
                <w:szCs w:val="14"/>
                <w:b w:val="1"/>
                <w:bCs w:val="1"/>
                <w:color w:val="auto"/>
              </w:rPr>
              <w:t>Thereafer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2"/>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5"/>
                <w:szCs w:val="15"/>
                <w:color w:val="auto"/>
              </w:rPr>
            </w:pPr>
          </w:p>
        </w:tc>
      </w:tr>
      <w:tr>
        <w:trPr>
          <w:trHeight w:val="169"/>
        </w:trPr>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(In millions)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3400" w:type="dxa"/>
            <w:vAlign w:val="bottom"/>
            <w:gridSpan w:val="3"/>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Purchase commitments</w:t>
            </w:r>
          </w:p>
        </w:tc>
        <w:tc>
          <w:tcPr>
            <w:tcW w:w="620" w:type="dxa"/>
            <w:vAlign w:val="bottom"/>
            <w:shd w:val="clear" w:color="auto" w:fill="CFF0FC"/>
          </w:tcPr>
          <w:p>
            <w:pPr>
              <w:jc w:val="right"/>
              <w:ind w:right="436"/>
              <w:spacing w:after="0" w:line="217"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94"/>
              </w:rPr>
              <w:t>251</w:t>
            </w:r>
          </w:p>
        </w:tc>
        <w:tc>
          <w:tcPr>
            <w:tcW w:w="860" w:type="dxa"/>
            <w:vAlign w:val="bottom"/>
            <w:gridSpan w:val="2"/>
            <w:shd w:val="clear" w:color="auto" w:fill="CFF0FC"/>
          </w:tcPr>
          <w:p>
            <w:pPr>
              <w:jc w:val="right"/>
              <w:ind w:right="520"/>
              <w:spacing w:after="0" w:line="217"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94"/>
              </w:rPr>
              <w:t>210</w:t>
            </w:r>
          </w:p>
        </w:tc>
        <w:tc>
          <w:tcPr>
            <w:tcW w:w="820" w:type="dxa"/>
            <w:vAlign w:val="bottom"/>
            <w:gridSpan w:val="2"/>
            <w:shd w:val="clear" w:color="auto" w:fill="CFF0FC"/>
          </w:tcPr>
          <w:p>
            <w:pPr>
              <w:jc w:val="right"/>
              <w:ind w:right="500"/>
              <w:spacing w:after="0" w:line="217"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94"/>
              </w:rPr>
              <w:t>184</w:t>
            </w:r>
          </w:p>
        </w:tc>
        <w:tc>
          <w:tcPr>
            <w:tcW w:w="32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132</w:t>
            </w:r>
          </w:p>
        </w:tc>
        <w:tc>
          <w:tcPr>
            <w:tcW w:w="480" w:type="dxa"/>
            <w:vAlign w:val="bottom"/>
            <w:gridSpan w:val="3"/>
            <w:shd w:val="clear" w:color="auto" w:fill="CFF0FC"/>
          </w:tcPr>
          <w:p>
            <w:pPr>
              <w:jc w:val="right"/>
              <w:ind w:right="140"/>
              <w:spacing w:after="0" w:line="217"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116</w:t>
            </w:r>
          </w:p>
        </w:tc>
        <w:tc>
          <w:tcPr>
            <w:tcW w:w="34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1,349</w:t>
            </w:r>
          </w:p>
        </w:tc>
        <w:tc>
          <w:tcPr>
            <w:tcW w:w="460" w:type="dxa"/>
            <w:vAlign w:val="bottom"/>
            <w:gridSpan w:val="2"/>
            <w:shd w:val="clear" w:color="auto" w:fill="CFF0FC"/>
          </w:tcPr>
          <w:p>
            <w:pPr>
              <w:jc w:val="right"/>
              <w:ind w:right="140"/>
              <w:spacing w:after="0" w:line="217"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2,242</w:t>
            </w:r>
          </w:p>
        </w:tc>
        <w:tc>
          <w:tcPr>
            <w:tcW w:w="100" w:type="dxa"/>
            <w:vAlign w:val="bottom"/>
            <w:shd w:val="clear" w:color="auto" w:fill="CFF0FC"/>
          </w:tcPr>
          <w:p>
            <w:pPr>
              <w:spacing w:after="0"/>
              <w:rPr>
                <w:sz w:val="19"/>
                <w:szCs w:val="19"/>
                <w:color w:val="auto"/>
              </w:rPr>
            </w:pPr>
          </w:p>
        </w:tc>
      </w:tr>
      <w:tr>
        <w:trPr>
          <w:trHeight w:val="215"/>
        </w:trPr>
        <w:tc>
          <w:tcPr>
            <w:tcW w:w="340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Long-term debt</w:t>
            </w:r>
          </w:p>
        </w:tc>
        <w:tc>
          <w:tcPr>
            <w:tcW w:w="620" w:type="dxa"/>
            <w:vAlign w:val="bottom"/>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w w:val="94"/>
              </w:rPr>
              <w:t>250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w w:val="94"/>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300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1,075</w:t>
            </w:r>
          </w:p>
        </w:tc>
        <w:tc>
          <w:tcPr>
            <w:tcW w:w="100" w:type="dxa"/>
            <w:vAlign w:val="bottom"/>
          </w:tcPr>
          <w:p>
            <w:pPr>
              <w:spacing w:after="0"/>
              <w:rPr>
                <w:sz w:val="18"/>
                <w:szCs w:val="18"/>
                <w:color w:val="auto"/>
              </w:rPr>
            </w:pPr>
          </w:p>
        </w:tc>
      </w:tr>
      <w:tr>
        <w:trPr>
          <w:trHeight w:val="217"/>
        </w:trPr>
        <w:tc>
          <w:tcPr>
            <w:tcW w:w="3400" w:type="dxa"/>
            <w:vAlign w:val="bottom"/>
            <w:gridSpan w:val="3"/>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Fixed interest on long-term debt</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239</w:t>
            </w:r>
          </w:p>
        </w:tc>
        <w:tc>
          <w:tcPr>
            <w:tcW w:w="100" w:type="dxa"/>
            <w:vAlign w:val="bottom"/>
            <w:shd w:val="clear" w:color="auto" w:fill="CFF0FC"/>
          </w:tcPr>
          <w:p>
            <w:pPr>
              <w:spacing w:after="0"/>
              <w:rPr>
                <w:sz w:val="18"/>
                <w:szCs w:val="18"/>
                <w:color w:val="auto"/>
              </w:rPr>
            </w:pPr>
          </w:p>
        </w:tc>
      </w:tr>
      <w:tr>
        <w:trPr>
          <w:trHeight w:val="169"/>
        </w:trPr>
        <w:tc>
          <w:tcPr>
            <w:tcW w:w="3400" w:type="dxa"/>
            <w:vAlign w:val="bottom"/>
            <w:gridSpan w:val="3"/>
          </w:tcPr>
          <w:p>
            <w:pPr>
              <w:ind w:left="20"/>
              <w:spacing w:after="0" w:line="169" w:lineRule="exact"/>
              <w:rPr>
                <w:sz w:val="20"/>
                <w:szCs w:val="20"/>
                <w:color w:val="auto"/>
              </w:rPr>
            </w:pPr>
            <w:r>
              <w:rPr>
                <w:rFonts w:ascii="Calibri" w:cs="Calibri" w:eastAsia="Calibri" w:hAnsi="Calibri"/>
                <w:sz w:val="18"/>
                <w:szCs w:val="18"/>
                <w:color w:val="auto"/>
              </w:rPr>
              <w:t>Variable interest on long-term debt</w:t>
            </w:r>
          </w:p>
        </w:tc>
        <w:tc>
          <w:tcPr>
            <w:tcW w:w="620" w:type="dxa"/>
            <w:vAlign w:val="bottom"/>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4"/>
                <w:szCs w:val="14"/>
                <w:color w:val="auto"/>
              </w:rPr>
            </w:pPr>
          </w:p>
        </w:tc>
      </w:tr>
      <w:tr>
        <w:trPr>
          <w:trHeight w:val="229"/>
        </w:trPr>
        <w:tc>
          <w:tcPr>
            <w:tcW w:w="3400" w:type="dxa"/>
            <w:vAlign w:val="bottom"/>
            <w:gridSpan w:val="3"/>
          </w:tcPr>
          <w:p>
            <w:pPr>
              <w:ind w:left="20"/>
              <w:spacing w:after="0" w:line="230" w:lineRule="exact"/>
              <w:rPr>
                <w:sz w:val="20"/>
                <w:szCs w:val="20"/>
                <w:color w:val="auto"/>
              </w:rPr>
            </w:pPr>
            <w:r>
              <w:rPr>
                <w:rFonts w:ascii="Calibri" w:cs="Calibri" w:eastAsia="Calibri" w:hAnsi="Calibri"/>
                <w:sz w:val="18"/>
                <w:szCs w:val="18"/>
                <w:color w:val="auto"/>
              </w:rPr>
              <w:t>Finance leases</w:t>
            </w:r>
            <w:r>
              <w:rPr>
                <w:rFonts w:ascii="Calibri" w:cs="Calibri" w:eastAsia="Calibri" w:hAnsi="Calibri"/>
                <w:sz w:val="24"/>
                <w:szCs w:val="24"/>
                <w:color w:val="auto"/>
                <w:vertAlign w:val="superscript"/>
              </w:rPr>
              <w:t>(1)</w:t>
            </w: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32</w:t>
            </w:r>
          </w:p>
        </w:tc>
        <w:tc>
          <w:tcPr>
            <w:tcW w:w="100" w:type="dxa"/>
            <w:vAlign w:val="bottom"/>
          </w:tcPr>
          <w:p>
            <w:pPr>
              <w:spacing w:after="0"/>
              <w:rPr>
                <w:sz w:val="19"/>
                <w:szCs w:val="19"/>
                <w:color w:val="auto"/>
              </w:rPr>
            </w:pPr>
          </w:p>
        </w:tc>
      </w:tr>
      <w:tr>
        <w:trPr>
          <w:trHeight w:val="249"/>
        </w:trPr>
        <w:tc>
          <w:tcPr>
            <w:tcW w:w="3400" w:type="dxa"/>
            <w:vAlign w:val="bottom"/>
            <w:gridSpan w:val="3"/>
          </w:tcPr>
          <w:p>
            <w:pPr>
              <w:ind w:left="20"/>
              <w:spacing w:after="0" w:line="250" w:lineRule="exact"/>
              <w:rPr>
                <w:sz w:val="20"/>
                <w:szCs w:val="20"/>
                <w:color w:val="auto"/>
              </w:rPr>
            </w:pPr>
            <w:r>
              <w:rPr>
                <w:rFonts w:ascii="Calibri" w:cs="Calibri" w:eastAsia="Calibri" w:hAnsi="Calibri"/>
                <w:sz w:val="18"/>
                <w:szCs w:val="18"/>
                <w:color w:val="auto"/>
              </w:rPr>
              <w:t>Operatng leases</w:t>
            </w:r>
            <w:r>
              <w:rPr>
                <w:rFonts w:ascii="Calibri" w:cs="Calibri" w:eastAsia="Calibri" w:hAnsi="Calibri"/>
                <w:sz w:val="24"/>
                <w:szCs w:val="24"/>
                <w:color w:val="auto"/>
                <w:vertAlign w:val="superscript"/>
              </w:rPr>
              <w:t>(1)</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17</w:t>
            </w: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14</w:t>
            </w:r>
          </w:p>
        </w:tc>
        <w:tc>
          <w:tcPr>
            <w:tcW w:w="2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69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132</w:t>
            </w:r>
          </w:p>
        </w:tc>
        <w:tc>
          <w:tcPr>
            <w:tcW w:w="100" w:type="dxa"/>
            <w:vAlign w:val="bottom"/>
          </w:tcPr>
          <w:p>
            <w:pPr>
              <w:spacing w:after="0"/>
              <w:rPr>
                <w:sz w:val="21"/>
                <w:szCs w:val="21"/>
                <w:color w:val="auto"/>
              </w:rPr>
            </w:pPr>
          </w:p>
        </w:tc>
      </w:tr>
      <w:tr>
        <w:trPr>
          <w:trHeight w:val="250"/>
        </w:trPr>
        <w:tc>
          <w:tcPr>
            <w:tcW w:w="180" w:type="dxa"/>
            <w:vAlign w:val="bottom"/>
            <w:shd w:val="clear" w:color="auto" w:fill="CFF0FC"/>
          </w:tcPr>
          <w:p>
            <w:pPr>
              <w:spacing w:after="0"/>
              <w:rPr>
                <w:sz w:val="21"/>
                <w:szCs w:val="21"/>
                <w:color w:val="auto"/>
              </w:rPr>
            </w:pPr>
          </w:p>
        </w:tc>
        <w:tc>
          <w:tcPr>
            <w:tcW w:w="3220" w:type="dxa"/>
            <w:vAlign w:val="bottom"/>
            <w:gridSpan w:val="2"/>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w:t>
            </w:r>
          </w:p>
        </w:tc>
        <w:tc>
          <w:tcPr>
            <w:tcW w:w="620" w:type="dxa"/>
            <w:vAlign w:val="bottom"/>
            <w:shd w:val="clear" w:color="auto" w:fill="CFF0FC"/>
          </w:tcPr>
          <w:p>
            <w:pPr>
              <w:jc w:val="right"/>
              <w:ind w:right="436"/>
              <w:spacing w:after="0" w:line="209"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4"/>
              </w:rPr>
              <w:t>323</w:t>
            </w:r>
          </w:p>
        </w:tc>
        <w:tc>
          <w:tcPr>
            <w:tcW w:w="860" w:type="dxa"/>
            <w:vAlign w:val="bottom"/>
            <w:gridSpan w:val="2"/>
            <w:shd w:val="clear" w:color="auto" w:fill="CFF0FC"/>
          </w:tcPr>
          <w:p>
            <w:pPr>
              <w:jc w:val="right"/>
              <w:ind w:right="520"/>
              <w:spacing w:after="0" w:line="209"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4"/>
              </w:rPr>
              <w:t>525</w:t>
            </w:r>
          </w:p>
        </w:tc>
        <w:tc>
          <w:tcPr>
            <w:tcW w:w="820" w:type="dxa"/>
            <w:vAlign w:val="bottom"/>
            <w:gridSpan w:val="2"/>
            <w:shd w:val="clear" w:color="auto" w:fill="CFF0FC"/>
          </w:tcPr>
          <w:p>
            <w:pPr>
              <w:jc w:val="right"/>
              <w:ind w:right="500"/>
              <w:spacing w:after="0" w:line="209"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4"/>
              </w:rPr>
              <w:t>349</w:t>
            </w:r>
          </w:p>
        </w:tc>
        <w:tc>
          <w:tcPr>
            <w:tcW w:w="32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185</w:t>
            </w:r>
          </w:p>
        </w:tc>
        <w:tc>
          <w:tcPr>
            <w:tcW w:w="480" w:type="dxa"/>
            <w:vAlign w:val="bottom"/>
            <w:gridSpan w:val="3"/>
            <w:shd w:val="clear" w:color="auto" w:fill="CFF0FC"/>
          </w:tcPr>
          <w:p>
            <w:pPr>
              <w:jc w:val="right"/>
              <w:ind w:right="140"/>
              <w:spacing w:after="0" w:line="209"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461</w:t>
            </w:r>
          </w:p>
        </w:tc>
        <w:tc>
          <w:tcPr>
            <w:tcW w:w="34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1,891</w:t>
            </w:r>
          </w:p>
        </w:tc>
        <w:tc>
          <w:tcPr>
            <w:tcW w:w="460" w:type="dxa"/>
            <w:vAlign w:val="bottom"/>
            <w:gridSpan w:val="2"/>
            <w:shd w:val="clear" w:color="auto" w:fill="CFF0FC"/>
          </w:tcPr>
          <w:p>
            <w:pPr>
              <w:jc w:val="right"/>
              <w:ind w:right="140"/>
              <w:spacing w:after="0" w:line="209"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3,734</w:t>
            </w:r>
          </w:p>
        </w:tc>
        <w:tc>
          <w:tcPr>
            <w:tcW w:w="100" w:type="dxa"/>
            <w:vAlign w:val="bottom"/>
            <w:shd w:val="clear" w:color="auto" w:fill="CFF0FC"/>
          </w:tcPr>
          <w:p>
            <w:pPr>
              <w:spacing w:after="0"/>
              <w:rPr>
                <w:sz w:val="21"/>
                <w:szCs w:val="21"/>
                <w:color w:val="auto"/>
              </w:rPr>
            </w:pPr>
          </w:p>
        </w:tc>
      </w:tr>
      <w:tr>
        <w:trPr>
          <w:trHeight w:val="115"/>
        </w:trPr>
        <w:tc>
          <w:tcPr>
            <w:tcW w:w="180" w:type="dxa"/>
            <w:vAlign w:val="bottom"/>
            <w:tcBorders>
              <w:top w:val="single" w:sz="8" w:color="CFF0FC"/>
              <w:bottom w:val="single" w:sz="8" w:color="auto"/>
            </w:tcBorders>
          </w:tcPr>
          <w:p>
            <w:pPr>
              <w:spacing w:after="0"/>
              <w:rPr>
                <w:sz w:val="10"/>
                <w:szCs w:val="10"/>
                <w:color w:val="auto"/>
              </w:rPr>
            </w:pPr>
          </w:p>
        </w:tc>
        <w:tc>
          <w:tcPr>
            <w:tcW w:w="1700" w:type="dxa"/>
            <w:vAlign w:val="bottom"/>
            <w:tcBorders>
              <w:top w:val="single" w:sz="8" w:color="CFF0FC"/>
              <w:bottom w:val="single" w:sz="8" w:color="auto"/>
            </w:tcBorders>
          </w:tcPr>
          <w:p>
            <w:pPr>
              <w:spacing w:after="0"/>
              <w:rPr>
                <w:sz w:val="10"/>
                <w:szCs w:val="10"/>
                <w:color w:val="auto"/>
              </w:rPr>
            </w:pPr>
          </w:p>
        </w:tc>
        <w:tc>
          <w:tcPr>
            <w:tcW w:w="152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213"/>
        </w:trPr>
        <w:tc>
          <w:tcPr>
            <w:tcW w:w="180" w:type="dxa"/>
            <w:vAlign w:val="bottom"/>
          </w:tcPr>
          <w:p>
            <w:pPr>
              <w:spacing w:after="0"/>
              <w:rPr>
                <w:sz w:val="20"/>
                <w:szCs w:val="20"/>
                <w:color w:val="auto"/>
              </w:rPr>
            </w:pPr>
            <w:r>
              <w:rPr>
                <w:rFonts w:ascii="Calibri" w:cs="Calibri" w:eastAsia="Calibri" w:hAnsi="Calibri"/>
                <w:sz w:val="12"/>
                <w:szCs w:val="12"/>
                <w:color w:val="auto"/>
              </w:rPr>
              <w:t>(1)</w:t>
            </w:r>
          </w:p>
        </w:tc>
        <w:tc>
          <w:tcPr>
            <w:tcW w:w="3220" w:type="dxa"/>
            <w:vAlign w:val="bottom"/>
            <w:gridSpan w:val="2"/>
          </w:tcPr>
          <w:p>
            <w:pPr>
              <w:ind w:left="340"/>
              <w:spacing w:after="0" w:line="213" w:lineRule="exact"/>
              <w:rPr>
                <w:sz w:val="20"/>
                <w:szCs w:val="20"/>
                <w:color w:val="auto"/>
              </w:rPr>
            </w:pPr>
            <w:r>
              <w:rPr>
                <w:rFonts w:ascii="Calibri" w:cs="Calibri" w:eastAsia="Calibri" w:hAnsi="Calibri"/>
                <w:sz w:val="18"/>
                <w:szCs w:val="18"/>
                <w:color w:val="auto"/>
              </w:rPr>
              <w:t>Lease liabilites include interest.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7"/>
        </w:trPr>
        <w:tc>
          <w:tcPr>
            <w:tcW w:w="180" w:type="dxa"/>
            <w:vAlign w:val="bottom"/>
          </w:tcPr>
          <w:p>
            <w:pPr>
              <w:spacing w:after="0"/>
              <w:rPr>
                <w:sz w:val="24"/>
                <w:szCs w:val="24"/>
                <w:color w:val="auto"/>
              </w:rPr>
            </w:pPr>
          </w:p>
        </w:tc>
        <w:tc>
          <w:tcPr>
            <w:tcW w:w="3220" w:type="dxa"/>
            <w:vAlign w:val="bottom"/>
            <w:gridSpan w:val="2"/>
          </w:tcPr>
          <w:p>
            <w:pPr>
              <w:ind w:left="80"/>
              <w:spacing w:after="0"/>
              <w:rPr>
                <w:sz w:val="20"/>
                <w:szCs w:val="20"/>
                <w:color w:val="auto"/>
              </w:rPr>
            </w:pPr>
            <w:r>
              <w:rPr>
                <w:rFonts w:ascii="Calibri" w:cs="Calibri" w:eastAsia="Calibri" w:hAnsi="Calibri"/>
                <w:sz w:val="18"/>
                <w:szCs w:val="18"/>
                <w:i w:val="1"/>
                <w:iCs w:val="1"/>
                <w:color w:val="auto"/>
              </w:rPr>
              <w:t>Purchase Commitments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-447040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-429895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-447040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-429895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-447040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-429895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-447040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-429895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-447040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-429895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-447040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-429895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-447040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-429895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have entered into long-term, volume-based purchase agreements primarily for the purchase of raw materials and natural gas with various key suppliers for all of our business segments. Under certain of these agreements the quantty of material being purchased is fxed, but the price we pay changes as market prices change. For purposes of the table above, current purchase prices have been used to quantfy total commitments. We have also entered into long-term purchase agreements primarily for services related to informaton technology, which are not included in the table above, that total $31 million as of September 30, 2024, the majority of which is expected to be paid within the next 5 years.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Leases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have entered into various leases as the lessee, primarily related to certain transportaton vehicles, warehouse facilites, ofce space, and machinery and equipment. These leases have remaining lease terms between one and ffeen years, some of which may include optons to extend the leases for up to ffeen years or optons to terminate the leases. Our land leases have remaining lease terms up to seventy-eight years.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7A. </w:t>
      </w:r>
      <w:r>
        <w:rPr>
          <w:rFonts w:ascii="Calibri" w:cs="Calibri" w:eastAsia="Calibri" w:hAnsi="Calibri"/>
          <w:sz w:val="18"/>
          <w:szCs w:val="18"/>
          <w:b w:val="1"/>
          <w:bCs w:val="1"/>
          <w:i w:val="1"/>
          <w:iCs w:val="1"/>
          <w:color w:val="auto"/>
        </w:rPr>
        <w:t>Quanttatve and Qualitatve Disclosures About Market Risk</w:t>
      </w:r>
    </w:p>
    <w:p>
      <w:pPr>
        <w:spacing w:after="0" w:line="82"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We are exposed to changes in interest rates and foreign currency exchange rates because we fnance certain operatons through long- and short-term borrowings and denominate our transactons in a variety of foreign currencies. Changes in these rates may have an impact on future cash fows and earnings. We manage these risks through normal operatng and fnancing actvites and, when deemed appropriate, using derivatve fnancial instruments.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have policies governing our use of derivatve instruments, and we do not enter into fnancial instruments for trading or speculatve purposes.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By using derivatve instruments, we are subject to credit and market risk. The derivatve instruments are booked in our balance sheet at fair value and refect the asset or liability positon as of September 30, 2024. If a counterparty fails to fulfll its performance obligatons under a derivatve contract, our exposure will equal the fair value of the derivatve. Generally, when the fair value of a derivatve contract is positve, the counterparty owes Cabot, thus creatng a payment risk for Cabot. We minimize counterparty credit or repayment risk by entering into these transactons with major fnancial insttutons of investment grade credit ratng. Our exposure to market risk is not hedged in a manner that completely eliminates the efects of changing market conditons on earnings or cash fow.</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Foreign Currency Risk</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internatonal operatons are subject to certain risks, including currency exchange rate fuctuatons and government actons. We have cross-currency swaps designated as hedges of our net investments in certain Euro denominated subsidiaries. The following table summarizes the principal terms of our cross-currency swaps, including the aggregate notonal amount of the swaps, the interest rate payment we receive from and pay to our swap counterpartes, the term and fair value at September 30, 2024 and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at</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at</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Interest Rate</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b w:val="1"/>
                <w:bCs w:val="1"/>
                <w:color w:val="auto"/>
              </w:rPr>
              <w:t>Interest Rate</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Fiscal Year</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b w:val="1"/>
                <w:bCs w:val="1"/>
                <w:color w:val="auto"/>
              </w:rPr>
              <w:t>Maturity</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September 30,</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Descripton</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Notonal Amount</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Received</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Paid</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Entered Into</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Year</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8"/>
              </w:rPr>
              <w:t>2023</w:t>
            </w:r>
          </w:p>
        </w:tc>
        <w:tc>
          <w:tcPr>
            <w:tcW w:w="0" w:type="dxa"/>
            <w:vAlign w:val="bottom"/>
          </w:tcPr>
          <w:p>
            <w:pPr>
              <w:spacing w:after="0"/>
              <w:rPr>
                <w:sz w:val="1"/>
                <w:szCs w:val="1"/>
                <w:color w:val="auto"/>
              </w:rPr>
            </w:pPr>
          </w:p>
        </w:tc>
      </w:tr>
      <w:tr>
        <w:trPr>
          <w:trHeight w:val="194"/>
        </w:trPr>
        <w:tc>
          <w:tcPr>
            <w:tcW w:w="2380" w:type="dxa"/>
            <w:vAlign w:val="bottom"/>
            <w:vMerge w:val="restart"/>
            <w:shd w:val="clear" w:color="auto" w:fill="CFF0FC"/>
          </w:tcPr>
          <w:p>
            <w:pPr>
              <w:jc w:val="center"/>
              <w:spacing w:after="0"/>
              <w:rPr>
                <w:sz w:val="20"/>
                <w:szCs w:val="20"/>
                <w:color w:val="auto"/>
              </w:rPr>
            </w:pPr>
            <w:r>
              <w:rPr>
                <w:rFonts w:ascii="Calibri" w:cs="Calibri" w:eastAsia="Calibri" w:hAnsi="Calibri"/>
                <w:sz w:val="18"/>
                <w:szCs w:val="18"/>
                <w:color w:val="auto"/>
                <w:w w:val="96"/>
              </w:rPr>
              <w:t>Cross Currency Swaps</w:t>
            </w:r>
          </w:p>
        </w:tc>
        <w:tc>
          <w:tcPr>
            <w:tcW w:w="120" w:type="dxa"/>
            <w:vAlign w:val="bottom"/>
            <w:shd w:val="clear" w:color="auto" w:fill="CFF0FC"/>
          </w:tcPr>
          <w:p>
            <w:pPr>
              <w:spacing w:after="0"/>
              <w:rPr>
                <w:sz w:val="16"/>
                <w:szCs w:val="16"/>
                <w:color w:val="auto"/>
              </w:rPr>
            </w:pPr>
          </w:p>
        </w:tc>
        <w:tc>
          <w:tcPr>
            <w:tcW w:w="2360" w:type="dxa"/>
            <w:vAlign w:val="bottom"/>
            <w:shd w:val="clear" w:color="auto" w:fill="CFF0FC"/>
          </w:tcPr>
          <w:p>
            <w:pPr>
              <w:jc w:val="center"/>
              <w:spacing w:after="0" w:line="194" w:lineRule="exact"/>
              <w:rPr>
                <w:sz w:val="20"/>
                <w:szCs w:val="20"/>
                <w:color w:val="auto"/>
              </w:rPr>
            </w:pPr>
            <w:r>
              <w:rPr>
                <w:rFonts w:ascii="Calibri" w:cs="Calibri" w:eastAsia="Calibri" w:hAnsi="Calibri"/>
                <w:sz w:val="18"/>
                <w:szCs w:val="18"/>
                <w:color w:val="auto"/>
                <w:w w:val="97"/>
              </w:rPr>
              <w:t>USD 250 million swapped to EUR</w:t>
            </w:r>
          </w:p>
        </w:tc>
        <w:tc>
          <w:tcPr>
            <w:tcW w:w="1120" w:type="dxa"/>
            <w:vAlign w:val="bottom"/>
            <w:gridSpan w:val="2"/>
            <w:vMerge w:val="restart"/>
            <w:shd w:val="clear" w:color="auto" w:fill="CFF0FC"/>
          </w:tcPr>
          <w:p>
            <w:pPr>
              <w:jc w:val="center"/>
              <w:ind w:left="30"/>
              <w:spacing w:after="0"/>
              <w:rPr>
                <w:sz w:val="20"/>
                <w:szCs w:val="20"/>
                <w:color w:val="auto"/>
              </w:rPr>
            </w:pPr>
            <w:r>
              <w:rPr>
                <w:rFonts w:ascii="Calibri" w:cs="Calibri" w:eastAsia="Calibri" w:hAnsi="Calibri"/>
                <w:sz w:val="18"/>
                <w:szCs w:val="18"/>
                <w:color w:val="auto"/>
                <w:w w:val="98"/>
              </w:rPr>
              <w:t>3.40%</w:t>
            </w:r>
          </w:p>
        </w:tc>
        <w:tc>
          <w:tcPr>
            <w:tcW w:w="920" w:type="dxa"/>
            <w:vAlign w:val="bottom"/>
            <w:gridSpan w:val="2"/>
            <w:vMerge w:val="restart"/>
            <w:shd w:val="clear" w:color="auto" w:fill="CFF0FC"/>
          </w:tcPr>
          <w:p>
            <w:pPr>
              <w:jc w:val="center"/>
              <w:ind w:left="50"/>
              <w:spacing w:after="0"/>
              <w:rPr>
                <w:sz w:val="20"/>
                <w:szCs w:val="20"/>
                <w:color w:val="auto"/>
              </w:rPr>
            </w:pPr>
            <w:r>
              <w:rPr>
                <w:rFonts w:ascii="Calibri" w:cs="Calibri" w:eastAsia="Calibri" w:hAnsi="Calibri"/>
                <w:sz w:val="18"/>
                <w:szCs w:val="18"/>
                <w:color w:val="auto"/>
                <w:w w:val="93"/>
              </w:rPr>
              <w:t>1.94%</w:t>
            </w:r>
          </w:p>
        </w:tc>
        <w:tc>
          <w:tcPr>
            <w:tcW w:w="1120" w:type="dxa"/>
            <w:vAlign w:val="bottom"/>
            <w:gridSpan w:val="2"/>
            <w:vMerge w:val="restart"/>
            <w:shd w:val="clear" w:color="auto" w:fill="CFF0FC"/>
          </w:tcPr>
          <w:p>
            <w:pPr>
              <w:jc w:val="center"/>
              <w:ind w:left="30"/>
              <w:spacing w:after="0"/>
              <w:rPr>
                <w:sz w:val="20"/>
                <w:szCs w:val="20"/>
                <w:color w:val="auto"/>
              </w:rPr>
            </w:pPr>
            <w:r>
              <w:rPr>
                <w:rFonts w:ascii="Calibri" w:cs="Calibri" w:eastAsia="Calibri" w:hAnsi="Calibri"/>
                <w:sz w:val="18"/>
                <w:szCs w:val="18"/>
                <w:color w:val="auto"/>
                <w:w w:val="98"/>
              </w:rPr>
              <w:t>2016</w:t>
            </w:r>
          </w:p>
        </w:tc>
        <w:tc>
          <w:tcPr>
            <w:tcW w:w="800" w:type="dxa"/>
            <w:vAlign w:val="bottom"/>
            <w:gridSpan w:val="2"/>
            <w:vMerge w:val="restart"/>
            <w:shd w:val="clear" w:color="auto" w:fill="CFF0FC"/>
          </w:tcPr>
          <w:p>
            <w:pPr>
              <w:jc w:val="center"/>
              <w:ind w:left="30"/>
              <w:spacing w:after="0"/>
              <w:rPr>
                <w:sz w:val="20"/>
                <w:szCs w:val="20"/>
                <w:color w:val="auto"/>
              </w:rPr>
            </w:pPr>
            <w:r>
              <w:rPr>
                <w:rFonts w:ascii="Calibri" w:cs="Calibri" w:eastAsia="Calibri" w:hAnsi="Calibri"/>
                <w:sz w:val="18"/>
                <w:szCs w:val="18"/>
                <w:color w:val="auto"/>
                <w:w w:val="98"/>
              </w:rPr>
              <w:t>2026</w:t>
            </w:r>
          </w:p>
        </w:tc>
        <w:tc>
          <w:tcPr>
            <w:tcW w:w="12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center"/>
              <w:spacing w:after="0"/>
              <w:rPr>
                <w:sz w:val="20"/>
                <w:szCs w:val="20"/>
                <w:color w:val="auto"/>
              </w:rPr>
            </w:pPr>
            <w:r>
              <w:rPr>
                <w:rFonts w:ascii="Calibri" w:cs="Calibri" w:eastAsia="Calibri" w:hAnsi="Calibri"/>
                <w:sz w:val="18"/>
                <w:szCs w:val="18"/>
                <w:color w:val="auto"/>
                <w:w w:val="96"/>
              </w:rPr>
              <w:t>$1 million</w:t>
            </w:r>
          </w:p>
        </w:tc>
        <w:tc>
          <w:tcPr>
            <w:tcW w:w="10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center"/>
              <w:spacing w:after="0"/>
              <w:rPr>
                <w:sz w:val="20"/>
                <w:szCs w:val="20"/>
                <w:color w:val="auto"/>
              </w:rPr>
            </w:pPr>
            <w:r>
              <w:rPr>
                <w:rFonts w:ascii="Calibri" w:cs="Calibri" w:eastAsia="Calibri" w:hAnsi="Calibri"/>
                <w:sz w:val="18"/>
                <w:szCs w:val="18"/>
                <w:color w:val="auto"/>
                <w:w w:val="98"/>
              </w:rPr>
              <w:t>$12 million</w:t>
            </w:r>
          </w:p>
        </w:tc>
        <w:tc>
          <w:tcPr>
            <w:tcW w:w="0" w:type="dxa"/>
            <w:vAlign w:val="bottom"/>
          </w:tcPr>
          <w:p>
            <w:pPr>
              <w:spacing w:after="0"/>
              <w:rPr>
                <w:sz w:val="1"/>
                <w:szCs w:val="1"/>
                <w:color w:val="auto"/>
              </w:rPr>
            </w:pPr>
          </w:p>
        </w:tc>
      </w:tr>
      <w:tr>
        <w:trPr>
          <w:trHeight w:val="107"/>
        </w:trPr>
        <w:tc>
          <w:tcPr>
            <w:tcW w:w="23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360" w:type="dxa"/>
            <w:vAlign w:val="bottom"/>
            <w:vMerge w:val="restart"/>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8"/>
              </w:rPr>
              <w:t>223 million</w:t>
            </w:r>
          </w:p>
        </w:tc>
        <w:tc>
          <w:tcPr>
            <w:tcW w:w="1120" w:type="dxa"/>
            <w:vAlign w:val="bottom"/>
            <w:gridSpan w:val="2"/>
            <w:vMerge w:val="continue"/>
            <w:shd w:val="clear" w:color="auto" w:fill="CFF0FC"/>
          </w:tcPr>
          <w:p>
            <w:pPr>
              <w:spacing w:after="0"/>
              <w:rPr>
                <w:sz w:val="9"/>
                <w:szCs w:val="9"/>
                <w:color w:val="auto"/>
              </w:rPr>
            </w:pPr>
          </w:p>
        </w:tc>
        <w:tc>
          <w:tcPr>
            <w:tcW w:w="920" w:type="dxa"/>
            <w:vAlign w:val="bottom"/>
            <w:gridSpan w:val="2"/>
            <w:vMerge w:val="continue"/>
            <w:shd w:val="clear" w:color="auto" w:fill="CFF0FC"/>
          </w:tcPr>
          <w:p>
            <w:pPr>
              <w:spacing w:after="0"/>
              <w:rPr>
                <w:sz w:val="9"/>
                <w:szCs w:val="9"/>
                <w:color w:val="auto"/>
              </w:rPr>
            </w:pPr>
          </w:p>
        </w:tc>
        <w:tc>
          <w:tcPr>
            <w:tcW w:w="1120" w:type="dxa"/>
            <w:vAlign w:val="bottom"/>
            <w:gridSpan w:val="2"/>
            <w:vMerge w:val="continue"/>
            <w:shd w:val="clear" w:color="auto" w:fill="CFF0FC"/>
          </w:tcPr>
          <w:p>
            <w:pPr>
              <w:spacing w:after="0"/>
              <w:rPr>
                <w:sz w:val="9"/>
                <w:szCs w:val="9"/>
                <w:color w:val="auto"/>
              </w:rPr>
            </w:pPr>
          </w:p>
        </w:tc>
        <w:tc>
          <w:tcPr>
            <w:tcW w:w="8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3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360" w:type="dxa"/>
            <w:vAlign w:val="bottom"/>
            <w:tcBorders>
              <w:bottom w:val="single" w:sz="8" w:color="CFF0FC"/>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8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24"/>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20" w:type="dxa"/>
            <w:vAlign w:val="bottom"/>
            <w:gridSpan w:val="2"/>
          </w:tcPr>
          <w:p>
            <w:pPr>
              <w:jc w:val="right"/>
              <w:ind w:right="188"/>
              <w:spacing w:after="0"/>
              <w:rPr>
                <w:sz w:val="20"/>
                <w:szCs w:val="20"/>
                <w:color w:val="auto"/>
              </w:rPr>
            </w:pPr>
            <w:r>
              <w:rPr>
                <w:rFonts w:ascii="Calibri" w:cs="Calibri" w:eastAsia="Calibri" w:hAnsi="Calibri"/>
                <w:sz w:val="18"/>
                <w:szCs w:val="18"/>
                <w:color w:val="auto"/>
              </w:rPr>
              <w:t>40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ind w:right="260" w:firstLine="509"/>
        <w:spacing w:after="0" w:line="235" w:lineRule="auto"/>
        <w:rPr>
          <w:sz w:val="20"/>
          <w:szCs w:val="20"/>
          <w:color w:val="auto"/>
        </w:rPr>
      </w:pPr>
      <w:r>
        <w:rPr>
          <w:rFonts w:ascii="Calibri" w:cs="Calibri" w:eastAsia="Calibri" w:hAnsi="Calibri"/>
          <w:sz w:val="18"/>
          <w:szCs w:val="18"/>
          <w:color w:val="auto"/>
        </w:rPr>
        <w:t>We also have foreign currency exposures arising from the denominaton of monetary assets and liabilites in foreign currencies other than the functonal currency of a given subsidiary as well as the risk that currency fuctuatons could afect the dollar value of future cash fows generated in foreign currencies. Accordingly, we use short-term forward contracts to minimize the exposure to foreign currency risk. At September 30, 2024 and 2023, we had $138 million and $82 million, respectvely, in notonal foreign currency contracts, which were denominated in Indonesian rupiah, Czech koruna, and Colombian peso. These forwards had a fair value of less than $1 million as of both September 30, 2024 and 2023.</w:t>
      </w:r>
    </w:p>
    <w:p>
      <w:pPr>
        <w:spacing w:after="0" w:line="85"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certain situatons where we have forecasted purchases under a long-term commitment or forecasted sales denominated in a foreign currency, we may enter into appropriate fnancial instruments in accordance with our risk management policy to hedge future cash fow exposures.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fscal 2024 and 2023, due to the weakening of most foreign currencies against the U.S. dollar, foreign currency translatons in the aggregate decreased our business segment EBIT by $5 million and $16 million, respectvely, which afected the results of the Reinforcement Materials and Performance Materials segments. In fscal 2024 and 2023, we recognized a net foreign exchange loss of $46 million and $35 million, respectvely, in Other income (expense) from the revaluaton of monetary assets and liabilites from transactonal currencies to functonal currency, largely atributable to changes in the value of the Argentne peso in both periods.</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b w:val="1"/>
          <w:bCs w:val="1"/>
          <w:color w:val="auto"/>
        </w:rPr>
        <w:t xml:space="preserve">Item 8. </w:t>
      </w:r>
      <w:r>
        <w:rPr>
          <w:rFonts w:ascii="Calibri" w:cs="Calibri" w:eastAsia="Calibri" w:hAnsi="Calibri"/>
          <w:sz w:val="18"/>
          <w:szCs w:val="18"/>
          <w:b w:val="1"/>
          <w:bCs w:val="1"/>
          <w:i w:val="1"/>
          <w:iCs w:val="1"/>
          <w:color w:val="auto"/>
        </w:rPr>
        <w:t>Financial Statements and Supplementary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40" w:type="dxa"/>
            <w:vAlign w:val="bottom"/>
            <w:gridSpan w:val="3"/>
          </w:tcPr>
          <w:p>
            <w:pPr>
              <w:jc w:val="center"/>
              <w:ind w:right="3860"/>
              <w:spacing w:after="0"/>
              <w:rPr>
                <w:sz w:val="20"/>
                <w:szCs w:val="20"/>
                <w:color w:val="auto"/>
              </w:rPr>
            </w:pPr>
            <w:r>
              <w:rPr>
                <w:rFonts w:ascii="Calibri" w:cs="Calibri" w:eastAsia="Calibri" w:hAnsi="Calibri"/>
                <w:sz w:val="18"/>
                <w:szCs w:val="18"/>
                <w:b w:val="1"/>
                <w:bCs w:val="1"/>
                <w:color w:val="auto"/>
                <w:w w:val="95"/>
              </w:rPr>
              <w:t>INDEX TO FINANCIAL STATEMENTS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3"/>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alibri" w:cs="Calibri" w:eastAsia="Calibri" w:hAnsi="Calibri"/>
                <w:sz w:val="13"/>
                <w:szCs w:val="13"/>
                <w:b w:val="1"/>
                <w:bCs w:val="1"/>
                <w:color w:val="auto"/>
              </w:rPr>
              <w:t>Descripton</w:t>
            </w:r>
          </w:p>
        </w:tc>
        <w:tc>
          <w:tcPr>
            <w:tcW w:w="10100" w:type="dxa"/>
            <w:vAlign w:val="bottom"/>
            <w:gridSpan w:val="8"/>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Calibri" w:cs="Calibri" w:eastAsia="Calibri" w:hAnsi="Calibri"/>
                <w:sz w:val="13"/>
                <w:szCs w:val="13"/>
                <w:b w:val="1"/>
                <w:bCs w:val="1"/>
                <w:color w:val="auto"/>
                <w:w w:val="91"/>
              </w:rPr>
              <w:t>Page</w:t>
            </w:r>
          </w:p>
        </w:tc>
      </w:tr>
      <w:tr>
        <w:trPr>
          <w:trHeight w:val="27"/>
        </w:trPr>
        <w:tc>
          <w:tcPr>
            <w:tcW w:w="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Calibri" w:cs="Calibri" w:eastAsia="Calibri" w:hAnsi="Calibri"/>
                <w:sz w:val="18"/>
                <w:szCs w:val="18"/>
                <w:color w:val="auto"/>
              </w:rPr>
              <w:t>(1)</w:t>
            </w:r>
          </w:p>
        </w:tc>
        <w:tc>
          <w:tcPr>
            <w:tcW w:w="2780" w:type="dxa"/>
            <w:vAlign w:val="bottom"/>
            <w:tcBorders>
              <w:bottom w:val="single" w:sz="8" w:color="0000EE"/>
            </w:tcBorders>
            <w:gridSpan w:val="3"/>
          </w:tcPr>
          <w:p>
            <w:pPr>
              <w:spacing w:after="0" w:line="189" w:lineRule="exact"/>
              <w:rPr>
                <w:sz w:val="20"/>
                <w:szCs w:val="20"/>
                <w:color w:val="auto"/>
              </w:rPr>
            </w:pPr>
            <w:r>
              <w:rPr>
                <w:rFonts w:ascii="Calibri" w:cs="Calibri" w:eastAsia="Calibri" w:hAnsi="Calibri"/>
                <w:sz w:val="18"/>
                <w:szCs w:val="18"/>
                <w:color w:val="auto"/>
                <w:w w:val="97"/>
              </w:rPr>
              <w:t>Consolidated Statements of Operatons</w:t>
            </w:r>
          </w:p>
        </w:tc>
        <w:tc>
          <w:tcPr>
            <w:tcW w:w="7320" w:type="dxa"/>
            <w:vAlign w:val="bottom"/>
            <w:gridSpan w:val="5"/>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Calibri" w:cs="Calibri" w:eastAsia="Calibri" w:hAnsi="Calibri"/>
                <w:sz w:val="18"/>
                <w:szCs w:val="18"/>
                <w:color w:val="auto"/>
              </w:rPr>
              <w:t>43</w:t>
            </w:r>
          </w:p>
        </w:tc>
      </w:tr>
      <w:tr>
        <w:trPr>
          <w:trHeight w:val="209"/>
        </w:trPr>
        <w:tc>
          <w:tcPr>
            <w:tcW w:w="6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(2)</w:t>
            </w:r>
          </w:p>
        </w:tc>
        <w:tc>
          <w:tcPr>
            <w:tcW w:w="10100" w:type="dxa"/>
            <w:vAlign w:val="bottom"/>
            <w:gridSpan w:val="8"/>
          </w:tcPr>
          <w:p>
            <w:pPr>
              <w:spacing w:after="0" w:line="209" w:lineRule="exact"/>
              <w:rPr>
                <w:sz w:val="20"/>
                <w:szCs w:val="20"/>
                <w:color w:val="auto"/>
              </w:rPr>
            </w:pPr>
            <w:r>
              <w:rPr>
                <w:rFonts w:ascii="Calibri" w:cs="Calibri" w:eastAsia="Calibri" w:hAnsi="Calibri"/>
                <w:sz w:val="18"/>
                <w:szCs w:val="18"/>
                <w:color w:val="auto"/>
              </w:rPr>
              <w:t>Consolidated Statements of Comprehensive Income</w:t>
            </w:r>
          </w:p>
        </w:tc>
        <w:tc>
          <w:tcPr>
            <w:tcW w:w="4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44</w:t>
            </w:r>
          </w:p>
        </w:tc>
      </w:tr>
      <w:tr>
        <w:trPr>
          <w:trHeight w:val="210"/>
        </w:trPr>
        <w:tc>
          <w:tcPr>
            <w:tcW w:w="6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(3)</w:t>
            </w:r>
          </w:p>
        </w:tc>
        <w:tc>
          <w:tcPr>
            <w:tcW w:w="2020" w:type="dxa"/>
            <w:vAlign w:val="bottom"/>
            <w:tcBorders>
              <w:top w:val="single" w:sz="8" w:color="0000EE"/>
              <w:bottom w:val="single" w:sz="8" w:color="0000EE"/>
            </w:tcBorders>
          </w:tcPr>
          <w:p>
            <w:pPr>
              <w:spacing w:after="0" w:line="209" w:lineRule="exact"/>
              <w:rPr>
                <w:sz w:val="20"/>
                <w:szCs w:val="20"/>
                <w:color w:val="auto"/>
              </w:rPr>
            </w:pPr>
            <w:r>
              <w:rPr>
                <w:rFonts w:ascii="Calibri" w:cs="Calibri" w:eastAsia="Calibri" w:hAnsi="Calibri"/>
                <w:sz w:val="18"/>
                <w:szCs w:val="18"/>
                <w:color w:val="auto"/>
                <w:w w:val="95"/>
              </w:rPr>
              <w:t>Consolidated Balance Sheets</w:t>
            </w:r>
          </w:p>
        </w:tc>
        <w:tc>
          <w:tcPr>
            <w:tcW w:w="1640" w:type="dxa"/>
            <w:vAlign w:val="bottom"/>
            <w:tcBorders>
              <w:top w:val="single" w:sz="8" w:color="0000EE"/>
            </w:tcBorders>
            <w:gridSpan w:val="4"/>
          </w:tcPr>
          <w:p>
            <w:pPr>
              <w:spacing w:after="0"/>
              <w:rPr>
                <w:sz w:val="18"/>
                <w:szCs w:val="18"/>
                <w:color w:val="auto"/>
              </w:rPr>
            </w:pPr>
          </w:p>
        </w:tc>
        <w:tc>
          <w:tcPr>
            <w:tcW w:w="6440" w:type="dxa"/>
            <w:vAlign w:val="bottom"/>
            <w:gridSpan w:val="3"/>
          </w:tcPr>
          <w:p>
            <w:pPr>
              <w:spacing w:after="0"/>
              <w:rPr>
                <w:sz w:val="18"/>
                <w:szCs w:val="18"/>
                <w:color w:val="auto"/>
              </w:rPr>
            </w:pPr>
          </w:p>
        </w:tc>
        <w:tc>
          <w:tcPr>
            <w:tcW w:w="4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45</w:t>
            </w:r>
          </w:p>
        </w:tc>
      </w:tr>
      <w:tr>
        <w:trPr>
          <w:trHeight w:val="209"/>
        </w:trPr>
        <w:tc>
          <w:tcPr>
            <w:tcW w:w="6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(4)</w:t>
            </w:r>
          </w:p>
        </w:tc>
        <w:tc>
          <w:tcPr>
            <w:tcW w:w="10100" w:type="dxa"/>
            <w:vAlign w:val="bottom"/>
            <w:gridSpan w:val="8"/>
          </w:tcPr>
          <w:p>
            <w:pPr>
              <w:spacing w:after="0" w:line="209" w:lineRule="exact"/>
              <w:rPr>
                <w:sz w:val="20"/>
                <w:szCs w:val="20"/>
                <w:color w:val="auto"/>
              </w:rPr>
            </w:pPr>
            <w:r>
              <w:rPr>
                <w:rFonts w:ascii="Calibri" w:cs="Calibri" w:eastAsia="Calibri" w:hAnsi="Calibri"/>
                <w:sz w:val="18"/>
                <w:szCs w:val="18"/>
                <w:color w:val="auto"/>
              </w:rPr>
              <w:t>Consolidated Statements of Cash Flows</w:t>
            </w:r>
          </w:p>
        </w:tc>
        <w:tc>
          <w:tcPr>
            <w:tcW w:w="4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47</w:t>
            </w:r>
          </w:p>
        </w:tc>
      </w:tr>
      <w:tr>
        <w:trPr>
          <w:trHeight w:val="20"/>
        </w:trPr>
        <w:tc>
          <w:tcPr>
            <w:tcW w:w="680" w:type="dxa"/>
            <w:vAlign w:val="bottom"/>
            <w:tcBorders>
              <w:right w:val="single" w:sz="8" w:color="0000EE"/>
            </w:tcBorders>
            <w:gridSpan w:val="2"/>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09"/>
        </w:trPr>
        <w:tc>
          <w:tcPr>
            <w:tcW w:w="6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(5)</w:t>
            </w:r>
          </w:p>
        </w:tc>
        <w:tc>
          <w:tcPr>
            <w:tcW w:w="4240" w:type="dxa"/>
            <w:vAlign w:val="bottom"/>
            <w:tcBorders>
              <w:bottom w:val="single" w:sz="8" w:color="0000EE"/>
            </w:tcBorders>
            <w:gridSpan w:val="7"/>
          </w:tcPr>
          <w:p>
            <w:pPr>
              <w:spacing w:after="0" w:line="209" w:lineRule="exact"/>
              <w:rPr>
                <w:sz w:val="20"/>
                <w:szCs w:val="20"/>
                <w:color w:val="auto"/>
              </w:rPr>
            </w:pPr>
            <w:r>
              <w:rPr>
                <w:rFonts w:ascii="Calibri" w:cs="Calibri" w:eastAsia="Calibri" w:hAnsi="Calibri"/>
                <w:sz w:val="18"/>
                <w:szCs w:val="18"/>
                <w:color w:val="auto"/>
                <w:w w:val="96"/>
              </w:rPr>
              <w:t>Consolidated Statements of Changes in Stockholders’ Equity</w:t>
            </w:r>
          </w:p>
        </w:tc>
        <w:tc>
          <w:tcPr>
            <w:tcW w:w="5860" w:type="dxa"/>
            <w:vAlign w:val="bottom"/>
          </w:tcPr>
          <w:p>
            <w:pPr>
              <w:spacing w:after="0"/>
              <w:rPr>
                <w:sz w:val="18"/>
                <w:szCs w:val="18"/>
                <w:color w:val="auto"/>
              </w:rPr>
            </w:pPr>
          </w:p>
        </w:tc>
        <w:tc>
          <w:tcPr>
            <w:tcW w:w="4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48</w:t>
            </w:r>
          </w:p>
        </w:tc>
      </w:tr>
      <w:tr>
        <w:trPr>
          <w:trHeight w:val="210"/>
        </w:trPr>
        <w:tc>
          <w:tcPr>
            <w:tcW w:w="6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(6)</w:t>
            </w:r>
          </w:p>
        </w:tc>
        <w:tc>
          <w:tcPr>
            <w:tcW w:w="3360" w:type="dxa"/>
            <w:vAlign w:val="bottom"/>
            <w:tcBorders>
              <w:bottom w:val="single" w:sz="8" w:color="0000EE"/>
            </w:tcBorders>
            <w:gridSpan w:val="4"/>
          </w:tcPr>
          <w:p>
            <w:pPr>
              <w:spacing w:after="0" w:line="209" w:lineRule="exact"/>
              <w:rPr>
                <w:sz w:val="20"/>
                <w:szCs w:val="20"/>
                <w:color w:val="auto"/>
              </w:rPr>
            </w:pPr>
            <w:r>
              <w:rPr>
                <w:rFonts w:ascii="Calibri" w:cs="Calibri" w:eastAsia="Calibri" w:hAnsi="Calibri"/>
                <w:sz w:val="18"/>
                <w:szCs w:val="18"/>
                <w:color w:val="auto"/>
                <w:w w:val="96"/>
              </w:rPr>
              <w:t>Notes to the Consolidated Financial Statements</w:t>
            </w:r>
          </w:p>
        </w:tc>
        <w:tc>
          <w:tcPr>
            <w:tcW w:w="6740" w:type="dxa"/>
            <w:vAlign w:val="bottom"/>
            <w:gridSpan w:val="4"/>
          </w:tcPr>
          <w:p>
            <w:pPr>
              <w:spacing w:after="0"/>
              <w:rPr>
                <w:sz w:val="18"/>
                <w:szCs w:val="18"/>
                <w:color w:val="auto"/>
              </w:rPr>
            </w:pPr>
          </w:p>
        </w:tc>
        <w:tc>
          <w:tcPr>
            <w:tcW w:w="4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49</w:t>
            </w:r>
          </w:p>
        </w:tc>
      </w:tr>
      <w:tr>
        <w:trPr>
          <w:trHeight w:val="209"/>
        </w:trPr>
        <w:tc>
          <w:tcPr>
            <w:tcW w:w="6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(7)</w:t>
            </w:r>
          </w:p>
        </w:tc>
        <w:tc>
          <w:tcPr>
            <w:tcW w:w="10100" w:type="dxa"/>
            <w:vAlign w:val="bottom"/>
            <w:gridSpan w:val="8"/>
          </w:tcPr>
          <w:p>
            <w:pPr>
              <w:spacing w:after="0" w:line="209" w:lineRule="exact"/>
              <w:rPr>
                <w:sz w:val="20"/>
                <w:szCs w:val="20"/>
                <w:color w:val="auto"/>
              </w:rPr>
            </w:pPr>
            <w:r>
              <w:rPr>
                <w:rFonts w:ascii="Calibri" w:cs="Calibri" w:eastAsia="Calibri" w:hAnsi="Calibri"/>
                <w:sz w:val="18"/>
                <w:szCs w:val="18"/>
                <w:color w:val="auto"/>
              </w:rPr>
              <w:t>Reports of Independent Registered Public Accountng Firm (PCAOB ID 34)</w:t>
            </w:r>
          </w:p>
        </w:tc>
        <w:tc>
          <w:tcPr>
            <w:tcW w:w="4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84</w:t>
            </w:r>
          </w:p>
        </w:tc>
      </w:tr>
      <w:tr>
        <w:trPr>
          <w:trHeight w:val="67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tcBorders>
              <w:top w:val="single" w:sz="8" w:color="0000EE"/>
            </w:tcBorders>
            <w:gridSpan w:val="6"/>
          </w:tcPr>
          <w:p>
            <w:pPr>
              <w:spacing w:after="0"/>
              <w:rPr>
                <w:sz w:val="24"/>
                <w:szCs w:val="24"/>
                <w:color w:val="auto"/>
              </w:rPr>
            </w:pPr>
          </w:p>
        </w:tc>
        <w:tc>
          <w:tcPr>
            <w:tcW w:w="5980" w:type="dxa"/>
            <w:vAlign w:val="bottom"/>
            <w:gridSpan w:val="2"/>
          </w:tcPr>
          <w:p>
            <w:pPr>
              <w:jc w:val="right"/>
              <w:ind w:right="5060"/>
              <w:spacing w:after="0"/>
              <w:rPr>
                <w:sz w:val="20"/>
                <w:szCs w:val="20"/>
                <w:color w:val="auto"/>
              </w:rPr>
            </w:pPr>
            <w:r>
              <w:rPr>
                <w:rFonts w:ascii="Calibri" w:cs="Calibri" w:eastAsia="Calibri" w:hAnsi="Calibri"/>
                <w:sz w:val="18"/>
                <w:szCs w:val="18"/>
                <w:color w:val="auto"/>
              </w:rPr>
              <w:t>42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86"/>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2" w:name="page43"/>
    <w:bookmarkEnd w:id="42"/>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8"/>
              <w:spacing w:after="0"/>
              <w:rPr>
                <w:sz w:val="20"/>
                <w:szCs w:val="20"/>
                <w:color w:val="auto"/>
              </w:rPr>
            </w:pPr>
            <w:r>
              <w:rPr>
                <w:rFonts w:ascii="Calibri" w:cs="Calibri" w:eastAsia="Calibri" w:hAnsi="Calibri"/>
                <w:sz w:val="14"/>
                <w:szCs w:val="14"/>
                <w:b w:val="1"/>
                <w:bCs w:val="1"/>
                <w:color w:val="auto"/>
              </w:rPr>
              <w:t>Years Ended September 30</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1"/>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11"/>
              <w:spacing w:after="0" w:line="169" w:lineRule="exact"/>
              <w:rPr>
                <w:sz w:val="20"/>
                <w:szCs w:val="20"/>
                <w:color w:val="auto"/>
              </w:rPr>
            </w:pPr>
            <w:r>
              <w:rPr>
                <w:rFonts w:ascii="Calibri" w:cs="Calibri" w:eastAsia="Calibri" w:hAnsi="Calibri"/>
                <w:sz w:val="14"/>
                <w:szCs w:val="14"/>
                <w:b w:val="1"/>
                <w:bCs w:val="1"/>
                <w:color w:val="auto"/>
              </w:rPr>
              <w:t>(In</w:t>
            </w:r>
          </w:p>
        </w:tc>
        <w:tc>
          <w:tcPr>
            <w:tcW w:w="1580" w:type="dxa"/>
            <w:vAlign w:val="bottom"/>
            <w:gridSpan w:val="4"/>
          </w:tcPr>
          <w:p>
            <w:pPr>
              <w:jc w:val="right"/>
              <w:ind w:right="31"/>
              <w:spacing w:after="0" w:line="169" w:lineRule="exact"/>
              <w:rPr>
                <w:sz w:val="20"/>
                <w:szCs w:val="20"/>
                <w:color w:val="auto"/>
              </w:rPr>
            </w:pPr>
            <w:r>
              <w:rPr>
                <w:rFonts w:ascii="Calibri" w:cs="Calibri" w:eastAsia="Calibri" w:hAnsi="Calibri"/>
                <w:sz w:val="14"/>
                <w:szCs w:val="14"/>
                <w:b w:val="1"/>
                <w:bCs w:val="1"/>
                <w:color w:val="auto"/>
                <w:w w:val="96"/>
              </w:rPr>
              <w:t>millions, except per share</w:t>
            </w:r>
          </w:p>
        </w:tc>
        <w:tc>
          <w:tcPr>
            <w:tcW w:w="620" w:type="dxa"/>
            <w:vAlign w:val="bottom"/>
            <w:gridSpan w:val="2"/>
          </w:tcPr>
          <w:p>
            <w:pPr>
              <w:jc w:val="right"/>
              <w:ind w:right="50"/>
              <w:spacing w:after="0" w:line="169" w:lineRule="exact"/>
              <w:rPr>
                <w:sz w:val="20"/>
                <w:szCs w:val="20"/>
                <w:color w:val="auto"/>
              </w:rPr>
            </w:pPr>
            <w:r>
              <w:rPr>
                <w:rFonts w:ascii="Calibri" w:cs="Calibri" w:eastAsia="Calibri" w:hAnsi="Calibri"/>
                <w:sz w:val="14"/>
                <w:szCs w:val="14"/>
                <w:b w:val="1"/>
                <w:bCs w:val="1"/>
                <w:color w:val="auto"/>
                <w:w w:val="82"/>
              </w:rPr>
              <w:t>amounts)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Net sales and other operatng revenues</w:t>
            </w:r>
          </w:p>
        </w:tc>
        <w:tc>
          <w:tcPr>
            <w:tcW w:w="880" w:type="dxa"/>
            <w:vAlign w:val="bottom"/>
            <w:shd w:val="clear" w:color="auto" w:fill="CFF0FC"/>
          </w:tcPr>
          <w:p>
            <w:pPr>
              <w:jc w:val="right"/>
              <w:ind w:right="694"/>
              <w:spacing w:after="0" w:line="217"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3,994</w:t>
            </w: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0"/>
              <w:spacing w:after="0" w:line="217"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3,931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4,321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3,092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Gross proft</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960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839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8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283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253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Research and technical expenses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880" w:type="dxa"/>
            <w:vAlign w:val="bottom"/>
          </w:tcPr>
          <w:p>
            <w:pPr>
              <w:spacing w:after="0"/>
              <w:rPr>
                <w:sz w:val="18"/>
                <w:szCs w:val="18"/>
                <w:color w:val="auto"/>
              </w:rPr>
            </w:pPr>
          </w:p>
        </w:tc>
        <w:tc>
          <w:tcPr>
            <w:tcW w:w="54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Gain on bargain purchase of a business (Note C)</w:t>
            </w:r>
          </w:p>
        </w:tc>
        <w:tc>
          <w:tcPr>
            <w:tcW w:w="8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8"/>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8"/>
              <w:spacing w:after="0" w:line="216" w:lineRule="exact"/>
              <w:rPr>
                <w:sz w:val="20"/>
                <w:szCs w:val="20"/>
                <w:color w:val="auto"/>
              </w:rPr>
            </w:pPr>
            <w:r>
              <w:rPr>
                <w:rFonts w:ascii="Calibri" w:cs="Calibri" w:eastAsia="Calibri" w:hAnsi="Calibri"/>
                <w:sz w:val="18"/>
                <w:szCs w:val="18"/>
                <w:color w:val="auto"/>
              </w:rPr>
              <w:t>—</w:t>
            </w: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(24 )</w:t>
            </w:r>
          </w:p>
        </w:tc>
        <w:tc>
          <w:tcPr>
            <w:tcW w:w="0" w:type="dxa"/>
            <w:vAlign w:val="bottom"/>
          </w:tcPr>
          <w:p>
            <w:pPr>
              <w:spacing w:after="0"/>
              <w:rPr>
                <w:sz w:val="1"/>
                <w:szCs w:val="1"/>
                <w:color w:val="auto"/>
              </w:rPr>
            </w:pPr>
          </w:p>
        </w:tc>
      </w:tr>
      <w:tr>
        <w:trPr>
          <w:trHeight w:val="209"/>
        </w:trPr>
        <w:tc>
          <w:tcPr>
            <w:tcW w:w="6660" w:type="dxa"/>
            <w:vAlign w:val="bottom"/>
          </w:tcPr>
          <w:p>
            <w:pPr>
              <w:ind w:left="200"/>
              <w:spacing w:after="0" w:line="195" w:lineRule="exact"/>
              <w:rPr>
                <w:sz w:val="20"/>
                <w:szCs w:val="20"/>
                <w:color w:val="auto"/>
              </w:rPr>
            </w:pPr>
            <w:r>
              <w:rPr>
                <w:rFonts w:ascii="Calibri" w:cs="Calibri" w:eastAsia="Calibri" w:hAnsi="Calibri"/>
                <w:sz w:val="18"/>
                <w:szCs w:val="18"/>
                <w:color w:val="auto"/>
              </w:rPr>
              <w:t>Income (loss) from operatons</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526</w:t>
            </w: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and dividend income</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880" w:type="dxa"/>
            <w:vAlign w:val="bottom"/>
          </w:tcPr>
          <w:p>
            <w:pPr>
              <w:spacing w:after="0"/>
              <w:rPr>
                <w:sz w:val="18"/>
                <w:szCs w:val="18"/>
                <w:color w:val="auto"/>
              </w:rPr>
            </w:pPr>
          </w:p>
        </w:tc>
        <w:tc>
          <w:tcPr>
            <w:tcW w:w="5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(81 )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(90 )</w:t>
            </w:r>
          </w:p>
        </w:tc>
        <w:tc>
          <w:tcPr>
            <w:tcW w:w="380" w:type="dxa"/>
            <w:vAlign w:val="bottom"/>
          </w:tcPr>
          <w:p>
            <w:pPr>
              <w:spacing w:after="0"/>
              <w:rPr>
                <w:sz w:val="18"/>
                <w:szCs w:val="18"/>
                <w:color w:val="auto"/>
              </w:rPr>
            </w:pPr>
          </w:p>
        </w:tc>
        <w:tc>
          <w:tcPr>
            <w:tcW w:w="10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(56 )</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income (expense)</w:t>
            </w:r>
          </w:p>
        </w:tc>
        <w:tc>
          <w:tcPr>
            <w:tcW w:w="8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8"/>
              <w:spacing w:after="0" w:line="216" w:lineRule="exact"/>
              <w:rPr>
                <w:sz w:val="20"/>
                <w:szCs w:val="20"/>
                <w:color w:val="auto"/>
              </w:rPr>
            </w:pPr>
            <w:r>
              <w:rPr>
                <w:rFonts w:ascii="Calibri" w:cs="Calibri" w:eastAsia="Calibri" w:hAnsi="Calibri"/>
                <w:sz w:val="18"/>
                <w:szCs w:val="18"/>
                <w:color w:val="auto"/>
              </w:rPr>
              <w:t>(16 )</w:t>
            </w: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188"/>
        </w:trPr>
        <w:tc>
          <w:tcPr>
            <w:tcW w:w="6660" w:type="dxa"/>
            <w:vAlign w:val="bottom"/>
            <w:tcBorders>
              <w:top w:val="single" w:sz="8" w:color="CFF0FC"/>
            </w:tcBorders>
          </w:tcPr>
          <w:p>
            <w:pPr>
              <w:ind w:left="200"/>
              <w:spacing w:after="0" w:line="187" w:lineRule="exact"/>
              <w:rPr>
                <w:sz w:val="20"/>
                <w:szCs w:val="20"/>
                <w:color w:val="auto"/>
              </w:rPr>
            </w:pPr>
            <w:r>
              <w:rPr>
                <w:rFonts w:ascii="Calibri" w:cs="Calibri" w:eastAsia="Calibri" w:hAnsi="Calibri"/>
                <w:sz w:val="18"/>
                <w:szCs w:val="18"/>
                <w:color w:val="auto"/>
              </w:rPr>
              <w:t>Income (loss) from operatons before income taxes and</w:t>
            </w:r>
          </w:p>
        </w:tc>
        <w:tc>
          <w:tcPr>
            <w:tcW w:w="8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3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8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529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451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8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(111 )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(102 )</w:t>
            </w: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 net of tax</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Net income (loss)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424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484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60" w:type="dxa"/>
            <w:vAlign w:val="bottom"/>
          </w:tcPr>
          <w:p>
            <w:pPr>
              <w:ind w:left="20"/>
              <w:spacing w:after="0" w:line="194" w:lineRule="exact"/>
              <w:rPr>
                <w:sz w:val="20"/>
                <w:szCs w:val="20"/>
                <w:color w:val="auto"/>
              </w:rPr>
            </w:pPr>
            <w:r>
              <w:rPr>
                <w:rFonts w:ascii="Calibri" w:cs="Calibri" w:eastAsia="Calibri" w:hAnsi="Calibri"/>
                <w:sz w:val="18"/>
                <w:szCs w:val="18"/>
                <w:color w:val="auto"/>
              </w:rPr>
              <w:t>Net income (loss) atributable to noncontrolling interests, net of tax</w:t>
            </w:r>
          </w:p>
        </w:tc>
        <w:tc>
          <w:tcPr>
            <w:tcW w:w="88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Calibri" w:cs="Calibri" w:eastAsia="Calibri" w:hAnsi="Calibri"/>
                <w:sz w:val="18"/>
                <w:szCs w:val="18"/>
                <w:color w:val="auto"/>
              </w:rPr>
              <w:t>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8"/>
                <w:szCs w:val="18"/>
                <w:color w:val="auto"/>
              </w:rPr>
              <w:t>39</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60" w:type="dxa"/>
            <w:vAlign w:val="bottom"/>
          </w:tcPr>
          <w:p>
            <w:pPr>
              <w:ind w:left="140"/>
              <w:spacing w:after="0" w:line="215" w:lineRule="exact"/>
              <w:rPr>
                <w:sz w:val="20"/>
                <w:szCs w:val="20"/>
                <w:color w:val="auto"/>
              </w:rPr>
            </w:pPr>
            <w:r>
              <w:rPr>
                <w:rFonts w:ascii="Calibri" w:cs="Calibri" w:eastAsia="Calibri" w:hAnsi="Calibri"/>
                <w:sz w:val="18"/>
                <w:szCs w:val="18"/>
                <w:color w:val="auto"/>
              </w:rPr>
              <w:t>of $11, $9 and $8</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6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880" w:type="dxa"/>
            <w:vAlign w:val="bottom"/>
            <w:shd w:val="clear" w:color="auto" w:fill="CFF0FC"/>
          </w:tcPr>
          <w:p>
            <w:pPr>
              <w:jc w:val="right"/>
              <w:ind w:right="694"/>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380</w:t>
            </w:r>
          </w:p>
        </w:tc>
        <w:tc>
          <w:tcPr>
            <w:tcW w:w="8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445</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6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8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55.1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Diluted</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56.5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Earnings (loss) per common share:</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880" w:type="dxa"/>
            <w:vAlign w:val="bottom"/>
          </w:tcPr>
          <w:p>
            <w:pPr>
              <w:jc w:val="right"/>
              <w:ind w:right="694"/>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6.79</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7.79</w:t>
            </w:r>
          </w:p>
        </w:tc>
        <w:tc>
          <w:tcPr>
            <w:tcW w:w="240" w:type="dxa"/>
            <w:vAlign w:val="bottom"/>
          </w:tcPr>
          <w:p>
            <w:pPr>
              <w:spacing w:after="0"/>
              <w:rPr>
                <w:sz w:val="18"/>
                <w:szCs w:val="18"/>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Diluted</w:t>
            </w:r>
          </w:p>
        </w:tc>
        <w:tc>
          <w:tcPr>
            <w:tcW w:w="880" w:type="dxa"/>
            <w:vAlign w:val="bottom"/>
            <w:shd w:val="clear" w:color="auto" w:fill="CFF0FC"/>
          </w:tcPr>
          <w:p>
            <w:pPr>
              <w:jc w:val="right"/>
              <w:ind w:right="694"/>
              <w:spacing w:after="0" w:line="216"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6.72</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216"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-2236470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-2236470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-1122680</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-1104900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-1122680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-1104900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3" w:name="page44"/>
    <w:bookmarkEnd w:id="43"/>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Calibri" w:cs="Calibri" w:eastAsia="Calibri" w:hAnsi="Calibri"/>
                <w:sz w:val="14"/>
                <w:szCs w:val="14"/>
                <w:b w:val="1"/>
                <w:bCs w:val="1"/>
                <w:color w:val="auto"/>
              </w:rPr>
              <w:t>Years Ended September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66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Calibri" w:cs="Calibri" w:eastAsia="Calibri" w:hAnsi="Calibri"/>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Net income (loss)</w:t>
            </w:r>
          </w:p>
        </w:tc>
        <w:tc>
          <w:tcPr>
            <w:tcW w:w="940" w:type="dxa"/>
            <w:vAlign w:val="bottom"/>
            <w:shd w:val="clear" w:color="auto" w:fill="CFF0FC"/>
          </w:tcPr>
          <w:p>
            <w:pPr>
              <w:jc w:val="right"/>
              <w:ind w:right="756"/>
              <w:spacing w:after="0" w:line="217" w:lineRule="exact"/>
              <w:rPr>
                <w:sz w:val="20"/>
                <w:szCs w:val="20"/>
                <w:color w:val="auto"/>
              </w:rPr>
            </w:pPr>
            <w:r>
              <w:rPr>
                <w:rFonts w:ascii="Calibri" w:cs="Calibri" w:eastAsia="Calibri" w:hAnsi="Calibri"/>
                <w:sz w:val="18"/>
                <w:szCs w:val="18"/>
                <w:color w:val="auto"/>
                <w:w w:val="87"/>
              </w:rPr>
              <w:t>$</w:t>
            </w:r>
          </w:p>
        </w:tc>
        <w:tc>
          <w:tcPr>
            <w:tcW w:w="4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424</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484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line="217"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Foreign currency translaton adjustment, net of tax</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(175 )</w:t>
            </w: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net investment hedges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(Gains) losses reclassifed to interest expense, net of tax</w:t>
            </w: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(4 )</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(6 )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194"/>
        </w:trPr>
        <w:tc>
          <w:tcPr>
            <w:tcW w:w="6660" w:type="dxa"/>
            <w:vAlign w:val="bottom"/>
          </w:tcPr>
          <w:p>
            <w:pPr>
              <w:ind w:left="380"/>
              <w:spacing w:after="0" w:line="194" w:lineRule="exact"/>
              <w:rPr>
                <w:sz w:val="20"/>
                <w:szCs w:val="20"/>
                <w:color w:val="auto"/>
              </w:rPr>
            </w:pPr>
            <w:r>
              <w:rPr>
                <w:rFonts w:ascii="Calibri" w:cs="Calibri" w:eastAsia="Calibri" w:hAnsi="Calibri"/>
                <w:sz w:val="18"/>
                <w:szCs w:val="18"/>
                <w:color w:val="auto"/>
              </w:rPr>
              <w:t>(Gains) losses excluded from efectveness testng and amortzed to</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500"/>
              <w:spacing w:after="0" w:line="215" w:lineRule="exact"/>
              <w:rPr>
                <w:sz w:val="20"/>
                <w:szCs w:val="20"/>
                <w:color w:val="auto"/>
              </w:rPr>
            </w:pPr>
            <w:r>
              <w:rPr>
                <w:rFonts w:ascii="Calibri" w:cs="Calibri" w:eastAsia="Calibri" w:hAnsi="Calibri"/>
                <w:sz w:val="18"/>
                <w:szCs w:val="18"/>
                <w:color w:val="auto"/>
              </w:rPr>
              <w:t>interest expense, net of tax</w:t>
            </w:r>
          </w:p>
        </w:tc>
        <w:tc>
          <w:tcPr>
            <w:tcW w:w="94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66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Pension and other postretrement beneft liability adjustments,</w:t>
            </w:r>
          </w:p>
        </w:tc>
        <w:tc>
          <w:tcPr>
            <w:tcW w:w="9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6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net of tax</w:t>
            </w:r>
          </w:p>
        </w:tc>
        <w:tc>
          <w:tcPr>
            <w:tcW w:w="9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(9 )</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200"/>
              <w:spacing w:after="0" w:line="199" w:lineRule="exact"/>
              <w:rPr>
                <w:sz w:val="20"/>
                <w:szCs w:val="20"/>
                <w:color w:val="auto"/>
              </w:rPr>
            </w:pPr>
            <w:r>
              <w:rPr>
                <w:rFonts w:ascii="Calibri" w:cs="Calibri" w:eastAsia="Calibri" w:hAnsi="Calibri"/>
                <w:sz w:val="18"/>
                <w:szCs w:val="18"/>
                <w:color w:val="auto"/>
              </w:rPr>
              <w:t>Other comprehensive income (loss), net of tax of $14, $1 and $3</w:t>
            </w:r>
          </w:p>
        </w:tc>
        <w:tc>
          <w:tcPr>
            <w:tcW w:w="9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77</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(165</w:t>
            </w:r>
          </w:p>
        </w:tc>
        <w:tc>
          <w:tcPr>
            <w:tcW w:w="100" w:type="dxa"/>
            <w:vAlign w:val="bottom"/>
          </w:tcPr>
          <w:p>
            <w:pPr>
              <w:jc w:val="right"/>
              <w:spacing w:after="0" w:line="195"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Comprehensive income (loss)</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431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561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line="215" w:lineRule="exact"/>
              <w:rPr>
                <w:sz w:val="20"/>
                <w:szCs w:val="20"/>
                <w:color w:val="auto"/>
              </w:rPr>
            </w:pPr>
            <w:r>
              <w:rPr>
                <w:rFonts w:ascii="Calibri" w:cs="Calibri" w:eastAsia="Calibri" w:hAnsi="Calibri"/>
                <w:sz w:val="18"/>
                <w:szCs w:val="18"/>
                <w:color w:val="auto"/>
              </w:rPr>
              <w:t>Net income (loss) atributable to noncontrolling interests, net of tax</w:t>
            </w:r>
          </w:p>
        </w:tc>
        <w:tc>
          <w:tcPr>
            <w:tcW w:w="94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6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Foreign currency translaton adjustment atributable to noncontrolling</w:t>
            </w:r>
          </w:p>
        </w:tc>
        <w:tc>
          <w:tcPr>
            <w:tcW w:w="940" w:type="dxa"/>
            <w:vAlign w:val="bottom"/>
            <w:shd w:val="clear" w:color="auto" w:fill="CFF0FC"/>
          </w:tcPr>
          <w:p>
            <w:pPr>
              <w:spacing w:after="0"/>
              <w:rPr>
                <w:sz w:val="16"/>
                <w:szCs w:val="16"/>
                <w:color w:val="auto"/>
              </w:rPr>
            </w:pPr>
          </w:p>
        </w:tc>
        <w:tc>
          <w:tcPr>
            <w:tcW w:w="4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6"/>
                <w:szCs w:val="16"/>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20"/>
        </w:trPr>
        <w:tc>
          <w:tcPr>
            <w:tcW w:w="6660" w:type="dxa"/>
            <w:vAlign w:val="bottom"/>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interests, net of tax</w:t>
            </w:r>
          </w:p>
        </w:tc>
        <w:tc>
          <w:tcPr>
            <w:tcW w:w="940" w:type="dxa"/>
            <w:vAlign w:val="bottom"/>
            <w:shd w:val="clear" w:color="auto" w:fill="CFF0FC"/>
          </w:tcPr>
          <w:p>
            <w:pPr>
              <w:spacing w:after="0"/>
              <w:rPr>
                <w:sz w:val="19"/>
                <w:szCs w:val="19"/>
                <w:color w:val="auto"/>
              </w:rPr>
            </w:pPr>
          </w:p>
        </w:tc>
        <w:tc>
          <w:tcPr>
            <w:tcW w:w="40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60" w:type="dxa"/>
            <w:vAlign w:val="bottom"/>
            <w:tcBorders>
              <w:top w:val="single" w:sz="8" w:color="CFF0FC"/>
            </w:tcBorders>
          </w:tcPr>
          <w:p>
            <w:pPr>
              <w:ind w:left="20"/>
              <w:spacing w:after="0" w:line="214" w:lineRule="exact"/>
              <w:rPr>
                <w:sz w:val="20"/>
                <w:szCs w:val="20"/>
                <w:color w:val="auto"/>
              </w:rPr>
            </w:pPr>
            <w:r>
              <w:rPr>
                <w:rFonts w:ascii="Calibri" w:cs="Calibri" w:eastAsia="Calibri" w:hAnsi="Calibri"/>
                <w:sz w:val="18"/>
                <w:szCs w:val="18"/>
                <w:color w:val="auto"/>
              </w:rPr>
              <w:t>Comprehensive income (loss) atributable to noncontrolling interests</w:t>
            </w:r>
          </w:p>
        </w:tc>
        <w:tc>
          <w:tcPr>
            <w:tcW w:w="9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18"/>
                <w:szCs w:val="18"/>
                <w:color w:val="auto"/>
              </w:rPr>
              <w:t>49</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18"/>
                <w:szCs w:val="18"/>
                <w:color w:val="auto"/>
              </w:rPr>
              <w:t>39</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18"/>
                <w:szCs w:val="18"/>
                <w:color w:val="auto"/>
              </w:rPr>
              <w:t>19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Comprehensive income (loss) atributable to Cabot Corporaton</w:t>
            </w:r>
          </w:p>
        </w:tc>
        <w:tc>
          <w:tcPr>
            <w:tcW w:w="940" w:type="dxa"/>
            <w:vAlign w:val="bottom"/>
            <w:tcBorders>
              <w:bottom w:val="single" w:sz="8" w:color="auto"/>
            </w:tcBorders>
            <w:shd w:val="clear" w:color="auto" w:fill="CFF0FC"/>
          </w:tcPr>
          <w:p>
            <w:pPr>
              <w:jc w:val="right"/>
              <w:ind w:right="756"/>
              <w:spacing w:after="0" w:line="210"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382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522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-1023620</wp:posOffset>
            </wp:positionV>
            <wp:extent cx="10287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-1023620</wp:posOffset>
            </wp:positionV>
            <wp:extent cx="93980"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-1023620</wp:posOffset>
            </wp:positionV>
            <wp:extent cx="9398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-316230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4" w:name="page45"/>
    <w:bookmarkEnd w:id="44"/>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376"/>
              <w:spacing w:after="0"/>
              <w:rPr>
                <w:sz w:val="20"/>
                <w:szCs w:val="20"/>
                <w:color w:val="auto"/>
              </w:rPr>
            </w:pPr>
            <w:r>
              <w:rPr>
                <w:rFonts w:ascii="Calibri" w:cs="Calibri" w:eastAsia="Calibri" w:hAnsi="Calibri"/>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77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3"/>
          </w:tcPr>
          <w:p>
            <w:pPr>
              <w:jc w:val="center"/>
              <w:ind w:right="376"/>
              <w:spacing w:after="0" w:line="157" w:lineRule="exact"/>
              <w:rPr>
                <w:sz w:val="20"/>
                <w:szCs w:val="20"/>
                <w:color w:val="auto"/>
              </w:rPr>
            </w:pPr>
            <w:r>
              <w:rPr>
                <w:rFonts w:ascii="Calibri" w:cs="Calibri" w:eastAsia="Calibri" w:hAnsi="Calibri"/>
                <w:sz w:val="14"/>
                <w:szCs w:val="14"/>
                <w:b w:val="1"/>
                <w:bCs w:val="1"/>
                <w:color w:val="auto"/>
              </w:rPr>
              <w:t>(In millions, except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7740" w:type="dxa"/>
            <w:vAlign w:val="bottom"/>
          </w:tcPr>
          <w:p>
            <w:pPr>
              <w:spacing w:after="0"/>
              <w:rPr>
                <w:sz w:val="14"/>
                <w:szCs w:val="14"/>
                <w:color w:val="auto"/>
              </w:rPr>
            </w:pPr>
          </w:p>
        </w:tc>
        <w:tc>
          <w:tcPr>
            <w:tcW w:w="2840" w:type="dxa"/>
            <w:vAlign w:val="bottom"/>
            <w:gridSpan w:val="4"/>
          </w:tcPr>
          <w:p>
            <w:pPr>
              <w:jc w:val="center"/>
              <w:ind w:left="459"/>
              <w:spacing w:after="0"/>
              <w:rPr>
                <w:sz w:val="20"/>
                <w:szCs w:val="20"/>
                <w:color w:val="auto"/>
              </w:rPr>
            </w:pPr>
            <w:r>
              <w:rPr>
                <w:rFonts w:ascii="Calibri" w:cs="Calibri" w:eastAsia="Calibri" w:hAnsi="Calibri"/>
                <w:sz w:val="14"/>
                <w:szCs w:val="14"/>
                <w:b w:val="1"/>
                <w:bCs w:val="1"/>
                <w:color w:val="auto"/>
              </w:rPr>
              <w:t>share and per share amounts)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1020" w:type="dxa"/>
            <w:vAlign w:val="bottom"/>
          </w:tcPr>
          <w:p>
            <w:pPr>
              <w:jc w:val="right"/>
              <w:ind w:right="839"/>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223</w:t>
            </w:r>
          </w:p>
        </w:tc>
        <w:tc>
          <w:tcPr>
            <w:tcW w:w="300" w:type="dxa"/>
            <w:vAlign w:val="bottom"/>
          </w:tcPr>
          <w:p>
            <w:pPr>
              <w:spacing w:after="0"/>
              <w:rPr>
                <w:sz w:val="18"/>
                <w:szCs w:val="18"/>
                <w:color w:val="auto"/>
              </w:rPr>
            </w:pPr>
          </w:p>
        </w:tc>
        <w:tc>
          <w:tcPr>
            <w:tcW w:w="980" w:type="dxa"/>
            <w:vAlign w:val="bottom"/>
          </w:tcPr>
          <w:p>
            <w:pPr>
              <w:jc w:val="right"/>
              <w:ind w:right="796"/>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238</w:t>
            </w:r>
          </w:p>
        </w:tc>
        <w:tc>
          <w:tcPr>
            <w:tcW w:w="100" w:type="dxa"/>
            <w:vAlign w:val="bottom"/>
          </w:tcPr>
          <w:p>
            <w:pPr>
              <w:spacing w:after="0"/>
              <w:rPr>
                <w:sz w:val="18"/>
                <w:szCs w:val="18"/>
                <w:color w:val="auto"/>
              </w:rPr>
            </w:pPr>
          </w:p>
        </w:tc>
      </w:tr>
      <w:tr>
        <w:trPr>
          <w:trHeight w:val="217"/>
        </w:trPr>
        <w:tc>
          <w:tcPr>
            <w:tcW w:w="77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Accounts and notes receivable, net of reserve for doubtul accounts of $5 and $2</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733</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695</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102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552</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585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Prepaid expenses and other current assets</w:t>
            </w: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97</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380"/>
              <w:spacing w:after="0" w:line="209" w:lineRule="exact"/>
              <w:rPr>
                <w:sz w:val="20"/>
                <w:szCs w:val="20"/>
                <w:color w:val="auto"/>
              </w:rPr>
            </w:pPr>
            <w:r>
              <w:rPr>
                <w:rFonts w:ascii="Calibri" w:cs="Calibri" w:eastAsia="Calibri" w:hAnsi="Calibri"/>
                <w:sz w:val="18"/>
                <w:szCs w:val="18"/>
                <w:color w:val="auto"/>
              </w:rPr>
              <w:t>Total current assets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1,605</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1,626</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Property, plant and equipment</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4,082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3,827</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1020" w:type="dxa"/>
            <w:vAlign w:val="bottom"/>
          </w:tcPr>
          <w:p>
            <w:pPr>
              <w:spacing w:after="0"/>
              <w:rPr>
                <w:sz w:val="18"/>
                <w:szCs w:val="18"/>
                <w:color w:val="auto"/>
              </w:rPr>
            </w:pPr>
          </w:p>
        </w:tc>
        <w:tc>
          <w:tcPr>
            <w:tcW w:w="8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(2,548 )</w:t>
            </w:r>
          </w:p>
        </w:tc>
        <w:tc>
          <w:tcPr>
            <w:tcW w:w="980" w:type="dxa"/>
            <w:vAlign w:val="bottom"/>
          </w:tcPr>
          <w:p>
            <w:pPr>
              <w:spacing w:after="0"/>
              <w:rPr>
                <w:sz w:val="18"/>
                <w:szCs w:val="18"/>
                <w:color w:val="auto"/>
              </w:rPr>
            </w:pPr>
          </w:p>
        </w:tc>
        <w:tc>
          <w:tcPr>
            <w:tcW w:w="6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(2,415 )</w:t>
            </w:r>
          </w:p>
        </w:tc>
      </w:tr>
      <w:tr>
        <w:trPr>
          <w:trHeight w:val="209"/>
        </w:trPr>
        <w:tc>
          <w:tcPr>
            <w:tcW w:w="7740" w:type="dxa"/>
            <w:vAlign w:val="bottom"/>
            <w:tcBorders>
              <w:bottom w:val="single" w:sz="8" w:color="CFF0FC"/>
            </w:tcBorders>
            <w:shd w:val="clear" w:color="auto" w:fill="CFF0FC"/>
          </w:tcPr>
          <w:p>
            <w:pPr>
              <w:ind w:left="380"/>
              <w:spacing w:after="0" w:line="209" w:lineRule="exact"/>
              <w:rPr>
                <w:sz w:val="20"/>
                <w:szCs w:val="20"/>
                <w:color w:val="auto"/>
              </w:rPr>
            </w:pPr>
            <w:r>
              <w:rPr>
                <w:rFonts w:ascii="Calibri" w:cs="Calibri" w:eastAsia="Calibri" w:hAnsi="Calibri"/>
                <w:sz w:val="18"/>
                <w:szCs w:val="18"/>
                <w:color w:val="auto"/>
              </w:rPr>
              <w:t>Net property, plant and equipment</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1,534</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1,412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0"/>
              <w:spacing w:after="0" w:line="209" w:lineRule="exact"/>
              <w:rPr>
                <w:sz w:val="20"/>
                <w:szCs w:val="20"/>
                <w:color w:val="auto"/>
              </w:rPr>
            </w:pPr>
            <w:r>
              <w:rPr>
                <w:rFonts w:ascii="Calibri" w:cs="Calibri" w:eastAsia="Calibri" w:hAnsi="Calibri"/>
                <w:sz w:val="18"/>
                <w:szCs w:val="18"/>
                <w:color w:val="auto"/>
              </w:rPr>
              <w:t>Goodwill</w:t>
            </w:r>
          </w:p>
        </w:tc>
        <w:tc>
          <w:tcPr>
            <w:tcW w:w="102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Calibri" w:cs="Calibri" w:eastAsia="Calibri" w:hAnsi="Calibri"/>
                <w:sz w:val="18"/>
                <w:szCs w:val="18"/>
                <w:color w:val="auto"/>
              </w:rPr>
              <w:t>133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Calibri" w:cs="Calibri" w:eastAsia="Calibri" w:hAnsi="Calibri"/>
                <w:sz w:val="18"/>
                <w:szCs w:val="18"/>
                <w:color w:val="auto"/>
              </w:rPr>
              <w:t>134</w:t>
            </w:r>
          </w:p>
        </w:tc>
        <w:tc>
          <w:tcPr>
            <w:tcW w:w="100" w:type="dxa"/>
            <w:vAlign w:val="bottom"/>
          </w:tcPr>
          <w:p>
            <w:pPr>
              <w:spacing w:after="0"/>
              <w:rPr>
                <w:sz w:val="18"/>
                <w:szCs w:val="18"/>
                <w:color w:val="auto"/>
              </w:rPr>
            </w:pPr>
          </w:p>
        </w:tc>
      </w:tr>
      <w:tr>
        <w:trPr>
          <w:trHeight w:val="217"/>
        </w:trPr>
        <w:tc>
          <w:tcPr>
            <w:tcW w:w="77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Equity afliates</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102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8"/>
                <w:szCs w:val="18"/>
                <w:color w:val="auto"/>
              </w:rPr>
            </w:pPr>
          </w:p>
        </w:tc>
      </w:tr>
      <w:tr>
        <w:trPr>
          <w:trHeight w:val="217"/>
        </w:trPr>
        <w:tc>
          <w:tcPr>
            <w:tcW w:w="77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income taxes</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216</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180</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w:t>
            </w:r>
          </w:p>
        </w:tc>
        <w:tc>
          <w:tcPr>
            <w:tcW w:w="100" w:type="dxa"/>
            <w:vAlign w:val="bottom"/>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assets</w:t>
            </w:r>
          </w:p>
        </w:tc>
        <w:tc>
          <w:tcPr>
            <w:tcW w:w="1020" w:type="dxa"/>
            <w:vAlign w:val="bottom"/>
            <w:tcBorders>
              <w:bottom w:val="single" w:sz="8" w:color="auto"/>
            </w:tcBorders>
            <w:shd w:val="clear" w:color="auto" w:fill="CFF0FC"/>
          </w:tcPr>
          <w:p>
            <w:pPr>
              <w:jc w:val="right"/>
              <w:ind w:right="839"/>
              <w:spacing w:after="0" w:line="210"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3,736</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3,604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-1439545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-864870</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5" w:name="page46"/>
    <w:bookmarkEnd w:id="45"/>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LIABILITIES AND STOCKHOLDERS’ 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436"/>
              <w:spacing w:after="0"/>
              <w:rPr>
                <w:sz w:val="20"/>
                <w:szCs w:val="20"/>
                <w:color w:val="auto"/>
              </w:rPr>
            </w:pPr>
            <w:r>
              <w:rPr>
                <w:rFonts w:ascii="Calibri" w:cs="Calibri" w:eastAsia="Calibri" w:hAnsi="Calibri"/>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7740" w:type="dxa"/>
            <w:vAlign w:val="bottom"/>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Calibri" w:cs="Calibri" w:eastAsia="Calibri" w:hAnsi="Calibri"/>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bottom w:val="single" w:sz="8" w:color="auto"/>
            </w:tcBorders>
          </w:tcPr>
          <w:p>
            <w:pPr>
              <w:jc w:val="right"/>
              <w:ind w:right="36"/>
              <w:spacing w:after="0"/>
              <w:rPr>
                <w:sz w:val="20"/>
                <w:szCs w:val="20"/>
                <w:color w:val="auto"/>
              </w:rPr>
            </w:pPr>
            <w:r>
              <w:rPr>
                <w:rFonts w:ascii="Calibri" w:cs="Calibri" w:eastAsia="Calibri" w:hAnsi="Calibri"/>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gridSpan w:val="3"/>
          </w:tcPr>
          <w:p>
            <w:pPr>
              <w:jc w:val="center"/>
              <w:ind w:right="436"/>
              <w:spacing w:after="0" w:line="157" w:lineRule="exact"/>
              <w:rPr>
                <w:sz w:val="20"/>
                <w:szCs w:val="20"/>
                <w:color w:val="auto"/>
              </w:rPr>
            </w:pPr>
            <w:r>
              <w:rPr>
                <w:rFonts w:ascii="Calibri" w:cs="Calibri" w:eastAsia="Calibri" w:hAnsi="Calibri"/>
                <w:sz w:val="14"/>
                <w:szCs w:val="14"/>
                <w:b w:val="1"/>
                <w:bCs w:val="1"/>
                <w:color w:val="auto"/>
              </w:rPr>
              <w:t>(In millions, except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7740" w:type="dxa"/>
            <w:vAlign w:val="bottom"/>
          </w:tcPr>
          <w:p>
            <w:pPr>
              <w:spacing w:after="0"/>
              <w:rPr>
                <w:sz w:val="14"/>
                <w:szCs w:val="14"/>
                <w:color w:val="auto"/>
              </w:rPr>
            </w:pPr>
          </w:p>
        </w:tc>
        <w:tc>
          <w:tcPr>
            <w:tcW w:w="2880" w:type="dxa"/>
            <w:vAlign w:val="bottom"/>
            <w:gridSpan w:val="4"/>
          </w:tcPr>
          <w:p>
            <w:pPr>
              <w:jc w:val="center"/>
              <w:ind w:left="419"/>
              <w:spacing w:after="0"/>
              <w:rPr>
                <w:sz w:val="20"/>
                <w:szCs w:val="20"/>
                <w:color w:val="auto"/>
              </w:rPr>
            </w:pPr>
            <w:r>
              <w:rPr>
                <w:rFonts w:ascii="Calibri" w:cs="Calibri" w:eastAsia="Calibri" w:hAnsi="Calibri"/>
                <w:sz w:val="14"/>
                <w:szCs w:val="14"/>
                <w:b w:val="1"/>
                <w:bCs w:val="1"/>
                <w:color w:val="auto"/>
              </w:rPr>
              <w:t>share and per share amounts)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borrowings</w:t>
            </w:r>
          </w:p>
        </w:tc>
        <w:tc>
          <w:tcPr>
            <w:tcW w:w="1040" w:type="dxa"/>
            <w:vAlign w:val="bottom"/>
          </w:tcPr>
          <w:p>
            <w:pPr>
              <w:jc w:val="right"/>
              <w:ind w:right="859"/>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300" w:type="dxa"/>
            <w:vAlign w:val="bottom"/>
          </w:tcPr>
          <w:p>
            <w:pPr>
              <w:spacing w:after="0"/>
              <w:rPr>
                <w:sz w:val="18"/>
                <w:szCs w:val="18"/>
                <w:color w:val="auto"/>
              </w:rPr>
            </w:pPr>
          </w:p>
        </w:tc>
        <w:tc>
          <w:tcPr>
            <w:tcW w:w="1020" w:type="dxa"/>
            <w:vAlign w:val="bottom"/>
          </w:tcPr>
          <w:p>
            <w:pPr>
              <w:jc w:val="right"/>
              <w:ind w:right="83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174</w:t>
            </w:r>
          </w:p>
        </w:tc>
        <w:tc>
          <w:tcPr>
            <w:tcW w:w="100" w:type="dxa"/>
            <w:vAlign w:val="bottom"/>
          </w:tcPr>
          <w:p>
            <w:pPr>
              <w:spacing w:after="0"/>
              <w:rPr>
                <w:sz w:val="18"/>
                <w:szCs w:val="18"/>
                <w:color w:val="auto"/>
              </w:rPr>
            </w:pPr>
          </w:p>
        </w:tc>
      </w:tr>
      <w:tr>
        <w:trPr>
          <w:trHeight w:val="217"/>
        </w:trPr>
        <w:tc>
          <w:tcPr>
            <w:tcW w:w="77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Accounts payable and accrued liabilites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676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600</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line="215" w:lineRule="exact"/>
              <w:rPr>
                <w:sz w:val="20"/>
                <w:szCs w:val="20"/>
                <w:color w:val="auto"/>
              </w:rPr>
            </w:pPr>
            <w:r>
              <w:rPr>
                <w:rFonts w:ascii="Calibri" w:cs="Calibri" w:eastAsia="Calibri" w:hAnsi="Calibri"/>
                <w:sz w:val="18"/>
                <w:szCs w:val="18"/>
                <w:color w:val="auto"/>
              </w:rPr>
              <w:t>Income taxes payable</w:t>
            </w:r>
          </w:p>
        </w:tc>
        <w:tc>
          <w:tcPr>
            <w:tcW w:w="10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43</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Current porton of long-term debt</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line="209" w:lineRule="exact"/>
              <w:rPr>
                <w:sz w:val="20"/>
                <w:szCs w:val="20"/>
                <w:color w:val="auto"/>
              </w:rPr>
            </w:pPr>
            <w:r>
              <w:rPr>
                <w:rFonts w:ascii="Calibri" w:cs="Calibri" w:eastAsia="Calibri" w:hAnsi="Calibri"/>
                <w:sz w:val="18"/>
                <w:szCs w:val="18"/>
                <w:color w:val="auto"/>
              </w:rPr>
              <w:t>Total current liabilites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772</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822</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Long-term debt</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1,087</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1,094</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0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8"/>
                <w:szCs w:val="18"/>
                <w:color w:val="auto"/>
              </w:rPr>
            </w:pPr>
          </w:p>
        </w:tc>
      </w:tr>
      <w:tr>
        <w:trPr>
          <w:trHeight w:val="217"/>
        </w:trPr>
        <w:tc>
          <w:tcPr>
            <w:tcW w:w="77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liabilites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231</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
              <w:spacing w:after="0" w:line="215" w:lineRule="exact"/>
              <w:rPr>
                <w:sz w:val="20"/>
                <w:szCs w:val="20"/>
                <w:color w:val="auto"/>
              </w:rPr>
            </w:pPr>
            <w:r>
              <w:rPr>
                <w:rFonts w:ascii="Calibri" w:cs="Calibri" w:eastAsia="Calibri" w:hAnsi="Calibri"/>
                <w:sz w:val="18"/>
                <w:szCs w:val="18"/>
                <w:color w:val="auto"/>
              </w:rPr>
              <w:t>Commitments and contngencies (Note T)</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Stockholders’ equity:</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line="215" w:lineRule="exact"/>
              <w:rPr>
                <w:sz w:val="20"/>
                <w:szCs w:val="20"/>
                <w:color w:val="auto"/>
              </w:rPr>
            </w:pPr>
            <w:r>
              <w:rPr>
                <w:rFonts w:ascii="Calibri" w:cs="Calibri" w:eastAsia="Calibri" w:hAnsi="Calibri"/>
                <w:sz w:val="18"/>
                <w:szCs w:val="18"/>
                <w:color w:val="auto"/>
              </w:rPr>
              <w:t>Preferred stock:</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4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Authorized: 2,000,000 shares of $1 par value, Issued and Outstanding: None and none</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00"/>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74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740" w:type="dxa"/>
            <w:vAlign w:val="bottom"/>
            <w:shd w:val="clear" w:color="auto" w:fill="CFF0FC"/>
          </w:tcPr>
          <w:p>
            <w:pPr>
              <w:ind w:left="380"/>
              <w:spacing w:after="0" w:line="194" w:lineRule="exact"/>
              <w:rPr>
                <w:sz w:val="20"/>
                <w:szCs w:val="20"/>
                <w:color w:val="auto"/>
              </w:rPr>
            </w:pPr>
            <w:r>
              <w:rPr>
                <w:rFonts w:ascii="Calibri" w:cs="Calibri" w:eastAsia="Calibri" w:hAnsi="Calibri"/>
                <w:sz w:val="18"/>
                <w:szCs w:val="18"/>
                <w:color w:val="auto"/>
              </w:rPr>
              <w:t>Authorized: 200,000,000 shares of $1 par value, Issued: 54,430,316 and 55,379,636 shares,</w:t>
            </w: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774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Outstanding: 54,297,251 and 55,243,804 shares</w:t>
            </w:r>
          </w:p>
        </w:tc>
        <w:tc>
          <w:tcPr>
            <w:tcW w:w="10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40" w:type="dxa"/>
            <w:vAlign w:val="bottom"/>
          </w:tcPr>
          <w:p>
            <w:pPr>
              <w:ind w:left="380"/>
              <w:spacing w:after="0" w:line="215" w:lineRule="exact"/>
              <w:rPr>
                <w:sz w:val="20"/>
                <w:szCs w:val="20"/>
                <w:color w:val="auto"/>
              </w:rPr>
            </w:pPr>
            <w:r>
              <w:rPr>
                <w:rFonts w:ascii="Calibri" w:cs="Calibri" w:eastAsia="Calibri" w:hAnsi="Calibri"/>
                <w:sz w:val="18"/>
                <w:szCs w:val="18"/>
                <w:color w:val="auto"/>
              </w:rPr>
              <w:t>Less cost of 133,065 and 135,832 shares of common treasury stock</w:t>
            </w:r>
          </w:p>
        </w:tc>
        <w:tc>
          <w:tcPr>
            <w:tcW w:w="1040" w:type="dxa"/>
            <w:vAlign w:val="bottom"/>
          </w:tcPr>
          <w:p>
            <w:pPr>
              <w:spacing w:after="0"/>
              <w:rPr>
                <w:sz w:val="18"/>
                <w:szCs w:val="18"/>
                <w:color w:val="auto"/>
              </w:rPr>
            </w:pPr>
          </w:p>
        </w:tc>
        <w:tc>
          <w:tcPr>
            <w:tcW w:w="8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(3 )</w:t>
            </w:r>
          </w:p>
        </w:tc>
        <w:tc>
          <w:tcPr>
            <w:tcW w:w="1020" w:type="dxa"/>
            <w:vAlign w:val="bottom"/>
          </w:tcPr>
          <w:p>
            <w:pPr>
              <w:spacing w:after="0"/>
              <w:rPr>
                <w:sz w:val="18"/>
                <w:szCs w:val="18"/>
                <w:color w:val="auto"/>
              </w:rPr>
            </w:pPr>
          </w:p>
        </w:tc>
        <w:tc>
          <w:tcPr>
            <w:tcW w:w="6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r>
      <w:tr>
        <w:trPr>
          <w:trHeight w:val="217"/>
        </w:trPr>
        <w:tc>
          <w:tcPr>
            <w:tcW w:w="77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Additonal paid-in capital</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00"/>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740" w:type="dxa"/>
            <w:vAlign w:val="bottom"/>
          </w:tcPr>
          <w:p>
            <w:pPr>
              <w:ind w:left="200"/>
              <w:spacing w:after="0" w:line="215" w:lineRule="exact"/>
              <w:rPr>
                <w:sz w:val="20"/>
                <w:szCs w:val="20"/>
                <w:color w:val="auto"/>
              </w:rPr>
            </w:pPr>
            <w:r>
              <w:rPr>
                <w:rFonts w:ascii="Calibri" w:cs="Calibri" w:eastAsia="Calibri" w:hAnsi="Calibri"/>
                <w:sz w:val="18"/>
                <w:szCs w:val="18"/>
                <w:color w:val="auto"/>
              </w:rPr>
              <w:t>Retained earnings</w:t>
            </w:r>
          </w:p>
        </w:tc>
        <w:tc>
          <w:tcPr>
            <w:tcW w:w="10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1,734</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1,574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Accumulated other comprehensive income (loss)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(360 )</w:t>
            </w:r>
          </w:p>
        </w:tc>
        <w:tc>
          <w:tcPr>
            <w:tcW w:w="10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(362 )</w:t>
            </w:r>
          </w:p>
        </w:tc>
      </w:tr>
      <w:tr>
        <w:trPr>
          <w:trHeight w:val="209"/>
        </w:trPr>
        <w:tc>
          <w:tcPr>
            <w:tcW w:w="7740" w:type="dxa"/>
            <w:vAlign w:val="bottom"/>
            <w:tcBorders>
              <w:top w:val="single" w:sz="8" w:color="CFF0FC"/>
            </w:tcBorders>
          </w:tcPr>
          <w:p>
            <w:pPr>
              <w:ind w:left="560"/>
              <w:spacing w:after="0" w:line="209" w:lineRule="exact"/>
              <w:rPr>
                <w:sz w:val="20"/>
                <w:szCs w:val="20"/>
                <w:color w:val="auto"/>
              </w:rPr>
            </w:pPr>
            <w:r>
              <w:rPr>
                <w:rFonts w:ascii="Calibri" w:cs="Calibri" w:eastAsia="Calibri" w:hAnsi="Calibri"/>
                <w:sz w:val="18"/>
                <w:szCs w:val="18"/>
                <w:color w:val="auto"/>
              </w:rPr>
              <w:t>Total Cabot Corporaton stockholders’ equity</w:t>
            </w: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1,425</w:t>
            </w:r>
          </w:p>
        </w:tc>
        <w:tc>
          <w:tcPr>
            <w:tcW w:w="30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1,264</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Noncontrolling interests</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165</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line="209" w:lineRule="exact"/>
              <w:rPr>
                <w:sz w:val="20"/>
                <w:szCs w:val="20"/>
                <w:color w:val="auto"/>
              </w:rPr>
            </w:pPr>
            <w:r>
              <w:rPr>
                <w:rFonts w:ascii="Calibri" w:cs="Calibri" w:eastAsia="Calibri" w:hAnsi="Calibri"/>
                <w:sz w:val="18"/>
                <w:szCs w:val="18"/>
                <w:color w:val="auto"/>
              </w:rPr>
              <w:t>Total stockholders’ equity</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1,590</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1,407</w:t>
            </w:r>
          </w:p>
        </w:tc>
        <w:tc>
          <w:tcPr>
            <w:tcW w:w="100" w:type="dxa"/>
            <w:vAlign w:val="bottom"/>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liabilites and stockholders’ equity</w:t>
            </w:r>
          </w:p>
        </w:tc>
        <w:tc>
          <w:tcPr>
            <w:tcW w:w="1040" w:type="dxa"/>
            <w:vAlign w:val="bottom"/>
            <w:tcBorders>
              <w:bottom w:val="single" w:sz="8" w:color="auto"/>
            </w:tcBorders>
            <w:shd w:val="clear" w:color="auto" w:fill="CFF0FC"/>
          </w:tcPr>
          <w:p>
            <w:pPr>
              <w:jc w:val="right"/>
              <w:ind w:right="859"/>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3,736</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6"/>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3,604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-2673985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-599440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6" w:name="page47"/>
    <w:bookmarkEnd w:id="46"/>
    <w:p>
      <w:pPr>
        <w:ind w:left="4680"/>
        <w:spacing w:after="0"/>
        <w:rPr>
          <w:sz w:val="20"/>
          <w:szCs w:val="20"/>
          <w:color w:val="auto"/>
        </w:rPr>
      </w:pPr>
      <w:r>
        <w:rPr>
          <w:rFonts w:ascii="Calibri" w:cs="Calibri" w:eastAsia="Calibri" w:hAnsi="Calibri"/>
          <w:sz w:val="16"/>
          <w:szCs w:val="16"/>
          <w:b w:val="1"/>
          <w:bCs w:val="1"/>
          <w:color w:val="auto"/>
        </w:rPr>
        <w:t>CABOT CORPORATION</w:t>
      </w:r>
    </w:p>
    <w:p>
      <w:pPr>
        <w:spacing w:after="0" w:line="7" w:lineRule="exact"/>
        <w:rPr>
          <w:sz w:val="20"/>
          <w:szCs w:val="20"/>
          <w:color w:val="auto"/>
        </w:rPr>
      </w:pPr>
    </w:p>
    <w:p>
      <w:pPr>
        <w:ind w:left="4080"/>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4"/>
          </w:tcPr>
          <w:p>
            <w:pPr>
              <w:jc w:val="center"/>
              <w:ind w:right="140"/>
              <w:spacing w:after="0"/>
              <w:rPr>
                <w:sz w:val="20"/>
                <w:szCs w:val="20"/>
                <w:color w:val="auto"/>
              </w:rPr>
            </w:pPr>
            <w:r>
              <w:rPr>
                <w:rFonts w:ascii="Calibri" w:cs="Calibri" w:eastAsia="Calibri" w:hAnsi="Calibri"/>
                <w:sz w:val="13"/>
                <w:szCs w:val="13"/>
                <w:b w:val="1"/>
                <w:bCs w:val="1"/>
                <w:color w:val="auto"/>
              </w:rPr>
              <w:t>Years Ended September 30</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6620" w:type="dxa"/>
            <w:vAlign w:val="bottom"/>
          </w:tcPr>
          <w:p>
            <w:pPr>
              <w:spacing w:after="0"/>
              <w:rPr>
                <w:sz w:val="14"/>
                <w:szCs w:val="14"/>
                <w:color w:val="auto"/>
              </w:rPr>
            </w:pPr>
          </w:p>
        </w:tc>
        <w:tc>
          <w:tcPr>
            <w:tcW w:w="92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0"/>
              <w:spacing w:after="0"/>
              <w:rPr>
                <w:sz w:val="20"/>
                <w:szCs w:val="20"/>
                <w:color w:val="auto"/>
              </w:rPr>
            </w:pPr>
            <w:r>
              <w:rPr>
                <w:rFonts w:ascii="Calibri" w:cs="Calibri" w:eastAsia="Calibri" w:hAnsi="Calibri"/>
                <w:sz w:val="13"/>
                <w:szCs w:val="13"/>
                <w:b w:val="1"/>
                <w:bCs w:val="1"/>
                <w:color w:val="auto"/>
                <w:w w:val="98"/>
              </w:rPr>
              <w:t>2023</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Calibri" w:cs="Calibri" w:eastAsia="Calibri" w:hAnsi="Calibri"/>
                <w:sz w:val="13"/>
                <w:szCs w:val="13"/>
                <w:b w:val="1"/>
                <w:bCs w:val="1"/>
                <w:color w:val="auto"/>
              </w:rPr>
              <w:t>2022</w:t>
            </w:r>
          </w:p>
        </w:tc>
        <w:tc>
          <w:tcPr>
            <w:tcW w:w="100" w:type="dxa"/>
            <w:vAlign w:val="bottom"/>
          </w:tcPr>
          <w:p>
            <w:pPr>
              <w:spacing w:after="0"/>
              <w:rPr>
                <w:sz w:val="14"/>
                <w:szCs w:val="14"/>
                <w:color w:val="auto"/>
              </w:rPr>
            </w:pPr>
          </w:p>
        </w:tc>
      </w:tr>
      <w:tr>
        <w:trPr>
          <w:trHeight w:val="167"/>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00"/>
              <w:spacing w:after="0"/>
              <w:rPr>
                <w:sz w:val="20"/>
                <w:szCs w:val="20"/>
                <w:color w:val="auto"/>
              </w:rPr>
            </w:pPr>
            <w:r>
              <w:rPr>
                <w:rFonts w:ascii="Calibri" w:cs="Calibri" w:eastAsia="Calibri" w:hAnsi="Calibri"/>
                <w:sz w:val="13"/>
                <w:szCs w:val="13"/>
                <w:b w:val="1"/>
                <w:bCs w:val="1"/>
                <w:color w:val="auto"/>
              </w:rPr>
              <w:t>(In millions)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1"/>
        </w:trPr>
        <w:tc>
          <w:tcPr>
            <w:tcW w:w="6620" w:type="dxa"/>
            <w:vAlign w:val="bottom"/>
            <w:shd w:val="clear" w:color="auto" w:fill="CFF0FC"/>
          </w:tcPr>
          <w:p>
            <w:pPr>
              <w:ind w:left="20"/>
              <w:spacing w:after="0"/>
              <w:rPr>
                <w:sz w:val="20"/>
                <w:szCs w:val="20"/>
                <w:color w:val="auto"/>
              </w:rPr>
            </w:pPr>
            <w:r>
              <w:rPr>
                <w:rFonts w:ascii="Calibri" w:cs="Calibri" w:eastAsia="Calibri" w:hAnsi="Calibri"/>
                <w:sz w:val="16"/>
                <w:szCs w:val="16"/>
                <w:b w:val="1"/>
                <w:bCs w:val="1"/>
                <w:color w:val="auto"/>
              </w:rPr>
              <w:t>Cash Flows from Operatng Actvites:</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Net income (loss)</w:t>
            </w:r>
          </w:p>
        </w:tc>
        <w:tc>
          <w:tcPr>
            <w:tcW w:w="920" w:type="dxa"/>
            <w:vAlign w:val="bottom"/>
          </w:tcPr>
          <w:p>
            <w:pPr>
              <w:jc w:val="right"/>
              <w:ind w:right="741"/>
              <w:spacing w:after="0" w:line="193" w:lineRule="exact"/>
              <w:rPr>
                <w:sz w:val="20"/>
                <w:szCs w:val="20"/>
                <w:color w:val="auto"/>
              </w:rPr>
            </w:pPr>
            <w:r>
              <w:rPr>
                <w:rFonts w:ascii="Calibri" w:cs="Calibri" w:eastAsia="Calibri" w:hAnsi="Calibri"/>
                <w:sz w:val="16"/>
                <w:szCs w:val="16"/>
                <w:color w:val="auto"/>
                <w:w w:val="97"/>
              </w:rPr>
              <w:t>$</w:t>
            </w: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424</w:t>
            </w:r>
          </w:p>
        </w:tc>
        <w:tc>
          <w:tcPr>
            <w:tcW w:w="120" w:type="dxa"/>
            <w:vAlign w:val="bottom"/>
          </w:tcPr>
          <w:p>
            <w:pPr>
              <w:spacing w:after="0"/>
              <w:rPr>
                <w:sz w:val="17"/>
                <w:szCs w:val="17"/>
                <w:color w:val="auto"/>
              </w:rPr>
            </w:pPr>
          </w:p>
        </w:tc>
        <w:tc>
          <w:tcPr>
            <w:tcW w:w="34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484</w:t>
            </w:r>
          </w:p>
        </w:tc>
        <w:tc>
          <w:tcPr>
            <w:tcW w:w="300" w:type="dxa"/>
            <w:vAlign w:val="bottom"/>
          </w:tcPr>
          <w:p>
            <w:pPr>
              <w:spacing w:after="0"/>
              <w:rPr>
                <w:sz w:val="17"/>
                <w:szCs w:val="17"/>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243</w:t>
            </w: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Adjustments to reconcile net income (loss) to cash provided by operatng actvites:</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380"/>
              <w:spacing w:after="0" w:line="193" w:lineRule="exact"/>
              <w:rPr>
                <w:sz w:val="20"/>
                <w:szCs w:val="20"/>
                <w:color w:val="auto"/>
              </w:rPr>
            </w:pPr>
            <w:r>
              <w:rPr>
                <w:rFonts w:ascii="Calibri" w:cs="Calibri" w:eastAsia="Calibri" w:hAnsi="Calibri"/>
                <w:sz w:val="16"/>
                <w:szCs w:val="16"/>
                <w:color w:val="auto"/>
              </w:rPr>
              <w:t>Depreciaton and amortzaton</w:t>
            </w:r>
          </w:p>
        </w:tc>
        <w:tc>
          <w:tcPr>
            <w:tcW w:w="920" w:type="dxa"/>
            <w:vAlign w:val="bottom"/>
          </w:tcPr>
          <w:p>
            <w:pPr>
              <w:spacing w:after="0"/>
              <w:rPr>
                <w:sz w:val="17"/>
                <w:szCs w:val="17"/>
                <w:color w:val="auto"/>
              </w:rPr>
            </w:pP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144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146</w:t>
            </w: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380"/>
              <w:spacing w:after="0"/>
              <w:rPr>
                <w:sz w:val="20"/>
                <w:szCs w:val="20"/>
                <w:color w:val="auto"/>
              </w:rPr>
            </w:pPr>
            <w:r>
              <w:rPr>
                <w:rFonts w:ascii="Calibri" w:cs="Calibri" w:eastAsia="Calibri" w:hAnsi="Calibri"/>
                <w:sz w:val="16"/>
                <w:szCs w:val="16"/>
                <w:color w:val="auto"/>
              </w:rPr>
              <w:t>Loss on sale of a business and asset impairment charge</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207</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380"/>
              <w:spacing w:after="0" w:line="193" w:lineRule="exact"/>
              <w:rPr>
                <w:sz w:val="20"/>
                <w:szCs w:val="20"/>
                <w:color w:val="auto"/>
              </w:rPr>
            </w:pPr>
            <w:r>
              <w:rPr>
                <w:rFonts w:ascii="Calibri" w:cs="Calibri" w:eastAsia="Calibri" w:hAnsi="Calibri"/>
                <w:sz w:val="16"/>
                <w:szCs w:val="16"/>
                <w:color w:val="auto"/>
              </w:rPr>
              <w:t>Gain on bargain purchase of a business</w:t>
            </w:r>
          </w:p>
        </w:tc>
        <w:tc>
          <w:tcPr>
            <w:tcW w:w="920" w:type="dxa"/>
            <w:vAlign w:val="bottom"/>
          </w:tcPr>
          <w:p>
            <w:pPr>
              <w:spacing w:after="0"/>
              <w:rPr>
                <w:sz w:val="17"/>
                <w:szCs w:val="17"/>
                <w:color w:val="auto"/>
              </w:rPr>
            </w:pPr>
          </w:p>
        </w:tc>
        <w:tc>
          <w:tcPr>
            <w:tcW w:w="54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30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(24 )</w:t>
            </w:r>
          </w:p>
        </w:tc>
      </w:tr>
      <w:tr>
        <w:trPr>
          <w:trHeight w:val="207"/>
        </w:trPr>
        <w:tc>
          <w:tcPr>
            <w:tcW w:w="6620" w:type="dxa"/>
            <w:vAlign w:val="bottom"/>
            <w:shd w:val="clear" w:color="auto" w:fill="CFF0FC"/>
          </w:tcPr>
          <w:p>
            <w:pPr>
              <w:ind w:left="380"/>
              <w:spacing w:after="0"/>
              <w:rPr>
                <w:sz w:val="20"/>
                <w:szCs w:val="20"/>
                <w:color w:val="auto"/>
              </w:rPr>
            </w:pPr>
            <w:r>
              <w:rPr>
                <w:rFonts w:ascii="Calibri" w:cs="Calibri" w:eastAsia="Calibri" w:hAnsi="Calibri"/>
                <w:sz w:val="16"/>
                <w:szCs w:val="16"/>
                <w:color w:val="auto"/>
              </w:rPr>
              <w:t>Gain on sale of land</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6"/>
                <w:szCs w:val="16"/>
                <w:color w:val="auto"/>
              </w:rPr>
              <w:t>(1 )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(17 )</w:t>
            </w:r>
          </w:p>
        </w:tc>
      </w:tr>
      <w:tr>
        <w:trPr>
          <w:trHeight w:val="198"/>
        </w:trPr>
        <w:tc>
          <w:tcPr>
            <w:tcW w:w="6620" w:type="dxa"/>
            <w:vAlign w:val="bottom"/>
          </w:tcPr>
          <w:p>
            <w:pPr>
              <w:ind w:left="380"/>
              <w:spacing w:after="0" w:line="193" w:lineRule="exact"/>
              <w:rPr>
                <w:sz w:val="20"/>
                <w:szCs w:val="20"/>
                <w:color w:val="auto"/>
              </w:rPr>
            </w:pPr>
            <w:r>
              <w:rPr>
                <w:rFonts w:ascii="Calibri" w:cs="Calibri" w:eastAsia="Calibri" w:hAnsi="Calibri"/>
                <w:sz w:val="16"/>
                <w:szCs w:val="16"/>
                <w:color w:val="auto"/>
              </w:rPr>
              <w:t>Deferred tax provision (beneft)</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(37 )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(156 )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(40 )</w:t>
            </w:r>
          </w:p>
        </w:tc>
      </w:tr>
      <w:tr>
        <w:trPr>
          <w:trHeight w:val="207"/>
        </w:trPr>
        <w:tc>
          <w:tcPr>
            <w:tcW w:w="6620" w:type="dxa"/>
            <w:vAlign w:val="bottom"/>
            <w:shd w:val="clear" w:color="auto" w:fill="CFF0FC"/>
          </w:tcPr>
          <w:p>
            <w:pPr>
              <w:ind w:left="380"/>
              <w:spacing w:after="0"/>
              <w:rPr>
                <w:sz w:val="20"/>
                <w:szCs w:val="20"/>
                <w:color w:val="auto"/>
              </w:rPr>
            </w:pPr>
            <w:r>
              <w:rPr>
                <w:rFonts w:ascii="Calibri" w:cs="Calibri" w:eastAsia="Calibri" w:hAnsi="Calibri"/>
                <w:sz w:val="16"/>
                <w:szCs w:val="16"/>
                <w:color w:val="auto"/>
              </w:rPr>
              <w:t>Employee beneft plan setlement</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Calibri" w:cs="Calibri" w:eastAsia="Calibri" w:hAnsi="Calibri"/>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(1 )</w:t>
            </w:r>
          </w:p>
        </w:tc>
      </w:tr>
      <w:tr>
        <w:trPr>
          <w:trHeight w:val="198"/>
        </w:trPr>
        <w:tc>
          <w:tcPr>
            <w:tcW w:w="6620" w:type="dxa"/>
            <w:vAlign w:val="bottom"/>
          </w:tcPr>
          <w:p>
            <w:pPr>
              <w:ind w:left="380"/>
              <w:spacing w:after="0" w:line="193" w:lineRule="exact"/>
              <w:rPr>
                <w:sz w:val="20"/>
                <w:szCs w:val="20"/>
                <w:color w:val="auto"/>
              </w:rPr>
            </w:pPr>
            <w:r>
              <w:rPr>
                <w:rFonts w:ascii="Calibri" w:cs="Calibri" w:eastAsia="Calibri" w:hAnsi="Calibri"/>
                <w:sz w:val="16"/>
                <w:szCs w:val="16"/>
                <w:color w:val="auto"/>
              </w:rPr>
              <w:t>Equity in net income of afliated companies</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(6 )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(5 )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(10 )</w:t>
            </w:r>
          </w:p>
        </w:tc>
      </w:tr>
      <w:tr>
        <w:trPr>
          <w:trHeight w:val="207"/>
        </w:trPr>
        <w:tc>
          <w:tcPr>
            <w:tcW w:w="6620" w:type="dxa"/>
            <w:vAlign w:val="bottom"/>
            <w:shd w:val="clear" w:color="auto" w:fill="CFF0FC"/>
          </w:tcPr>
          <w:p>
            <w:pPr>
              <w:ind w:left="380"/>
              <w:spacing w:after="0"/>
              <w:rPr>
                <w:sz w:val="20"/>
                <w:szCs w:val="20"/>
                <w:color w:val="auto"/>
              </w:rPr>
            </w:pPr>
            <w:r>
              <w:rPr>
                <w:rFonts w:ascii="Calibri" w:cs="Calibri" w:eastAsia="Calibri" w:hAnsi="Calibri"/>
                <w:sz w:val="16"/>
                <w:szCs w:val="16"/>
                <w:color w:val="auto"/>
              </w:rPr>
              <w:t>Share-based compensaton</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23</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380"/>
              <w:spacing w:after="0" w:line="193" w:lineRule="exact"/>
              <w:rPr>
                <w:sz w:val="20"/>
                <w:szCs w:val="20"/>
                <w:color w:val="auto"/>
              </w:rPr>
            </w:pPr>
            <w:r>
              <w:rPr>
                <w:rFonts w:ascii="Calibri" w:cs="Calibri" w:eastAsia="Calibri" w:hAnsi="Calibri"/>
                <w:sz w:val="16"/>
                <w:szCs w:val="16"/>
                <w:color w:val="auto"/>
              </w:rPr>
              <w:t>Other non-cash (income) expense</w:t>
            </w:r>
          </w:p>
        </w:tc>
        <w:tc>
          <w:tcPr>
            <w:tcW w:w="920" w:type="dxa"/>
            <w:vAlign w:val="bottom"/>
          </w:tcPr>
          <w:p>
            <w:pPr>
              <w:spacing w:after="0"/>
              <w:rPr>
                <w:sz w:val="17"/>
                <w:szCs w:val="17"/>
                <w:color w:val="auto"/>
              </w:rPr>
            </w:pP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20</w:t>
            </w: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380"/>
              <w:spacing w:after="0"/>
              <w:rPr>
                <w:sz w:val="20"/>
                <w:szCs w:val="20"/>
                <w:color w:val="auto"/>
              </w:rPr>
            </w:pPr>
            <w:r>
              <w:rPr>
                <w:rFonts w:ascii="Calibri" w:cs="Calibri" w:eastAsia="Calibri" w:hAnsi="Calibri"/>
                <w:sz w:val="16"/>
                <w:szCs w:val="16"/>
                <w:color w:val="auto"/>
              </w:rPr>
              <w:t>Cash dividends received from equity afliates</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380"/>
              <w:spacing w:after="0" w:line="193" w:lineRule="exact"/>
              <w:rPr>
                <w:sz w:val="20"/>
                <w:szCs w:val="20"/>
                <w:color w:val="auto"/>
              </w:rPr>
            </w:pPr>
            <w:r>
              <w:rPr>
                <w:rFonts w:ascii="Calibri" w:cs="Calibri" w:eastAsia="Calibri" w:hAnsi="Calibri"/>
                <w:sz w:val="16"/>
                <w:szCs w:val="16"/>
                <w:color w:val="auto"/>
              </w:rPr>
              <w:t>Changes in assets and liabilites:</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560"/>
              <w:spacing w:after="0"/>
              <w:rPr>
                <w:sz w:val="20"/>
                <w:szCs w:val="20"/>
                <w:color w:val="auto"/>
              </w:rPr>
            </w:pPr>
            <w:r>
              <w:rPr>
                <w:rFonts w:ascii="Calibri" w:cs="Calibri" w:eastAsia="Calibri" w:hAnsi="Calibri"/>
                <w:sz w:val="16"/>
                <w:szCs w:val="16"/>
                <w:color w:val="auto"/>
              </w:rPr>
              <w:t>Accounts and notes receivable</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6"/>
                <w:szCs w:val="16"/>
                <w:color w:val="auto"/>
              </w:rPr>
              <w:t>(26 )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153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(287 )</w:t>
            </w:r>
          </w:p>
        </w:tc>
      </w:tr>
      <w:tr>
        <w:trPr>
          <w:trHeight w:val="198"/>
        </w:trPr>
        <w:tc>
          <w:tcPr>
            <w:tcW w:w="6620" w:type="dxa"/>
            <w:vAlign w:val="bottom"/>
          </w:tcPr>
          <w:p>
            <w:pPr>
              <w:ind w:left="560"/>
              <w:spacing w:after="0" w:line="193" w:lineRule="exact"/>
              <w:rPr>
                <w:sz w:val="20"/>
                <w:szCs w:val="20"/>
                <w:color w:val="auto"/>
              </w:rPr>
            </w:pPr>
            <w:r>
              <w:rPr>
                <w:rFonts w:ascii="Calibri" w:cs="Calibri" w:eastAsia="Calibri" w:hAnsi="Calibri"/>
                <w:sz w:val="16"/>
                <w:szCs w:val="16"/>
                <w:color w:val="auto"/>
              </w:rPr>
              <w:t>Inventories</w:t>
            </w:r>
          </w:p>
        </w:tc>
        <w:tc>
          <w:tcPr>
            <w:tcW w:w="920" w:type="dxa"/>
            <w:vAlign w:val="bottom"/>
          </w:tcPr>
          <w:p>
            <w:pPr>
              <w:spacing w:after="0"/>
              <w:rPr>
                <w:sz w:val="17"/>
                <w:szCs w:val="17"/>
                <w:color w:val="auto"/>
              </w:rPr>
            </w:pP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96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(259 )</w:t>
            </w:r>
          </w:p>
        </w:tc>
      </w:tr>
      <w:tr>
        <w:trPr>
          <w:trHeight w:val="207"/>
        </w:trPr>
        <w:tc>
          <w:tcPr>
            <w:tcW w:w="6620" w:type="dxa"/>
            <w:vAlign w:val="bottom"/>
            <w:shd w:val="clear" w:color="auto" w:fill="CFF0FC"/>
          </w:tcPr>
          <w:p>
            <w:pPr>
              <w:ind w:left="560"/>
              <w:spacing w:after="0"/>
              <w:rPr>
                <w:sz w:val="20"/>
                <w:szCs w:val="20"/>
                <w:color w:val="auto"/>
              </w:rPr>
            </w:pPr>
            <w:r>
              <w:rPr>
                <w:rFonts w:ascii="Calibri" w:cs="Calibri" w:eastAsia="Calibri" w:hAnsi="Calibri"/>
                <w:sz w:val="16"/>
                <w:szCs w:val="16"/>
                <w:color w:val="auto"/>
              </w:rPr>
              <w:t>Prepaid expenses and other assets</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(25 )</w:t>
            </w:r>
          </w:p>
        </w:tc>
      </w:tr>
      <w:tr>
        <w:trPr>
          <w:trHeight w:val="198"/>
        </w:trPr>
        <w:tc>
          <w:tcPr>
            <w:tcW w:w="6620" w:type="dxa"/>
            <w:vAlign w:val="bottom"/>
          </w:tcPr>
          <w:p>
            <w:pPr>
              <w:ind w:left="560"/>
              <w:spacing w:after="0" w:line="193" w:lineRule="exact"/>
              <w:rPr>
                <w:sz w:val="20"/>
                <w:szCs w:val="20"/>
                <w:color w:val="auto"/>
              </w:rPr>
            </w:pPr>
            <w:r>
              <w:rPr>
                <w:rFonts w:ascii="Calibri" w:cs="Calibri" w:eastAsia="Calibri" w:hAnsi="Calibri"/>
                <w:sz w:val="16"/>
                <w:szCs w:val="16"/>
                <w:color w:val="auto"/>
              </w:rPr>
              <w:t>Accounts payable and accrued liabilites</w:t>
            </w:r>
          </w:p>
        </w:tc>
        <w:tc>
          <w:tcPr>
            <w:tcW w:w="920" w:type="dxa"/>
            <w:vAlign w:val="bottom"/>
          </w:tcPr>
          <w:p>
            <w:pPr>
              <w:spacing w:after="0"/>
              <w:rPr>
                <w:sz w:val="17"/>
                <w:szCs w:val="17"/>
                <w:color w:val="auto"/>
              </w:rPr>
            </w:pP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(152 )</w:t>
            </w:r>
          </w:p>
        </w:tc>
        <w:tc>
          <w:tcPr>
            <w:tcW w:w="30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115</w:t>
            </w: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560"/>
              <w:spacing w:after="0"/>
              <w:rPr>
                <w:sz w:val="20"/>
                <w:szCs w:val="20"/>
                <w:color w:val="auto"/>
              </w:rPr>
            </w:pPr>
            <w:r>
              <w:rPr>
                <w:rFonts w:ascii="Calibri" w:cs="Calibri" w:eastAsia="Calibri" w:hAnsi="Calibri"/>
                <w:sz w:val="16"/>
                <w:szCs w:val="16"/>
                <w:color w:val="auto"/>
              </w:rPr>
              <w:t>Income taxes payable</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6"/>
                <w:szCs w:val="16"/>
                <w:color w:val="auto"/>
              </w:rPr>
              <w:t>(4 )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15</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560"/>
              <w:spacing w:after="0" w:line="193" w:lineRule="exact"/>
              <w:rPr>
                <w:sz w:val="20"/>
                <w:szCs w:val="20"/>
                <w:color w:val="auto"/>
              </w:rPr>
            </w:pPr>
            <w:r>
              <w:rPr>
                <w:rFonts w:ascii="Calibri" w:cs="Calibri" w:eastAsia="Calibri" w:hAnsi="Calibri"/>
                <w:sz w:val="16"/>
                <w:szCs w:val="16"/>
                <w:color w:val="auto"/>
              </w:rPr>
              <w:t>Other liabilites</w:t>
            </w:r>
          </w:p>
        </w:tc>
        <w:tc>
          <w:tcPr>
            <w:tcW w:w="920" w:type="dxa"/>
            <w:vAlign w:val="bottom"/>
          </w:tcPr>
          <w:p>
            <w:pPr>
              <w:spacing w:after="0"/>
              <w:rPr>
                <w:sz w:val="17"/>
                <w:szCs w:val="17"/>
                <w:color w:val="auto"/>
              </w:rPr>
            </w:pP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(7 )</w:t>
            </w:r>
          </w:p>
        </w:tc>
      </w:tr>
      <w:tr>
        <w:trPr>
          <w:trHeight w:val="196"/>
        </w:trPr>
        <w:tc>
          <w:tcPr>
            <w:tcW w:w="6620" w:type="dxa"/>
            <w:vAlign w:val="bottom"/>
            <w:tcBorders>
              <w:bottom w:val="single" w:sz="8" w:color="CFF0FC"/>
            </w:tcBorders>
            <w:shd w:val="clear" w:color="auto" w:fill="CFF0FC"/>
          </w:tcPr>
          <w:p>
            <w:pPr>
              <w:ind w:left="740"/>
              <w:spacing w:after="0" w:line="193" w:lineRule="exact"/>
              <w:rPr>
                <w:sz w:val="20"/>
                <w:szCs w:val="20"/>
                <w:color w:val="auto"/>
              </w:rPr>
            </w:pPr>
            <w:r>
              <w:rPr>
                <w:rFonts w:ascii="Calibri" w:cs="Calibri" w:eastAsia="Calibri" w:hAnsi="Calibri"/>
                <w:sz w:val="16"/>
                <w:szCs w:val="16"/>
                <w:color w:val="auto"/>
              </w:rPr>
              <w:t>Cash provided by operatng actvites</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692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595</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1"/>
        </w:trPr>
        <w:tc>
          <w:tcPr>
            <w:tcW w:w="6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Cash Flows from Investng Actvites:</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Additons to property, plant and equipment</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(241 )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(244 )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(211 )</w:t>
            </w: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Proceeds from sale of a business</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79</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Cash paid for acquisiton of business, net of cash acquired of $—, $— and $5</w:t>
            </w:r>
          </w:p>
        </w:tc>
        <w:tc>
          <w:tcPr>
            <w:tcW w:w="920" w:type="dxa"/>
            <w:vAlign w:val="bottom"/>
          </w:tcPr>
          <w:p>
            <w:pPr>
              <w:spacing w:after="0"/>
              <w:rPr>
                <w:sz w:val="17"/>
                <w:szCs w:val="17"/>
                <w:color w:val="auto"/>
              </w:rPr>
            </w:pPr>
          </w:p>
        </w:tc>
        <w:tc>
          <w:tcPr>
            <w:tcW w:w="54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30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(9 )</w:t>
            </w: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Proceeds from sale of land</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18</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Proceeds from insurance setlements</w:t>
            </w:r>
          </w:p>
        </w:tc>
        <w:tc>
          <w:tcPr>
            <w:tcW w:w="920" w:type="dxa"/>
            <w:vAlign w:val="bottom"/>
          </w:tcPr>
          <w:p>
            <w:pPr>
              <w:spacing w:after="0"/>
              <w:rPr>
                <w:sz w:val="17"/>
                <w:szCs w:val="17"/>
                <w:color w:val="auto"/>
              </w:rPr>
            </w:pPr>
          </w:p>
        </w:tc>
        <w:tc>
          <w:tcPr>
            <w:tcW w:w="54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6"/>
                <w:szCs w:val="16"/>
                <w:color w:val="auto"/>
              </w:rPr>
              <w:t>Other</w:t>
            </w:r>
          </w:p>
        </w:tc>
        <w:tc>
          <w:tcPr>
            <w:tcW w:w="9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5</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740"/>
              <w:spacing w:after="0" w:line="193" w:lineRule="exact"/>
              <w:rPr>
                <w:sz w:val="20"/>
                <w:szCs w:val="20"/>
                <w:color w:val="auto"/>
              </w:rPr>
            </w:pPr>
            <w:r>
              <w:rPr>
                <w:rFonts w:ascii="Calibri" w:cs="Calibri" w:eastAsia="Calibri" w:hAnsi="Calibri"/>
                <w:sz w:val="16"/>
                <w:szCs w:val="16"/>
                <w:color w:val="auto"/>
              </w:rPr>
              <w:t>Cash used in investng actvites</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(235 )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(214 )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(118 )</w:t>
            </w:r>
          </w:p>
        </w:tc>
      </w:tr>
      <w:tr>
        <w:trPr>
          <w:trHeight w:val="200"/>
        </w:trPr>
        <w:tc>
          <w:tcPr>
            <w:tcW w:w="66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662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Cash Flows from Financing Actvites:</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Proceeds from short-term borrowings</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26</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Repayments of short-term borrowings</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(1 )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(48 )</w:t>
            </w:r>
          </w:p>
        </w:tc>
        <w:tc>
          <w:tcPr>
            <w:tcW w:w="300" w:type="dxa"/>
            <w:vAlign w:val="bottom"/>
          </w:tcPr>
          <w:p>
            <w:pPr>
              <w:spacing w:after="0"/>
              <w:rPr>
                <w:sz w:val="17"/>
                <w:szCs w:val="17"/>
                <w:color w:val="auto"/>
              </w:rPr>
            </w:pPr>
          </w:p>
        </w:tc>
        <w:tc>
          <w:tcPr>
            <w:tcW w:w="112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Proceeds from issuance of (repayments of) commercial paper, net</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6"/>
                <w:szCs w:val="16"/>
                <w:color w:val="auto"/>
              </w:rPr>
              <w:t>(127 )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6"/>
                <w:szCs w:val="16"/>
                <w:color w:val="auto"/>
              </w:rPr>
              <w:t>(149 )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250</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Proceeds from long-term debt, net of issuance costs</w:t>
            </w:r>
          </w:p>
        </w:tc>
        <w:tc>
          <w:tcPr>
            <w:tcW w:w="920" w:type="dxa"/>
            <w:vAlign w:val="bottom"/>
          </w:tcPr>
          <w:p>
            <w:pPr>
              <w:spacing w:after="0"/>
              <w:rPr>
                <w:sz w:val="17"/>
                <w:szCs w:val="17"/>
                <w:color w:val="auto"/>
              </w:rPr>
            </w:pP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394</w:t>
            </w: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Repayments of long-term debt</w:t>
            </w:r>
          </w:p>
        </w:tc>
        <w:tc>
          <w:tcPr>
            <w:tcW w:w="9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6"/>
                <w:szCs w:val="16"/>
                <w:color w:val="auto"/>
              </w:rPr>
              <w:t>(30 )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6"/>
                <w:szCs w:val="16"/>
                <w:color w:val="auto"/>
              </w:rPr>
              <w:t>(90 )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(372 )</w:t>
            </w: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Purchases of common stock</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(172 )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(98 )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(53 )</w:t>
            </w: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Proceeds from sales of common stock</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6</w:t>
            </w: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Cash dividends paid to noncontrolling interests</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(27 )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(42 )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(22 )</w:t>
            </w:r>
          </w:p>
        </w:tc>
      </w:tr>
      <w:tr>
        <w:trPr>
          <w:trHeight w:val="203"/>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Cash dividends paid to common stockholders</w:t>
            </w:r>
          </w:p>
        </w:tc>
        <w:tc>
          <w:tcPr>
            <w:tcW w:w="9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6"/>
                <w:szCs w:val="16"/>
                <w:color w:val="auto"/>
              </w:rPr>
              <w:t>(93 )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6"/>
                <w:szCs w:val="16"/>
                <w:color w:val="auto"/>
              </w:rPr>
              <w:t>(88 )</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(84 )</w:t>
            </w:r>
          </w:p>
        </w:tc>
      </w:tr>
      <w:tr>
        <w:trPr>
          <w:trHeight w:val="20"/>
        </w:trPr>
        <w:tc>
          <w:tcPr>
            <w:tcW w:w="66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20" w:type="dxa"/>
            <w:vAlign w:val="bottom"/>
          </w:tcPr>
          <w:p>
            <w:pPr>
              <w:ind w:left="740"/>
              <w:spacing w:after="0" w:line="193" w:lineRule="exact"/>
              <w:rPr>
                <w:sz w:val="20"/>
                <w:szCs w:val="20"/>
                <w:color w:val="auto"/>
              </w:rPr>
            </w:pPr>
            <w:r>
              <w:rPr>
                <w:rFonts w:ascii="Calibri" w:cs="Calibri" w:eastAsia="Calibri" w:hAnsi="Calibri"/>
                <w:sz w:val="16"/>
                <w:szCs w:val="16"/>
                <w:color w:val="auto"/>
              </w:rPr>
              <w:t>Cash provided by (used in) fnancing actvites</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(415 )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(403 )</w:t>
            </w:r>
          </w:p>
        </w:tc>
        <w:tc>
          <w:tcPr>
            <w:tcW w:w="30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145</w:t>
            </w:r>
          </w:p>
        </w:tc>
        <w:tc>
          <w:tcPr>
            <w:tcW w:w="10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2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Efects of exchange rate changes on cash</w:t>
            </w:r>
          </w:p>
        </w:tc>
        <w:tc>
          <w:tcPr>
            <w:tcW w:w="9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line="193" w:lineRule="exact"/>
              <w:rPr>
                <w:sz w:val="20"/>
                <w:szCs w:val="20"/>
                <w:color w:val="auto"/>
              </w:rPr>
            </w:pPr>
            <w:r>
              <w:rPr>
                <w:rFonts w:ascii="Calibri" w:cs="Calibri" w:eastAsia="Calibri" w:hAnsi="Calibri"/>
                <w:sz w:val="16"/>
                <w:szCs w:val="16"/>
                <w:color w:val="auto"/>
              </w:rPr>
              <w:t>(57 )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(91 )</w:t>
            </w:r>
          </w:p>
        </w:tc>
      </w:tr>
      <w:tr>
        <w:trPr>
          <w:trHeight w:val="20"/>
        </w:trPr>
        <w:tc>
          <w:tcPr>
            <w:tcW w:w="66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20" w:type="dxa"/>
            <w:vAlign w:val="bottom"/>
          </w:tcPr>
          <w:p>
            <w:pPr>
              <w:ind w:left="20"/>
              <w:spacing w:after="0" w:line="193" w:lineRule="exact"/>
              <w:rPr>
                <w:sz w:val="20"/>
                <w:szCs w:val="20"/>
                <w:color w:val="auto"/>
              </w:rPr>
            </w:pPr>
            <w:r>
              <w:rPr>
                <w:rFonts w:ascii="Calibri" w:cs="Calibri" w:eastAsia="Calibri" w:hAnsi="Calibri"/>
                <w:sz w:val="16"/>
                <w:szCs w:val="16"/>
                <w:color w:val="auto"/>
              </w:rPr>
              <w:t>Increase (decrease) in cash, cash equivalents</w:t>
            </w:r>
          </w:p>
        </w:tc>
        <w:tc>
          <w:tcPr>
            <w:tcW w:w="920" w:type="dxa"/>
            <w:vAlign w:val="bottom"/>
          </w:tcPr>
          <w:p>
            <w:pPr>
              <w:spacing w:after="0"/>
              <w:rPr>
                <w:sz w:val="17"/>
                <w:szCs w:val="17"/>
                <w:color w:val="auto"/>
              </w:rPr>
            </w:pPr>
          </w:p>
        </w:tc>
        <w:tc>
          <w:tcPr>
            <w:tcW w:w="5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(15 )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36</w:t>
            </w:r>
          </w:p>
        </w:tc>
        <w:tc>
          <w:tcPr>
            <w:tcW w:w="10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Cash, cash equivalents at beginning of year</w:t>
            </w:r>
          </w:p>
        </w:tc>
        <w:tc>
          <w:tcPr>
            <w:tcW w:w="9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238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206</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170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0"/>
        </w:trPr>
        <w:tc>
          <w:tcPr>
            <w:tcW w:w="6620" w:type="dxa"/>
            <w:vAlign w:val="bottom"/>
          </w:tcPr>
          <w:p>
            <w:pPr>
              <w:ind w:left="20"/>
              <w:spacing w:after="0"/>
              <w:rPr>
                <w:sz w:val="20"/>
                <w:szCs w:val="20"/>
                <w:color w:val="auto"/>
              </w:rPr>
            </w:pPr>
            <w:r>
              <w:rPr>
                <w:rFonts w:ascii="Calibri" w:cs="Calibri" w:eastAsia="Calibri" w:hAnsi="Calibri"/>
                <w:sz w:val="16"/>
                <w:szCs w:val="16"/>
                <w:color w:val="auto"/>
              </w:rPr>
              <w:t>Cash, cash equivalents at end of year</w:t>
            </w:r>
          </w:p>
        </w:tc>
        <w:tc>
          <w:tcPr>
            <w:tcW w:w="920" w:type="dxa"/>
            <w:vAlign w:val="bottom"/>
          </w:tcPr>
          <w:p>
            <w:pPr>
              <w:jc w:val="right"/>
              <w:ind w:right="741"/>
              <w:spacing w:after="0" w:line="193" w:lineRule="exact"/>
              <w:rPr>
                <w:sz w:val="20"/>
                <w:szCs w:val="20"/>
                <w:color w:val="auto"/>
              </w:rPr>
            </w:pPr>
            <w:r>
              <w:rPr>
                <w:rFonts w:ascii="Calibri" w:cs="Calibri" w:eastAsia="Calibri" w:hAnsi="Calibri"/>
                <w:sz w:val="16"/>
                <w:szCs w:val="16"/>
                <w:color w:val="auto"/>
                <w:w w:val="97"/>
              </w:rPr>
              <w:t>$</w:t>
            </w: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223</w:t>
            </w:r>
          </w:p>
        </w:tc>
        <w:tc>
          <w:tcPr>
            <w:tcW w:w="120" w:type="dxa"/>
            <w:vAlign w:val="bottom"/>
          </w:tcPr>
          <w:p>
            <w:pPr>
              <w:spacing w:after="0"/>
              <w:rPr>
                <w:sz w:val="17"/>
                <w:szCs w:val="17"/>
                <w:color w:val="auto"/>
              </w:rPr>
            </w:pPr>
          </w:p>
        </w:tc>
        <w:tc>
          <w:tcPr>
            <w:tcW w:w="34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238</w:t>
            </w:r>
          </w:p>
        </w:tc>
        <w:tc>
          <w:tcPr>
            <w:tcW w:w="300" w:type="dxa"/>
            <w:vAlign w:val="bottom"/>
          </w:tcPr>
          <w:p>
            <w:pPr>
              <w:spacing w:after="0"/>
              <w:rPr>
                <w:sz w:val="17"/>
                <w:szCs w:val="17"/>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206</w:t>
            </w:r>
          </w:p>
        </w:tc>
        <w:tc>
          <w:tcPr>
            <w:tcW w:w="10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8"/>
        </w:trPr>
        <w:tc>
          <w:tcPr>
            <w:tcW w:w="662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Non-cash investng actvites and supplemental cash fow informaton:</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6620" w:type="dxa"/>
            <w:vAlign w:val="bottom"/>
            <w:shd w:val="clear" w:color="auto" w:fill="CFF0FC"/>
          </w:tcPr>
          <w:p>
            <w:pPr>
              <w:ind w:left="200"/>
              <w:spacing w:after="0" w:line="188" w:lineRule="exact"/>
              <w:rPr>
                <w:sz w:val="20"/>
                <w:szCs w:val="20"/>
                <w:color w:val="auto"/>
              </w:rPr>
            </w:pPr>
            <w:r>
              <w:rPr>
                <w:rFonts w:ascii="Calibri" w:cs="Calibri" w:eastAsia="Calibri" w:hAnsi="Calibri"/>
                <w:sz w:val="16"/>
                <w:szCs w:val="16"/>
                <w:color w:val="auto"/>
              </w:rPr>
              <w:t>Additons to property, plant and equipment included in Accounts payable and</w:t>
            </w:r>
          </w:p>
        </w:tc>
        <w:tc>
          <w:tcPr>
            <w:tcW w:w="9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1"/>
        </w:trPr>
        <w:tc>
          <w:tcPr>
            <w:tcW w:w="6620" w:type="dxa"/>
            <w:vAlign w:val="bottom"/>
            <w:tcBorders>
              <w:bottom w:val="single" w:sz="8" w:color="CFF0FC"/>
            </w:tcBorders>
            <w:shd w:val="clear" w:color="auto" w:fill="CFF0FC"/>
          </w:tcPr>
          <w:p>
            <w:pPr>
              <w:ind w:left="320"/>
              <w:spacing w:after="0" w:line="193" w:lineRule="exact"/>
              <w:rPr>
                <w:sz w:val="20"/>
                <w:szCs w:val="20"/>
                <w:color w:val="auto"/>
              </w:rPr>
            </w:pPr>
            <w:r>
              <w:rPr>
                <w:rFonts w:ascii="Calibri" w:cs="Calibri" w:eastAsia="Calibri" w:hAnsi="Calibri"/>
                <w:sz w:val="16"/>
                <w:szCs w:val="16"/>
                <w:color w:val="auto"/>
              </w:rPr>
              <w:t>accrued liabilites</w:t>
            </w:r>
          </w:p>
        </w:tc>
        <w:tc>
          <w:tcPr>
            <w:tcW w:w="920" w:type="dxa"/>
            <w:vAlign w:val="bottom"/>
            <w:tcBorders>
              <w:bottom w:val="single" w:sz="8" w:color="CFF0FC"/>
            </w:tcBorders>
            <w:shd w:val="clear" w:color="auto" w:fill="CFF0FC"/>
          </w:tcPr>
          <w:p>
            <w:pPr>
              <w:jc w:val="right"/>
              <w:ind w:right="741"/>
              <w:spacing w:after="0" w:line="193" w:lineRule="exact"/>
              <w:rPr>
                <w:sz w:val="20"/>
                <w:szCs w:val="20"/>
                <w:color w:val="auto"/>
              </w:rPr>
            </w:pPr>
            <w:r>
              <w:rPr>
                <w:rFonts w:ascii="Calibri" w:cs="Calibri" w:eastAsia="Calibri" w:hAnsi="Calibri"/>
                <w:sz w:val="16"/>
                <w:szCs w:val="16"/>
                <w:color w:val="auto"/>
                <w:w w:val="97"/>
              </w:rPr>
              <w:t>$</w:t>
            </w:r>
          </w:p>
        </w:tc>
        <w:tc>
          <w:tcPr>
            <w:tcW w:w="4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50</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41</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8"/>
        </w:trPr>
        <w:tc>
          <w:tcPr>
            <w:tcW w:w="6620" w:type="dxa"/>
            <w:vAlign w:val="bottom"/>
          </w:tcPr>
          <w:p>
            <w:pPr>
              <w:ind w:left="200"/>
              <w:spacing w:after="0" w:line="193" w:lineRule="exact"/>
              <w:rPr>
                <w:sz w:val="20"/>
                <w:szCs w:val="20"/>
                <w:color w:val="auto"/>
              </w:rPr>
            </w:pPr>
            <w:r>
              <w:rPr>
                <w:rFonts w:ascii="Calibri" w:cs="Calibri" w:eastAsia="Calibri" w:hAnsi="Calibri"/>
                <w:sz w:val="16"/>
                <w:szCs w:val="16"/>
                <w:color w:val="auto"/>
              </w:rPr>
              <w:t>Income taxes paid</w:t>
            </w:r>
          </w:p>
        </w:tc>
        <w:tc>
          <w:tcPr>
            <w:tcW w:w="920" w:type="dxa"/>
            <w:vAlign w:val="bottom"/>
          </w:tcPr>
          <w:p>
            <w:pPr>
              <w:jc w:val="right"/>
              <w:ind w:right="741"/>
              <w:spacing w:after="0" w:line="193" w:lineRule="exact"/>
              <w:rPr>
                <w:sz w:val="20"/>
                <w:szCs w:val="20"/>
                <w:color w:val="auto"/>
              </w:rPr>
            </w:pPr>
            <w:r>
              <w:rPr>
                <w:rFonts w:ascii="Calibri" w:cs="Calibri" w:eastAsia="Calibri" w:hAnsi="Calibri"/>
                <w:sz w:val="16"/>
                <w:szCs w:val="16"/>
                <w:color w:val="auto"/>
                <w:w w:val="97"/>
              </w:rPr>
              <w:t>$</w:t>
            </w:r>
          </w:p>
        </w:tc>
        <w:tc>
          <w:tcPr>
            <w:tcW w:w="420" w:type="dxa"/>
            <w:vAlign w:val="bottom"/>
          </w:tcPr>
          <w:p>
            <w:pPr>
              <w:jc w:val="right"/>
              <w:spacing w:after="0" w:line="193" w:lineRule="exact"/>
              <w:rPr>
                <w:sz w:val="20"/>
                <w:szCs w:val="20"/>
                <w:color w:val="auto"/>
              </w:rPr>
            </w:pPr>
            <w:r>
              <w:rPr>
                <w:rFonts w:ascii="Calibri" w:cs="Calibri" w:eastAsia="Calibri" w:hAnsi="Calibri"/>
                <w:sz w:val="16"/>
                <w:szCs w:val="16"/>
                <w:color w:val="auto"/>
              </w:rPr>
              <w:t>136</w:t>
            </w:r>
          </w:p>
        </w:tc>
        <w:tc>
          <w:tcPr>
            <w:tcW w:w="120" w:type="dxa"/>
            <w:vAlign w:val="bottom"/>
          </w:tcPr>
          <w:p>
            <w:pPr>
              <w:spacing w:after="0"/>
              <w:rPr>
                <w:sz w:val="17"/>
                <w:szCs w:val="17"/>
                <w:color w:val="auto"/>
              </w:rPr>
            </w:pPr>
          </w:p>
        </w:tc>
        <w:tc>
          <w:tcPr>
            <w:tcW w:w="34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140</w:t>
            </w:r>
          </w:p>
        </w:tc>
        <w:tc>
          <w:tcPr>
            <w:tcW w:w="300" w:type="dxa"/>
            <w:vAlign w:val="bottom"/>
          </w:tcPr>
          <w:p>
            <w:pPr>
              <w:spacing w:after="0"/>
              <w:rPr>
                <w:sz w:val="17"/>
                <w:szCs w:val="17"/>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129</w:t>
            </w:r>
          </w:p>
        </w:tc>
        <w:tc>
          <w:tcPr>
            <w:tcW w:w="100" w:type="dxa"/>
            <w:vAlign w:val="bottom"/>
          </w:tcPr>
          <w:p>
            <w:pPr>
              <w:spacing w:after="0"/>
              <w:rPr>
                <w:sz w:val="17"/>
                <w:szCs w:val="17"/>
                <w:color w:val="auto"/>
              </w:rPr>
            </w:pPr>
          </w:p>
        </w:tc>
      </w:tr>
      <w:tr>
        <w:trPr>
          <w:trHeight w:val="207"/>
        </w:trPr>
        <w:tc>
          <w:tcPr>
            <w:tcW w:w="662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Interest paid</w:t>
            </w:r>
          </w:p>
        </w:tc>
        <w:tc>
          <w:tcPr>
            <w:tcW w:w="920" w:type="dxa"/>
            <w:vAlign w:val="bottom"/>
            <w:shd w:val="clear" w:color="auto" w:fill="CFF0FC"/>
          </w:tcPr>
          <w:p>
            <w:pPr>
              <w:jc w:val="right"/>
              <w:ind w:right="741"/>
              <w:spacing w:after="0"/>
              <w:rPr>
                <w:sz w:val="20"/>
                <w:szCs w:val="20"/>
                <w:color w:val="auto"/>
              </w:rPr>
            </w:pPr>
            <w:r>
              <w:rPr>
                <w:rFonts w:ascii="Calibri" w:cs="Calibri" w:eastAsia="Calibri" w:hAnsi="Calibri"/>
                <w:sz w:val="16"/>
                <w:szCs w:val="16"/>
                <w:color w:val="auto"/>
                <w:w w:val="97"/>
              </w:rPr>
              <w:t>$</w:t>
            </w:r>
          </w:p>
        </w:tc>
        <w:tc>
          <w:tcPr>
            <w:tcW w:w="4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82</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6"/>
                <w:szCs w:val="16"/>
                <w:color w:val="auto"/>
              </w:rPr>
              <w:t>$</w:t>
            </w:r>
          </w:p>
        </w:tc>
        <w:tc>
          <w:tcPr>
            <w:tcW w:w="1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Calibri" w:cs="Calibri" w:eastAsia="Calibri" w:hAnsi="Calibri"/>
                <w:sz w:val="16"/>
                <w:szCs w:val="16"/>
                <w:color w:val="auto"/>
                <w:w w:val="97"/>
              </w:rPr>
              <w:t>$</w:t>
            </w: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-4070985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-4070985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-3034030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-3034030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-1473835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-1473835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-1199515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-1199515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-933450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r>
        <w:rPr>
          <w:rFonts w:ascii="Calibri" w:cs="Calibri" w:eastAsia="Calibri" w:hAnsi="Calibri"/>
          <w:sz w:val="15"/>
          <w:szCs w:val="15"/>
          <w:i w:val="1"/>
          <w:iCs w:val="1"/>
          <w:color w:val="auto"/>
        </w:rPr>
        <w:t>.</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7" w:name="page48"/>
    <w:bookmarkEnd w:id="47"/>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b w:val="1"/>
          <w:bCs w:val="1"/>
          <w:color w:val="auto"/>
        </w:rPr>
        <w:t>CONSOLIDATED STATEMENTS OF CHANGES IN STOCKHOLDERS’ EQUITY</w:t>
      </w:r>
    </w:p>
    <w:p>
      <w:pPr>
        <w:spacing w:after="0" w:line="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(In millions, except shares in thousands and per share amounts)</w:t>
      </w:r>
    </w:p>
    <w:p>
      <w:pPr>
        <w:sectPr>
          <w:pgSz w:w="11900" w:h="16838" w:orient="portrait"/>
          <w:cols w:equalWidth="0" w:num="1">
            <w:col w:w="11180"/>
          </w:cols>
          <w:pgMar w:left="340" w:top="97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300"/>
        <w:spacing w:after="0" w:line="246" w:lineRule="auto"/>
        <w:rPr>
          <w:sz w:val="20"/>
          <w:szCs w:val="20"/>
          <w:color w:val="auto"/>
        </w:rPr>
      </w:pPr>
      <w:r>
        <w:rPr>
          <w:rFonts w:ascii="Calibri" w:cs="Calibri" w:eastAsia="Calibri" w:hAnsi="Calibri"/>
          <w:sz w:val="16"/>
          <w:szCs w:val="16"/>
          <w:color w:val="auto"/>
        </w:rPr>
        <w:t>Balance at September 30, 2021 Net income (loss)</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Total other comprehensive income (loss)</w:t>
      </w:r>
    </w:p>
    <w:p>
      <w:pPr>
        <w:spacing w:after="0" w:line="9" w:lineRule="exact"/>
        <w:rPr>
          <w:sz w:val="20"/>
          <w:szCs w:val="20"/>
          <w:color w:val="auto"/>
        </w:rPr>
      </w:pPr>
    </w:p>
    <w:p>
      <w:pPr>
        <w:jc w:val="both"/>
        <w:spacing w:after="0" w:line="247" w:lineRule="auto"/>
        <w:rPr>
          <w:sz w:val="20"/>
          <w:szCs w:val="20"/>
          <w:color w:val="auto"/>
        </w:rPr>
      </w:pPr>
      <w:r>
        <w:rPr>
          <w:rFonts w:ascii="Calibri" w:cs="Calibri" w:eastAsia="Calibri" w:hAnsi="Calibri"/>
          <w:sz w:val="16"/>
          <w:szCs w:val="16"/>
          <w:color w:val="auto"/>
        </w:rPr>
        <w:t>Cash dividends declared to noncontrolling interests Cash dividends declared to common stockholders, $1.48 per</w:t>
      </w:r>
    </w:p>
    <w:p>
      <w:pPr>
        <w:spacing w:after="0" w:line="3"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share</w:t>
      </w:r>
    </w:p>
    <w:p>
      <w:pPr>
        <w:spacing w:after="0" w:line="9" w:lineRule="exact"/>
        <w:rPr>
          <w:sz w:val="20"/>
          <w:szCs w:val="20"/>
          <w:color w:val="auto"/>
        </w:rPr>
      </w:pPr>
    </w:p>
    <w:p>
      <w:pPr>
        <w:jc w:val="both"/>
        <w:spacing w:after="0" w:line="246" w:lineRule="auto"/>
        <w:rPr>
          <w:sz w:val="20"/>
          <w:szCs w:val="20"/>
          <w:color w:val="auto"/>
        </w:rPr>
      </w:pPr>
      <w:r>
        <w:rPr>
          <w:rFonts w:ascii="Calibri" w:cs="Calibri" w:eastAsia="Calibri" w:hAnsi="Calibri"/>
          <w:sz w:val="16"/>
          <w:szCs w:val="16"/>
          <w:color w:val="auto"/>
        </w:rPr>
        <w:t>Issuance of stock under equity compensaton plans Share-based compensaton</w:t>
      </w:r>
    </w:p>
    <w:p>
      <w:pPr>
        <w:spacing w:after="0" w:line="18" w:lineRule="exact"/>
        <w:rPr>
          <w:sz w:val="20"/>
          <w:szCs w:val="20"/>
          <w:color w:val="auto"/>
        </w:rPr>
      </w:pPr>
    </w:p>
    <w:p>
      <w:pPr>
        <w:ind w:right="560"/>
        <w:spacing w:after="0" w:line="247" w:lineRule="auto"/>
        <w:rPr>
          <w:sz w:val="20"/>
          <w:szCs w:val="20"/>
          <w:color w:val="auto"/>
        </w:rPr>
      </w:pPr>
      <w:r>
        <w:rPr>
          <w:rFonts w:ascii="Calibri" w:cs="Calibri" w:eastAsia="Calibri" w:hAnsi="Calibri"/>
          <w:sz w:val="16"/>
          <w:szCs w:val="16"/>
          <w:color w:val="auto"/>
        </w:rPr>
        <w:t>Purchase and retrement of common stock Balance at September 30, 2022 Net income (loss)</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Total other comprehensive income (loss)</w:t>
      </w:r>
    </w:p>
    <w:p>
      <w:pPr>
        <w:spacing w:after="0" w:line="9" w:lineRule="exact"/>
        <w:rPr>
          <w:sz w:val="20"/>
          <w:szCs w:val="20"/>
          <w:color w:val="auto"/>
        </w:rPr>
      </w:pPr>
    </w:p>
    <w:p>
      <w:pPr>
        <w:jc w:val="both"/>
        <w:spacing w:after="0" w:line="247" w:lineRule="auto"/>
        <w:rPr>
          <w:sz w:val="20"/>
          <w:szCs w:val="20"/>
          <w:color w:val="auto"/>
        </w:rPr>
      </w:pPr>
      <w:r>
        <w:rPr>
          <w:rFonts w:ascii="Calibri" w:cs="Calibri" w:eastAsia="Calibri" w:hAnsi="Calibri"/>
          <w:sz w:val="16"/>
          <w:szCs w:val="16"/>
          <w:color w:val="auto"/>
        </w:rPr>
        <w:t>Cash dividends declared to noncontrolling interests Cash dividends declared to common stockholders, $1.54 per</w:t>
      </w:r>
    </w:p>
    <w:p>
      <w:pPr>
        <w:spacing w:after="0" w:line="3"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share</w:t>
      </w:r>
    </w:p>
    <w:p>
      <w:pPr>
        <w:spacing w:after="0" w:line="9" w:lineRule="exact"/>
        <w:rPr>
          <w:sz w:val="20"/>
          <w:szCs w:val="20"/>
          <w:color w:val="auto"/>
        </w:rPr>
      </w:pPr>
    </w:p>
    <w:p>
      <w:pPr>
        <w:jc w:val="both"/>
        <w:spacing w:after="0" w:line="246" w:lineRule="auto"/>
        <w:rPr>
          <w:sz w:val="20"/>
          <w:szCs w:val="20"/>
          <w:color w:val="auto"/>
        </w:rPr>
      </w:pPr>
      <w:r>
        <w:rPr>
          <w:rFonts w:ascii="Calibri" w:cs="Calibri" w:eastAsia="Calibri" w:hAnsi="Calibri"/>
          <w:sz w:val="16"/>
          <w:szCs w:val="16"/>
          <w:color w:val="auto"/>
        </w:rPr>
        <w:t>Issuance of stock under equity compensaton plans Share-based compensaton</w:t>
      </w:r>
    </w:p>
    <w:p>
      <w:pPr>
        <w:spacing w:after="0" w:line="18" w:lineRule="exact"/>
        <w:rPr>
          <w:sz w:val="20"/>
          <w:szCs w:val="20"/>
          <w:color w:val="auto"/>
        </w:rPr>
      </w:pPr>
    </w:p>
    <w:p>
      <w:pPr>
        <w:ind w:right="560"/>
        <w:spacing w:after="0" w:line="247" w:lineRule="auto"/>
        <w:rPr>
          <w:sz w:val="20"/>
          <w:szCs w:val="20"/>
          <w:color w:val="auto"/>
        </w:rPr>
      </w:pPr>
      <w:r>
        <w:rPr>
          <w:rFonts w:ascii="Calibri" w:cs="Calibri" w:eastAsia="Calibri" w:hAnsi="Calibri"/>
          <w:sz w:val="16"/>
          <w:szCs w:val="16"/>
          <w:color w:val="auto"/>
        </w:rPr>
        <w:t>Purchase and retrement of common stock Balance at September 30, 2023 Net income (loss)</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Total other comprehensive income (loss)</w:t>
      </w:r>
    </w:p>
    <w:p>
      <w:pPr>
        <w:spacing w:after="0" w:line="9" w:lineRule="exact"/>
        <w:rPr>
          <w:sz w:val="20"/>
          <w:szCs w:val="20"/>
          <w:color w:val="auto"/>
        </w:rPr>
      </w:pPr>
    </w:p>
    <w:p>
      <w:pPr>
        <w:jc w:val="both"/>
        <w:spacing w:after="0" w:line="247" w:lineRule="auto"/>
        <w:rPr>
          <w:sz w:val="20"/>
          <w:szCs w:val="20"/>
          <w:color w:val="auto"/>
        </w:rPr>
      </w:pPr>
      <w:r>
        <w:rPr>
          <w:rFonts w:ascii="Calibri" w:cs="Calibri" w:eastAsia="Calibri" w:hAnsi="Calibri"/>
          <w:sz w:val="16"/>
          <w:szCs w:val="16"/>
          <w:color w:val="auto"/>
        </w:rPr>
        <w:t>Cash dividends declared to noncontrolling interests Cash dividends declared to common stockholders, $1.66 per</w:t>
      </w:r>
    </w:p>
    <w:p>
      <w:pPr>
        <w:spacing w:after="0" w:line="3" w:lineRule="exact"/>
        <w:rPr>
          <w:sz w:val="20"/>
          <w:szCs w:val="20"/>
          <w:color w:val="auto"/>
        </w:rPr>
      </w:pPr>
    </w:p>
    <w:p>
      <w:pPr>
        <w:ind w:left="120"/>
        <w:spacing w:after="0"/>
        <w:rPr>
          <w:sz w:val="20"/>
          <w:szCs w:val="20"/>
          <w:color w:val="auto"/>
        </w:rPr>
      </w:pPr>
      <w:r>
        <w:rPr>
          <w:rFonts w:ascii="Calibri" w:cs="Calibri" w:eastAsia="Calibri" w:hAnsi="Calibri"/>
          <w:sz w:val="16"/>
          <w:szCs w:val="16"/>
          <w:color w:val="auto"/>
        </w:rPr>
        <w:t>share</w:t>
      </w:r>
    </w:p>
    <w:p>
      <w:pPr>
        <w:spacing w:after="0" w:line="9" w:lineRule="exact"/>
        <w:rPr>
          <w:sz w:val="20"/>
          <w:szCs w:val="20"/>
          <w:color w:val="auto"/>
        </w:rPr>
      </w:pPr>
    </w:p>
    <w:p>
      <w:pPr>
        <w:jc w:val="both"/>
        <w:spacing w:after="0" w:line="246" w:lineRule="auto"/>
        <w:rPr>
          <w:sz w:val="20"/>
          <w:szCs w:val="20"/>
          <w:color w:val="auto"/>
        </w:rPr>
      </w:pPr>
      <w:r>
        <w:rPr>
          <w:rFonts w:ascii="Calibri" w:cs="Calibri" w:eastAsia="Calibri" w:hAnsi="Calibri"/>
          <w:sz w:val="16"/>
          <w:szCs w:val="16"/>
          <w:color w:val="auto"/>
        </w:rPr>
        <w:t>Issuance of stock under equity compensaton plans Share-based compensaton</w:t>
      </w:r>
    </w:p>
    <w:p>
      <w:pPr>
        <w:spacing w:after="0" w:line="18" w:lineRule="exact"/>
        <w:rPr>
          <w:sz w:val="20"/>
          <w:szCs w:val="20"/>
          <w:color w:val="auto"/>
        </w:rPr>
      </w:pPr>
    </w:p>
    <w:p>
      <w:pPr>
        <w:ind w:right="560"/>
        <w:spacing w:after="0" w:line="296" w:lineRule="auto"/>
        <w:rPr>
          <w:sz w:val="20"/>
          <w:szCs w:val="20"/>
          <w:color w:val="auto"/>
        </w:rPr>
      </w:pPr>
      <w:r>
        <w:rPr>
          <w:rFonts w:ascii="Calibri" w:cs="Calibri" w:eastAsia="Calibri" w:hAnsi="Calibri"/>
          <w:sz w:val="16"/>
          <w:szCs w:val="16"/>
          <w:color w:val="auto"/>
        </w:rPr>
        <w:t>Purchase and retrement of common stock Balance at September 30, 2024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w w:val="94"/>
              </w:rPr>
              <w:t>Total</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Cabot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jc w:val="center"/>
              <w:ind w:right="119"/>
              <w:spacing w:after="0"/>
              <w:rPr>
                <w:sz w:val="20"/>
                <w:szCs w:val="20"/>
                <w:color w:val="auto"/>
              </w:rPr>
            </w:pPr>
            <w:r>
              <w:rPr>
                <w:rFonts w:ascii="Calibri" w:cs="Calibri" w:eastAsia="Calibri" w:hAnsi="Calibri"/>
                <w:sz w:val="14"/>
                <w:szCs w:val="14"/>
                <w:b w:val="1"/>
                <w:bCs w:val="1"/>
                <w:color w:val="auto"/>
              </w:rPr>
              <w:t>Accumulat</w:t>
            </w:r>
          </w:p>
        </w:tc>
        <w:tc>
          <w:tcPr>
            <w:tcW w:w="920" w:type="dxa"/>
            <w:vAlign w:val="bottom"/>
            <w:gridSpan w:val="3"/>
          </w:tcPr>
          <w:p>
            <w:pPr>
              <w:jc w:val="center"/>
              <w:ind w:right="200"/>
              <w:spacing w:after="0"/>
              <w:rPr>
                <w:sz w:val="20"/>
                <w:szCs w:val="20"/>
                <w:color w:val="auto"/>
              </w:rPr>
            </w:pPr>
            <w:r>
              <w:rPr>
                <w:rFonts w:ascii="Calibri" w:cs="Calibri" w:eastAsia="Calibri" w:hAnsi="Calibri"/>
                <w:sz w:val="14"/>
                <w:szCs w:val="14"/>
                <w:b w:val="1"/>
                <w:bCs w:val="1"/>
                <w:color w:val="auto"/>
              </w:rPr>
              <w:t>Corporato</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5"/>
            <w:vMerge w:val="restart"/>
          </w:tcPr>
          <w:p>
            <w:pPr>
              <w:jc w:val="right"/>
              <w:ind w:right="440"/>
              <w:spacing w:after="0"/>
              <w:rPr>
                <w:sz w:val="20"/>
                <w:szCs w:val="20"/>
                <w:color w:val="auto"/>
              </w:rPr>
            </w:pPr>
            <w:r>
              <w:rPr>
                <w:rFonts w:ascii="Calibri" w:cs="Calibri" w:eastAsia="Calibri" w:hAnsi="Calibri"/>
                <w:sz w:val="14"/>
                <w:szCs w:val="14"/>
                <w:b w:val="1"/>
                <w:bCs w:val="1"/>
                <w:color w:val="auto"/>
              </w:rPr>
              <w:t>Common Stock, Net of</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jc w:val="center"/>
              <w:ind w:right="159"/>
              <w:spacing w:after="0"/>
              <w:rPr>
                <w:sz w:val="20"/>
                <w:szCs w:val="20"/>
                <w:color w:val="auto"/>
              </w:rPr>
            </w:pPr>
            <w:r>
              <w:rPr>
                <w:rFonts w:ascii="Calibri" w:cs="Calibri" w:eastAsia="Calibri" w:hAnsi="Calibri"/>
                <w:sz w:val="14"/>
                <w:szCs w:val="14"/>
                <w:b w:val="1"/>
                <w:bCs w:val="1"/>
                <w:color w:val="auto"/>
              </w:rPr>
              <w:t>ed Other</w:t>
            </w:r>
          </w:p>
        </w:tc>
        <w:tc>
          <w:tcPr>
            <w:tcW w:w="14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n</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4"/>
              </w:rPr>
              <w:t>Total</w:t>
            </w:r>
          </w:p>
        </w:tc>
        <w:tc>
          <w:tcPr>
            <w:tcW w:w="0" w:type="dxa"/>
            <w:vAlign w:val="bottom"/>
          </w:tcPr>
          <w:p>
            <w:pPr>
              <w:spacing w:after="0"/>
              <w:rPr>
                <w:sz w:val="1"/>
                <w:szCs w:val="1"/>
                <w:color w:val="auto"/>
              </w:rPr>
            </w:pPr>
          </w:p>
        </w:tc>
      </w:tr>
      <w:tr>
        <w:trPr>
          <w:trHeight w:val="168"/>
        </w:trPr>
        <w:tc>
          <w:tcPr>
            <w:tcW w:w="1960" w:type="dxa"/>
            <w:vAlign w:val="bottom"/>
            <w:gridSpan w:val="5"/>
            <w:vMerge w:val="continue"/>
          </w:tcPr>
          <w:p>
            <w:pPr>
              <w:spacing w:after="0"/>
              <w:rPr>
                <w:sz w:val="14"/>
                <w:szCs w:val="14"/>
                <w:color w:val="auto"/>
              </w:rPr>
            </w:pPr>
          </w:p>
        </w:tc>
        <w:tc>
          <w:tcPr>
            <w:tcW w:w="960" w:type="dxa"/>
            <w:vAlign w:val="bottom"/>
            <w:gridSpan w:val="3"/>
          </w:tcPr>
          <w:p>
            <w:pPr>
              <w:jc w:val="right"/>
              <w:ind w:right="280"/>
              <w:spacing w:after="0" w:line="168" w:lineRule="exact"/>
              <w:rPr>
                <w:sz w:val="20"/>
                <w:szCs w:val="20"/>
                <w:color w:val="auto"/>
              </w:rPr>
            </w:pPr>
            <w:r>
              <w:rPr>
                <w:rFonts w:ascii="Calibri" w:cs="Calibri" w:eastAsia="Calibri" w:hAnsi="Calibri"/>
                <w:sz w:val="14"/>
                <w:szCs w:val="14"/>
                <w:b w:val="1"/>
                <w:bCs w:val="1"/>
                <w:color w:val="auto"/>
              </w:rPr>
              <w:t>Additonal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ind w:right="119"/>
              <w:spacing w:after="0" w:line="168" w:lineRule="exact"/>
              <w:rPr>
                <w:sz w:val="20"/>
                <w:szCs w:val="20"/>
                <w:color w:val="auto"/>
              </w:rPr>
            </w:pPr>
            <w:r>
              <w:rPr>
                <w:rFonts w:ascii="Calibri" w:cs="Calibri" w:eastAsia="Calibri" w:hAnsi="Calibri"/>
                <w:sz w:val="14"/>
                <w:szCs w:val="14"/>
                <w:b w:val="1"/>
                <w:bCs w:val="1"/>
                <w:color w:val="auto"/>
              </w:rPr>
              <w:t>Comprehe</w:t>
            </w:r>
          </w:p>
        </w:tc>
        <w:tc>
          <w:tcPr>
            <w:tcW w:w="920" w:type="dxa"/>
            <w:vAlign w:val="bottom"/>
            <w:gridSpan w:val="3"/>
          </w:tcPr>
          <w:p>
            <w:pPr>
              <w:jc w:val="center"/>
              <w:ind w:right="220"/>
              <w:spacing w:after="0" w:line="168" w:lineRule="exact"/>
              <w:rPr>
                <w:sz w:val="20"/>
                <w:szCs w:val="20"/>
                <w:color w:val="auto"/>
              </w:rPr>
            </w:pPr>
            <w:r>
              <w:rPr>
                <w:rFonts w:ascii="Calibri" w:cs="Calibri" w:eastAsia="Calibri" w:hAnsi="Calibri"/>
                <w:sz w:val="14"/>
                <w:szCs w:val="14"/>
                <w:b w:val="1"/>
                <w:bCs w:val="1"/>
                <w:color w:val="auto"/>
              </w:rPr>
              <w:t>Stockhold</w:t>
            </w:r>
          </w:p>
        </w:tc>
        <w:tc>
          <w:tcPr>
            <w:tcW w:w="90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w:t>
            </w:r>
          </w:p>
        </w:tc>
        <w:tc>
          <w:tcPr>
            <w:tcW w:w="780" w:type="dxa"/>
            <w:vAlign w:val="bottom"/>
            <w:gridSpan w:val="3"/>
          </w:tcPr>
          <w:p>
            <w:pPr>
              <w:jc w:val="center"/>
              <w:ind w:right="80"/>
              <w:spacing w:after="0" w:line="168" w:lineRule="exact"/>
              <w:rPr>
                <w:sz w:val="20"/>
                <w:szCs w:val="20"/>
                <w:color w:val="auto"/>
              </w:rPr>
            </w:pPr>
            <w:r>
              <w:rPr>
                <w:rFonts w:ascii="Calibri" w:cs="Calibri" w:eastAsia="Calibri" w:hAnsi="Calibri"/>
                <w:sz w:val="14"/>
                <w:szCs w:val="14"/>
                <w:b w:val="1"/>
                <w:bCs w:val="1"/>
                <w:color w:val="auto"/>
              </w:rPr>
              <w:t>Stockholde</w:t>
            </w:r>
          </w:p>
        </w:tc>
        <w:tc>
          <w:tcPr>
            <w:tcW w:w="0" w:type="dxa"/>
            <w:vAlign w:val="bottom"/>
          </w:tcPr>
          <w:p>
            <w:pPr>
              <w:spacing w:after="0"/>
              <w:rPr>
                <w:sz w:val="1"/>
                <w:szCs w:val="1"/>
                <w:color w:val="auto"/>
              </w:rPr>
            </w:pPr>
          </w:p>
        </w:tc>
      </w:tr>
      <w:tr>
        <w:trPr>
          <w:trHeight w:val="183"/>
        </w:trPr>
        <w:tc>
          <w:tcPr>
            <w:tcW w:w="1960" w:type="dxa"/>
            <w:vAlign w:val="bottom"/>
            <w:gridSpan w:val="5"/>
          </w:tcPr>
          <w:p>
            <w:pPr>
              <w:jc w:val="right"/>
              <w:ind w:right="660"/>
              <w:spacing w:after="0"/>
              <w:rPr>
                <w:sz w:val="20"/>
                <w:szCs w:val="20"/>
                <w:color w:val="auto"/>
              </w:rPr>
            </w:pPr>
            <w:r>
              <w:rPr>
                <w:rFonts w:ascii="Calibri" w:cs="Calibri" w:eastAsia="Calibri" w:hAnsi="Calibri"/>
                <w:sz w:val="14"/>
                <w:szCs w:val="14"/>
                <w:b w:val="1"/>
                <w:bCs w:val="1"/>
                <w:color w:val="auto"/>
              </w:rPr>
              <w:t>Treasury Stock</w:t>
            </w:r>
          </w:p>
        </w:tc>
        <w:tc>
          <w:tcPr>
            <w:tcW w:w="1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Calibri" w:cs="Calibri" w:eastAsia="Calibri" w:hAnsi="Calibri"/>
                <w:sz w:val="14"/>
                <w:szCs w:val="14"/>
                <w:b w:val="1"/>
                <w:bCs w:val="1"/>
                <w:color w:val="auto"/>
              </w:rPr>
              <w:t>Paid-in</w:t>
            </w:r>
          </w:p>
        </w:tc>
        <w:tc>
          <w:tcPr>
            <w:tcW w:w="92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Retained</w:t>
            </w:r>
          </w:p>
        </w:tc>
        <w:tc>
          <w:tcPr>
            <w:tcW w:w="100" w:type="dxa"/>
            <w:vAlign w:val="bottom"/>
          </w:tcPr>
          <w:p>
            <w:pPr>
              <w:spacing w:after="0"/>
              <w:rPr>
                <w:sz w:val="15"/>
                <w:szCs w:val="15"/>
                <w:color w:val="auto"/>
              </w:rPr>
            </w:pPr>
          </w:p>
        </w:tc>
        <w:tc>
          <w:tcPr>
            <w:tcW w:w="800" w:type="dxa"/>
            <w:vAlign w:val="bottom"/>
            <w:gridSpan w:val="2"/>
          </w:tcPr>
          <w:p>
            <w:pPr>
              <w:jc w:val="center"/>
              <w:ind w:right="219"/>
              <w:spacing w:after="0"/>
              <w:rPr>
                <w:sz w:val="20"/>
                <w:szCs w:val="20"/>
                <w:color w:val="auto"/>
              </w:rPr>
            </w:pPr>
            <w:r>
              <w:rPr>
                <w:rFonts w:ascii="Calibri" w:cs="Calibri" w:eastAsia="Calibri" w:hAnsi="Calibri"/>
                <w:sz w:val="14"/>
                <w:szCs w:val="14"/>
                <w:b w:val="1"/>
                <w:bCs w:val="1"/>
                <w:color w:val="auto"/>
                <w:w w:val="99"/>
              </w:rPr>
              <w:t>nsive</w:t>
            </w:r>
          </w:p>
        </w:tc>
        <w:tc>
          <w:tcPr>
            <w:tcW w:w="140" w:type="dxa"/>
            <w:vAlign w:val="bottom"/>
          </w:tcPr>
          <w:p>
            <w:pPr>
              <w:spacing w:after="0"/>
              <w:rPr>
                <w:sz w:val="15"/>
                <w:szCs w:val="15"/>
                <w:color w:val="auto"/>
              </w:rPr>
            </w:pPr>
          </w:p>
        </w:tc>
        <w:tc>
          <w:tcPr>
            <w:tcW w:w="7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ers’</w:t>
            </w:r>
          </w:p>
        </w:tc>
        <w:tc>
          <w:tcPr>
            <w:tcW w:w="14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Calibri" w:cs="Calibri" w:eastAsia="Calibri" w:hAnsi="Calibri"/>
                <w:sz w:val="14"/>
                <w:szCs w:val="14"/>
                <w:b w:val="1"/>
                <w:bCs w:val="1"/>
                <w:color w:val="auto"/>
              </w:rPr>
              <w:t>lling</w:t>
            </w:r>
          </w:p>
        </w:tc>
        <w:tc>
          <w:tcPr>
            <w:tcW w:w="12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w w:val="98"/>
              </w:rPr>
              <w:t>rs’</w:t>
            </w:r>
          </w:p>
        </w:tc>
        <w:tc>
          <w:tcPr>
            <w:tcW w:w="0" w:type="dxa"/>
            <w:vAlign w:val="bottom"/>
          </w:tcPr>
          <w:p>
            <w:pPr>
              <w:spacing w:after="0"/>
              <w:rPr>
                <w:sz w:val="1"/>
                <w:szCs w:val="1"/>
                <w:color w:val="auto"/>
              </w:rPr>
            </w:pPr>
          </w:p>
        </w:tc>
      </w:tr>
      <w:tr>
        <w:trPr>
          <w:trHeight w:val="155"/>
        </w:trPr>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39"/>
              <w:spacing w:after="0" w:line="156" w:lineRule="exact"/>
              <w:rPr>
                <w:sz w:val="20"/>
                <w:szCs w:val="20"/>
                <w:color w:val="auto"/>
              </w:rPr>
            </w:pPr>
            <w:r>
              <w:rPr>
                <w:rFonts w:ascii="Calibri" w:cs="Calibri" w:eastAsia="Calibri" w:hAnsi="Calibri"/>
                <w:sz w:val="14"/>
                <w:szCs w:val="14"/>
                <w:b w:val="1"/>
                <w:bCs w:val="1"/>
                <w:color w:val="auto"/>
              </w:rPr>
              <w:t>Income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0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Shares</w:t>
            </w:r>
          </w:p>
        </w:tc>
        <w:tc>
          <w:tcPr>
            <w:tcW w:w="160" w:type="dxa"/>
            <w:vAlign w:val="bottom"/>
          </w:tcPr>
          <w:p>
            <w:pPr>
              <w:spacing w:after="0"/>
              <w:rPr>
                <w:sz w:val="16"/>
                <w:szCs w:val="16"/>
                <w:color w:val="auto"/>
              </w:rPr>
            </w:pPr>
          </w:p>
        </w:tc>
        <w:tc>
          <w:tcPr>
            <w:tcW w:w="800" w:type="dxa"/>
            <w:vAlign w:val="bottom"/>
            <w:gridSpan w:val="2"/>
          </w:tcPr>
          <w:p>
            <w:pPr>
              <w:jc w:val="right"/>
              <w:ind w:right="460"/>
              <w:spacing w:after="0"/>
              <w:rPr>
                <w:sz w:val="20"/>
                <w:szCs w:val="20"/>
                <w:color w:val="auto"/>
              </w:rPr>
            </w:pPr>
            <w:r>
              <w:rPr>
                <w:rFonts w:ascii="Calibri" w:cs="Calibri" w:eastAsia="Calibri" w:hAnsi="Calibri"/>
                <w:sz w:val="14"/>
                <w:szCs w:val="14"/>
                <w:b w:val="1"/>
                <w:bCs w:val="1"/>
                <w:color w:val="auto"/>
              </w:rPr>
              <w:t>Cost</w:t>
            </w:r>
          </w:p>
        </w:tc>
        <w:tc>
          <w:tcPr>
            <w:tcW w:w="12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Calibri" w:cs="Calibri" w:eastAsia="Calibri" w:hAnsi="Calibri"/>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w w:val="97"/>
              </w:rPr>
              <w:t>Earnings</w:t>
            </w:r>
          </w:p>
        </w:tc>
        <w:tc>
          <w:tcPr>
            <w:tcW w:w="100" w:type="dxa"/>
            <w:vAlign w:val="bottom"/>
          </w:tcPr>
          <w:p>
            <w:pPr>
              <w:spacing w:after="0"/>
              <w:rPr>
                <w:sz w:val="16"/>
                <w:szCs w:val="16"/>
                <w:color w:val="auto"/>
              </w:rPr>
            </w:pPr>
          </w:p>
        </w:tc>
        <w:tc>
          <w:tcPr>
            <w:tcW w:w="800" w:type="dxa"/>
            <w:vAlign w:val="bottom"/>
            <w:gridSpan w:val="2"/>
          </w:tcPr>
          <w:p>
            <w:pPr>
              <w:jc w:val="center"/>
              <w:ind w:right="219"/>
              <w:spacing w:after="0"/>
              <w:rPr>
                <w:sz w:val="20"/>
                <w:szCs w:val="20"/>
                <w:color w:val="auto"/>
              </w:rPr>
            </w:pPr>
            <w:r>
              <w:rPr>
                <w:rFonts w:ascii="Calibri" w:cs="Calibri" w:eastAsia="Calibri" w:hAnsi="Calibri"/>
                <w:sz w:val="14"/>
                <w:szCs w:val="14"/>
                <w:b w:val="1"/>
                <w:bCs w:val="1"/>
                <w:color w:val="auto"/>
              </w:rPr>
              <w:t>(Loss)</w:t>
            </w:r>
          </w:p>
        </w:tc>
        <w:tc>
          <w:tcPr>
            <w:tcW w:w="140" w:type="dxa"/>
            <w:vAlign w:val="bottom"/>
          </w:tcPr>
          <w:p>
            <w:pPr>
              <w:spacing w:after="0"/>
              <w:rPr>
                <w:sz w:val="16"/>
                <w:szCs w:val="16"/>
                <w:color w:val="auto"/>
              </w:rPr>
            </w:pPr>
          </w:p>
        </w:tc>
        <w:tc>
          <w:tcPr>
            <w:tcW w:w="7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Equity</w:t>
            </w:r>
          </w:p>
        </w:tc>
        <w:tc>
          <w:tcPr>
            <w:tcW w:w="90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Interests</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76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56,727</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w w:val="97"/>
              </w:rPr>
              <w:t>$</w:t>
            </w:r>
          </w:p>
        </w:tc>
        <w:tc>
          <w:tcPr>
            <w:tcW w:w="56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53</w:t>
            </w:r>
          </w:p>
        </w:tc>
        <w:tc>
          <w:tcPr>
            <w:tcW w:w="240" w:type="dxa"/>
            <w:vAlign w:val="bottom"/>
          </w:tcPr>
          <w:p>
            <w:pPr>
              <w:spacing w:after="0"/>
              <w:rPr>
                <w:sz w:val="16"/>
                <w:szCs w:val="16"/>
                <w:color w:val="auto"/>
              </w:rPr>
            </w:pPr>
          </w:p>
        </w:tc>
        <w:tc>
          <w:tcPr>
            <w:tcW w:w="12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w w:val="97"/>
              </w:rPr>
              <w:t>$</w:t>
            </w:r>
          </w:p>
        </w:tc>
        <w:tc>
          <w:tcPr>
            <w:tcW w:w="60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24</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w w:val="97"/>
              </w:rPr>
              <w:t>$</w:t>
            </w:r>
          </w:p>
        </w:tc>
        <w:tc>
          <w:tcPr>
            <w:tcW w:w="60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1,159</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w w:val="97"/>
              </w:rPr>
              <w:t>$</w:t>
            </w:r>
          </w:p>
        </w:tc>
        <w:tc>
          <w:tcPr>
            <w:tcW w:w="60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(289</w:t>
            </w:r>
          </w:p>
        </w:tc>
        <w:tc>
          <w:tcPr>
            <w:tcW w:w="200" w:type="dxa"/>
            <w:vAlign w:val="bottom"/>
          </w:tcPr>
          <w:p>
            <w:pPr>
              <w:jc w:val="right"/>
              <w:ind w:right="59"/>
              <w:spacing w:after="0" w:line="175" w:lineRule="exact"/>
              <w:rPr>
                <w:sz w:val="20"/>
                <w:szCs w:val="20"/>
                <w:color w:val="auto"/>
              </w:rPr>
            </w:pPr>
            <w:r>
              <w:rPr>
                <w:rFonts w:ascii="Calibri" w:cs="Calibri" w:eastAsia="Calibri" w:hAnsi="Calibri"/>
                <w:sz w:val="16"/>
                <w:szCs w:val="16"/>
                <w:color w:val="auto"/>
                <w:w w:val="81"/>
              </w:rPr>
              <w:t>)</w:t>
            </w:r>
          </w:p>
        </w:tc>
        <w:tc>
          <w:tcPr>
            <w:tcW w:w="14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w w:val="97"/>
              </w:rPr>
              <w:t>$</w:t>
            </w:r>
          </w:p>
        </w:tc>
        <w:tc>
          <w:tcPr>
            <w:tcW w:w="56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947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line="184" w:lineRule="exact"/>
              <w:rPr>
                <w:sz w:val="20"/>
                <w:szCs w:val="20"/>
                <w:color w:val="auto"/>
              </w:rPr>
            </w:pPr>
            <w:r>
              <w:rPr>
                <w:rFonts w:ascii="Calibri" w:cs="Calibri" w:eastAsia="Calibri" w:hAnsi="Calibri"/>
                <w:sz w:val="16"/>
                <w:szCs w:val="16"/>
                <w:color w:val="auto"/>
              </w:rPr>
              <w:t>$</w:t>
            </w:r>
          </w:p>
        </w:tc>
        <w:tc>
          <w:tcPr>
            <w:tcW w:w="54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143</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w w:val="97"/>
              </w:rPr>
              <w:t>$</w:t>
            </w:r>
          </w:p>
        </w:tc>
        <w:tc>
          <w:tcPr>
            <w:tcW w:w="60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6"/>
                <w:szCs w:val="16"/>
                <w:color w:val="auto"/>
              </w:rPr>
              <w:t>1,090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Calibri" w:cs="Calibri" w:eastAsia="Calibri" w:hAnsi="Calibri"/>
                <w:sz w:val="16"/>
                <w:szCs w:val="16"/>
                <w:color w:val="auto"/>
              </w:rPr>
              <w:t>209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209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93" w:lineRule="exact"/>
              <w:rPr>
                <w:sz w:val="20"/>
                <w:szCs w:val="20"/>
                <w:color w:val="auto"/>
              </w:rPr>
            </w:pPr>
            <w:r>
              <w:rPr>
                <w:rFonts w:ascii="Calibri" w:cs="Calibri" w:eastAsia="Calibri" w:hAnsi="Calibri"/>
                <w:sz w:val="16"/>
                <w:szCs w:val="16"/>
                <w:color w:val="auto"/>
              </w:rPr>
              <w:t>34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Calibri" w:cs="Calibri" w:eastAsia="Calibri" w:hAnsi="Calibri"/>
                <w:sz w:val="16"/>
                <w:szCs w:val="16"/>
                <w:color w:val="auto"/>
              </w:rPr>
              <w:t>243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59"/>
              <w:spacing w:after="0"/>
              <w:rPr>
                <w:sz w:val="20"/>
                <w:szCs w:val="20"/>
                <w:color w:val="auto"/>
              </w:rPr>
            </w:pPr>
            <w:r>
              <w:rPr>
                <w:rFonts w:ascii="Calibri" w:cs="Calibri" w:eastAsia="Calibri" w:hAnsi="Calibri"/>
                <w:sz w:val="16"/>
                <w:szCs w:val="16"/>
                <w:color w:val="auto"/>
              </w:rPr>
              <w:t>(150 )</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(150 )</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(15 )</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(165 )</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(28 )</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(28 )</w:t>
            </w: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(84 )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(84 )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(84 )</w:t>
            </w:r>
          </w:p>
        </w:tc>
        <w:tc>
          <w:tcPr>
            <w:tcW w:w="0" w:type="dxa"/>
            <w:vAlign w:val="bottom"/>
          </w:tcPr>
          <w:p>
            <w:pPr>
              <w:spacing w:after="0"/>
              <w:rPr>
                <w:sz w:val="1"/>
                <w:szCs w:val="1"/>
                <w:color w:val="auto"/>
              </w:rPr>
            </w:pPr>
          </w:p>
        </w:tc>
      </w:tr>
      <w:tr>
        <w:trPr>
          <w:trHeight w:val="203"/>
        </w:trPr>
        <w:tc>
          <w:tcPr>
            <w:tcW w:w="760" w:type="dxa"/>
            <w:vAlign w:val="bottom"/>
          </w:tcPr>
          <w:p>
            <w:pPr>
              <w:jc w:val="right"/>
              <w:spacing w:after="0"/>
              <w:rPr>
                <w:sz w:val="20"/>
                <w:szCs w:val="20"/>
                <w:color w:val="auto"/>
              </w:rPr>
            </w:pPr>
            <w:r>
              <w:rPr>
                <w:rFonts w:ascii="Calibri" w:cs="Calibri" w:eastAsia="Calibri" w:hAnsi="Calibri"/>
                <w:sz w:val="16"/>
                <w:szCs w:val="16"/>
                <w:color w:val="auto"/>
              </w:rPr>
              <w:t>359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(837 )</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(1 )</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(52 )</w:t>
            </w: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(53 )</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(53 )</w:t>
            </w: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59"/>
              <w:spacing w:after="0"/>
              <w:rPr>
                <w:sz w:val="20"/>
                <w:szCs w:val="20"/>
                <w:color w:val="auto"/>
              </w:rPr>
            </w:pPr>
            <w:r>
              <w:rPr>
                <w:rFonts w:ascii="Calibri" w:cs="Calibri" w:eastAsia="Calibri" w:hAnsi="Calibri"/>
                <w:sz w:val="16"/>
                <w:szCs w:val="16"/>
                <w:color w:val="auto"/>
                <w:w w:val="81"/>
              </w:rPr>
              <w:t>)</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760" w:type="dxa"/>
            <w:vAlign w:val="bottom"/>
          </w:tcPr>
          <w:p>
            <w:pPr>
              <w:jc w:val="right"/>
              <w:spacing w:after="0" w:line="178" w:lineRule="exact"/>
              <w:rPr>
                <w:sz w:val="20"/>
                <w:szCs w:val="20"/>
                <w:color w:val="auto"/>
              </w:rPr>
            </w:pPr>
            <w:r>
              <w:rPr>
                <w:rFonts w:ascii="Calibri" w:cs="Calibri" w:eastAsia="Calibri" w:hAnsi="Calibri"/>
                <w:sz w:val="16"/>
                <w:szCs w:val="16"/>
                <w:color w:val="auto"/>
              </w:rPr>
              <w:t>56,249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Calibri" w:cs="Calibri" w:eastAsia="Calibri" w:hAnsi="Calibri"/>
                <w:sz w:val="16"/>
                <w:szCs w:val="16"/>
                <w:color w:val="auto"/>
              </w:rPr>
              <w:t>52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1,284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(439</w:t>
            </w: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Calibri" w:cs="Calibri" w:eastAsia="Calibri" w:hAnsi="Calibri"/>
                <w:sz w:val="16"/>
                <w:szCs w:val="16"/>
                <w:color w:val="auto"/>
              </w:rPr>
              <w:t>898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Calibri" w:cs="Calibri" w:eastAsia="Calibri" w:hAnsi="Calibri"/>
                <w:sz w:val="16"/>
                <w:szCs w:val="16"/>
                <w:color w:val="auto"/>
              </w:rPr>
              <w:t>134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1,032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Calibri" w:cs="Calibri" w:eastAsia="Calibri" w:hAnsi="Calibri"/>
                <w:sz w:val="16"/>
                <w:szCs w:val="16"/>
                <w:color w:val="auto"/>
              </w:rPr>
              <w:t>445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445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93" w:lineRule="exact"/>
              <w:rPr>
                <w:sz w:val="20"/>
                <w:szCs w:val="20"/>
                <w:color w:val="auto"/>
              </w:rPr>
            </w:pPr>
            <w:r>
              <w:rPr>
                <w:rFonts w:ascii="Calibri" w:cs="Calibri" w:eastAsia="Calibri" w:hAnsi="Calibri"/>
                <w:sz w:val="16"/>
                <w:szCs w:val="16"/>
                <w:color w:val="auto"/>
              </w:rPr>
              <w:t>39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Calibri" w:cs="Calibri" w:eastAsia="Calibri" w:hAnsi="Calibri"/>
                <w:sz w:val="16"/>
                <w:szCs w:val="16"/>
                <w:color w:val="auto"/>
              </w:rPr>
              <w:t>484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(30 )</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(30 )</w:t>
            </w: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(88 )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(88 )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(88 )</w:t>
            </w:r>
          </w:p>
        </w:tc>
        <w:tc>
          <w:tcPr>
            <w:tcW w:w="0" w:type="dxa"/>
            <w:vAlign w:val="bottom"/>
          </w:tcPr>
          <w:p>
            <w:pPr>
              <w:spacing w:after="0"/>
              <w:rPr>
                <w:sz w:val="1"/>
                <w:szCs w:val="1"/>
                <w:color w:val="auto"/>
              </w:rPr>
            </w:pPr>
          </w:p>
        </w:tc>
      </w:tr>
      <w:tr>
        <w:trPr>
          <w:trHeight w:val="202"/>
        </w:trPr>
        <w:tc>
          <w:tcPr>
            <w:tcW w:w="760" w:type="dxa"/>
            <w:vAlign w:val="bottom"/>
          </w:tcPr>
          <w:p>
            <w:pPr>
              <w:jc w:val="right"/>
              <w:spacing w:after="0"/>
              <w:rPr>
                <w:sz w:val="20"/>
                <w:szCs w:val="20"/>
                <w:color w:val="auto"/>
              </w:rPr>
            </w:pPr>
            <w:r>
              <w:rPr>
                <w:rFonts w:ascii="Calibri" w:cs="Calibri" w:eastAsia="Calibri" w:hAnsi="Calibri"/>
                <w:sz w:val="16"/>
                <w:szCs w:val="16"/>
                <w:color w:val="auto"/>
              </w:rPr>
              <w:t>357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(1,362 )</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(1 )</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(30 )</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(67 )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(98 )</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(98 )</w:t>
            </w: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59"/>
              <w:spacing w:after="0"/>
              <w:rPr>
                <w:sz w:val="20"/>
                <w:szCs w:val="20"/>
                <w:color w:val="auto"/>
              </w:rPr>
            </w:pPr>
            <w:r>
              <w:rPr>
                <w:rFonts w:ascii="Calibri" w:cs="Calibri" w:eastAsia="Calibri" w:hAnsi="Calibri"/>
                <w:sz w:val="16"/>
                <w:szCs w:val="16"/>
                <w:color w:val="auto"/>
                <w:w w:val="81"/>
              </w:rPr>
              <w:t>)</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760" w:type="dxa"/>
            <w:vAlign w:val="bottom"/>
          </w:tcPr>
          <w:p>
            <w:pPr>
              <w:jc w:val="right"/>
              <w:spacing w:after="0" w:line="178" w:lineRule="exact"/>
              <w:rPr>
                <w:sz w:val="20"/>
                <w:szCs w:val="20"/>
                <w:color w:val="auto"/>
              </w:rPr>
            </w:pPr>
            <w:r>
              <w:rPr>
                <w:rFonts w:ascii="Calibri" w:cs="Calibri" w:eastAsia="Calibri" w:hAnsi="Calibri"/>
                <w:sz w:val="16"/>
                <w:szCs w:val="16"/>
                <w:color w:val="auto"/>
              </w:rPr>
              <w:t>55,244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Calibri" w:cs="Calibri" w:eastAsia="Calibri" w:hAnsi="Calibri"/>
                <w:sz w:val="16"/>
                <w:szCs w:val="16"/>
                <w:color w:val="auto"/>
              </w:rPr>
              <w:t>52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w:t>
            </w: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1,574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(362</w:t>
            </w: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Calibri" w:cs="Calibri" w:eastAsia="Calibri" w:hAnsi="Calibri"/>
                <w:sz w:val="16"/>
                <w:szCs w:val="16"/>
                <w:color w:val="auto"/>
              </w:rPr>
              <w:t>1,264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Calibri" w:cs="Calibri" w:eastAsia="Calibri" w:hAnsi="Calibri"/>
                <w:sz w:val="16"/>
                <w:szCs w:val="16"/>
                <w:color w:val="auto"/>
              </w:rPr>
              <w:t>143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Calibri" w:cs="Calibri" w:eastAsia="Calibri" w:hAnsi="Calibri"/>
                <w:sz w:val="16"/>
                <w:szCs w:val="16"/>
                <w:color w:val="auto"/>
              </w:rPr>
              <w:t>1,407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Calibri" w:cs="Calibri" w:eastAsia="Calibri" w:hAnsi="Calibri"/>
                <w:sz w:val="16"/>
                <w:szCs w:val="16"/>
                <w:color w:val="auto"/>
              </w:rPr>
              <w:t>380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380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93" w:lineRule="exact"/>
              <w:rPr>
                <w:sz w:val="20"/>
                <w:szCs w:val="20"/>
                <w:color w:val="auto"/>
              </w:rPr>
            </w:pPr>
            <w:r>
              <w:rPr>
                <w:rFonts w:ascii="Calibri" w:cs="Calibri" w:eastAsia="Calibri" w:hAnsi="Calibri"/>
                <w:sz w:val="16"/>
                <w:szCs w:val="16"/>
                <w:color w:val="auto"/>
              </w:rPr>
              <w:t>44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Calibri" w:cs="Calibri" w:eastAsia="Calibri" w:hAnsi="Calibri"/>
                <w:sz w:val="16"/>
                <w:szCs w:val="16"/>
                <w:color w:val="auto"/>
              </w:rPr>
              <w:t>424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auto"/>
              </w:rPr>
              <w:t>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(27 )</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(27 )</w:t>
            </w: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(93 )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(93 )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(93 )</w:t>
            </w:r>
          </w:p>
        </w:tc>
        <w:tc>
          <w:tcPr>
            <w:tcW w:w="0" w:type="dxa"/>
            <w:vAlign w:val="bottom"/>
          </w:tcPr>
          <w:p>
            <w:pPr>
              <w:spacing w:after="0"/>
              <w:rPr>
                <w:sz w:val="1"/>
                <w:szCs w:val="1"/>
                <w:color w:val="auto"/>
              </w:rPr>
            </w:pPr>
          </w:p>
        </w:tc>
      </w:tr>
      <w:tr>
        <w:trPr>
          <w:trHeight w:val="203"/>
        </w:trPr>
        <w:tc>
          <w:tcPr>
            <w:tcW w:w="760" w:type="dxa"/>
            <w:vAlign w:val="bottom"/>
          </w:tcPr>
          <w:p>
            <w:pPr>
              <w:jc w:val="right"/>
              <w:spacing w:after="0"/>
              <w:rPr>
                <w:sz w:val="20"/>
                <w:szCs w:val="20"/>
                <w:color w:val="auto"/>
              </w:rPr>
            </w:pPr>
            <w:r>
              <w:rPr>
                <w:rFonts w:ascii="Calibri" w:cs="Calibri" w:eastAsia="Calibri" w:hAnsi="Calibri"/>
                <w:sz w:val="16"/>
                <w:szCs w:val="16"/>
                <w:color w:val="auto"/>
              </w:rPr>
              <w:t>912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(1,859 )</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(2 )</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(44 )</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(127 )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(173 )</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(173 )</w:t>
            </w: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59"/>
              <w:spacing w:after="0"/>
              <w:rPr>
                <w:sz w:val="20"/>
                <w:szCs w:val="20"/>
                <w:color w:val="auto"/>
              </w:rPr>
            </w:pPr>
            <w:r>
              <w:rPr>
                <w:rFonts w:ascii="Calibri" w:cs="Calibri" w:eastAsia="Calibri" w:hAnsi="Calibri"/>
                <w:sz w:val="16"/>
                <w:szCs w:val="16"/>
                <w:color w:val="auto"/>
                <w:w w:val="81"/>
              </w:rPr>
              <w:t>)</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54,297</w:t>
            </w:r>
          </w:p>
        </w:tc>
        <w:tc>
          <w:tcPr>
            <w:tcW w:w="2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51</w:t>
            </w:r>
          </w:p>
        </w:tc>
        <w:tc>
          <w:tcPr>
            <w:tcW w:w="24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w w:val="97"/>
              </w:rPr>
              <w:t>$</w:t>
            </w:r>
          </w:p>
        </w:tc>
        <w:tc>
          <w:tcPr>
            <w:tcW w:w="6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c>
          <w:tcPr>
            <w:tcW w:w="24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w w:val="97"/>
              </w:rPr>
              <w:t>$</w:t>
            </w:r>
          </w:p>
        </w:tc>
        <w:tc>
          <w:tcPr>
            <w:tcW w:w="6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1,734</w:t>
            </w:r>
          </w:p>
        </w:tc>
        <w:tc>
          <w:tcPr>
            <w:tcW w:w="2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w w:val="97"/>
              </w:rPr>
              <w:t>$</w:t>
            </w:r>
          </w:p>
        </w:tc>
        <w:tc>
          <w:tcPr>
            <w:tcW w:w="6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(360</w:t>
            </w:r>
          </w:p>
        </w:tc>
        <w:tc>
          <w:tcPr>
            <w:tcW w:w="20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1,425</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line="192" w:lineRule="exact"/>
              <w:rPr>
                <w:sz w:val="20"/>
                <w:szCs w:val="20"/>
                <w:color w:val="auto"/>
              </w:rPr>
            </w:pPr>
            <w:r>
              <w:rPr>
                <w:rFonts w:ascii="Calibri" w:cs="Calibri" w:eastAsia="Calibri" w:hAnsi="Calibri"/>
                <w:sz w:val="16"/>
                <w:szCs w:val="16"/>
                <w:color w:val="auto"/>
              </w:rPr>
              <w:t>$</w:t>
            </w:r>
          </w:p>
        </w:tc>
        <w:tc>
          <w:tcPr>
            <w:tcW w:w="5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165</w:t>
            </w:r>
          </w:p>
        </w:tc>
        <w:tc>
          <w:tcPr>
            <w:tcW w:w="22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w w:val="97"/>
              </w:rPr>
              <w:t>$</w:t>
            </w:r>
          </w:p>
        </w:tc>
        <w:tc>
          <w:tcPr>
            <w:tcW w:w="6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1,590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-4036695</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-3779520</wp:posOffset>
            </wp:positionV>
            <wp:extent cx="713232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-3522345</wp:posOffset>
            </wp:positionV>
            <wp:extent cx="7132320" cy="3860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-3007995</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-2742565</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-2485390</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-2228215</wp:posOffset>
            </wp:positionV>
            <wp:extent cx="7132320" cy="3854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8544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-1713865</wp:posOffset>
            </wp:positionV>
            <wp:extent cx="71323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-1448435</wp:posOffset>
            </wp:positionV>
            <wp:extent cx="71323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-1191260</wp:posOffset>
            </wp:positionV>
            <wp:extent cx="713232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-934085</wp:posOffset>
            </wp:positionV>
            <wp:extent cx="7132320" cy="386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-419735</wp:posOffset>
            </wp:positionV>
            <wp:extent cx="713232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-153670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360" w:space="480"/>
            <w:col w:w="7340"/>
          </w:cols>
          <w:pgMar w:left="340" w:top="976" w:right="379" w:bottom="1440" w:gutter="0" w:footer="0" w:header="0"/>
          <w:type w:val="continuous"/>
        </w:sectPr>
      </w:pPr>
    </w:p>
    <w:p>
      <w:pPr>
        <w:jc w:val="center"/>
        <w:ind w:right="-39"/>
        <w:spacing w:after="0"/>
        <w:rPr>
          <w:sz w:val="20"/>
          <w:szCs w:val="20"/>
          <w:color w:val="auto"/>
        </w:rPr>
      </w:pPr>
      <w:r>
        <w:rPr>
          <w:rFonts w:ascii="Calibri" w:cs="Calibri" w:eastAsia="Calibri" w:hAnsi="Calibri"/>
          <w:sz w:val="17"/>
          <w:szCs w:val="17"/>
          <w:i w:val="1"/>
          <w:iCs w:val="1"/>
          <w:color w:val="auto"/>
        </w:rPr>
        <w:t>The accompanying notes are an integral part of these consolidated fnancial statements.</w:t>
      </w:r>
    </w:p>
    <w:p>
      <w:pPr>
        <w:spacing w:after="0" w:line="22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481965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76" w:right="379" w:bottom="1440" w:gutter="0" w:footer="0" w:header="0"/>
          <w:type w:val="continuous"/>
        </w:sectPr>
      </w:pPr>
    </w:p>
    <w:bookmarkStart w:id="48" w:name="page49"/>
    <w:bookmarkEnd w:id="48"/>
    <w:p>
      <w:pPr>
        <w:jc w:val="center"/>
        <w:spacing w:after="0"/>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A. Signifcant Accountng Policies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consolidated fnancial statements have been prepared in conformity with accountng principles generally accepted in the United States (“U.S.</w:t>
      </w:r>
    </w:p>
    <w:p>
      <w:pPr>
        <w:spacing w:after="0" w:line="235" w:lineRule="auto"/>
        <w:rPr>
          <w:sz w:val="20"/>
          <w:szCs w:val="20"/>
          <w:color w:val="auto"/>
        </w:rPr>
      </w:pPr>
      <w:r>
        <w:rPr>
          <w:rFonts w:ascii="Calibri" w:cs="Calibri" w:eastAsia="Calibri" w:hAnsi="Calibri"/>
          <w:sz w:val="18"/>
          <w:szCs w:val="18"/>
          <w:color w:val="auto"/>
        </w:rPr>
        <w:t>GAAP”). The signifcant accountng policies of Cabot Corporaton (“Cabot” or “the Company”) are described below.</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Unless otherwise indicated, all disclosures and amounts in the Notes to the Consolidated Financial Statements relate to the Company’s operatons.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Principles of Consolidaton</w:t>
      </w:r>
    </w:p>
    <w:p>
      <w:pPr>
        <w:spacing w:after="0" w:line="82"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 consolidated fnancial statements include the accounts of Cabot and its wholly-owned subsidiaries and majority-owned and controlled subsidiaries. Additonally, Cabot considers consolidaton of enttes over which control is achieved through means other than votng rights, of which there were none in the periods presented. Intercompany transactons have been eliminated in consolidaton.</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Cash and Cash Equivalents</w:t>
      </w:r>
    </w:p>
    <w:p>
      <w:pPr>
        <w:spacing w:after="0" w:line="82"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Cash equivalents include all highly liquid investments with a maturity of three months or less at date of acquisiton. Cabot contnually assesses the liquidity of cash equivalents and, as of September 30, 2024, has determined that they are readily convertble to cash.</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Inventories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Inventories are stated at the lower of cost or net realizable value. The cost of inventories is determined using the frst-in, frst-out method.</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Cabot periodically reviews inventory for both potental obsolescence and potental declines in antcipated selling prices. In this review, the Company makes assumptons about the future demand for and market value of the inventory, and based on these assumptons estmates the amount of any obsolete, unmarketable, slow moving, or overvalued inventory. Cabot writes down the value of these inventories by an amount equal to the diference between the cost of the inventory and its estmated net realizable value.</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Investments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has investments in equity afliates and marketable securites. As circumstances warrant, all investments are subject to periodic impairment reviews. Unless consolidaton is required, investments in equity afliates, where Cabot generally owns between 20% and 50% of the afliate, are accounted for using the equity method. Cabot records its share of the equity afliate’s results of operatons based on its percentage of ownership of the afliate. Dividends declared from equity afliates are a return on investment and are recorded as a reducton to the equity investment value. As of September 30, 2024 and 2023, Cabot had equity afliate investments of $23 million and $20 million, respectvely. Dividends declared and received from these investments were $2 million, $2 million and $1 million in fscal 2024, 2023 and 2022, respectvely.</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Intangible Assets and Goodwill Impairment</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records tangible and intangible assets acquired and liabilites assumed in business combinatons under the acquisiton method of accountng. Amounts paid for an acquisiton are allocated to the assets acquired and liabilites assumed based on their fair values at the date of acquisiton. The Company uses assumptons and estmates in determining the fair value of assets acquired and liabilites assumed in a business combinaton. The determinaton of the fair value of intangible assets requires the use of signifcant judgment with regard to assumptons used in the valuaton model. The Company estmates the fair value of identfable acquisiton-related intangible assets principally based on projectons of cash fows that will arise from these assets. The projected cash fows are discounted to determine the fair value of the assets at the dates of acquisiton.</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Defnite-lived intangible assets, which are comprised of trademarks, customer relatonships and developed technologies, are amortzed over their estmated useful lives and are reviewed for impairment when indicaton of potental impairment exists, such as a signifcant reducton in cash fows associated with the assets.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Goodwill is comprised of the purchase price of business acquisitons in excess of the fair value assigned to the net tangible and identfable intangible assets acquired. Goodwill is not amortzed and is subject to impairment testng annually, or when events or changes in the business environment indicate that the carrying value of the reportng unit may exceed its fair value.</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9" w:name="page50"/>
    <w:bookmarkEnd w:id="49"/>
    <w:p>
      <w:pPr>
        <w:ind w:right="280" w:firstLine="509"/>
        <w:spacing w:after="0" w:line="235" w:lineRule="auto"/>
        <w:rPr>
          <w:sz w:val="20"/>
          <w:szCs w:val="20"/>
          <w:color w:val="auto"/>
        </w:rPr>
      </w:pPr>
      <w:r>
        <w:rPr>
          <w:rFonts w:ascii="Calibri" w:cs="Calibri" w:eastAsia="Calibri" w:hAnsi="Calibri"/>
          <w:sz w:val="18"/>
          <w:szCs w:val="18"/>
          <w:color w:val="auto"/>
        </w:rPr>
        <w:t>A reportng unit, for the purpose of the impairment test, is at or below the operatng segment level, and consttutes a business for which discrete fnancial informaton is available and regularly reviewed by segment management. Reinforcement Materials, and the fumed metal oxides, specialty compounds, specialty carbons and batery materials product lines within Performance Chemicals, which are considered separate reportng units, carry the Company’s goodwill balances as of September 30, 2024.</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purpose of the goodwill impairment test, the Company frst assesses qualitatve factors to determine whether it is more likely than not that the fair value of a reportng unit is less than its carrying amount. If an inital qualitatve assessment identfes that it is more likely than not that the carrying value of a reportng unit exceeds its estmated fair value, an additonal quanttatve evaluaton is performed. Alternatvely, the Company may elect to proceed directly to the quanttatve goodwill impairment test. If based on the quanttatve evaluaton the fair value of the reportng unit is less than its carrying amount, a goodwill impairment loss would result. The goodwill impairment loss would be the amount by which the carrying value of the reportng unit, including goodwill, exceeds its fair value, limited to the total amount of goodwill allocated to that reportng unit. The fair value of a reportng unit is based on discounted estmated future cash fows. The assumptons used to estmate fair value include management’s best estmates of future growth rates, operatng cash fows, capital expenditures and discount rates over an estmate of the remaining operatng period at the reportng unit level. The fair value is also benchmarked against the value calculated from a market approach using the guideline public company method. Based on the Company's most recent annual goodwill impairment test performed as of August 31, 2024, the fair values of the Reinforcement Materials, fumed metal oxides, specialty compounds, specialty carbons and batery materials reportng units were substantally in excess of their carrying values.</w:t>
      </w:r>
    </w:p>
    <w:p>
      <w:pPr>
        <w:spacing w:after="0" w:line="86"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Long-lived Assets Impairment</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Long-lived assets are grouped with other assets and liabilites at the lowest level for which independent identfable cash fows are determinable. The carrying values of long-lived assets are reviewed for impairment whenever events or changes in business circumstances indicate that the carrying amount of an asset may not be recoverable. To test for impairment of assets, the Company generally uses a probability-weighted estmate of the future undiscounted net cash fows of the assets over their remaining lives to determine if the value of the asset is recoverable.</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 asset impairment is recognized when the carrying value of the asset is not recoverable based on the analysis described above, in which case the asset is writen down to its fair value. If the asset does not have a readily determinable market value, a discounted cash fow model may be used to determine the fair value of the asset.</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Property, Plant and Equipment</w:t>
      </w:r>
    </w:p>
    <w:p>
      <w:pPr>
        <w:spacing w:after="0" w:line="82" w:lineRule="exact"/>
        <w:rPr>
          <w:sz w:val="20"/>
          <w:szCs w:val="20"/>
          <w:color w:val="auto"/>
        </w:rPr>
      </w:pPr>
    </w:p>
    <w:p>
      <w:pPr>
        <w:ind w:right="180" w:firstLine="509"/>
        <w:spacing w:after="0" w:line="251" w:lineRule="auto"/>
        <w:rPr>
          <w:sz w:val="20"/>
          <w:szCs w:val="20"/>
          <w:color w:val="auto"/>
        </w:rPr>
      </w:pPr>
      <w:r>
        <w:rPr>
          <w:rFonts w:ascii="Calibri" w:cs="Calibri" w:eastAsia="Calibri" w:hAnsi="Calibri"/>
          <w:sz w:val="17"/>
          <w:szCs w:val="17"/>
          <w:color w:val="auto"/>
        </w:rPr>
        <w:t>Property, plant and equipment are recorded at cost. Depreciaton of property, plant and equipment is calculated using the straight-line method over the estmated useful lives of the related assets. The depreciable lives for buildings, machinery and equipment, and other fxed assets are generally between twenty and twenty-fve years, ten and twenty-fve years, and three and twenty-fve years, respectvely. The cost and accumulated depreciaton for property, plant and equipment sold, retred, or otherwise disposed of are removed from the Consolidated Balance Sheets and resultng gains or losses are included in earnings in the Consolidated Statements of Operatons. Expenditures for repairs and maintenance are charged to expenses as incurred. Expenditures for major renewals and beterments, which signifcantly extend the useful lives of existng plant and equipment, are capitalized and depreciated.</w:t>
      </w:r>
    </w:p>
    <w:p>
      <w:pPr>
        <w:spacing w:after="0" w:line="7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capitalizes interest costs when they are part of the cost of acquiring and constructng certain assets that require a period of tme to prepare for their intended use. During fscal 2024, 2023 and 2022, Cabot capitalized $9 million, $6 million and $3 million of interest costs, respectvely. These amounts are amortzed over the lives of the related assets when they are placed in service.</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Asset Retrement Obligatons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Cabot estmates incremental costs for special handling, removal and disposal of materials that may or will give rise to conditonal asset retrement obligatons (“ARO”) and then discounts the expected costs back to the current year using a credit adjusted risk-free rate. Cabot recognizes ARO liabilites and costs when they are probable and can be reasonably estmated. In certain instances, Cabot has not recorded a reserve for AROs because the tming of disposal of the underlying asset is unknown. The ARO reserves were $11 million as of both September 30, 2024 and 2023. The ARO balances are included in Accounts payable and accrued liabilites and Other liabilites on the Consolidated Balance Sheets.</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0" w:name="page51"/>
    <w:bookmarkEnd w:id="50"/>
    <w:p>
      <w:pPr>
        <w:ind w:left="260"/>
        <w:spacing w:after="0"/>
        <w:rPr>
          <w:sz w:val="20"/>
          <w:szCs w:val="20"/>
          <w:color w:val="auto"/>
        </w:rPr>
      </w:pPr>
      <w:r>
        <w:rPr>
          <w:rFonts w:ascii="Calibri" w:cs="Calibri" w:eastAsia="Calibri" w:hAnsi="Calibri"/>
          <w:sz w:val="18"/>
          <w:szCs w:val="18"/>
          <w:b w:val="1"/>
          <w:bCs w:val="1"/>
          <w:i w:val="1"/>
          <w:iCs w:val="1"/>
          <w:color w:val="auto"/>
        </w:rPr>
        <w:t>Foreign Currency Translaton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functonal currency of the majority of Cabot’s foreign subsidiaries is the local currency in which the subsidiary operates. Assets and liabilites of foreign subsidiaries are translated into U.S. dollars at exchange rates in efect at the balance sheet dates. Income and expense items are translated at average monthly exchange rates during the year. The functonal currency of Cabot’s foreign subsidiaries that operate in a highly infatonary economy is the U.S. dollar. Refer below to Argentnian Government Actons for detail regarding foreign currency exchange losses recorded by Cabot’s wholly-owned Argentnian subsidiary which operates in a highly infatonary economy. Cabot’s operatons in other highly infatonary economies are not material.</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Unrealized currency translaton adjustments (“CTA”) are included as a separate component of Accumulated other comprehensive income (loss) (“AOCI”) within stockholders’ equity. Realized and unrealized foreign currency gains and losses arising from transactons denominated in currencies other than the subsidiary’s functonal currency are refected in earnings with the excepton of (i) intercompany transactons considered to be of a long-term investment nature; (ii) income taxes upon future repatriaton of unremited earnings from non-U.S. subsidiaries that are not indefnitely reinvested; and (iii) foreign currency borrowings designated as net investment hedges. Gains or losses arising from these transactons are included within the CTA component of Other comprehensive income (loss). In fscal 2024, 2023 and 2022, net foreign currency transacton loss of $46 million, $35 million, and $13 million, respectvely, is included in Other income (expense) in the Consolidated Statements of Operatons.</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Argentnian Government Actons</w:t>
      </w:r>
    </w:p>
    <w:p>
      <w:pPr>
        <w:spacing w:after="0" w:line="82" w:lineRule="exact"/>
        <w:rPr>
          <w:sz w:val="20"/>
          <w:szCs w:val="20"/>
          <w:color w:val="auto"/>
        </w:rPr>
      </w:pPr>
    </w:p>
    <w:p>
      <w:pPr>
        <w:ind w:right="40" w:firstLine="436"/>
        <w:spacing w:after="0" w:line="235" w:lineRule="auto"/>
        <w:rPr>
          <w:sz w:val="20"/>
          <w:szCs w:val="20"/>
          <w:color w:val="auto"/>
        </w:rPr>
      </w:pPr>
      <w:r>
        <w:rPr>
          <w:rFonts w:ascii="Calibri" w:cs="Calibri" w:eastAsia="Calibri" w:hAnsi="Calibri"/>
          <w:sz w:val="18"/>
          <w:szCs w:val="18"/>
          <w:color w:val="auto"/>
        </w:rPr>
        <w:t>The Company’s wholly-owned Argentnian subsidiary operates in a highly infatonary economy and, as a result, the functonal currency of the subsidiary is Cabot’s reportng currency, the U.S. dollar. During fscal 2024, 2023 and 2022, the Company recorded foreign exchange losses of $43 million, $33 million and $15 million respectvely, related to the revaluaton of non-functonal currency denominated monetary asset and liability balances. These total foreign exchange losses included foreign exchange losses related to a single devaluaton acton by the Argentne government of $33 million, $7 million and nil that occurred in fscal 2024, 2023 and 2022, respectvely. The Company invested cash in money market funds and recorded investment income of $17 million, $16 million, and $5 million for fscal 2024, 2023 and 2022, respectvely. The foreign exchange losses and investment gains are recorded in Other income (expense) in the Consolidated Statement of Operatons.</w:t>
      </w:r>
    </w:p>
    <w:p>
      <w:pPr>
        <w:spacing w:after="0" w:line="87" w:lineRule="exact"/>
        <w:rPr>
          <w:sz w:val="20"/>
          <w:szCs w:val="20"/>
          <w:color w:val="auto"/>
        </w:rPr>
      </w:pPr>
    </w:p>
    <w:p>
      <w:pPr>
        <w:ind w:right="60" w:firstLine="436"/>
        <w:spacing w:after="0" w:line="235" w:lineRule="auto"/>
        <w:rPr>
          <w:sz w:val="20"/>
          <w:szCs w:val="20"/>
          <w:color w:val="auto"/>
        </w:rPr>
      </w:pPr>
      <w:r>
        <w:rPr>
          <w:rFonts w:ascii="Calibri" w:cs="Calibri" w:eastAsia="Calibri" w:hAnsi="Calibri"/>
          <w:sz w:val="18"/>
          <w:szCs w:val="18"/>
          <w:color w:val="auto"/>
        </w:rPr>
        <w:t>During the second quarter of fscal 2024, the Company purchased $30 million in BOPREAL bonds (standing for “Bond for the Reconstructon of a Free Argentna” in Spanish), which are U.S. dollar-denominated securites issued by the Central Bank of Argentna, as part of an Argentne government program to setle foreign payables for importers with debts for goods with customs registraton and/or services, incurred on or prior to December 12, 2023. The Company subsequently sold the bonds for $22 million and utlized the proceeds to partally repay its foreign payables in Argentna. The purchase and proceeds of BOPREAL bonds are included in the Changes in Prepaid expenses and other assets in the Consolidated Statement of Cash Flows. The $8 million investment loss is included in Other non-cash (income) expense in the Consolidated Statement of Cash Flows and in Other income (expense) in the Consolidated Statement of Operatons. In accordance with Argentne government regulatons, the Company purchased an additonal $8 million of U.S. dollars in the third quarter of fscal 2024 at a foreign exchange loss of $2 million and utlized the funds to complete the setlement of outstanding foreign payables incurred on or prior to December 12, 2023.</w:t>
      </w:r>
    </w:p>
    <w:p>
      <w:pPr>
        <w:spacing w:after="0" w:line="84"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Share Repurchases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Periodically, Cabot repurchases shares of the Company’s common stock under the authorizaton provided by the Board of Directors. The Company retres the repurchased shares and records the excess of the purchase price over par value to additonal paid-in capital (“APIC”) untl such amount is reduced to zero and then charges the remainder against retained earnings.</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Financial Instruments</w:t>
      </w:r>
    </w:p>
    <w:p>
      <w:pPr>
        <w:spacing w:after="0" w:line="82" w:lineRule="exact"/>
        <w:rPr>
          <w:sz w:val="20"/>
          <w:szCs w:val="20"/>
          <w:color w:val="auto"/>
        </w:rPr>
      </w:pPr>
    </w:p>
    <w:p>
      <w:pPr>
        <w:ind w:right="360" w:firstLine="509"/>
        <w:spacing w:after="0" w:line="251" w:lineRule="auto"/>
        <w:rPr>
          <w:sz w:val="20"/>
          <w:szCs w:val="20"/>
          <w:color w:val="auto"/>
        </w:rPr>
      </w:pPr>
      <w:r>
        <w:rPr>
          <w:rFonts w:ascii="Calibri" w:cs="Calibri" w:eastAsia="Calibri" w:hAnsi="Calibri"/>
          <w:sz w:val="17"/>
          <w:szCs w:val="17"/>
          <w:color w:val="auto"/>
        </w:rPr>
        <w:t>Cabot’s fnancial instruments consist primarily of cash and cash equivalents, accounts and notes receivable, investments, accounts payable and accrued liabilites, short-term and long-term debt, and derivatve instruments. The carrying values of Cabot’s fnancial instruments approximate fair value with the excepton of fxed rate long-term debt, which is recorded at amortzed cost. The fair values of the Company’s fnancial instruments are based on quoted market prices, if such prices are available. In situatons where quoted market prices are not available, the Company relies on valuaton models to derive fair value. Such valuatons take into account the ability of the fnancial counterparty to perform and the Company’s own credit risk.</w:t>
      </w: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ind w:right="100" w:firstLine="509"/>
        <w:spacing w:after="0" w:line="235" w:lineRule="auto"/>
        <w:rPr>
          <w:sz w:val="20"/>
          <w:szCs w:val="20"/>
          <w:color w:val="auto"/>
        </w:rPr>
      </w:pPr>
      <w:r>
        <w:rPr>
          <w:rFonts w:ascii="Calibri" w:cs="Calibri" w:eastAsia="Calibri" w:hAnsi="Calibri"/>
          <w:sz w:val="18"/>
          <w:szCs w:val="18"/>
          <w:color w:val="auto"/>
        </w:rPr>
        <w:t>Cabot uses derivatve fnancial instruments primarily for purposes of hedging the exposures to fuctuatons in foreign currency exchange rates, which exist as part of its on-going business operatons. Cabot does not enter into derivatve contracts for speculatve purposes, nor does it hold or issue any derivatve contracts for trading purposes. All derivatves are recognized on the Consolidated Balance Sheets at fair value. Where Cabot has a legal right to ofset derivatve setlements under a master netng agreement with a counterparty, derivatves with that counterparty are presented on a net basis. The changes in the fair value of derivatves are recorded in either earnings or AOCI, depending on whether or not the instrument is designated as part of a hedge transacton and, if designated as part of a hedge transacton, the type of hedge transacton. The gains or losses on derivatve instruments reported in AOCI are reclassifed to earnings in the period in which earnings are afected by the underlying hedged item. The inefectve porton of all hedges is recognized in earnings during the period in which the inefectveness occurs.</w:t>
      </w:r>
    </w:p>
    <w:p>
      <w:pPr>
        <w:spacing w:after="0" w:line="88"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In accordance with Cabot’s risk management strategy, the Company may enter into certain derivatve instruments that may not be designated as hedges for hedge accountng purposes. Although these derivatves are not designated as hedges, the Company believes that such instruments are closely correlated with the underlying exposure, thus managing the associated risk. The Company records in earnings the gains or losses from changes in the fair value of derivatve instruments that are not designated as hedges. Cash movements associated with these instruments are presented in the Consolidated Statements of Cash Flows as Cash Flows from Operatng Actvites because the derivatves are designed to mitgate risk to the Company’s cash fow from operatons.</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recognizes revenue when its customers obtain control of promised goods or services. The revenue recognized is the amount of consideraton which the Company expects to receive in exchange for those goods or services. The Company’s contracts with customers are generally for products only and do not include other performance obligatons. Generally, Cabot considers purchase orders, which in some cases are governed by master supply agreements, to be contracts with customers. The transacton price as specifed on the purchase order or sales contract is considered the standalone selling price for each distnct product. To determine the transacton price at the tme when revenue is recognized, the Company evaluates whether the price is subject to adjustments, such as for returns, discounts or volume rebates, which are stated in the customer contract, to determine the net consideraton to which the Company expects to be enttled. Substantally all revenue from product sales is based on a point in tme model and is recognized when control of the product is transferred to the customer, which typically occurs upon shipment or delivery of the product to the customer and ttle, risk and rewards of ownership have passed to the customer. For contracts where Cabot completes its performance obligaton prior to its right to consideraton or contracts where consideraton is received prior to completng the Company’s performance obligaton, the Company records a contract asset or a contract liability, respectvely, on the Consolidated Balance Sheets.</w:t>
      </w:r>
    </w:p>
    <w:p>
      <w:pPr>
        <w:spacing w:after="0" w:line="9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Shipping and handling actvites that occur afer the transfer of control to the customer are billed to customers and are recorded as sales revenue, as the Company considers these to be fulfllment costs. These shipping and handling costs are expensed in the period incurred and included in Cost of sales within the Consolidated Statement of Operatons. Taxes collected on sales to customers are excluded from the transacton price.</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generally provides a warranty that its products will substantally conform to the identfed specifcatons. The Company’s liability typically is limited to either a credit equal to the purchase price or replacement of the non-conforming product. Returns under warranty have historically been immaterial.</w:t>
      </w:r>
    </w:p>
    <w:p>
      <w:pPr>
        <w:spacing w:after="0" w:line="84" w:lineRule="exact"/>
        <w:rPr>
          <w:sz w:val="20"/>
          <w:szCs w:val="20"/>
          <w:color w:val="auto"/>
        </w:rPr>
      </w:pPr>
    </w:p>
    <w:p>
      <w:pPr>
        <w:ind w:right="200" w:firstLine="509"/>
        <w:spacing w:after="0" w:line="258" w:lineRule="auto"/>
        <w:rPr>
          <w:sz w:val="20"/>
          <w:szCs w:val="20"/>
          <w:color w:val="auto"/>
        </w:rPr>
      </w:pPr>
      <w:r>
        <w:rPr>
          <w:rFonts w:ascii="Calibri" w:cs="Calibri" w:eastAsia="Calibri" w:hAnsi="Calibri"/>
          <w:sz w:val="17"/>
          <w:szCs w:val="17"/>
          <w:color w:val="auto"/>
        </w:rPr>
        <w:t>Payment terms typically range from zero to ninety days. When the period of tme between the transfer of control of the goods and the tme the customer pays for the goods is one year or less, the Company does not consider there to be a signifcant fnancing component associated with the contract.</w:t>
      </w:r>
    </w:p>
    <w:p>
      <w:pPr>
        <w:spacing w:after="0" w:line="6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Cost of Sales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Cost of sales consists of the cost of raw and packaging materials, direct manufacturing costs, depreciaton, internal transfer costs, inspecton costs, inbound and outbound freight and shipping and handling costs, plant purchasing and receiving costs and other overhead expenses necessary to manufacture the products.</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Accounts and Notes Receivable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Trade receivables are recorded at the invoiced amount and generally do not bear interest.</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Cabot maintains allowances for doubtul accounts based on an assessment of the collectability of specifc customer accounts, the aging of accounts receivable and other economic informaton on both a historical and prospectve basis. Customer account balances are charged against the allowance when it is probable the receivable will not be recovered. There were no material changes in the allowance for any of the years presented.</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2" w:name="page53"/>
    <w:bookmarkEnd w:id="52"/>
    <w:p>
      <w:pPr>
        <w:ind w:left="260"/>
        <w:spacing w:after="0"/>
        <w:rPr>
          <w:sz w:val="20"/>
          <w:szCs w:val="20"/>
          <w:color w:val="auto"/>
        </w:rPr>
      </w:pPr>
      <w:r>
        <w:rPr>
          <w:rFonts w:ascii="Calibri" w:cs="Calibri" w:eastAsia="Calibri" w:hAnsi="Calibri"/>
          <w:sz w:val="18"/>
          <w:szCs w:val="18"/>
          <w:b w:val="1"/>
          <w:bCs w:val="1"/>
          <w:i w:val="1"/>
          <w:iCs w:val="1"/>
          <w:color w:val="auto"/>
        </w:rPr>
        <w:t>Share-based Compensaton</w:t>
      </w:r>
    </w:p>
    <w:p>
      <w:pPr>
        <w:spacing w:after="0" w:line="82"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Cabot recognizes compensaton expense for share-based awards granted to employees using the fair value method. Under the fair value recogniton provisions, share-based compensaton cost is measured at the grant date based on the fair value of the award, and is recognized as expense over the service period, which generally represents the vestng period, and includes an estmate of what level of performance the Company will achieve for Cabot’s performance-based stock awards. Cabot calculates the fair value of its stock optons using the Black-Scholes opton pricing model. The fair value of restricted stock units is determined using the closing price of Cabot stock on the day of the grant. The Company recognizes forfeitures as they occur.</w:t>
      </w:r>
    </w:p>
    <w:p>
      <w:pPr>
        <w:spacing w:after="0" w:line="7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Selling and Administratve Expenses</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Selling and administratve expenses consist of salaries and fringe benefts of sales and ofce personnel, general ofce expenses and other expenses not directly related to manufacturing operatons.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Research and Technical Expenses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Research and technical expenses include salaries, equipment and material expenditures, and contractor fees and are expensed as incurred.</w:t>
      </w:r>
    </w:p>
    <w:p>
      <w:pPr>
        <w:spacing w:after="0" w:line="64" w:lineRule="exact"/>
        <w:rPr>
          <w:sz w:val="20"/>
          <w:szCs w:val="20"/>
          <w:color w:val="auto"/>
        </w:rPr>
      </w:pPr>
    </w:p>
    <w:p>
      <w:pPr>
        <w:ind w:left="280"/>
        <w:spacing w:after="0"/>
        <w:rPr>
          <w:sz w:val="20"/>
          <w:szCs w:val="20"/>
          <w:color w:val="auto"/>
        </w:rPr>
      </w:pPr>
      <w:r>
        <w:rPr>
          <w:rFonts w:ascii="Calibri" w:cs="Calibri" w:eastAsia="Calibri" w:hAnsi="Calibri"/>
          <w:sz w:val="18"/>
          <w:szCs w:val="18"/>
          <w:b w:val="1"/>
          <w:bCs w:val="1"/>
          <w:i w:val="1"/>
          <w:iCs w:val="1"/>
          <w:color w:val="auto"/>
        </w:rPr>
        <w:t>Pensions and Other Postretrement Benefts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recognizes the funded status of defned beneft pension and other postretrement beneft plans as an asset or liability. This amount is defned as the diference between the fair value of plan assets and the beneft obligaton. Pension and post-retrement beneft costs other than service cost are included in Other income (expense) in the Consolidated Statement of Operatons. Service cost is included with other employee compensaton costs within Cost of sales, Selling and administratve expenses, or Research and technical expenses. The Company recognizes actuarial gains and losses and prior service costs and credits as a component of Other comprehensive income (loss), net of tax, which are subsequently amortzed into earnings as a component of net periodic beneft cost.</w:t>
      </w:r>
    </w:p>
    <w:p>
      <w:pPr>
        <w:spacing w:after="0" w:line="81"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i w:val="1"/>
          <w:iCs w:val="1"/>
          <w:color w:val="auto"/>
        </w:rPr>
        <w:t>Accumulated Other Comprehensive Income (Loss)</w:t>
      </w:r>
    </w:p>
    <w:p>
      <w:pPr>
        <w:spacing w:after="0" w:line="82"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AOCI, which is included as a component of stockholders’ equity, includes unrealized gains or losses on derivatve instruments, currency translaton adjustments in foreign subsidiaries and pension and post-retrement related adjustments.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82" w:lineRule="exact"/>
        <w:rPr>
          <w:sz w:val="20"/>
          <w:szCs w:val="20"/>
          <w:color w:val="auto"/>
        </w:rPr>
      </w:pPr>
    </w:p>
    <w:p>
      <w:pPr>
        <w:jc w:val="both"/>
        <w:ind w:right="60" w:firstLine="509"/>
        <w:spacing w:after="0" w:line="249" w:lineRule="auto"/>
        <w:rPr>
          <w:sz w:val="20"/>
          <w:szCs w:val="20"/>
          <w:color w:val="auto"/>
        </w:rPr>
      </w:pPr>
      <w:r>
        <w:rPr>
          <w:rFonts w:ascii="Calibri" w:cs="Calibri" w:eastAsia="Calibri" w:hAnsi="Calibri"/>
          <w:sz w:val="17"/>
          <w:szCs w:val="17"/>
          <w:color w:val="auto"/>
        </w:rPr>
        <w:t>Deferred income taxes are determined based on the estmated future tax efects of diferences between fnancial statement carrying amounts and the tax bases of existng assets and liabilites. Deferred tax assets are recognized to the extent that realizaton of those assets is considered to be more likely than not. A valuaton allowance is established for deferred taxes when it is more likely than not that all or a porton of the deferred tax assets will not be realized.</w:t>
      </w:r>
    </w:p>
    <w:p>
      <w:pPr>
        <w:spacing w:after="0" w:line="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Provisions are made for the U.S. income tax liability and additonal non-U.S. taxes on the undistributed earnings of non-U.S. subsidiaries, except for amounts Cabot has designated to be indefnitely reinvested.</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records benefts for uncertain tax positons based on an assessment of whether the positon is more likely than not to be sustained by the taxing authorites. If this threshold is not met, no tax beneft of the uncertain tax positon is recognized. If the threshold is met, the tax beneft that is recognized is the largest amount that is greater than 50% likely of being realized upon ultmate setlement. This analysis presumes the taxing authorites’ full knowledge of the positons taken and all relevant facts, but does not consider the tme value of money. The Company also accrues for interest and penaltes on its uncertain tax positons and includes such charges in its income tax provision in the Consolidated Statements of Operatons.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accrues costs related to contngencies when it is probable that a liability has been incurred and the amount can be reasonably estmated. Contngencies could arise from litgaton, environmental remediaton or contractual arrangements. When a single liability amount cannot be reasonably estmated, but a range can be reasonably estmated, Cabot accrues the amount that refects the best estmate within that range or the low end of the range if no estmate within the range would be considered more likely than any other estmate. The amount accrued is determined through the evaluaton of various informaton, which could include claims, setlement ofers, demands by government agencies, estmates performed by independent third partes, identfcaton of other responsible partes and an assessment of their ability to contribute, and the Company’s prior experience. Cabot does not reduce its estmated liability for possible recoveries from insurance carriers. Proceeds from insurance carriers are recorded when realized by either the receipt of cash or a contractual agreement.</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ind w:left="260"/>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preparaton of consolidated fnancial statements in conformity with U.S. GAAP requires management to make certain estmates and assumptons that afect the reported amount of assets and liabilites and the disclosure of contngent assets and liabilites at the date of the consolidated fnancial statements and the reported amounts of revenues and expenses during the reported period. Actual results could difer from those estmates.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B. Recent Accountng Pronouncements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Recently Adopted Accountng Standards</w:t>
      </w:r>
    </w:p>
    <w:p>
      <w:pPr>
        <w:spacing w:after="0" w:line="82" w:lineRule="exact"/>
        <w:rPr>
          <w:sz w:val="20"/>
          <w:szCs w:val="20"/>
          <w:color w:val="auto"/>
        </w:rPr>
      </w:pPr>
    </w:p>
    <w:p>
      <w:pPr>
        <w:ind w:right="40" w:firstLine="562"/>
        <w:spacing w:after="0" w:line="252" w:lineRule="auto"/>
        <w:rPr>
          <w:sz w:val="20"/>
          <w:szCs w:val="20"/>
          <w:color w:val="auto"/>
        </w:rPr>
      </w:pPr>
      <w:r>
        <w:rPr>
          <w:rFonts w:ascii="Calibri" w:cs="Calibri" w:eastAsia="Calibri" w:hAnsi="Calibri"/>
          <w:sz w:val="17"/>
          <w:szCs w:val="17"/>
          <w:color w:val="auto"/>
        </w:rPr>
        <w:t>In November 2022, the Financial Accountng Standards Board (“FASB”) issued a new standard on the disclosure of supplier fnancing programs. The new standard requires qualitatve and quanttatve disclosures as to the nature and potental magnitude of such programs in additon to program actvity and changes for the periods presented. The Company adopted this standard on October 1, 2023. See Note U for disclosures related to the Company's supplier fnancing programs. The adopton of this standard did not have a material impact on the Company's Consolidated Financial Statements.</w:t>
      </w:r>
    </w:p>
    <w:p>
      <w:pPr>
        <w:spacing w:after="0" w:line="3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82" w:lineRule="exact"/>
        <w:rPr>
          <w:sz w:val="20"/>
          <w:szCs w:val="20"/>
          <w:color w:val="auto"/>
        </w:rPr>
      </w:pPr>
    </w:p>
    <w:p>
      <w:pPr>
        <w:ind w:right="20" w:firstLine="562"/>
        <w:spacing w:after="0" w:line="235" w:lineRule="auto"/>
        <w:rPr>
          <w:sz w:val="20"/>
          <w:szCs w:val="20"/>
          <w:color w:val="auto"/>
        </w:rPr>
      </w:pPr>
      <w:r>
        <w:rPr>
          <w:rFonts w:ascii="Calibri" w:cs="Calibri" w:eastAsia="Calibri" w:hAnsi="Calibri"/>
          <w:sz w:val="18"/>
          <w:szCs w:val="18"/>
          <w:color w:val="auto"/>
        </w:rPr>
        <w:t>In March 2024, the Securites and Exchange Commission (“SEC”) issued its fnal rule, The Enhancement and Standardizaton of Climate-Related Disclosures for Investors that requires the Company to provide certain climate-related informaton. The rule provided a phased-in compliance period and was efectve for fscal years beginning afer December 15, 2024, with early adopton permited. In April 2024, the SEC voluntarily stayed its rule pending completon of judicial review by the U.S. Court of Appeals for the Eighth Circuit and, therefore, the tming of the efectveness of these disclosure requirements is uncertain. The Company is currently monitoring the tming of adopton and evaluatng the impact of the potental adopton of this standard on the Company’s Consolidated Financial Statements.</w:t>
      </w:r>
    </w:p>
    <w:p>
      <w:pPr>
        <w:spacing w:after="0" w:line="86" w:lineRule="exact"/>
        <w:rPr>
          <w:sz w:val="20"/>
          <w:szCs w:val="20"/>
          <w:color w:val="auto"/>
        </w:rPr>
      </w:pPr>
    </w:p>
    <w:p>
      <w:pPr>
        <w:ind w:right="20" w:firstLine="562"/>
        <w:spacing w:after="0" w:line="235" w:lineRule="auto"/>
        <w:rPr>
          <w:sz w:val="20"/>
          <w:szCs w:val="20"/>
          <w:color w:val="auto"/>
        </w:rPr>
      </w:pPr>
      <w:r>
        <w:rPr>
          <w:rFonts w:ascii="Calibri" w:cs="Calibri" w:eastAsia="Calibri" w:hAnsi="Calibri"/>
          <w:sz w:val="18"/>
          <w:szCs w:val="18"/>
          <w:color w:val="auto"/>
        </w:rPr>
        <w:t>In December 2023, the FASB issued a new standard, Improvements to Income Tax Disclosures. The new guidance requires additonal disclosures primarily related to the income tax rate reconciliaton and income taxes paid. The new standard is efectve for the Company’s fscal years and interim periods beginning October 1, 2025. The Company is currently evaluatng the impact of the adopton of this standard on the Company’s Consolidated Financial Statements.</w:t>
      </w:r>
    </w:p>
    <w:p>
      <w:pPr>
        <w:spacing w:after="0" w:line="84" w:lineRule="exact"/>
        <w:rPr>
          <w:sz w:val="20"/>
          <w:szCs w:val="20"/>
          <w:color w:val="auto"/>
        </w:rPr>
      </w:pPr>
    </w:p>
    <w:p>
      <w:pPr>
        <w:ind w:right="80" w:firstLine="562"/>
        <w:spacing w:after="0" w:line="235" w:lineRule="auto"/>
        <w:rPr>
          <w:sz w:val="20"/>
          <w:szCs w:val="20"/>
          <w:color w:val="auto"/>
        </w:rPr>
      </w:pPr>
      <w:r>
        <w:rPr>
          <w:rFonts w:ascii="Calibri" w:cs="Calibri" w:eastAsia="Calibri" w:hAnsi="Calibri"/>
          <w:sz w:val="18"/>
          <w:szCs w:val="18"/>
          <w:color w:val="auto"/>
        </w:rPr>
        <w:t>In November 2023, the FASB issued a new standard, Improvement to Reportable Segment Disclosures. The new guidance enhances the disclosure of signifcant reportable segment expenses. The new standard is efectve for the Company’s fscal years beginning October 1, 2024, and for interim periods beginning October 1, 2025. The Company is currently evaluatng the impact of the adopton of this standard on the Company’s Consolidated Financial Statements.</w:t>
      </w:r>
    </w:p>
    <w:p>
      <w:pPr>
        <w:spacing w:after="0" w:line="84" w:lineRule="exact"/>
        <w:rPr>
          <w:sz w:val="20"/>
          <w:szCs w:val="20"/>
          <w:color w:val="auto"/>
        </w:rPr>
      </w:pPr>
    </w:p>
    <w:p>
      <w:pPr>
        <w:jc w:val="both"/>
        <w:ind w:right="40" w:firstLine="562"/>
        <w:spacing w:after="0" w:line="235" w:lineRule="auto"/>
        <w:rPr>
          <w:sz w:val="20"/>
          <w:szCs w:val="20"/>
          <w:color w:val="auto"/>
        </w:rPr>
      </w:pPr>
      <w:r>
        <w:rPr>
          <w:rFonts w:ascii="Calibri" w:cs="Calibri" w:eastAsia="Calibri" w:hAnsi="Calibri"/>
          <w:sz w:val="18"/>
          <w:szCs w:val="18"/>
          <w:color w:val="auto"/>
        </w:rPr>
        <w:t>In October 2021, the Organizaton for Economic Co-operaton and Development (“OECD”) published its model rules “Global Ant-Base Erosion Model Rules (Pillar Two)” which established a global minimum corporate tax rate of 15% for certain multnatonal enterprises. Many countries have implemented or are in the process of implementng the Pillar Two legislaton. The new rules will apply to the Company’s fscal years and interim periods beginning October 1, 2024. As countries implement legislatons and the OECD provides additonal guidance, the Company is monitoring the impact to the Company’s Consolidated Financial Statements, which is currently expected to not be material.</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C. Acquisitons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Tokai Carbon (Tianjin) Co.</w:t>
      </w:r>
    </w:p>
    <w:p>
      <w:pPr>
        <w:spacing w:after="0" w:line="82" w:lineRule="exact"/>
        <w:rPr>
          <w:sz w:val="20"/>
          <w:szCs w:val="20"/>
          <w:color w:val="auto"/>
        </w:rPr>
      </w:pPr>
    </w:p>
    <w:p>
      <w:pPr>
        <w:ind w:right="100" w:firstLine="562"/>
        <w:spacing w:after="0" w:line="235" w:lineRule="auto"/>
        <w:rPr>
          <w:sz w:val="20"/>
          <w:szCs w:val="20"/>
          <w:color w:val="auto"/>
        </w:rPr>
      </w:pPr>
      <w:r>
        <w:rPr>
          <w:rFonts w:ascii="Calibri" w:cs="Calibri" w:eastAsia="Calibri" w:hAnsi="Calibri"/>
          <w:sz w:val="18"/>
          <w:szCs w:val="18"/>
          <w:color w:val="auto"/>
        </w:rPr>
        <w:t>In February 2022, the Company purchased 100% of the registered capital of Tokai Carbon (Tianjin) Co., a carbon black manufacturing facility, from Tokai Carbon Group for a net purchase price of $9 million, consistng of cash consideraton of $14 million, including customary post-closing adjustments, and net of $5 million of cash acquired.</w:t>
      </w:r>
    </w:p>
    <w:p>
      <w:pPr>
        <w:spacing w:after="0" w:line="84" w:lineRule="exact"/>
        <w:rPr>
          <w:sz w:val="20"/>
          <w:szCs w:val="20"/>
          <w:color w:val="auto"/>
        </w:rPr>
      </w:pPr>
    </w:p>
    <w:p>
      <w:pPr>
        <w:ind w:firstLine="509"/>
        <w:spacing w:after="0" w:line="258" w:lineRule="auto"/>
        <w:rPr>
          <w:sz w:val="20"/>
          <w:szCs w:val="20"/>
          <w:color w:val="auto"/>
        </w:rPr>
      </w:pPr>
      <w:r>
        <w:rPr>
          <w:rFonts w:ascii="Calibri" w:cs="Calibri" w:eastAsia="Calibri" w:hAnsi="Calibri"/>
          <w:sz w:val="17"/>
          <w:szCs w:val="17"/>
          <w:color w:val="auto"/>
        </w:rPr>
        <w:t>The excess of the fair value of the net assets over the purchase price was recorded as a gain of $24 million in fscal 2022. The Gain on bargain purchase of a business arose primarily due to necessary equipment upgrades that will be required afer the purchase to contnue to utlize the existng assets.</w:t>
      </w:r>
    </w:p>
    <w:p>
      <w:pPr>
        <w:spacing w:after="0" w:line="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D. Divesttures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Sale of Purifcaton Solutons Business</w:t>
      </w:r>
    </w:p>
    <w:p>
      <w:pPr>
        <w:spacing w:after="0" w:line="82" w:lineRule="exact"/>
        <w:rPr>
          <w:sz w:val="20"/>
          <w:szCs w:val="20"/>
          <w:color w:val="auto"/>
        </w:rPr>
      </w:pPr>
    </w:p>
    <w:p>
      <w:pPr>
        <w:ind w:right="300" w:firstLine="509"/>
        <w:spacing w:after="0"/>
        <w:rPr>
          <w:sz w:val="20"/>
          <w:szCs w:val="20"/>
          <w:color w:val="auto"/>
        </w:rPr>
      </w:pPr>
      <w:r>
        <w:rPr>
          <w:rFonts w:ascii="Calibri" w:cs="Calibri" w:eastAsia="Calibri" w:hAnsi="Calibri"/>
          <w:sz w:val="18"/>
          <w:szCs w:val="18"/>
          <w:color w:val="auto"/>
        </w:rPr>
        <w:t>In March 2022, the Company completed the sale of its Purifcaton Solutons business, a reportng segment of the Company, to an afliate of funds advised by One Equity Partners for total cash proceeds of $85 million, net of $7 million cash transferred. The Company recognized a pre-tax impairment charge of $197 million and a pre-tax loss on sale of the Purifcaton Solutons business of</w:t>
      </w:r>
    </w:p>
    <w:p>
      <w:pPr>
        <w:spacing w:after="0" w:line="21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54" w:name="page55"/>
    <w:bookmarkEnd w:id="54"/>
    <w:p>
      <w:pPr>
        <w:ind w:right="120"/>
        <w:spacing w:after="0" w:line="235" w:lineRule="auto"/>
        <w:rPr>
          <w:sz w:val="20"/>
          <w:szCs w:val="20"/>
          <w:color w:val="auto"/>
        </w:rPr>
      </w:pPr>
      <w:r>
        <w:rPr>
          <w:rFonts w:ascii="Calibri" w:cs="Calibri" w:eastAsia="Calibri" w:hAnsi="Calibri"/>
          <w:sz w:val="18"/>
          <w:szCs w:val="18"/>
          <w:color w:val="auto"/>
        </w:rPr>
        <w:t>$10 million during fscal 2022. The purchase price of the Purifcaton Solutons was fnalized in fscal 2023 and resulted in an additonal pre-tax loss on sale of $3 million.</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E. Inventories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Inventories, net of obsolete, unmarketable and slow-moving reserves,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3"/>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6"/>
              <w:spacing w:after="0" w:line="169"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0"/>
              <w:spacing w:after="0" w:line="169" w:lineRule="exact"/>
              <w:rPr>
                <w:sz w:val="20"/>
                <w:szCs w:val="20"/>
                <w:color w:val="auto"/>
              </w:rPr>
            </w:pPr>
            <w:r>
              <w:rPr>
                <w:rFonts w:ascii="Calibri" w:cs="Calibri" w:eastAsia="Calibri" w:hAnsi="Calibri"/>
                <w:sz w:val="14"/>
                <w:szCs w:val="14"/>
                <w:b w:val="1"/>
                <w:bCs w:val="1"/>
                <w:color w:val="auto"/>
                <w:w w:val="87"/>
              </w:rPr>
              <w:t>millions)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1700" w:type="dxa"/>
            <w:vAlign w:val="bottom"/>
          </w:tcPr>
          <w:p>
            <w:pPr>
              <w:spacing w:after="0"/>
              <w:rPr>
                <w:sz w:val="19"/>
                <w:szCs w:val="19"/>
                <w:color w:val="auto"/>
              </w:rPr>
            </w:pPr>
          </w:p>
        </w:tc>
        <w:tc>
          <w:tcPr>
            <w:tcW w:w="5400" w:type="dxa"/>
            <w:vAlign w:val="bottom"/>
            <w:gridSpan w:val="2"/>
            <w:shd w:val="clear" w:color="auto" w:fill="CFF0FC"/>
          </w:tcPr>
          <w:p>
            <w:pPr>
              <w:spacing w:after="0" w:line="217" w:lineRule="exact"/>
              <w:rPr>
                <w:sz w:val="20"/>
                <w:szCs w:val="20"/>
                <w:color w:val="auto"/>
              </w:rPr>
            </w:pPr>
            <w:r>
              <w:rPr>
                <w:rFonts w:ascii="Calibri" w:cs="Calibri" w:eastAsia="Calibri" w:hAnsi="Calibri"/>
                <w:sz w:val="18"/>
                <w:szCs w:val="18"/>
                <w:color w:val="auto"/>
              </w:rPr>
              <w:t>Raw materials</w:t>
            </w:r>
          </w:p>
        </w:tc>
        <w:tc>
          <w:tcPr>
            <w:tcW w:w="26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150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line="217" w:lineRule="exact"/>
              <w:rPr>
                <w:sz w:val="20"/>
                <w:szCs w:val="20"/>
                <w:color w:val="auto"/>
              </w:rPr>
            </w:pPr>
            <w:r>
              <w:rPr>
                <w:rFonts w:ascii="Calibri" w:cs="Calibri" w:eastAsia="Calibri" w:hAnsi="Calibri"/>
                <w:sz w:val="18"/>
                <w:szCs w:val="18"/>
                <w:color w:val="auto"/>
                <w:w w:val="87"/>
              </w:rPr>
              <w:t>$</w:t>
            </w:r>
          </w:p>
        </w:tc>
        <w:tc>
          <w:tcPr>
            <w:tcW w:w="7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148</w:t>
            </w:r>
          </w:p>
        </w:tc>
        <w:tc>
          <w:tcPr>
            <w:tcW w:w="80" w:type="dxa"/>
            <w:vAlign w:val="bottom"/>
            <w:shd w:val="clear" w:color="auto" w:fill="CFF0FC"/>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400" w:type="dxa"/>
            <w:vAlign w:val="bottom"/>
            <w:gridSpan w:val="2"/>
          </w:tcPr>
          <w:p>
            <w:pPr>
              <w:spacing w:after="0" w:line="215" w:lineRule="exact"/>
              <w:rPr>
                <w:sz w:val="20"/>
                <w:szCs w:val="20"/>
                <w:color w:val="auto"/>
              </w:rPr>
            </w:pPr>
            <w:r>
              <w:rPr>
                <w:rFonts w:ascii="Calibri" w:cs="Calibri" w:eastAsia="Calibri" w:hAnsi="Calibri"/>
                <w:sz w:val="18"/>
                <w:szCs w:val="18"/>
                <w:color w:val="auto"/>
              </w:rPr>
              <w:t>Finished goods</w:t>
            </w:r>
          </w:p>
        </w:tc>
        <w:tc>
          <w:tcPr>
            <w:tcW w:w="2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374</w:t>
            </w:r>
          </w:p>
        </w:tc>
        <w:tc>
          <w:tcPr>
            <w:tcW w:w="80" w:type="dxa"/>
            <w:vAlign w:val="bottom"/>
          </w:tcPr>
          <w:p>
            <w:pPr>
              <w:spacing w:after="0"/>
              <w:rPr>
                <w:sz w:val="18"/>
                <w:szCs w:val="18"/>
                <w:color w:val="auto"/>
              </w:rPr>
            </w:pPr>
          </w:p>
        </w:tc>
      </w:tr>
      <w:tr>
        <w:trPr>
          <w:trHeight w:val="217"/>
        </w:trPr>
        <w:tc>
          <w:tcPr>
            <w:tcW w:w="1700" w:type="dxa"/>
            <w:vAlign w:val="bottom"/>
          </w:tcPr>
          <w:p>
            <w:pPr>
              <w:spacing w:after="0"/>
              <w:rPr>
                <w:sz w:val="18"/>
                <w:szCs w:val="18"/>
                <w:color w:val="auto"/>
              </w:rPr>
            </w:pPr>
          </w:p>
        </w:tc>
        <w:tc>
          <w:tcPr>
            <w:tcW w:w="5400" w:type="dxa"/>
            <w:vAlign w:val="bottom"/>
            <w:tcBorders>
              <w:bottom w:val="single" w:sz="8" w:color="CFF0FC"/>
            </w:tcBorders>
            <w:gridSpan w:val="2"/>
            <w:shd w:val="clear" w:color="auto" w:fill="CFF0FC"/>
          </w:tcPr>
          <w:p>
            <w:pPr>
              <w:spacing w:after="0" w:line="217" w:lineRule="exact"/>
              <w:rPr>
                <w:sz w:val="20"/>
                <w:szCs w:val="20"/>
                <w:color w:val="auto"/>
              </w:rPr>
            </w:pPr>
            <w:r>
              <w:rPr>
                <w:rFonts w:ascii="Calibri" w:cs="Calibri" w:eastAsia="Calibri" w:hAnsi="Calibri"/>
                <w:sz w:val="17"/>
                <w:szCs w:val="17"/>
                <w:color w:val="auto"/>
              </w:rPr>
              <w:t>Other</w:t>
            </w:r>
            <w:r>
              <w:rPr>
                <w:rFonts w:ascii="Calibri" w:cs="Calibri" w:eastAsia="Calibri" w:hAnsi="Calibri"/>
                <w:sz w:val="23"/>
                <w:szCs w:val="23"/>
                <w:color w:val="auto"/>
                <w:vertAlign w:val="superscript"/>
              </w:rPr>
              <w:t>(1)</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69</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tcPr>
          <w:p>
            <w:pPr>
              <w:spacing w:after="0" w:line="209" w:lineRule="exact"/>
              <w:rPr>
                <w:sz w:val="20"/>
                <w:szCs w:val="20"/>
                <w:color w:val="auto"/>
              </w:rPr>
            </w:pPr>
            <w:r>
              <w:rPr>
                <w:rFonts w:ascii="Calibri" w:cs="Calibri" w:eastAsia="Calibri" w:hAnsi="Calibri"/>
                <w:sz w:val="18"/>
                <w:szCs w:val="18"/>
                <w:color w:val="auto"/>
              </w:rPr>
              <w:t>Total</w:t>
            </w:r>
          </w:p>
        </w:tc>
        <w:tc>
          <w:tcPr>
            <w:tcW w:w="2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552</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585</w:t>
            </w:r>
          </w:p>
        </w:tc>
        <w:tc>
          <w:tcPr>
            <w:tcW w:w="80" w:type="dxa"/>
            <w:vAlign w:val="bottom"/>
          </w:tcPr>
          <w:p>
            <w:pPr>
              <w:spacing w:after="0"/>
              <w:rPr>
                <w:sz w:val="18"/>
                <w:szCs w:val="18"/>
                <w:color w:val="auto"/>
              </w:rPr>
            </w:pPr>
          </w:p>
        </w:tc>
      </w:tr>
      <w:tr>
        <w:trPr>
          <w:trHeight w:val="20"/>
        </w:trPr>
        <w:tc>
          <w:tcPr>
            <w:tcW w:w="188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880" w:type="dxa"/>
            <w:vAlign w:val="bottom"/>
            <w:tcBorders>
              <w:bottom w:val="single" w:sz="8" w:color="auto"/>
            </w:tcBorders>
            <w:gridSpan w:val="2"/>
          </w:tcPr>
          <w:p>
            <w:pPr>
              <w:spacing w:after="0"/>
              <w:rPr>
                <w:sz w:val="10"/>
                <w:szCs w:val="10"/>
                <w:color w:val="auto"/>
              </w:rPr>
            </w:pPr>
          </w:p>
        </w:tc>
        <w:tc>
          <w:tcPr>
            <w:tcW w:w="5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340"/>
        </w:trPr>
        <w:tc>
          <w:tcPr>
            <w:tcW w:w="7100" w:type="dxa"/>
            <w:vAlign w:val="bottom"/>
            <w:gridSpan w:val="3"/>
          </w:tcPr>
          <w:p>
            <w:pPr>
              <w:ind w:left="460"/>
              <w:spacing w:after="0"/>
              <w:rPr>
                <w:sz w:val="20"/>
                <w:szCs w:val="20"/>
                <w:color w:val="auto"/>
              </w:rPr>
            </w:pPr>
            <w:r>
              <w:rPr>
                <w:rFonts w:ascii="Calibri" w:cs="Calibri" w:eastAsia="Calibri" w:hAnsi="Calibri"/>
                <w:sz w:val="24"/>
                <w:szCs w:val="24"/>
                <w:b w:val="1"/>
                <w:bCs w:val="1"/>
                <w:color w:val="auto"/>
                <w:vertAlign w:val="superscript"/>
              </w:rPr>
              <w:t>(1)</w:t>
            </w:r>
            <w:r>
              <w:rPr>
                <w:rFonts w:ascii="Calibri" w:cs="Calibri" w:eastAsia="Calibri" w:hAnsi="Calibri"/>
                <w:sz w:val="18"/>
                <w:szCs w:val="18"/>
                <w:color w:val="auto"/>
              </w:rPr>
              <w:t xml:space="preserve">   Other inventory is comprised of certain spare parts and supplies.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7100" w:type="dxa"/>
            <w:vAlign w:val="bottom"/>
            <w:gridSpan w:val="3"/>
          </w:tcPr>
          <w:p>
            <w:pPr>
              <w:ind w:left="520"/>
              <w:spacing w:after="0"/>
              <w:rPr>
                <w:sz w:val="20"/>
                <w:szCs w:val="20"/>
                <w:color w:val="auto"/>
              </w:rPr>
            </w:pPr>
            <w:r>
              <w:rPr>
                <w:rFonts w:ascii="Calibri" w:cs="Calibri" w:eastAsia="Calibri" w:hAnsi="Calibri"/>
                <w:sz w:val="18"/>
                <w:szCs w:val="18"/>
                <w:color w:val="auto"/>
              </w:rPr>
              <w:t>At both September 30, 2024 and 2023, total inventory reserves were $14 million.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7"/>
        </w:trPr>
        <w:tc>
          <w:tcPr>
            <w:tcW w:w="7100" w:type="dxa"/>
            <w:vAlign w:val="bottom"/>
            <w:gridSpan w:val="3"/>
          </w:tcPr>
          <w:p>
            <w:pPr>
              <w:spacing w:after="0"/>
              <w:rPr>
                <w:sz w:val="20"/>
                <w:szCs w:val="20"/>
                <w:color w:val="auto"/>
              </w:rPr>
            </w:pPr>
            <w:r>
              <w:rPr>
                <w:rFonts w:ascii="Calibri" w:cs="Calibri" w:eastAsia="Calibri" w:hAnsi="Calibri"/>
                <w:sz w:val="18"/>
                <w:szCs w:val="18"/>
                <w:b w:val="1"/>
                <w:bCs w:val="1"/>
                <w:color w:val="auto"/>
              </w:rPr>
              <w:t>Note F. Property, Plant and Equipment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7100" w:type="dxa"/>
            <w:vAlign w:val="bottom"/>
            <w:gridSpan w:val="3"/>
          </w:tcPr>
          <w:p>
            <w:pPr>
              <w:ind w:left="520"/>
              <w:spacing w:after="0"/>
              <w:rPr>
                <w:sz w:val="20"/>
                <w:szCs w:val="20"/>
                <w:color w:val="auto"/>
              </w:rPr>
            </w:pPr>
            <w:r>
              <w:rPr>
                <w:rFonts w:ascii="Calibri" w:cs="Calibri" w:eastAsia="Calibri" w:hAnsi="Calibri"/>
                <w:sz w:val="18"/>
                <w:szCs w:val="18"/>
                <w:color w:val="auto"/>
              </w:rPr>
              <w:t>Property, plant and equipment consists of the following:</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3"/>
        </w:trPr>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73"/>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3"/>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6"/>
              <w:spacing w:after="0" w:line="169"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0"/>
              <w:spacing w:after="0" w:line="169" w:lineRule="exact"/>
              <w:rPr>
                <w:sz w:val="20"/>
                <w:szCs w:val="20"/>
                <w:color w:val="auto"/>
              </w:rPr>
            </w:pPr>
            <w:r>
              <w:rPr>
                <w:rFonts w:ascii="Calibri" w:cs="Calibri" w:eastAsia="Calibri" w:hAnsi="Calibri"/>
                <w:sz w:val="14"/>
                <w:szCs w:val="14"/>
                <w:b w:val="1"/>
                <w:bCs w:val="1"/>
                <w:color w:val="auto"/>
                <w:w w:val="87"/>
              </w:rPr>
              <w:t>millions)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1700" w:type="dxa"/>
            <w:vAlign w:val="bottom"/>
          </w:tcPr>
          <w:p>
            <w:pPr>
              <w:spacing w:after="0"/>
              <w:rPr>
                <w:sz w:val="19"/>
                <w:szCs w:val="19"/>
                <w:color w:val="auto"/>
              </w:rPr>
            </w:pPr>
          </w:p>
        </w:tc>
        <w:tc>
          <w:tcPr>
            <w:tcW w:w="5400" w:type="dxa"/>
            <w:vAlign w:val="bottom"/>
            <w:gridSpan w:val="2"/>
            <w:shd w:val="clear" w:color="auto" w:fill="CFF0FC"/>
          </w:tcPr>
          <w:p>
            <w:pPr>
              <w:spacing w:after="0" w:line="217" w:lineRule="exact"/>
              <w:rPr>
                <w:sz w:val="20"/>
                <w:szCs w:val="20"/>
                <w:color w:val="auto"/>
              </w:rPr>
            </w:pPr>
            <w:r>
              <w:rPr>
                <w:rFonts w:ascii="Calibri" w:cs="Calibri" w:eastAsia="Calibri" w:hAnsi="Calibri"/>
                <w:sz w:val="18"/>
                <w:szCs w:val="18"/>
                <w:color w:val="auto"/>
              </w:rPr>
              <w:t>Land and land improvements</w:t>
            </w:r>
          </w:p>
        </w:tc>
        <w:tc>
          <w:tcPr>
            <w:tcW w:w="26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74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line="217" w:lineRule="exact"/>
              <w:rPr>
                <w:sz w:val="20"/>
                <w:szCs w:val="20"/>
                <w:color w:val="auto"/>
              </w:rPr>
            </w:pPr>
            <w:r>
              <w:rPr>
                <w:rFonts w:ascii="Calibri" w:cs="Calibri" w:eastAsia="Calibri" w:hAnsi="Calibri"/>
                <w:sz w:val="18"/>
                <w:szCs w:val="18"/>
                <w:color w:val="auto"/>
                <w:w w:val="87"/>
              </w:rPr>
              <w:t>$</w:t>
            </w:r>
          </w:p>
        </w:tc>
        <w:tc>
          <w:tcPr>
            <w:tcW w:w="7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72</w:t>
            </w:r>
          </w:p>
        </w:tc>
        <w:tc>
          <w:tcPr>
            <w:tcW w:w="80" w:type="dxa"/>
            <w:vAlign w:val="bottom"/>
            <w:shd w:val="clear" w:color="auto" w:fill="CFF0FC"/>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400" w:type="dxa"/>
            <w:vAlign w:val="bottom"/>
            <w:gridSpan w:val="2"/>
          </w:tcPr>
          <w:p>
            <w:pPr>
              <w:spacing w:after="0" w:line="215" w:lineRule="exact"/>
              <w:rPr>
                <w:sz w:val="20"/>
                <w:szCs w:val="20"/>
                <w:color w:val="auto"/>
              </w:rPr>
            </w:pPr>
            <w:r>
              <w:rPr>
                <w:rFonts w:ascii="Calibri" w:cs="Calibri" w:eastAsia="Calibri" w:hAnsi="Calibri"/>
                <w:sz w:val="18"/>
                <w:szCs w:val="18"/>
                <w:color w:val="auto"/>
              </w:rPr>
              <w:t>Buildings</w:t>
            </w:r>
          </w:p>
        </w:tc>
        <w:tc>
          <w:tcPr>
            <w:tcW w:w="2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576</w:t>
            </w:r>
          </w:p>
        </w:tc>
        <w:tc>
          <w:tcPr>
            <w:tcW w:w="80" w:type="dxa"/>
            <w:vAlign w:val="bottom"/>
          </w:tcPr>
          <w:p>
            <w:pPr>
              <w:spacing w:after="0"/>
              <w:rPr>
                <w:sz w:val="18"/>
                <w:szCs w:val="18"/>
                <w:color w:val="auto"/>
              </w:rPr>
            </w:pPr>
          </w:p>
        </w:tc>
      </w:tr>
      <w:tr>
        <w:trPr>
          <w:trHeight w:val="217"/>
        </w:trPr>
        <w:tc>
          <w:tcPr>
            <w:tcW w:w="1700" w:type="dxa"/>
            <w:vAlign w:val="bottom"/>
          </w:tcPr>
          <w:p>
            <w:pPr>
              <w:spacing w:after="0"/>
              <w:rPr>
                <w:sz w:val="18"/>
                <w:szCs w:val="18"/>
                <w:color w:val="auto"/>
              </w:rPr>
            </w:pPr>
          </w:p>
        </w:tc>
        <w:tc>
          <w:tcPr>
            <w:tcW w:w="5400" w:type="dxa"/>
            <w:vAlign w:val="bottom"/>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Machinery and equipment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2,780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2,622</w:t>
            </w:r>
          </w:p>
        </w:tc>
        <w:tc>
          <w:tcPr>
            <w:tcW w:w="80" w:type="dxa"/>
            <w:vAlign w:val="bottom"/>
            <w:shd w:val="clear" w:color="auto" w:fill="CFF0FC"/>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5400" w:type="dxa"/>
            <w:vAlign w:val="bottom"/>
            <w:gridSpan w:val="2"/>
          </w:tcPr>
          <w:p>
            <w:pPr>
              <w:spacing w:after="0" w:line="215" w:lineRule="exact"/>
              <w:rPr>
                <w:sz w:val="20"/>
                <w:szCs w:val="20"/>
                <w:color w:val="auto"/>
              </w:rPr>
            </w:pPr>
            <w:r>
              <w:rPr>
                <w:rFonts w:ascii="Calibri" w:cs="Calibri" w:eastAsia="Calibri" w:hAnsi="Calibri"/>
                <w:sz w:val="18"/>
                <w:szCs w:val="18"/>
                <w:color w:val="auto"/>
              </w:rPr>
              <w:t>Other</w:t>
            </w:r>
          </w:p>
        </w:tc>
        <w:tc>
          <w:tcPr>
            <w:tcW w:w="2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235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228</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400" w:type="dxa"/>
            <w:vAlign w:val="bottom"/>
            <w:tcBorders>
              <w:bottom w:val="single" w:sz="8" w:color="CFF0FC"/>
            </w:tcBorders>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Constructon in progress</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392</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tcPr>
          <w:p>
            <w:pPr>
              <w:spacing w:after="0" w:line="209" w:lineRule="exact"/>
              <w:rPr>
                <w:sz w:val="20"/>
                <w:szCs w:val="20"/>
                <w:color w:val="auto"/>
              </w:rPr>
            </w:pPr>
            <w:r>
              <w:rPr>
                <w:rFonts w:ascii="Calibri" w:cs="Calibri" w:eastAsia="Calibri" w:hAnsi="Calibri"/>
                <w:sz w:val="18"/>
                <w:szCs w:val="18"/>
                <w:color w:val="auto"/>
              </w:rPr>
              <w:t>Total property, plant and equipment</w:t>
            </w:r>
          </w:p>
        </w:tc>
        <w:tc>
          <w:tcPr>
            <w:tcW w:w="26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Calibri" w:cs="Calibri" w:eastAsia="Calibri" w:hAnsi="Calibri"/>
                <w:sz w:val="18"/>
                <w:szCs w:val="18"/>
                <w:color w:val="auto"/>
              </w:rPr>
              <w:t>4,082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Calibri" w:cs="Calibri" w:eastAsia="Calibri" w:hAnsi="Calibri"/>
                <w:sz w:val="18"/>
                <w:szCs w:val="18"/>
                <w:color w:val="auto"/>
              </w:rPr>
              <w:t>3,827</w:t>
            </w:r>
          </w:p>
        </w:tc>
        <w:tc>
          <w:tcPr>
            <w:tcW w:w="80" w:type="dxa"/>
            <w:vAlign w:val="bottom"/>
          </w:tcPr>
          <w:p>
            <w:pPr>
              <w:spacing w:after="0"/>
              <w:rPr>
                <w:sz w:val="18"/>
                <w:szCs w:val="18"/>
                <w:color w:val="auto"/>
              </w:rPr>
            </w:pPr>
          </w:p>
        </w:tc>
      </w:tr>
      <w:tr>
        <w:trPr>
          <w:trHeight w:val="217"/>
        </w:trPr>
        <w:tc>
          <w:tcPr>
            <w:tcW w:w="1700" w:type="dxa"/>
            <w:vAlign w:val="bottom"/>
          </w:tcPr>
          <w:p>
            <w:pPr>
              <w:spacing w:after="0"/>
              <w:rPr>
                <w:sz w:val="18"/>
                <w:szCs w:val="18"/>
                <w:color w:val="auto"/>
              </w:rPr>
            </w:pPr>
          </w:p>
        </w:tc>
        <w:tc>
          <w:tcPr>
            <w:tcW w:w="5400" w:type="dxa"/>
            <w:vAlign w:val="bottom"/>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Less: Accumulated depreciaton</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8"/>
              <w:spacing w:after="0" w:line="216" w:lineRule="exact"/>
              <w:rPr>
                <w:sz w:val="20"/>
                <w:szCs w:val="20"/>
                <w:color w:val="auto"/>
              </w:rPr>
            </w:pPr>
            <w:r>
              <w:rPr>
                <w:rFonts w:ascii="Calibri" w:cs="Calibri" w:eastAsia="Calibri" w:hAnsi="Calibri"/>
                <w:sz w:val="18"/>
                <w:szCs w:val="18"/>
                <w:color w:val="auto"/>
              </w:rPr>
              <w:t>(2,548 )</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(2,415 )</w:t>
            </w:r>
          </w:p>
        </w:tc>
      </w:tr>
      <w:tr>
        <w:trPr>
          <w:trHeight w:val="210"/>
        </w:trPr>
        <w:tc>
          <w:tcPr>
            <w:tcW w:w="1700" w:type="dxa"/>
            <w:vAlign w:val="bottom"/>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220" w:type="dxa"/>
            <w:vAlign w:val="bottom"/>
            <w:tcBorders>
              <w:top w:val="single" w:sz="8" w:color="CFF0FC"/>
            </w:tcBorders>
          </w:tcPr>
          <w:p>
            <w:pPr>
              <w:spacing w:after="0" w:line="210" w:lineRule="exact"/>
              <w:rPr>
                <w:sz w:val="20"/>
                <w:szCs w:val="20"/>
                <w:color w:val="auto"/>
              </w:rPr>
            </w:pPr>
            <w:r>
              <w:rPr>
                <w:rFonts w:ascii="Calibri" w:cs="Calibri" w:eastAsia="Calibri" w:hAnsi="Calibri"/>
                <w:sz w:val="18"/>
                <w:szCs w:val="18"/>
                <w:color w:val="auto"/>
              </w:rPr>
              <w:t>Net property, plant and equipment</w:t>
            </w:r>
          </w:p>
        </w:tc>
        <w:tc>
          <w:tcPr>
            <w:tcW w:w="260" w:type="dxa"/>
            <w:vAlign w:val="bottom"/>
            <w:tcBorders>
              <w:top w:val="single" w:sz="8" w:color="auto"/>
              <w:bottom w:val="single" w:sz="8" w:color="auto"/>
            </w:tcBorders>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1,534</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1,412</w:t>
            </w:r>
          </w:p>
        </w:tc>
        <w:tc>
          <w:tcPr>
            <w:tcW w:w="80" w:type="dxa"/>
            <w:vAlign w:val="bottom"/>
            <w:tcBorders>
              <w:top w:val="single" w:sz="8" w:color="CFF0FC"/>
            </w:tcBorders>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-2562225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-2562225</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-453390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Depreciaton expense for fscal 2024, 2023 and 2022 was $145 million, $138 million and $140 million, respectvely.</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G. Goodwill and Intangible Assets</w:t>
      </w:r>
    </w:p>
    <w:p>
      <w:pPr>
        <w:spacing w:after="0" w:line="82" w:lineRule="exact"/>
        <w:rPr>
          <w:sz w:val="20"/>
          <w:szCs w:val="20"/>
          <w:color w:val="auto"/>
        </w:rPr>
      </w:pPr>
    </w:p>
    <w:p>
      <w:pPr>
        <w:ind w:right="160" w:firstLine="549"/>
        <w:spacing w:after="0" w:line="235" w:lineRule="auto"/>
        <w:rPr>
          <w:sz w:val="20"/>
          <w:szCs w:val="20"/>
          <w:color w:val="auto"/>
        </w:rPr>
      </w:pPr>
      <w:r>
        <w:rPr>
          <w:rFonts w:ascii="Calibri" w:cs="Calibri" w:eastAsia="Calibri" w:hAnsi="Calibri"/>
          <w:sz w:val="18"/>
          <w:szCs w:val="18"/>
          <w:color w:val="auto"/>
        </w:rPr>
        <w:t>The carrying amount of goodwill atributable to each reportable segment with goodwill balances and the changes in those balances during the fscal year ended September 30, 2024 are as follows:</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Calibri" w:cs="Calibri" w:eastAsia="Calibri" w:hAnsi="Calibri"/>
                <w:sz w:val="14"/>
                <w:szCs w:val="14"/>
                <w:b w:val="1"/>
                <w:bCs w:val="1"/>
                <w:color w:val="auto"/>
              </w:rPr>
              <w:t>Reinforcement</w:t>
            </w:r>
          </w:p>
        </w:tc>
        <w:tc>
          <w:tcPr>
            <w:tcW w:w="1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alibri" w:cs="Calibri" w:eastAsia="Calibri" w:hAnsi="Calibri"/>
                <w:sz w:val="14"/>
                <w:szCs w:val="14"/>
                <w:b w:val="1"/>
                <w:bCs w:val="1"/>
                <w:color w:val="auto"/>
              </w:rPr>
              <w:t>Performance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Calibri" w:cs="Calibri" w:eastAsia="Calibri" w:hAnsi="Calibri"/>
                <w:sz w:val="14"/>
                <w:szCs w:val="14"/>
                <w:b w:val="1"/>
                <w:bCs w:val="1"/>
                <w:color w:val="auto"/>
              </w:rPr>
              <w:t>Materials</w:t>
            </w:r>
          </w:p>
        </w:tc>
        <w:tc>
          <w:tcPr>
            <w:tcW w:w="160" w:type="dxa"/>
            <w:vAlign w:val="bottom"/>
          </w:tcPr>
          <w:p>
            <w:pPr>
              <w:spacing w:after="0"/>
              <w:rPr>
                <w:sz w:val="16"/>
                <w:szCs w:val="16"/>
                <w:color w:val="auto"/>
              </w:rPr>
            </w:pPr>
          </w:p>
        </w:tc>
        <w:tc>
          <w:tcPr>
            <w:tcW w:w="1020" w:type="dxa"/>
            <w:vAlign w:val="bottom"/>
          </w:tcPr>
          <w:p>
            <w:pPr>
              <w:jc w:val="right"/>
              <w:ind w:right="197"/>
              <w:spacing w:after="0"/>
              <w:rPr>
                <w:sz w:val="20"/>
                <w:szCs w:val="20"/>
                <w:color w:val="auto"/>
              </w:rPr>
            </w:pPr>
            <w:r>
              <w:rPr>
                <w:rFonts w:ascii="Calibri" w:cs="Calibri" w:eastAsia="Calibri" w:hAnsi="Calibri"/>
                <w:sz w:val="14"/>
                <w:szCs w:val="14"/>
                <w:b w:val="1"/>
                <w:bCs w:val="1"/>
                <w:color w:val="auto"/>
              </w:rPr>
              <w:t>Chemicals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540"/>
              <w:spacing w:after="0"/>
              <w:rPr>
                <w:sz w:val="20"/>
                <w:szCs w:val="20"/>
                <w:color w:val="auto"/>
              </w:rPr>
            </w:pPr>
            <w:r>
              <w:rPr>
                <w:rFonts w:ascii="Calibri" w:cs="Calibri" w:eastAsia="Calibri" w:hAnsi="Calibri"/>
                <w:sz w:val="14"/>
                <w:szCs w:val="14"/>
                <w:b w:val="1"/>
                <w:bCs w:val="1"/>
                <w:color w:val="auto"/>
              </w:rPr>
              <w:t>Total</w:t>
            </w:r>
          </w:p>
        </w:tc>
      </w:tr>
      <w:tr>
        <w:trPr>
          <w:trHeight w:val="173"/>
        </w:trPr>
        <w:tc>
          <w:tcPr>
            <w:tcW w:w="59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6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9"/>
        </w:trPr>
        <w:tc>
          <w:tcPr>
            <w:tcW w:w="59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Balance at September 30, 2022</w:t>
            </w: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83</w:t>
            </w:r>
          </w:p>
        </w:tc>
        <w:tc>
          <w:tcPr>
            <w:tcW w:w="500" w:type="dxa"/>
            <w:vAlign w:val="bottom"/>
            <w:gridSpan w:val="2"/>
            <w:shd w:val="clear" w:color="auto" w:fill="CFF0FC"/>
          </w:tcPr>
          <w:p>
            <w:pPr>
              <w:jc w:val="right"/>
              <w:ind w:right="90"/>
              <w:spacing w:after="0" w:line="217"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129</w:t>
            </w:r>
          </w:p>
        </w:tc>
        <w:tc>
          <w:tcPr>
            <w:tcW w:w="100" w:type="dxa"/>
            <w:vAlign w:val="bottom"/>
            <w:shd w:val="clear" w:color="auto" w:fill="CFF0FC"/>
          </w:tcPr>
          <w:p>
            <w:pPr>
              <w:spacing w:after="0"/>
              <w:rPr>
                <w:sz w:val="19"/>
                <w:szCs w:val="19"/>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Foreign currency impact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r>
      <w:tr>
        <w:trPr>
          <w:trHeight w:val="210"/>
        </w:trPr>
        <w:tc>
          <w:tcPr>
            <w:tcW w:w="598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Balance at September 30, 2023</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134</w:t>
            </w:r>
          </w:p>
        </w:tc>
        <w:tc>
          <w:tcPr>
            <w:tcW w:w="100" w:type="dxa"/>
            <w:vAlign w:val="bottom"/>
            <w:shd w:val="clear" w:color="auto" w:fill="CFF0FC"/>
          </w:tcPr>
          <w:p>
            <w:pPr>
              <w:spacing w:after="0"/>
              <w:rPr>
                <w:sz w:val="18"/>
                <w:szCs w:val="18"/>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Foreign currency impact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(3 )</w:t>
            </w:r>
          </w:p>
        </w:tc>
        <w:tc>
          <w:tcPr>
            <w:tcW w:w="16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50"/>
        </w:trPr>
        <w:tc>
          <w:tcPr>
            <w:tcW w:w="5980" w:type="dxa"/>
            <w:vAlign w:val="bottom"/>
            <w:tcBorders>
              <w:bottom w:val="single" w:sz="8" w:color="CFF0FC"/>
            </w:tcBorders>
            <w:shd w:val="clear" w:color="auto" w:fill="CFF0FC"/>
          </w:tcPr>
          <w:p>
            <w:pPr>
              <w:spacing w:after="0" w:line="210" w:lineRule="exact"/>
              <w:rPr>
                <w:sz w:val="20"/>
                <w:szCs w:val="20"/>
                <w:color w:val="auto"/>
              </w:rPr>
            </w:pPr>
            <w:r>
              <w:rPr>
                <w:rFonts w:ascii="Calibri" w:cs="Calibri" w:eastAsia="Calibri" w:hAnsi="Calibri"/>
                <w:sz w:val="18"/>
                <w:szCs w:val="18"/>
                <w:color w:val="auto"/>
              </w:rPr>
              <w:t>Balance at September 30, 2024</w:t>
            </w:r>
          </w:p>
        </w:tc>
        <w:tc>
          <w:tcPr>
            <w:tcW w:w="1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85</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informaton regarding the Company’s intangible assets with fnite lives: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Calibri" w:cs="Calibri" w:eastAsia="Calibri" w:hAnsi="Calibri"/>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Calibri" w:cs="Calibri" w:eastAsia="Calibri" w:hAnsi="Calibri"/>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4700" w:type="dxa"/>
            <w:vAlign w:val="bottom"/>
          </w:tcPr>
          <w:p>
            <w:pPr>
              <w:spacing w:after="0"/>
              <w:rPr>
                <w:sz w:val="14"/>
                <w:szCs w:val="14"/>
                <w:color w:val="auto"/>
              </w:rPr>
            </w:pPr>
          </w:p>
        </w:tc>
        <w:tc>
          <w:tcPr>
            <w:tcW w:w="700" w:type="dxa"/>
            <w:vAlign w:val="bottom"/>
          </w:tcPr>
          <w:p>
            <w:pPr>
              <w:jc w:val="center"/>
              <w:ind w:left="121"/>
              <w:spacing w:after="0" w:line="161" w:lineRule="exact"/>
              <w:rPr>
                <w:sz w:val="20"/>
                <w:szCs w:val="20"/>
                <w:color w:val="auto"/>
              </w:rPr>
            </w:pPr>
            <w:r>
              <w:rPr>
                <w:rFonts w:ascii="Calibri" w:cs="Calibri" w:eastAsia="Calibri" w:hAnsi="Calibri"/>
                <w:sz w:val="14"/>
                <w:szCs w:val="14"/>
                <w:b w:val="1"/>
                <w:bCs w:val="1"/>
                <w:color w:val="auto"/>
              </w:rPr>
              <w:t>Gross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9"/>
              <w:spacing w:after="0" w:line="161" w:lineRule="exact"/>
              <w:rPr>
                <w:sz w:val="20"/>
                <w:szCs w:val="20"/>
                <w:color w:val="auto"/>
              </w:rPr>
            </w:pPr>
            <w:r>
              <w:rPr>
                <w:rFonts w:ascii="Calibri" w:cs="Calibri" w:eastAsia="Calibri" w:hAnsi="Calibri"/>
                <w:sz w:val="14"/>
                <w:szCs w:val="14"/>
                <w:b w:val="1"/>
                <w:bCs w:val="1"/>
                <w:color w:val="auto"/>
                <w:w w:val="94"/>
              </w:rPr>
              <w:t>Net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8"/>
              <w:spacing w:after="0" w:line="161" w:lineRule="exact"/>
              <w:rPr>
                <w:sz w:val="20"/>
                <w:szCs w:val="20"/>
                <w:color w:val="auto"/>
              </w:rPr>
            </w:pPr>
            <w:r>
              <w:rPr>
                <w:rFonts w:ascii="Calibri" w:cs="Calibri" w:eastAsia="Calibri" w:hAnsi="Calibri"/>
                <w:sz w:val="14"/>
                <w:szCs w:val="14"/>
                <w:b w:val="1"/>
                <w:bCs w:val="1"/>
                <w:color w:val="auto"/>
              </w:rPr>
              <w:t>Gross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line="161" w:lineRule="exact"/>
              <w:rPr>
                <w:sz w:val="20"/>
                <w:szCs w:val="20"/>
                <w:color w:val="auto"/>
              </w:rPr>
            </w:pPr>
            <w:r>
              <w:rPr>
                <w:rFonts w:ascii="Calibri" w:cs="Calibri" w:eastAsia="Calibri" w:hAnsi="Calibri"/>
                <w:sz w:val="14"/>
                <w:szCs w:val="14"/>
                <w:b w:val="1"/>
                <w:bCs w:val="1"/>
                <w:color w:val="auto"/>
              </w:rPr>
              <w:t>Net</w:t>
            </w:r>
          </w:p>
        </w:tc>
        <w:tc>
          <w:tcPr>
            <w:tcW w:w="10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7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Carrying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right"/>
              <w:ind w:right="28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Intangible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Intangible</w:t>
            </w:r>
          </w:p>
        </w:tc>
      </w:tr>
      <w:tr>
        <w:trPr>
          <w:trHeight w:val="189"/>
        </w:trPr>
        <w:tc>
          <w:tcPr>
            <w:tcW w:w="4700" w:type="dxa"/>
            <w:vAlign w:val="bottom"/>
          </w:tcPr>
          <w:p>
            <w:pPr>
              <w:spacing w:after="0"/>
              <w:rPr>
                <w:sz w:val="16"/>
                <w:szCs w:val="16"/>
                <w:color w:val="auto"/>
              </w:rPr>
            </w:pPr>
          </w:p>
        </w:tc>
        <w:tc>
          <w:tcPr>
            <w:tcW w:w="7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Value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jc w:val="right"/>
              <w:ind w:right="280"/>
              <w:spacing w:after="0"/>
              <w:rPr>
                <w:sz w:val="20"/>
                <w:szCs w:val="20"/>
                <w:color w:val="auto"/>
              </w:rPr>
            </w:pPr>
            <w:r>
              <w:rPr>
                <w:rFonts w:ascii="Calibri" w:cs="Calibri" w:eastAsia="Calibri" w:hAnsi="Calibri"/>
                <w:sz w:val="14"/>
                <w:szCs w:val="14"/>
                <w:b w:val="1"/>
                <w:bCs w:val="1"/>
                <w:color w:val="auto"/>
              </w:rPr>
              <w:t>Amortzaton</w:t>
            </w:r>
          </w:p>
        </w:tc>
        <w:tc>
          <w:tcPr>
            <w:tcW w:w="120" w:type="dxa"/>
            <w:vAlign w:val="bottom"/>
          </w:tcPr>
          <w:p>
            <w:pPr>
              <w:spacing w:after="0"/>
              <w:rPr>
                <w:sz w:val="16"/>
                <w:szCs w:val="16"/>
                <w:color w:val="auto"/>
              </w:rPr>
            </w:pPr>
          </w:p>
        </w:tc>
        <w:tc>
          <w:tcPr>
            <w:tcW w:w="76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Value</w:t>
            </w:r>
          </w:p>
        </w:tc>
        <w:tc>
          <w:tcPr>
            <w:tcW w:w="200" w:type="dxa"/>
            <w:vAlign w:val="bottom"/>
          </w:tcPr>
          <w:p>
            <w:pPr>
              <w:spacing w:after="0"/>
              <w:rPr>
                <w:sz w:val="16"/>
                <w:szCs w:val="16"/>
                <w:color w:val="auto"/>
              </w:rPr>
            </w:pPr>
          </w:p>
        </w:tc>
        <w:tc>
          <w:tcPr>
            <w:tcW w:w="1100" w:type="dxa"/>
            <w:vAlign w:val="bottom"/>
            <w:gridSpan w:val="3"/>
          </w:tcPr>
          <w:p>
            <w:pPr>
              <w:jc w:val="right"/>
              <w:ind w:right="260"/>
              <w:spacing w:after="0"/>
              <w:rPr>
                <w:sz w:val="20"/>
                <w:szCs w:val="20"/>
                <w:color w:val="auto"/>
              </w:rPr>
            </w:pPr>
            <w:r>
              <w:rPr>
                <w:rFonts w:ascii="Calibri" w:cs="Calibri" w:eastAsia="Calibri" w:hAnsi="Calibri"/>
                <w:sz w:val="14"/>
                <w:szCs w:val="14"/>
                <w:b w:val="1"/>
                <w:bCs w:val="1"/>
                <w:color w:val="auto"/>
              </w:rPr>
              <w:t>Amortzaton</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Assets</w:t>
            </w:r>
          </w:p>
        </w:tc>
      </w:tr>
      <w:tr>
        <w:trPr>
          <w:trHeight w:val="173"/>
        </w:trPr>
        <w:tc>
          <w:tcPr>
            <w:tcW w:w="47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9"/>
              <w:spacing w:after="0"/>
              <w:rPr>
                <w:sz w:val="20"/>
                <w:szCs w:val="20"/>
                <w:color w:val="auto"/>
              </w:rPr>
            </w:pPr>
            <w:r>
              <w:rPr>
                <w:rFonts w:ascii="Calibri" w:cs="Calibri" w:eastAsia="Calibri" w:hAnsi="Calibri"/>
                <w:sz w:val="14"/>
                <w:szCs w:val="14"/>
                <w:b w:val="1"/>
                <w:bCs w:val="1"/>
                <w:color w:val="auto"/>
              </w:rPr>
              <w:t>(In</w:t>
            </w:r>
          </w:p>
        </w:tc>
        <w:tc>
          <w:tcPr>
            <w:tcW w:w="1100" w:type="dxa"/>
            <w:vAlign w:val="bottom"/>
            <w:tcBorders>
              <w:top w:val="single" w:sz="8" w:color="auto"/>
            </w:tcBorders>
            <w:gridSpan w:val="3"/>
          </w:tcPr>
          <w:p>
            <w:pPr>
              <w:jc w:val="right"/>
              <w:ind w:right="598"/>
              <w:spacing w:after="0"/>
              <w:rPr>
                <w:sz w:val="20"/>
                <w:szCs w:val="20"/>
                <w:color w:val="auto"/>
              </w:rPr>
            </w:pPr>
            <w:r>
              <w:rPr>
                <w:rFonts w:ascii="Calibri" w:cs="Calibri" w:eastAsia="Calibri" w:hAnsi="Calibri"/>
                <w:sz w:val="14"/>
                <w:szCs w:val="14"/>
                <w:b w:val="1"/>
                <w:bCs w:val="1"/>
                <w:color w:val="auto"/>
                <w:w w:val="79"/>
              </w:rPr>
              <w:t>millions)</w:t>
            </w:r>
          </w:p>
        </w:tc>
        <w:tc>
          <w:tcPr>
            <w:tcW w:w="2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9"/>
        </w:trPr>
        <w:tc>
          <w:tcPr>
            <w:tcW w:w="4700" w:type="dxa"/>
            <w:vAlign w:val="bottom"/>
            <w:shd w:val="clear" w:color="auto" w:fill="CFF0FC"/>
          </w:tcPr>
          <w:p>
            <w:pPr>
              <w:ind w:left="200"/>
              <w:spacing w:after="0" w:line="217" w:lineRule="exact"/>
              <w:rPr>
                <w:sz w:val="20"/>
                <w:szCs w:val="20"/>
                <w:color w:val="auto"/>
              </w:rPr>
            </w:pPr>
            <w:r>
              <w:rPr>
                <w:rFonts w:ascii="Calibri" w:cs="Calibri" w:eastAsia="Calibri" w:hAnsi="Calibri"/>
                <w:sz w:val="18"/>
                <w:szCs w:val="18"/>
                <w:color w:val="auto"/>
              </w:rPr>
              <w:t>Developed technologies</w:t>
            </w:r>
          </w:p>
        </w:tc>
        <w:tc>
          <w:tcPr>
            <w:tcW w:w="700" w:type="dxa"/>
            <w:vAlign w:val="bottom"/>
            <w:shd w:val="clear" w:color="auto" w:fill="CFF0FC"/>
          </w:tcPr>
          <w:p>
            <w:pPr>
              <w:jc w:val="right"/>
              <w:ind w:right="521"/>
              <w:spacing w:after="0" w:line="217" w:lineRule="exact"/>
              <w:rPr>
                <w:sz w:val="20"/>
                <w:szCs w:val="20"/>
                <w:color w:val="auto"/>
              </w:rPr>
            </w:pPr>
            <w:r>
              <w:rPr>
                <w:rFonts w:ascii="Calibri" w:cs="Calibri" w:eastAsia="Calibri" w:hAnsi="Calibri"/>
                <w:sz w:val="18"/>
                <w:szCs w:val="18"/>
                <w:color w:val="auto"/>
                <w:w w:val="87"/>
              </w:rPr>
              <w:t>$</w:t>
            </w:r>
          </w:p>
        </w:tc>
        <w:tc>
          <w:tcPr>
            <w:tcW w:w="2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line="217" w:lineRule="exact"/>
              <w:rPr>
                <w:sz w:val="20"/>
                <w:szCs w:val="20"/>
                <w:color w:val="auto"/>
              </w:rPr>
            </w:pPr>
            <w:r>
              <w:rPr>
                <w:rFonts w:ascii="Calibri" w:cs="Calibri" w:eastAsia="Calibri" w:hAnsi="Calibri"/>
                <w:sz w:val="18"/>
                <w:szCs w:val="18"/>
                <w:color w:val="auto"/>
                <w:w w:val="87"/>
              </w:rPr>
              <w:t>$</w:t>
            </w:r>
          </w:p>
        </w:tc>
        <w:tc>
          <w:tcPr>
            <w:tcW w:w="740" w:type="dxa"/>
            <w:vAlign w:val="bottom"/>
            <w:gridSpan w:val="2"/>
            <w:shd w:val="clear" w:color="auto" w:fill="CFF0FC"/>
          </w:tcPr>
          <w:p>
            <w:pPr>
              <w:jc w:val="right"/>
              <w:ind w:right="140"/>
              <w:spacing w:after="0" w:line="217" w:lineRule="exact"/>
              <w:rPr>
                <w:sz w:val="20"/>
                <w:szCs w:val="20"/>
                <w:color w:val="auto"/>
              </w:rPr>
            </w:pPr>
            <w:r>
              <w:rPr>
                <w:rFonts w:ascii="Calibri" w:cs="Calibri" w:eastAsia="Calibri" w:hAnsi="Calibri"/>
                <w:sz w:val="18"/>
                <w:szCs w:val="18"/>
                <w:color w:val="auto"/>
              </w:rPr>
              <w:t>(12 )</w:t>
            </w: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22</w:t>
            </w:r>
          </w:p>
        </w:tc>
        <w:tc>
          <w:tcPr>
            <w:tcW w:w="360" w:type="dxa"/>
            <w:vAlign w:val="bottom"/>
            <w:gridSpan w:val="2"/>
            <w:shd w:val="clear" w:color="auto" w:fill="CFF0FC"/>
          </w:tcPr>
          <w:p>
            <w:pPr>
              <w:jc w:val="right"/>
              <w:ind w:right="40"/>
              <w:spacing w:after="0" w:line="217" w:lineRule="exact"/>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34</w:t>
            </w:r>
          </w:p>
        </w:tc>
        <w:tc>
          <w:tcPr>
            <w:tcW w:w="580" w:type="dxa"/>
            <w:vAlign w:val="bottom"/>
            <w:gridSpan w:val="2"/>
            <w:shd w:val="clear" w:color="auto" w:fill="CFF0FC"/>
          </w:tcPr>
          <w:p>
            <w:pPr>
              <w:jc w:val="right"/>
              <w:ind w:right="188"/>
              <w:spacing w:after="0" w:line="217" w:lineRule="exact"/>
              <w:rPr>
                <w:sz w:val="20"/>
                <w:szCs w:val="20"/>
                <w:color w:val="auto"/>
              </w:rPr>
            </w:pPr>
            <w:r>
              <w:rPr>
                <w:rFonts w:ascii="Calibri" w:cs="Calibri" w:eastAsia="Calibri" w:hAnsi="Calibri"/>
                <w:sz w:val="18"/>
                <w:szCs w:val="18"/>
                <w:color w:val="auto"/>
              </w:rPr>
              <w:t>$</w:t>
            </w:r>
          </w:p>
        </w:tc>
        <w:tc>
          <w:tcPr>
            <w:tcW w:w="720" w:type="dxa"/>
            <w:vAlign w:val="bottom"/>
            <w:gridSpan w:val="2"/>
            <w:shd w:val="clear" w:color="auto" w:fill="CFF0FC"/>
          </w:tcPr>
          <w:p>
            <w:pPr>
              <w:jc w:val="right"/>
              <w:ind w:right="140"/>
              <w:spacing w:after="0" w:line="217" w:lineRule="exact"/>
              <w:rPr>
                <w:sz w:val="20"/>
                <w:szCs w:val="20"/>
                <w:color w:val="auto"/>
              </w:rPr>
            </w:pPr>
            <w:r>
              <w:rPr>
                <w:rFonts w:ascii="Calibri" w:cs="Calibri" w:eastAsia="Calibri" w:hAnsi="Calibri"/>
                <w:sz w:val="18"/>
                <w:szCs w:val="18"/>
                <w:color w:val="auto"/>
              </w:rPr>
              <w:t>(10 )</w:t>
            </w: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24</w:t>
            </w:r>
          </w:p>
        </w:tc>
        <w:tc>
          <w:tcPr>
            <w:tcW w:w="100" w:type="dxa"/>
            <w:vAlign w:val="bottom"/>
            <w:shd w:val="clear" w:color="auto" w:fill="CFF0FC"/>
          </w:tcPr>
          <w:p>
            <w:pPr>
              <w:spacing w:after="0"/>
              <w:rPr>
                <w:sz w:val="19"/>
                <w:szCs w:val="19"/>
                <w:color w:val="auto"/>
              </w:rPr>
            </w:pPr>
          </w:p>
        </w:tc>
      </w:tr>
      <w:tr>
        <w:trPr>
          <w:trHeight w:val="215"/>
        </w:trPr>
        <w:tc>
          <w:tcPr>
            <w:tcW w:w="4700" w:type="dxa"/>
            <w:vAlign w:val="bottom"/>
          </w:tcPr>
          <w:p>
            <w:pPr>
              <w:ind w:left="200"/>
              <w:spacing w:after="0" w:line="215" w:lineRule="exact"/>
              <w:rPr>
                <w:sz w:val="20"/>
                <w:szCs w:val="20"/>
                <w:color w:val="auto"/>
              </w:rPr>
            </w:pPr>
            <w:r>
              <w:rPr>
                <w:rFonts w:ascii="Calibri" w:cs="Calibri" w:eastAsia="Calibri" w:hAnsi="Calibri"/>
                <w:sz w:val="18"/>
                <w:szCs w:val="18"/>
                <w:color w:val="auto"/>
              </w:rPr>
              <w:t>Trademarks</w:t>
            </w:r>
          </w:p>
        </w:tc>
        <w:tc>
          <w:tcPr>
            <w:tcW w:w="7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Customer relatonships</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60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(30 )</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65</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(30 )</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35</w:t>
            </w:r>
          </w:p>
        </w:tc>
        <w:tc>
          <w:tcPr>
            <w:tcW w:w="100" w:type="dxa"/>
            <w:vAlign w:val="bottom"/>
            <w:shd w:val="clear" w:color="auto" w:fill="CFF0FC"/>
          </w:tcPr>
          <w:p>
            <w:pPr>
              <w:spacing w:after="0"/>
              <w:rPr>
                <w:sz w:val="18"/>
                <w:szCs w:val="18"/>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700" w:type="dxa"/>
            <w:vAlign w:val="bottom"/>
          </w:tcPr>
          <w:p>
            <w:pPr>
              <w:ind w:left="20"/>
              <w:spacing w:after="0" w:line="210" w:lineRule="exact"/>
              <w:rPr>
                <w:sz w:val="20"/>
                <w:szCs w:val="20"/>
                <w:color w:val="auto"/>
              </w:rPr>
            </w:pPr>
            <w:r>
              <w:rPr>
                <w:rFonts w:ascii="Calibri" w:cs="Calibri" w:eastAsia="Calibri" w:hAnsi="Calibri"/>
                <w:sz w:val="18"/>
                <w:szCs w:val="18"/>
                <w:color w:val="auto"/>
              </w:rPr>
              <w:t>Total intangible assets</w:t>
            </w:r>
          </w:p>
        </w:tc>
        <w:tc>
          <w:tcPr>
            <w:tcW w:w="700" w:type="dxa"/>
            <w:vAlign w:val="bottom"/>
          </w:tcPr>
          <w:p>
            <w:pPr>
              <w:jc w:val="right"/>
              <w:ind w:right="521"/>
              <w:spacing w:after="0" w:line="210" w:lineRule="exact"/>
              <w:rPr>
                <w:sz w:val="20"/>
                <w:szCs w:val="20"/>
                <w:color w:val="auto"/>
              </w:rPr>
            </w:pPr>
            <w:r>
              <w:rPr>
                <w:rFonts w:ascii="Calibri" w:cs="Calibri" w:eastAsia="Calibri" w:hAnsi="Calibri"/>
                <w:sz w:val="18"/>
                <w:szCs w:val="18"/>
                <w:color w:val="auto"/>
                <w:w w:val="87"/>
              </w:rPr>
              <w:t>$</w:t>
            </w:r>
          </w:p>
        </w:tc>
        <w:tc>
          <w:tcPr>
            <w:tcW w:w="20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96</w:t>
            </w:r>
          </w:p>
        </w:tc>
        <w:tc>
          <w:tcPr>
            <w:tcW w:w="240" w:type="dxa"/>
            <w:vAlign w:val="bottom"/>
          </w:tcPr>
          <w:p>
            <w:pPr>
              <w:spacing w:after="0"/>
              <w:rPr>
                <w:sz w:val="18"/>
                <w:szCs w:val="18"/>
                <w:color w:val="auto"/>
              </w:rPr>
            </w:pPr>
          </w:p>
        </w:tc>
        <w:tc>
          <w:tcPr>
            <w:tcW w:w="380" w:type="dxa"/>
            <w:vAlign w:val="bottom"/>
          </w:tcPr>
          <w:p>
            <w:pPr>
              <w:jc w:val="right"/>
              <w:ind w:right="199"/>
              <w:spacing w:after="0" w:line="210" w:lineRule="exact"/>
              <w:rPr>
                <w:sz w:val="20"/>
                <w:szCs w:val="20"/>
                <w:color w:val="auto"/>
              </w:rPr>
            </w:pPr>
            <w:r>
              <w:rPr>
                <w:rFonts w:ascii="Calibri" w:cs="Calibri" w:eastAsia="Calibri" w:hAnsi="Calibri"/>
                <w:sz w:val="18"/>
                <w:szCs w:val="18"/>
                <w:color w:val="auto"/>
                <w:w w:val="87"/>
              </w:rPr>
              <w:t>$</w:t>
            </w:r>
          </w:p>
        </w:tc>
        <w:tc>
          <w:tcPr>
            <w:tcW w:w="74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(43 )</w:t>
            </w: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0" w:lineRule="exact"/>
              <w:rPr>
                <w:sz w:val="20"/>
                <w:szCs w:val="20"/>
                <w:color w:val="auto"/>
              </w:rPr>
            </w:pPr>
            <w:r>
              <w:rPr>
                <w:rFonts w:ascii="Calibri" w:cs="Calibri" w:eastAsia="Calibri" w:hAnsi="Calibri"/>
                <w:sz w:val="18"/>
                <w:szCs w:val="18"/>
                <w:color w:val="auto"/>
              </w:rPr>
              <w:t>53</w:t>
            </w:r>
          </w:p>
        </w:tc>
        <w:tc>
          <w:tcPr>
            <w:tcW w:w="360" w:type="dxa"/>
            <w:vAlign w:val="bottom"/>
            <w:gridSpan w:val="2"/>
          </w:tcPr>
          <w:p>
            <w:pPr>
              <w:jc w:val="right"/>
              <w:ind w:right="40"/>
              <w:spacing w:after="0" w:line="210"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0" w:lineRule="exact"/>
              <w:rPr>
                <w:sz w:val="20"/>
                <w:szCs w:val="20"/>
                <w:color w:val="auto"/>
              </w:rPr>
            </w:pPr>
            <w:r>
              <w:rPr>
                <w:rFonts w:ascii="Calibri" w:cs="Calibri" w:eastAsia="Calibri" w:hAnsi="Calibri"/>
                <w:sz w:val="18"/>
                <w:szCs w:val="18"/>
                <w:color w:val="auto"/>
              </w:rPr>
              <w:t>101</w:t>
            </w:r>
          </w:p>
        </w:tc>
        <w:tc>
          <w:tcPr>
            <w:tcW w:w="580" w:type="dxa"/>
            <w:vAlign w:val="bottom"/>
            <w:gridSpan w:val="2"/>
          </w:tcPr>
          <w:p>
            <w:pPr>
              <w:jc w:val="right"/>
              <w:ind w:right="188"/>
              <w:spacing w:after="0" w:line="210" w:lineRule="exact"/>
              <w:rPr>
                <w:sz w:val="20"/>
                <w:szCs w:val="20"/>
                <w:color w:val="auto"/>
              </w:rPr>
            </w:pPr>
            <w:r>
              <w:rPr>
                <w:rFonts w:ascii="Calibri" w:cs="Calibri" w:eastAsia="Calibri" w:hAnsi="Calibri"/>
                <w:sz w:val="18"/>
                <w:szCs w:val="18"/>
                <w:color w:val="auto"/>
              </w:rPr>
              <w:t>$</w:t>
            </w:r>
          </w:p>
        </w:tc>
        <w:tc>
          <w:tcPr>
            <w:tcW w:w="72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(41 )</w:t>
            </w: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0"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5"/>
        </w:trPr>
        <w:tc>
          <w:tcPr>
            <w:tcW w:w="4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48"/>
              <w:spacing w:after="0"/>
              <w:rPr>
                <w:sz w:val="20"/>
                <w:szCs w:val="20"/>
                <w:color w:val="auto"/>
              </w:rPr>
            </w:pPr>
            <w:r>
              <w:rPr>
                <w:rFonts w:ascii="Calibri" w:cs="Calibri" w:eastAsia="Calibri" w:hAnsi="Calibri"/>
                <w:sz w:val="18"/>
                <w:szCs w:val="18"/>
                <w:color w:val="auto"/>
              </w:rPr>
              <w:t>55</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7"/>
        </w:trPr>
        <w:tc>
          <w:tcPr>
            <w:tcW w:w="4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-1079500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-1079500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-1079500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-1079500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-1079500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5" w:name="page56"/>
    <w:bookmarkEnd w:id="55"/>
    <w:p>
      <w:pPr>
        <w:ind w:right="160" w:firstLine="509"/>
        <w:spacing w:after="0" w:line="235" w:lineRule="auto"/>
        <w:rPr>
          <w:sz w:val="20"/>
          <w:szCs w:val="20"/>
          <w:color w:val="auto"/>
        </w:rPr>
      </w:pPr>
      <w:r>
        <w:rPr>
          <w:rFonts w:ascii="Calibri" w:cs="Calibri" w:eastAsia="Calibri" w:hAnsi="Calibri"/>
          <w:sz w:val="18"/>
          <w:szCs w:val="18"/>
          <w:color w:val="auto"/>
        </w:rPr>
        <w:t>Intangible assets are amortzed over their estmated useful lives, which range between ten and twenty-fve years, with a weighted average amortzaton period of seventeen years. Amortzaton expense for each of fscal 2024, 2023 and 2022 was $6 million and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H. Accounts Payable, Accrued Liabilites and Other Liabilites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Accounts payable and accrued liabilites included in current liabilites consist of the following:</w:t>
      </w:r>
    </w:p>
    <w:p>
      <w:pPr>
        <w:spacing w:after="0" w:line="89" w:lineRule="exact"/>
        <w:rPr>
          <w:sz w:val="20"/>
          <w:szCs w:val="20"/>
          <w:color w:val="auto"/>
        </w:rPr>
      </w:pPr>
    </w:p>
    <w:p>
      <w:pPr>
        <w:jc w:val="center"/>
        <w:ind w:left="5340"/>
        <w:spacing w:after="0"/>
        <w:rPr>
          <w:sz w:val="20"/>
          <w:szCs w:val="20"/>
          <w:color w:val="auto"/>
        </w:rPr>
      </w:pPr>
      <w:r>
        <w:rPr>
          <w:rFonts w:ascii="Calibri" w:cs="Calibri" w:eastAsia="Calibri" w:hAnsi="Calibri"/>
          <w:sz w:val="14"/>
          <w:szCs w:val="14"/>
          <w:b w:val="1"/>
          <w:bCs w:val="1"/>
          <w:color w:val="auto"/>
        </w:rPr>
        <w:t>September 30</w:t>
      </w:r>
    </w:p>
    <w:p>
      <w:pPr>
        <w:spacing w:after="0" w:line="18" w:lineRule="exact"/>
        <w:rPr>
          <w:sz w:val="20"/>
          <w:szCs w:val="20"/>
          <w:color w:val="auto"/>
        </w:rPr>
      </w:pPr>
    </w:p>
    <w:p>
      <w:pPr>
        <w:ind w:left="7520"/>
        <w:spacing w:after="0"/>
        <w:tabs>
          <w:tab w:leader="none" w:pos="878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-106680</wp:posOffset>
            </wp:positionV>
            <wp:extent cx="15087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794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-106680</wp:posOffset>
            </wp:positionV>
            <wp:extent cx="15087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p>
      <w:pPr>
        <w:ind w:left="1700"/>
        <w:spacing w:after="0" w:line="232" w:lineRule="auto"/>
        <w:rPr>
          <w:sz w:val="20"/>
          <w:szCs w:val="20"/>
          <w:color w:val="auto"/>
        </w:rPr>
      </w:pPr>
      <w:r>
        <w:rPr>
          <w:rFonts w:ascii="Calibri" w:cs="Calibri" w:eastAsia="Calibri" w:hAnsi="Calibri"/>
          <w:sz w:val="18"/>
          <w:szCs w:val="18"/>
          <w:color w:val="auto"/>
        </w:rPr>
        <w:t>Accounts payable</w:t>
      </w:r>
    </w:p>
    <w:p>
      <w:pPr>
        <w:spacing w:after="0" w:line="1" w:lineRule="exact"/>
        <w:rPr>
          <w:sz w:val="20"/>
          <w:szCs w:val="20"/>
          <w:color w:val="auto"/>
        </w:rPr>
      </w:pPr>
    </w:p>
    <w:p>
      <w:pPr>
        <w:ind w:left="1700"/>
        <w:spacing w:after="0"/>
        <w:rPr>
          <w:sz w:val="20"/>
          <w:szCs w:val="20"/>
          <w:color w:val="auto"/>
        </w:rPr>
      </w:pPr>
      <w:r>
        <w:rPr>
          <w:rFonts w:ascii="Calibri" w:cs="Calibri" w:eastAsia="Calibri" w:hAnsi="Calibri"/>
          <w:sz w:val="17"/>
          <w:szCs w:val="17"/>
          <w:color w:val="auto"/>
        </w:rPr>
        <w:t>Accrued employee compensaton</w:t>
      </w:r>
    </w:p>
    <w:p>
      <w:pPr>
        <w:spacing w:after="0" w:line="17" w:lineRule="exact"/>
        <w:rPr>
          <w:sz w:val="20"/>
          <w:szCs w:val="20"/>
          <w:color w:val="auto"/>
        </w:rPr>
      </w:pPr>
    </w:p>
    <w:p>
      <w:pPr>
        <w:ind w:left="1700"/>
        <w:spacing w:after="0"/>
        <w:rPr>
          <w:sz w:val="20"/>
          <w:szCs w:val="20"/>
          <w:color w:val="auto"/>
        </w:rPr>
      </w:pPr>
      <w:r>
        <w:rPr>
          <w:rFonts w:ascii="Calibri" w:cs="Calibri" w:eastAsia="Calibri" w:hAnsi="Calibri"/>
          <w:sz w:val="18"/>
          <w:szCs w:val="18"/>
          <w:color w:val="auto"/>
        </w:rPr>
        <w:t>Other accrued liabilites</w:t>
      </w:r>
    </w:p>
    <w:p>
      <w:pPr>
        <w:spacing w:after="0" w:line="37" w:lineRule="exact"/>
        <w:rPr>
          <w:sz w:val="20"/>
          <w:szCs w:val="20"/>
          <w:color w:val="auto"/>
        </w:rPr>
      </w:pPr>
    </w:p>
    <w:p>
      <w:pPr>
        <w:ind w:left="1880"/>
        <w:spacing w:after="0"/>
        <w:rPr>
          <w:sz w:val="20"/>
          <w:szCs w:val="20"/>
          <w:color w:val="auto"/>
        </w:rPr>
      </w:pPr>
      <w:r>
        <w:rPr>
          <w:rFonts w:ascii="Calibri" w:cs="Calibri" w:eastAsia="Calibri" w:hAnsi="Calibri"/>
          <w:sz w:val="18"/>
          <w:szCs w:val="18"/>
          <w:color w:val="auto"/>
        </w:rPr>
        <w:t>Total</w:t>
      </w:r>
    </w:p>
    <w:p>
      <w:pPr>
        <w:spacing w:after="0" w:line="163"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Other long-term liabilites consist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460" w:type="dxa"/>
            <w:vAlign w:val="bottom"/>
          </w:tcPr>
          <w:p>
            <w:pPr>
              <w:jc w:val="right"/>
              <w:ind w:right="250"/>
              <w:spacing w:after="0" w:line="214"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4" w:lineRule="exact"/>
              <w:rPr>
                <w:sz w:val="20"/>
                <w:szCs w:val="20"/>
                <w:color w:val="auto"/>
              </w:rPr>
            </w:pPr>
            <w:r>
              <w:rPr>
                <w:rFonts w:ascii="Calibri" w:cs="Calibri" w:eastAsia="Calibri" w:hAnsi="Calibri"/>
                <w:sz w:val="18"/>
                <w:szCs w:val="18"/>
                <w:color w:val="auto"/>
              </w:rPr>
              <w:t>495</w:t>
            </w:r>
          </w:p>
        </w:tc>
        <w:tc>
          <w:tcPr>
            <w:tcW w:w="660" w:type="dxa"/>
            <w:vAlign w:val="bottom"/>
            <w:gridSpan w:val="2"/>
          </w:tcPr>
          <w:p>
            <w:pPr>
              <w:jc w:val="right"/>
              <w:ind w:right="270"/>
              <w:spacing w:after="0" w:line="214"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4" w:lineRule="exact"/>
              <w:rPr>
                <w:sz w:val="20"/>
                <w:szCs w:val="20"/>
                <w:color w:val="auto"/>
              </w:rPr>
            </w:pPr>
            <w:r>
              <w:rPr>
                <w:rFonts w:ascii="Calibri" w:cs="Calibri" w:eastAsia="Calibri" w:hAnsi="Calibri"/>
                <w:sz w:val="18"/>
                <w:szCs w:val="18"/>
                <w:color w:val="auto"/>
              </w:rPr>
              <w:t>438</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74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Calibri" w:cs="Calibri" w:eastAsia="Calibri" w:hAnsi="Calibri"/>
                <w:sz w:val="18"/>
                <w:szCs w:val="18"/>
                <w:color w:val="auto"/>
              </w:rPr>
              <w:t>107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line="216" w:lineRule="exact"/>
              <w:rPr>
                <w:sz w:val="20"/>
                <w:szCs w:val="20"/>
                <w:color w:val="auto"/>
              </w:rPr>
            </w:pPr>
            <w:r>
              <w:rPr>
                <w:rFonts w:ascii="Calibri" w:cs="Calibri" w:eastAsia="Calibri" w:hAnsi="Calibri"/>
                <w:sz w:val="18"/>
                <w:szCs w:val="18"/>
                <w:color w:val="auto"/>
              </w:rPr>
              <w:t>107</w:t>
            </w:r>
          </w:p>
        </w:tc>
        <w:tc>
          <w:tcPr>
            <w:tcW w:w="0" w:type="dxa"/>
            <w:vAlign w:val="bottom"/>
          </w:tcPr>
          <w:p>
            <w:pPr>
              <w:spacing w:after="0"/>
              <w:rPr>
                <w:sz w:val="1"/>
                <w:szCs w:val="1"/>
                <w:color w:val="auto"/>
              </w:rPr>
            </w:pPr>
          </w:p>
        </w:tc>
      </w:tr>
      <w:tr>
        <w:trPr>
          <w:trHeight w:val="23"/>
        </w:trPr>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jc w:val="right"/>
              <w:ind w:right="250"/>
              <w:spacing w:after="0" w:line="209"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676</w:t>
            </w:r>
          </w:p>
        </w:tc>
        <w:tc>
          <w:tcPr>
            <w:tcW w:w="200" w:type="dxa"/>
            <w:vAlign w:val="bottom"/>
            <w:vMerge w:val="continue"/>
          </w:tcPr>
          <w:p>
            <w:pPr>
              <w:spacing w:after="0"/>
              <w:rPr>
                <w:sz w:val="18"/>
                <w:szCs w:val="18"/>
                <w:color w:val="auto"/>
              </w:rPr>
            </w:pPr>
          </w:p>
        </w:tc>
        <w:tc>
          <w:tcPr>
            <w:tcW w:w="46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600</w:t>
            </w: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-582295</wp:posOffset>
            </wp:positionV>
            <wp:extent cx="498919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-307975</wp:posOffset>
            </wp:positionV>
            <wp:extent cx="4989195"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88"/>
              <w:spacing w:after="0"/>
              <w:rPr>
                <w:sz w:val="20"/>
                <w:szCs w:val="20"/>
                <w:color w:val="auto"/>
              </w:rPr>
            </w:pPr>
            <w:r>
              <w:rPr>
                <w:rFonts w:ascii="Calibri" w:cs="Calibri" w:eastAsia="Calibri" w:hAnsi="Calibri"/>
                <w:sz w:val="14"/>
                <w:szCs w:val="14"/>
                <w:b w:val="1"/>
                <w:bCs w:val="1"/>
                <w:color w:val="auto"/>
              </w:rPr>
              <w:t>September 30</w:t>
            </w:r>
          </w:p>
        </w:tc>
      </w:tr>
      <w:tr>
        <w:trPr>
          <w:trHeight w:val="173"/>
        </w:trPr>
        <w:tc>
          <w:tcPr>
            <w:tcW w:w="7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right"/>
              <w:ind w:right="308"/>
              <w:spacing w:after="0"/>
              <w:rPr>
                <w:sz w:val="20"/>
                <w:szCs w:val="20"/>
                <w:color w:val="auto"/>
              </w:rPr>
            </w:pPr>
            <w:r>
              <w:rPr>
                <w:rFonts w:ascii="Calibri" w:cs="Calibri" w:eastAsia="Calibri" w:hAnsi="Calibri"/>
                <w:sz w:val="14"/>
                <w:szCs w:val="14"/>
                <w:b w:val="1"/>
                <w:bCs w:val="1"/>
                <w:color w:val="auto"/>
              </w:rPr>
              <w:t>2023</w:t>
            </w:r>
          </w:p>
        </w:tc>
      </w:tr>
      <w:tr>
        <w:trPr>
          <w:trHeight w:val="166"/>
        </w:trPr>
        <w:tc>
          <w:tcPr>
            <w:tcW w:w="740" w:type="dxa"/>
            <w:vAlign w:val="bottom"/>
          </w:tcPr>
          <w:p>
            <w:pPr>
              <w:spacing w:after="0"/>
              <w:rPr>
                <w:sz w:val="14"/>
                <w:szCs w:val="14"/>
                <w:color w:val="auto"/>
              </w:rPr>
            </w:pPr>
          </w:p>
        </w:tc>
        <w:tc>
          <w:tcPr>
            <w:tcW w:w="360" w:type="dxa"/>
            <w:vAlign w:val="bottom"/>
          </w:tcPr>
          <w:p>
            <w:pPr>
              <w:ind w:left="100"/>
              <w:spacing w:after="0" w:line="166" w:lineRule="exact"/>
              <w:rPr>
                <w:sz w:val="20"/>
                <w:szCs w:val="20"/>
                <w:color w:val="auto"/>
              </w:rPr>
            </w:pPr>
            <w:r>
              <w:rPr>
                <w:rFonts w:ascii="Calibri" w:cs="Calibri" w:eastAsia="Calibri" w:hAnsi="Calibri"/>
                <w:sz w:val="14"/>
                <w:szCs w:val="14"/>
                <w:b w:val="1"/>
                <w:bCs w:val="1"/>
                <w:color w:val="auto"/>
              </w:rPr>
              <w:t>(In</w:t>
            </w:r>
          </w:p>
        </w:tc>
        <w:tc>
          <w:tcPr>
            <w:tcW w:w="1280" w:type="dxa"/>
            <w:vAlign w:val="bottom"/>
            <w:gridSpan w:val="2"/>
          </w:tcPr>
          <w:p>
            <w:pPr>
              <w:jc w:val="right"/>
              <w:ind w:right="748"/>
              <w:spacing w:after="0" w:line="166" w:lineRule="exact"/>
              <w:rPr>
                <w:sz w:val="20"/>
                <w:szCs w:val="20"/>
                <w:color w:val="auto"/>
              </w:rPr>
            </w:pPr>
            <w:r>
              <w:rPr>
                <w:rFonts w:ascii="Calibri" w:cs="Calibri" w:eastAsia="Calibri" w:hAnsi="Calibri"/>
                <w:sz w:val="14"/>
                <w:szCs w:val="14"/>
                <w:b w:val="1"/>
                <w:bCs w:val="1"/>
                <w:color w:val="auto"/>
                <w:w w:val="87"/>
              </w:rPr>
              <w:t>millions)</w:t>
            </w:r>
          </w:p>
        </w:tc>
      </w:tr>
    </w:tbl>
    <w:p>
      <w:pPr>
        <w:spacing w:after="0" w:line="2" w:lineRule="exact"/>
        <w:rPr>
          <w:sz w:val="20"/>
          <w:szCs w:val="20"/>
          <w:color w:val="auto"/>
        </w:rPr>
      </w:pPr>
    </w:p>
    <w:p>
      <w:pPr>
        <w:sectPr>
          <w:pgSz w:w="11900" w:h="16838" w:orient="portrait"/>
          <w:cols w:equalWidth="0" w:num="2">
            <w:col w:w="6380" w:space="720"/>
            <w:col w:w="4140"/>
          </w:cols>
          <w:pgMar w:left="320" w:top="1062"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0"/>
        </w:trPr>
        <w:tc>
          <w:tcPr>
            <w:tcW w:w="5400" w:type="dxa"/>
            <w:vAlign w:val="bottom"/>
            <w:shd w:val="clear" w:color="auto" w:fill="CFF0FC"/>
          </w:tcPr>
          <w:p>
            <w:pPr>
              <w:spacing w:after="0"/>
              <w:rPr>
                <w:sz w:val="20"/>
                <w:szCs w:val="20"/>
                <w:color w:val="auto"/>
              </w:rPr>
            </w:pPr>
            <w:r>
              <w:rPr>
                <w:rFonts w:ascii="Calibri" w:cs="Calibri" w:eastAsia="Calibri" w:hAnsi="Calibri"/>
                <w:sz w:val="18"/>
                <w:szCs w:val="18"/>
                <w:color w:val="auto"/>
              </w:rPr>
              <w:t>Employee beneft plan liabilites</w:t>
            </w:r>
          </w:p>
        </w:tc>
        <w:tc>
          <w:tcPr>
            <w:tcW w:w="460" w:type="dxa"/>
            <w:vAlign w:val="bottom"/>
            <w:shd w:val="clear" w:color="auto" w:fill="CFF0FC"/>
          </w:tcPr>
          <w:p>
            <w:pPr>
              <w:jc w:val="right"/>
              <w:ind w:right="250"/>
              <w:spacing w:after="0"/>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52</w:t>
            </w:r>
          </w:p>
        </w:tc>
        <w:tc>
          <w:tcPr>
            <w:tcW w:w="660" w:type="dxa"/>
            <w:vAlign w:val="bottom"/>
            <w:gridSpan w:val="2"/>
            <w:shd w:val="clear" w:color="auto" w:fill="CFF0FC"/>
          </w:tcPr>
          <w:p>
            <w:pPr>
              <w:jc w:val="right"/>
              <w:ind w:right="360"/>
              <w:spacing w:after="0"/>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48</w:t>
            </w:r>
          </w:p>
        </w:tc>
        <w:tc>
          <w:tcPr>
            <w:tcW w:w="80" w:type="dxa"/>
            <w:vAlign w:val="bottom"/>
            <w:shd w:val="clear" w:color="auto" w:fill="CFF0FC"/>
          </w:tcPr>
          <w:p>
            <w:pPr>
              <w:spacing w:after="0"/>
              <w:rPr>
                <w:sz w:val="19"/>
                <w:szCs w:val="19"/>
                <w:color w:val="auto"/>
              </w:rPr>
            </w:pPr>
          </w:p>
        </w:tc>
      </w:tr>
      <w:tr>
        <w:trPr>
          <w:trHeight w:val="215"/>
        </w:trPr>
        <w:tc>
          <w:tcPr>
            <w:tcW w:w="5400" w:type="dxa"/>
            <w:vAlign w:val="bottom"/>
          </w:tcPr>
          <w:p>
            <w:pPr>
              <w:spacing w:after="0" w:line="215" w:lineRule="exact"/>
              <w:rPr>
                <w:sz w:val="20"/>
                <w:szCs w:val="20"/>
                <w:color w:val="auto"/>
              </w:rPr>
            </w:pPr>
            <w:r>
              <w:rPr>
                <w:rFonts w:ascii="Calibri" w:cs="Calibri" w:eastAsia="Calibri" w:hAnsi="Calibri"/>
                <w:sz w:val="18"/>
                <w:szCs w:val="18"/>
                <w:color w:val="auto"/>
              </w:rPr>
              <w:t>Operatng lease liabilites</w:t>
            </w:r>
          </w:p>
        </w:tc>
        <w:tc>
          <w:tcPr>
            <w:tcW w:w="4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80" w:type="dxa"/>
            <w:vAlign w:val="bottom"/>
          </w:tcPr>
          <w:p>
            <w:pPr>
              <w:spacing w:after="0"/>
              <w:rPr>
                <w:sz w:val="18"/>
                <w:szCs w:val="18"/>
                <w:color w:val="auto"/>
              </w:rPr>
            </w:pPr>
          </w:p>
        </w:tc>
      </w:tr>
      <w:tr>
        <w:trPr>
          <w:trHeight w:val="216"/>
        </w:trPr>
        <w:tc>
          <w:tcPr>
            <w:tcW w:w="54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Other accrued liabilites</w:t>
            </w:r>
          </w:p>
        </w:tc>
        <w:tc>
          <w:tcPr>
            <w:tcW w:w="4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105</w:t>
            </w:r>
          </w:p>
        </w:tc>
        <w:tc>
          <w:tcPr>
            <w:tcW w:w="2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00" w:type="dxa"/>
            <w:vAlign w:val="bottom"/>
          </w:tcPr>
          <w:p>
            <w:pPr>
              <w:ind w:left="180"/>
              <w:spacing w:after="0" w:line="210" w:lineRule="exact"/>
              <w:rPr>
                <w:sz w:val="20"/>
                <w:szCs w:val="20"/>
                <w:color w:val="auto"/>
              </w:rPr>
            </w:pPr>
            <w:r>
              <w:rPr>
                <w:rFonts w:ascii="Calibri" w:cs="Calibri" w:eastAsia="Calibri" w:hAnsi="Calibri"/>
                <w:sz w:val="18"/>
                <w:szCs w:val="18"/>
                <w:color w:val="auto"/>
              </w:rPr>
              <w:t>Total</w:t>
            </w:r>
          </w:p>
        </w:tc>
        <w:tc>
          <w:tcPr>
            <w:tcW w:w="460" w:type="dxa"/>
            <w:vAlign w:val="bottom"/>
          </w:tcPr>
          <w:p>
            <w:pPr>
              <w:jc w:val="right"/>
              <w:ind w:right="250"/>
              <w:spacing w:after="0" w:line="210"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0" w:lineRule="exact"/>
              <w:rPr>
                <w:sz w:val="20"/>
                <w:szCs w:val="20"/>
                <w:color w:val="auto"/>
              </w:rPr>
            </w:pPr>
            <w:r>
              <w:rPr>
                <w:rFonts w:ascii="Calibri" w:cs="Calibri" w:eastAsia="Calibri" w:hAnsi="Calibri"/>
                <w:sz w:val="18"/>
                <w:szCs w:val="18"/>
                <w:color w:val="auto"/>
              </w:rPr>
              <w:t>245</w:t>
            </w:r>
          </w:p>
        </w:tc>
        <w:tc>
          <w:tcPr>
            <w:tcW w:w="660" w:type="dxa"/>
            <w:vAlign w:val="bottom"/>
            <w:gridSpan w:val="2"/>
          </w:tcPr>
          <w:p>
            <w:pPr>
              <w:jc w:val="right"/>
              <w:ind w:right="36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0" w:lineRule="exact"/>
              <w:rPr>
                <w:sz w:val="20"/>
                <w:szCs w:val="20"/>
                <w:color w:val="auto"/>
              </w:rPr>
            </w:pPr>
            <w:r>
              <w:rPr>
                <w:rFonts w:ascii="Calibri" w:cs="Calibri" w:eastAsia="Calibri" w:hAnsi="Calibri"/>
                <w:sz w:val="18"/>
                <w:szCs w:val="18"/>
                <w:color w:val="auto"/>
              </w:rPr>
              <w:t>231</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I. Debt and Other Obligatons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Short-term Borrowings</w:t>
      </w:r>
    </w:p>
    <w:p>
      <w:pPr>
        <w:spacing w:after="0" w:line="9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b w:val="1"/>
          <w:bCs w:val="1"/>
          <w:i w:val="1"/>
          <w:iCs w:val="1"/>
          <w:color w:val="auto"/>
        </w:rPr>
        <w:t>Commercial Paper</w:t>
      </w:r>
      <w:r>
        <w:rPr>
          <w:rFonts w:ascii="Calibri" w:cs="Calibri" w:eastAsia="Calibri" w:hAnsi="Calibri"/>
          <w:sz w:val="18"/>
          <w:szCs w:val="18"/>
          <w:color w:val="auto"/>
        </w:rPr>
        <w:t>— The Company has a commercial paper program and the maximum aggregate balance of commercial paper notes outstanding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amounts borrowed under the revolving credit facility may not exceed the borrowing capacity of $1 billion under the revolving credit facility. The proceeds from the issuance of the commercial paper have been used for general corporate purposes, which may include working capital, refnancing existng indebtedness, capital expenditures, share repurchases, and acquisitons. The revolving credit facility is available to repay the outstanding commercial paper, if necessary.</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There was an outstanding balance of commercial paper of $45 million as of September 30, 2024 with a weighted average interest rate of 4.94% and an outstanding balance of $172 million as of September 30, 2023 with a weighted average interest rate of 5.44%.</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56" w:name="page57"/>
    <w:bookmarkEnd w:id="56"/>
    <w:p>
      <w:pPr>
        <w:ind w:left="260"/>
        <w:spacing w:after="0"/>
        <w:rPr>
          <w:sz w:val="20"/>
          <w:szCs w:val="20"/>
          <w:color w:val="auto"/>
        </w:rPr>
      </w:pPr>
      <w:r>
        <w:rPr>
          <w:rFonts w:ascii="Calibri" w:cs="Calibri" w:eastAsia="Calibri" w:hAnsi="Calibri"/>
          <w:sz w:val="18"/>
          <w:szCs w:val="18"/>
          <w:b w:val="1"/>
          <w:bCs w:val="1"/>
          <w:i w:val="1"/>
          <w:iCs w:val="1"/>
          <w:color w:val="auto"/>
        </w:rPr>
        <w:t>Long-term Obligatons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Company’s long-term obligatons, the fscal year in which they mature and their respectve interest rates are summarized below:</w:t>
      </w:r>
    </w:p>
    <w:p>
      <w:pPr>
        <w:spacing w:after="0" w:line="89"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1"/>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3"/>
              <w:spacing w:after="0" w:line="169"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0"/>
              <w:spacing w:after="0" w:line="169" w:lineRule="exact"/>
              <w:rPr>
                <w:sz w:val="20"/>
                <w:szCs w:val="20"/>
                <w:color w:val="auto"/>
              </w:rPr>
            </w:pPr>
            <w:r>
              <w:rPr>
                <w:rFonts w:ascii="Calibri" w:cs="Calibri" w:eastAsia="Calibri" w:hAnsi="Calibri"/>
                <w:sz w:val="14"/>
                <w:szCs w:val="14"/>
                <w:b w:val="1"/>
                <w:bCs w:val="1"/>
                <w:color w:val="auto"/>
                <w:w w:val="87"/>
              </w:rPr>
              <w:t>millions)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40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Variable Rate Debt: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400" w:type="dxa"/>
            <w:vAlign w:val="bottom"/>
          </w:tcPr>
          <w:p>
            <w:pPr>
              <w:ind w:left="180"/>
              <w:spacing w:after="0" w:line="215" w:lineRule="exact"/>
              <w:rPr>
                <w:sz w:val="20"/>
                <w:szCs w:val="20"/>
                <w:color w:val="auto"/>
              </w:rPr>
            </w:pPr>
            <w:r>
              <w:rPr>
                <w:rFonts w:ascii="Calibri" w:cs="Calibri" w:eastAsia="Calibri" w:hAnsi="Calibri"/>
                <w:sz w:val="18"/>
                <w:szCs w:val="18"/>
                <w:color w:val="auto"/>
              </w:rPr>
              <w:t>Revolving Credit Facility, expires fscal 2027</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540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Revolving Credit Facility - Euro, expires fscal 2027</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00" w:type="dxa"/>
            <w:vAlign w:val="bottom"/>
          </w:tcPr>
          <w:p>
            <w:pPr>
              <w:ind w:left="360"/>
              <w:spacing w:after="0" w:line="209" w:lineRule="exact"/>
              <w:rPr>
                <w:sz w:val="20"/>
                <w:szCs w:val="20"/>
                <w:color w:val="auto"/>
              </w:rPr>
            </w:pPr>
            <w:r>
              <w:rPr>
                <w:rFonts w:ascii="Calibri" w:cs="Calibri" w:eastAsia="Calibri" w:hAnsi="Calibri"/>
                <w:sz w:val="18"/>
                <w:szCs w:val="18"/>
                <w:color w:val="auto"/>
              </w:rPr>
              <w:t>Total variable rate debt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120</w:t>
            </w:r>
          </w:p>
        </w:tc>
        <w:tc>
          <w:tcPr>
            <w:tcW w:w="80" w:type="dxa"/>
            <w:vAlign w:val="bottom"/>
          </w:tcPr>
          <w:p>
            <w:pPr>
              <w:spacing w:after="0"/>
              <w:rPr>
                <w:sz w:val="18"/>
                <w:szCs w:val="18"/>
                <w:color w:val="auto"/>
              </w:rPr>
            </w:pPr>
          </w:p>
        </w:tc>
      </w:tr>
      <w:tr>
        <w:trPr>
          <w:trHeight w:val="210"/>
        </w:trPr>
        <w:tc>
          <w:tcPr>
            <w:tcW w:w="54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Fixed Rate Debt: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5400" w:type="dxa"/>
            <w:vAlign w:val="bottom"/>
          </w:tcPr>
          <w:p>
            <w:pPr>
              <w:ind w:left="180"/>
              <w:spacing w:after="0" w:line="215" w:lineRule="exact"/>
              <w:rPr>
                <w:sz w:val="20"/>
                <w:szCs w:val="20"/>
                <w:color w:val="auto"/>
              </w:rPr>
            </w:pPr>
            <w:r>
              <w:rPr>
                <w:rFonts w:ascii="Calibri" w:cs="Calibri" w:eastAsia="Calibri" w:hAnsi="Calibri"/>
                <w:sz w:val="18"/>
                <w:szCs w:val="18"/>
                <w:color w:val="auto"/>
              </w:rPr>
              <w:t>3.4% Notes due fscal 2026</w:t>
            </w:r>
          </w:p>
        </w:tc>
        <w:tc>
          <w:tcPr>
            <w:tcW w:w="2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80" w:type="dxa"/>
            <w:vAlign w:val="bottom"/>
          </w:tcPr>
          <w:p>
            <w:pPr>
              <w:spacing w:after="0"/>
              <w:rPr>
                <w:sz w:val="18"/>
                <w:szCs w:val="18"/>
                <w:color w:val="auto"/>
              </w:rPr>
            </w:pPr>
          </w:p>
        </w:tc>
      </w:tr>
      <w:tr>
        <w:trPr>
          <w:trHeight w:val="217"/>
        </w:trPr>
        <w:tc>
          <w:tcPr>
            <w:tcW w:w="54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4.0% Notes due fscal 2029</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300</w:t>
            </w:r>
          </w:p>
        </w:tc>
        <w:tc>
          <w:tcPr>
            <w:tcW w:w="80" w:type="dxa"/>
            <w:vAlign w:val="bottom"/>
            <w:shd w:val="clear" w:color="auto" w:fill="CFF0FC"/>
          </w:tcPr>
          <w:p>
            <w:pPr>
              <w:spacing w:after="0"/>
              <w:rPr>
                <w:sz w:val="18"/>
                <w:szCs w:val="18"/>
                <w:color w:val="auto"/>
              </w:rPr>
            </w:pPr>
          </w:p>
        </w:tc>
      </w:tr>
      <w:tr>
        <w:trPr>
          <w:trHeight w:val="215"/>
        </w:trPr>
        <w:tc>
          <w:tcPr>
            <w:tcW w:w="5400" w:type="dxa"/>
            <w:vAlign w:val="bottom"/>
          </w:tcPr>
          <w:p>
            <w:pPr>
              <w:ind w:left="180"/>
              <w:spacing w:after="0" w:line="215" w:lineRule="exact"/>
              <w:rPr>
                <w:sz w:val="20"/>
                <w:szCs w:val="20"/>
                <w:color w:val="auto"/>
              </w:rPr>
            </w:pPr>
            <w:r>
              <w:rPr>
                <w:rFonts w:ascii="Calibri" w:cs="Calibri" w:eastAsia="Calibri" w:hAnsi="Calibri"/>
                <w:sz w:val="18"/>
                <w:szCs w:val="18"/>
                <w:color w:val="auto"/>
              </w:rPr>
              <w:t>5.0% Notes due fscal 2032</w:t>
            </w:r>
          </w:p>
        </w:tc>
        <w:tc>
          <w:tcPr>
            <w:tcW w:w="2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400</w:t>
            </w:r>
          </w:p>
        </w:tc>
        <w:tc>
          <w:tcPr>
            <w:tcW w:w="80" w:type="dxa"/>
            <w:vAlign w:val="bottom"/>
          </w:tcPr>
          <w:p>
            <w:pPr>
              <w:spacing w:after="0"/>
              <w:rPr>
                <w:sz w:val="18"/>
                <w:szCs w:val="18"/>
                <w:color w:val="auto"/>
              </w:rPr>
            </w:pPr>
          </w:p>
        </w:tc>
      </w:tr>
      <w:tr>
        <w:trPr>
          <w:trHeight w:val="217"/>
        </w:trPr>
        <w:tc>
          <w:tcPr>
            <w:tcW w:w="54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Medium-Term Notes due fscal 2028, 6.57% — 7.28%</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80" w:type="dxa"/>
            <w:vAlign w:val="bottom"/>
            <w:shd w:val="clear" w:color="auto" w:fill="CFF0FC"/>
          </w:tcPr>
          <w:p>
            <w:pPr>
              <w:spacing w:after="0"/>
              <w:rPr>
                <w:sz w:val="18"/>
                <w:szCs w:val="18"/>
                <w:color w:val="auto"/>
              </w:rPr>
            </w:pPr>
          </w:p>
        </w:tc>
      </w:tr>
      <w:tr>
        <w:trPr>
          <w:trHeight w:val="215"/>
        </w:trPr>
        <w:tc>
          <w:tcPr>
            <w:tcW w:w="5400" w:type="dxa"/>
            <w:vAlign w:val="bottom"/>
          </w:tcPr>
          <w:p>
            <w:pPr>
              <w:ind w:left="180"/>
              <w:spacing w:after="0" w:line="215" w:lineRule="exact"/>
              <w:rPr>
                <w:sz w:val="20"/>
                <w:szCs w:val="20"/>
                <w:color w:val="auto"/>
              </w:rPr>
            </w:pPr>
            <w:r>
              <w:rPr>
                <w:rFonts w:ascii="Calibri" w:cs="Calibri" w:eastAsia="Calibri" w:hAnsi="Calibri"/>
                <w:sz w:val="18"/>
                <w:szCs w:val="18"/>
                <w:color w:val="auto"/>
              </w:rPr>
              <w:t>Chinese Renminbi Debt, due fscal 2025, 4.3%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Pr>
          <w:p>
            <w:pPr>
              <w:spacing w:after="0"/>
              <w:rPr>
                <w:sz w:val="18"/>
                <w:szCs w:val="18"/>
                <w:color w:val="auto"/>
              </w:rPr>
            </w:pPr>
          </w:p>
        </w:tc>
      </w:tr>
      <w:tr>
        <w:trPr>
          <w:trHeight w:val="210"/>
        </w:trPr>
        <w:tc>
          <w:tcPr>
            <w:tcW w:w="5400" w:type="dxa"/>
            <w:vAlign w:val="bottom"/>
            <w:shd w:val="clear" w:color="auto" w:fill="CFF0FC"/>
          </w:tcPr>
          <w:p>
            <w:pPr>
              <w:ind w:left="540"/>
              <w:spacing w:after="0" w:line="210" w:lineRule="exact"/>
              <w:rPr>
                <w:sz w:val="20"/>
                <w:szCs w:val="20"/>
                <w:color w:val="auto"/>
              </w:rPr>
            </w:pPr>
            <w:r>
              <w:rPr>
                <w:rFonts w:ascii="Calibri" w:cs="Calibri" w:eastAsia="Calibri" w:hAnsi="Calibri"/>
                <w:sz w:val="18"/>
                <w:szCs w:val="18"/>
                <w:color w:val="auto"/>
              </w:rPr>
              <w:t>Total fxed rate debt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962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962</w:t>
            </w:r>
          </w:p>
        </w:tc>
        <w:tc>
          <w:tcPr>
            <w:tcW w:w="80" w:type="dxa"/>
            <w:vAlign w:val="bottom"/>
            <w:shd w:val="clear" w:color="auto" w:fill="CFF0FC"/>
          </w:tcPr>
          <w:p>
            <w:pPr>
              <w:spacing w:after="0"/>
              <w:rPr>
                <w:sz w:val="18"/>
                <w:szCs w:val="18"/>
                <w:color w:val="auto"/>
              </w:rPr>
            </w:pPr>
          </w:p>
        </w:tc>
      </w:tr>
      <w:tr>
        <w:trPr>
          <w:trHeight w:val="215"/>
        </w:trPr>
        <w:tc>
          <w:tcPr>
            <w:tcW w:w="5400" w:type="dxa"/>
            <w:vAlign w:val="bottom"/>
          </w:tcPr>
          <w:p>
            <w:pPr>
              <w:spacing w:after="0" w:line="215" w:lineRule="exact"/>
              <w:rPr>
                <w:sz w:val="20"/>
                <w:szCs w:val="20"/>
                <w:color w:val="auto"/>
              </w:rPr>
            </w:pPr>
            <w:r>
              <w:rPr>
                <w:rFonts w:ascii="Calibri" w:cs="Calibri" w:eastAsia="Calibri" w:hAnsi="Calibri"/>
                <w:sz w:val="18"/>
                <w:szCs w:val="18"/>
                <w:color w:val="auto"/>
              </w:rPr>
              <w:t>Finance lease obligatons (Note S)</w:t>
            </w:r>
          </w:p>
        </w:tc>
        <w:tc>
          <w:tcPr>
            <w:tcW w:w="2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80" w:type="dxa"/>
            <w:vAlign w:val="bottom"/>
          </w:tcPr>
          <w:p>
            <w:pPr>
              <w:spacing w:after="0"/>
              <w:rPr>
                <w:sz w:val="18"/>
                <w:szCs w:val="18"/>
                <w:color w:val="auto"/>
              </w:rPr>
            </w:pPr>
          </w:p>
        </w:tc>
      </w:tr>
      <w:tr>
        <w:trPr>
          <w:trHeight w:val="217"/>
        </w:trPr>
        <w:tc>
          <w:tcPr>
            <w:tcW w:w="54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Unamortzed debt issuance costs and debt discount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8"/>
              <w:spacing w:after="0" w:line="216" w:lineRule="exact"/>
              <w:rPr>
                <w:sz w:val="20"/>
                <w:szCs w:val="20"/>
                <w:color w:val="auto"/>
              </w:rPr>
            </w:pPr>
            <w:r>
              <w:rPr>
                <w:rFonts w:ascii="Calibri" w:cs="Calibri" w:eastAsia="Calibri" w:hAnsi="Calibri"/>
                <w:sz w:val="18"/>
                <w:szCs w:val="18"/>
                <w:color w:val="auto"/>
              </w:rPr>
              <w:t>(7 )</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(8 )</w:t>
            </w:r>
          </w:p>
        </w:tc>
      </w:tr>
      <w:tr>
        <w:trPr>
          <w:trHeight w:val="209"/>
        </w:trPr>
        <w:tc>
          <w:tcPr>
            <w:tcW w:w="5400" w:type="dxa"/>
            <w:vAlign w:val="bottom"/>
            <w:tcBorders>
              <w:top w:val="single" w:sz="8" w:color="CFF0FC"/>
            </w:tcBorders>
          </w:tcPr>
          <w:p>
            <w:pPr>
              <w:ind w:left="540"/>
              <w:spacing w:after="0" w:line="209" w:lineRule="exact"/>
              <w:rPr>
                <w:sz w:val="20"/>
                <w:szCs w:val="20"/>
                <w:color w:val="auto"/>
              </w:rPr>
            </w:pPr>
            <w:r>
              <w:rPr>
                <w:rFonts w:ascii="Calibri" w:cs="Calibri" w:eastAsia="Calibri" w:hAnsi="Calibri"/>
                <w:sz w:val="18"/>
                <w:szCs w:val="18"/>
                <w:color w:val="auto"/>
              </w:rPr>
              <w:t>Total debt</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1,095</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1,102</w:t>
            </w:r>
          </w:p>
        </w:tc>
        <w:tc>
          <w:tcPr>
            <w:tcW w:w="80" w:type="dxa"/>
            <w:vAlign w:val="bottom"/>
            <w:tcBorders>
              <w:top w:val="single" w:sz="8" w:color="CFF0FC"/>
            </w:tcBorders>
          </w:tcPr>
          <w:p>
            <w:pPr>
              <w:spacing w:after="0"/>
              <w:rPr>
                <w:sz w:val="18"/>
                <w:szCs w:val="18"/>
                <w:color w:val="auto"/>
              </w:rPr>
            </w:pPr>
          </w:p>
        </w:tc>
      </w:tr>
      <w:tr>
        <w:trPr>
          <w:trHeight w:val="217"/>
        </w:trPr>
        <w:tc>
          <w:tcPr>
            <w:tcW w:w="54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Less current porton of long-term debt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8"/>
              <w:spacing w:after="0" w:line="216" w:lineRule="exact"/>
              <w:rPr>
                <w:sz w:val="20"/>
                <w:szCs w:val="20"/>
                <w:color w:val="auto"/>
              </w:rPr>
            </w:pPr>
            <w:r>
              <w:rPr>
                <w:rFonts w:ascii="Calibri" w:cs="Calibri" w:eastAsia="Calibri" w:hAnsi="Calibri"/>
                <w:sz w:val="18"/>
                <w:szCs w:val="18"/>
                <w:color w:val="auto"/>
              </w:rPr>
              <w:t>(8 )</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(8 )</w:t>
            </w:r>
          </w:p>
        </w:tc>
      </w:tr>
      <w:tr>
        <w:trPr>
          <w:trHeight w:val="210"/>
        </w:trPr>
        <w:tc>
          <w:tcPr>
            <w:tcW w:w="5400" w:type="dxa"/>
            <w:vAlign w:val="bottom"/>
            <w:tcBorders>
              <w:top w:val="single" w:sz="8" w:color="CFF0FC"/>
            </w:tcBorders>
          </w:tcPr>
          <w:p>
            <w:pPr>
              <w:ind w:left="540"/>
              <w:spacing w:after="0" w:line="210" w:lineRule="exact"/>
              <w:rPr>
                <w:sz w:val="20"/>
                <w:szCs w:val="20"/>
                <w:color w:val="auto"/>
              </w:rPr>
            </w:pPr>
            <w:r>
              <w:rPr>
                <w:rFonts w:ascii="Calibri" w:cs="Calibri" w:eastAsia="Calibri" w:hAnsi="Calibri"/>
                <w:sz w:val="18"/>
                <w:szCs w:val="18"/>
                <w:color w:val="auto"/>
              </w:rPr>
              <w:t>Total long-term debt</w:t>
            </w:r>
          </w:p>
        </w:tc>
        <w:tc>
          <w:tcPr>
            <w:tcW w:w="260" w:type="dxa"/>
            <w:vAlign w:val="bottom"/>
            <w:tcBorders>
              <w:top w:val="single" w:sz="8" w:color="auto"/>
              <w:bottom w:val="single" w:sz="8" w:color="auto"/>
            </w:tcBorders>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1,087</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1,094</w:t>
            </w:r>
          </w:p>
        </w:tc>
        <w:tc>
          <w:tcPr>
            <w:tcW w:w="80" w:type="dxa"/>
            <w:vAlign w:val="bottom"/>
            <w:tcBorders>
              <w:top w:val="single" w:sz="8" w:color="CFF0FC"/>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-1851025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-1851025</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-454025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55" w:lineRule="exact"/>
        <w:rPr>
          <w:sz w:val="20"/>
          <w:szCs w:val="20"/>
          <w:color w:val="auto"/>
        </w:rPr>
      </w:pPr>
    </w:p>
    <w:p>
      <w:pPr>
        <w:ind w:firstLine="509"/>
        <w:spacing w:after="0" w:line="254" w:lineRule="auto"/>
        <w:rPr>
          <w:sz w:val="20"/>
          <w:szCs w:val="20"/>
          <w:color w:val="auto"/>
        </w:rPr>
      </w:pPr>
      <w:r>
        <w:rPr>
          <w:rFonts w:ascii="Calibri" w:cs="Calibri" w:eastAsia="Calibri" w:hAnsi="Calibri"/>
          <w:sz w:val="17"/>
          <w:szCs w:val="17"/>
          <w:b w:val="1"/>
          <w:bCs w:val="1"/>
          <w:i w:val="1"/>
          <w:iCs w:val="1"/>
          <w:color w:val="auto"/>
        </w:rPr>
        <w:t>Revolving Credit Facility, expiring fscal 2027</w:t>
      </w:r>
      <w:r>
        <w:rPr>
          <w:rFonts w:ascii="Calibri" w:cs="Calibri" w:eastAsia="Calibri" w:hAnsi="Calibri"/>
          <w:sz w:val="17"/>
          <w:szCs w:val="17"/>
          <w:color w:val="auto"/>
        </w:rPr>
        <w:t>—In August 2021, the Company entered into a revolving credit agreement (the “U.S. Credit Agreement”)</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with a loan commitment not to exceed $1 billion. The U.S. Credit Agreement supports the Company’s issuance of commercial paper, and borrowings may be used for working capital, leters of credit and other general corporate purposes. Outstanding commercial paper balances reduce the amount available for borrowing under the U.S. Credit Agreement, which was $955 million as of September 30, 2024. The U.S. Credit Agreement, which matures in August 2027, contains afrmatve and negatve covenants, the fnancial debt covenant described below, and annual sustainability performance targets related to the Company’s reducton in its nitrogen oxide and sulfur dioxide emissions intensity, the achievement of which may adjust pricing under the U.S. Credit Agreement. The borrowing rate is currently based on an adjusted daily risk-free borrowing rate, plus a Cabot-specifc spread based on the Company’s credit ratng and achievement on the annual sustainability performance targets. Based on the performance against the sustainability performance targets during calendar year 2023, the commitment fee and borrowing rate was reduced by 0.005% and 0.025%, respectvely, efectve from July 2024 through August 2025.</w:t>
      </w:r>
    </w:p>
    <w:p>
      <w:pPr>
        <w:spacing w:after="0" w:line="75"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b w:val="1"/>
          <w:bCs w:val="1"/>
          <w:i w:val="1"/>
          <w:iCs w:val="1"/>
          <w:color w:val="auto"/>
        </w:rPr>
        <w:t>Revolving Credit Facility-Euro, expiring fscal 2027</w:t>
      </w:r>
      <w:r>
        <w:rPr>
          <w:rFonts w:ascii="Calibri" w:cs="Calibri" w:eastAsia="Calibri" w:hAnsi="Calibri"/>
          <w:sz w:val="17"/>
          <w:szCs w:val="17"/>
          <w:color w:val="auto"/>
        </w:rPr>
        <w:t>—In May 2023, several subsidiaries entered into a revolving credit agreement (the “Euro Credit</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Agreement”, and together with the U.S. Credit Agreement, the "Credit Agreements") with a loan commitment not to exceed 300 million Euros. The amount available for borrowing under this revolving credit agreement was $222 million as of September 30, 2024, and the weighted average interest rate on the outstanding balance during the year was 5.40%. The borrowing rate is based on an adjusted daily risk-free borrowing rate, plus a Cabot-specifc spread based on the Company’s credit ratng. The revolving credit agreement, which matures in August 2027, may be used for repatriaton of earnings of Cabot’s foreign subsidiaries to the U.S., the repayment of indebtedness of the Company’s foreign subsidiaries owing to the Company or any of its subsidiaries, and for working capital and general corporate purposes. The obligatons of the subsidiaries under the revolving credit agreement are guaranteed by the Company. The Company paid debt issuance costs of $1 million upon entering the agreement, which are being amortzed over the life of the revolver.</w:t>
      </w:r>
    </w:p>
    <w:p>
      <w:pPr>
        <w:spacing w:after="0" w:line="7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b w:val="1"/>
          <w:bCs w:val="1"/>
          <w:i w:val="1"/>
          <w:iCs w:val="1"/>
          <w:color w:val="auto"/>
        </w:rPr>
        <w:t>Debt Covenants</w:t>
      </w:r>
      <w:r>
        <w:rPr>
          <w:rFonts w:ascii="Calibri" w:cs="Calibri" w:eastAsia="Calibri" w:hAnsi="Calibri"/>
          <w:sz w:val="18"/>
          <w:szCs w:val="18"/>
          <w:color w:val="auto"/>
        </w:rPr>
        <w:t>—As of September 30, 2024, Cabot was in compliance with the fnancial debt covenants under the Credit Agreements, which, with</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limited exceptons, require us to comply on a quarterly basis with a leverage test requiring the rato of consolidated net debt to consolidated EBITDA not to exceed 3.50 to 1.00. Consolidated net debt is defned as consolidated debt ofset by the lessor of (i) unrestricted cash and cash equivalents and (ii) $150 million.</w:t>
      </w:r>
    </w:p>
    <w:p>
      <w:pPr>
        <w:spacing w:after="0" w:line="84" w:lineRule="exact"/>
        <w:rPr>
          <w:sz w:val="20"/>
          <w:szCs w:val="20"/>
          <w:color w:val="auto"/>
        </w:rPr>
      </w:pPr>
    </w:p>
    <w:p>
      <w:pPr>
        <w:ind w:right="820" w:firstLine="509"/>
        <w:spacing w:after="0" w:line="235" w:lineRule="auto"/>
        <w:rPr>
          <w:sz w:val="20"/>
          <w:szCs w:val="20"/>
          <w:color w:val="auto"/>
        </w:rPr>
      </w:pPr>
      <w:r>
        <w:rPr>
          <w:rFonts w:ascii="Calibri" w:cs="Calibri" w:eastAsia="Calibri" w:hAnsi="Calibri"/>
          <w:sz w:val="18"/>
          <w:szCs w:val="18"/>
          <w:b w:val="1"/>
          <w:bCs w:val="1"/>
          <w:i w:val="1"/>
          <w:iCs w:val="1"/>
          <w:color w:val="auto"/>
        </w:rPr>
        <w:t>Chinese Renminbi Debt</w:t>
      </w:r>
      <w:r>
        <w:rPr>
          <w:rFonts w:ascii="Calibri" w:cs="Calibri" w:eastAsia="Calibri" w:hAnsi="Calibri"/>
          <w:sz w:val="18"/>
          <w:szCs w:val="18"/>
          <w:color w:val="auto"/>
        </w:rPr>
        <w:t>—The Company’s consolidated Chinese subsidiaries had $4 million of unsecured long-term debt outstanding with a</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noncontrolling shareholder of a consolidated subsidiary as of both September 30, 2024 and 2023.</w:t>
      </w:r>
    </w:p>
    <w:p>
      <w:pPr>
        <w:spacing w:after="0" w:line="21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57" w:name="page58"/>
    <w:bookmarkEnd w:id="57"/>
    <w:p>
      <w:pPr>
        <w:ind w:right="160" w:firstLine="509"/>
        <w:spacing w:after="0" w:line="235" w:lineRule="auto"/>
        <w:rPr>
          <w:sz w:val="20"/>
          <w:szCs w:val="20"/>
          <w:color w:val="auto"/>
        </w:rPr>
      </w:pPr>
      <w:r>
        <w:rPr>
          <w:rFonts w:ascii="Calibri" w:cs="Calibri" w:eastAsia="Calibri" w:hAnsi="Calibri"/>
          <w:sz w:val="18"/>
          <w:szCs w:val="18"/>
          <w:b w:val="1"/>
          <w:bCs w:val="1"/>
          <w:color w:val="auto"/>
        </w:rPr>
        <w:t>3.4% Notes due fscal 2026</w:t>
      </w:r>
      <w:r>
        <w:rPr>
          <w:rFonts w:ascii="Calibri" w:cs="Calibri" w:eastAsia="Calibri" w:hAnsi="Calibri"/>
          <w:sz w:val="18"/>
          <w:szCs w:val="18"/>
          <w:color w:val="auto"/>
        </w:rPr>
        <w:t>—In September 2016, Cabot issued $250 million in registered notes with a coupon of 3.4% that mature on September 15,</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2026. These notes are unsecured and pay interest on March 15 and September 15. The net proceeds of this ofering were $248 million afer deductng discounts and issuance costs. The discount of less than $1 million was recorded at issuance and is being amortzed over the life of the notes.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b w:val="1"/>
          <w:bCs w:val="1"/>
          <w:color w:val="auto"/>
        </w:rPr>
        <w:t>4.0% Notes due fscal 2029</w:t>
      </w:r>
      <w:r>
        <w:rPr>
          <w:rFonts w:ascii="Calibri" w:cs="Calibri" w:eastAsia="Calibri" w:hAnsi="Calibri"/>
          <w:sz w:val="18"/>
          <w:szCs w:val="18"/>
          <w:color w:val="auto"/>
        </w:rPr>
        <w:t>—In June 2019, Cabot issued $300 million in registered, unsecured, notes with a coupon of 4.0% that mature on July 1,</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2029. Interest is payable under the notes semi-annually on January 1 and July 1. The net proceeds of this ofering were $296 million afer deductng discounts and issuance costs of $1 million and $3 million, respectvely, which were paid at issuance and are being amortzed over the life of the notes.</w:t>
      </w:r>
    </w:p>
    <w:p>
      <w:pPr>
        <w:spacing w:after="0" w:line="84"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b w:val="1"/>
          <w:bCs w:val="1"/>
          <w:color w:val="auto"/>
        </w:rPr>
        <w:t>5.0% Notes due fscal 2032</w:t>
      </w:r>
      <w:r>
        <w:rPr>
          <w:rFonts w:ascii="Calibri" w:cs="Calibri" w:eastAsia="Calibri" w:hAnsi="Calibri"/>
          <w:sz w:val="18"/>
          <w:szCs w:val="18"/>
          <w:color w:val="auto"/>
        </w:rPr>
        <w:t>—In June 2022, Cabot issued $400 million in unsecured notes with a coupon of 5% that mature on June 30, 2032. Interest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is payable semi-annually on June 30 and December 30. The net proceeds of this ofering were $394 million afer deductng discounts and issuance costs, each of which were $3 million, which were paid at issuance and are being amortzed over the life of the notes.</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b w:val="1"/>
          <w:bCs w:val="1"/>
          <w:i w:val="1"/>
          <w:iCs w:val="1"/>
          <w:color w:val="auto"/>
        </w:rPr>
        <w:t>Medium-Term Notes</w:t>
      </w:r>
      <w:r>
        <w:rPr>
          <w:rFonts w:ascii="Calibri" w:cs="Calibri" w:eastAsia="Calibri" w:hAnsi="Calibri"/>
          <w:sz w:val="18"/>
          <w:szCs w:val="18"/>
          <w:color w:val="auto"/>
        </w:rPr>
        <w:t>—At both September 30, 2024 and 2023, there were $8 million of unsecured medium-term notes outstanding issued to</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numerous lenders with various fxed interest rates and maturity dates. The weighted average maturity of the total outstanding medium-term notes is 3 years with a weighted average interest rate of 7.24%.</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b w:val="1"/>
          <w:bCs w:val="1"/>
          <w:i w:val="1"/>
          <w:iCs w:val="1"/>
          <w:color w:val="auto"/>
        </w:rPr>
        <w:t>Finance Lease obligatons</w:t>
      </w:r>
      <w:r>
        <w:rPr>
          <w:rFonts w:ascii="Calibri" w:cs="Calibri" w:eastAsia="Calibri" w:hAnsi="Calibri"/>
          <w:sz w:val="18"/>
          <w:szCs w:val="18"/>
          <w:color w:val="auto"/>
        </w:rPr>
        <w:t>—See Note S for a discussion of the Company’s leases.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Future Years Payment Schedule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aggregate principal amounts of long-term debt, excluding fnance lease liabilites presented separately in Note S, due in each of the fve years from fscal 2025 through 2029 and thereafer are as follows:</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Principal Payments</w:t>
            </w:r>
          </w:p>
        </w:tc>
      </w:tr>
      <w:tr>
        <w:trPr>
          <w:trHeight w:val="175"/>
        </w:trPr>
        <w:tc>
          <w:tcPr>
            <w:tcW w:w="7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on Long-Term</w:t>
            </w:r>
          </w:p>
        </w:tc>
      </w:tr>
      <w:tr>
        <w:trPr>
          <w:trHeight w:val="189"/>
        </w:trPr>
        <w:tc>
          <w:tcPr>
            <w:tcW w:w="7220" w:type="dxa"/>
            <w:vAlign w:val="bottom"/>
          </w:tcPr>
          <w:p>
            <w:pPr>
              <w:ind w:left="2800"/>
              <w:spacing w:after="0"/>
              <w:rPr>
                <w:sz w:val="20"/>
                <w:szCs w:val="20"/>
                <w:color w:val="auto"/>
              </w:rPr>
            </w:pPr>
            <w:r>
              <w:rPr>
                <w:rFonts w:ascii="Calibri" w:cs="Calibri" w:eastAsia="Calibri" w:hAnsi="Calibri"/>
                <w:sz w:val="14"/>
                <w:szCs w:val="14"/>
                <w:b w:val="1"/>
                <w:bCs w:val="1"/>
                <w:color w:val="auto"/>
              </w:rPr>
              <w:t>Years Ending 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8"/>
              </w:rPr>
              <w:t>Debt</w:t>
            </w:r>
          </w:p>
        </w:tc>
      </w:tr>
      <w:tr>
        <w:trPr>
          <w:trHeight w:val="173"/>
        </w:trPr>
        <w:tc>
          <w:tcPr>
            <w:tcW w:w="72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7"/>
              <w:spacing w:after="0"/>
              <w:rPr>
                <w:sz w:val="20"/>
                <w:szCs w:val="20"/>
                <w:color w:val="auto"/>
              </w:rPr>
            </w:pPr>
            <w:r>
              <w:rPr>
                <w:rFonts w:ascii="Calibri" w:cs="Calibri" w:eastAsia="Calibri" w:hAnsi="Calibri"/>
                <w:sz w:val="14"/>
                <w:szCs w:val="14"/>
                <w:b w:val="1"/>
                <w:bCs w:val="1"/>
                <w:color w:val="auto"/>
              </w:rPr>
              <w:t>(In millions)</w:t>
            </w:r>
          </w:p>
        </w:tc>
        <w:tc>
          <w:tcPr>
            <w:tcW w:w="80" w:type="dxa"/>
            <w:vAlign w:val="bottom"/>
          </w:tcPr>
          <w:p>
            <w:pPr>
              <w:spacing w:after="0"/>
              <w:rPr>
                <w:sz w:val="15"/>
                <w:szCs w:val="15"/>
                <w:color w:val="auto"/>
              </w:rPr>
            </w:pPr>
          </w:p>
        </w:tc>
      </w:tr>
      <w:tr>
        <w:trPr>
          <w:trHeight w:val="219"/>
        </w:trPr>
        <w:tc>
          <w:tcPr>
            <w:tcW w:w="722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2025</w:t>
            </w:r>
          </w:p>
        </w:tc>
        <w:tc>
          <w:tcPr>
            <w:tcW w:w="30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4</w:t>
            </w:r>
          </w:p>
        </w:tc>
        <w:tc>
          <w:tcPr>
            <w:tcW w:w="80" w:type="dxa"/>
            <w:vAlign w:val="bottom"/>
            <w:shd w:val="clear" w:color="auto" w:fill="CFF0FC"/>
          </w:tcPr>
          <w:p>
            <w:pPr>
              <w:spacing w:after="0"/>
              <w:rPr>
                <w:sz w:val="19"/>
                <w:szCs w:val="19"/>
                <w:color w:val="auto"/>
              </w:rPr>
            </w:pPr>
          </w:p>
        </w:tc>
      </w:tr>
      <w:tr>
        <w:trPr>
          <w:trHeight w:val="215"/>
        </w:trPr>
        <w:tc>
          <w:tcPr>
            <w:tcW w:w="7220" w:type="dxa"/>
            <w:vAlign w:val="bottom"/>
          </w:tcPr>
          <w:p>
            <w:pPr>
              <w:spacing w:after="0" w:line="215" w:lineRule="exact"/>
              <w:rPr>
                <w:sz w:val="20"/>
                <w:szCs w:val="20"/>
                <w:color w:val="auto"/>
              </w:rPr>
            </w:pPr>
            <w:r>
              <w:rPr>
                <w:rFonts w:ascii="Calibri" w:cs="Calibri" w:eastAsia="Calibri" w:hAnsi="Calibri"/>
                <w:sz w:val="18"/>
                <w:szCs w:val="18"/>
                <w:color w:val="auto"/>
              </w:rPr>
              <w:t>2026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80" w:type="dxa"/>
            <w:vAlign w:val="bottom"/>
          </w:tcPr>
          <w:p>
            <w:pPr>
              <w:spacing w:after="0"/>
              <w:rPr>
                <w:sz w:val="18"/>
                <w:szCs w:val="18"/>
                <w:color w:val="auto"/>
              </w:rPr>
            </w:pPr>
          </w:p>
        </w:tc>
      </w:tr>
      <w:tr>
        <w:trPr>
          <w:trHeight w:val="217"/>
        </w:trPr>
        <w:tc>
          <w:tcPr>
            <w:tcW w:w="72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113</w:t>
            </w:r>
          </w:p>
        </w:tc>
        <w:tc>
          <w:tcPr>
            <w:tcW w:w="80" w:type="dxa"/>
            <w:vAlign w:val="bottom"/>
            <w:shd w:val="clear" w:color="auto" w:fill="CFF0FC"/>
          </w:tcPr>
          <w:p>
            <w:pPr>
              <w:spacing w:after="0"/>
              <w:rPr>
                <w:sz w:val="18"/>
                <w:szCs w:val="18"/>
                <w:color w:val="auto"/>
              </w:rPr>
            </w:pPr>
          </w:p>
        </w:tc>
      </w:tr>
      <w:tr>
        <w:trPr>
          <w:trHeight w:val="215"/>
        </w:trPr>
        <w:tc>
          <w:tcPr>
            <w:tcW w:w="7220" w:type="dxa"/>
            <w:vAlign w:val="bottom"/>
          </w:tcPr>
          <w:p>
            <w:pPr>
              <w:spacing w:after="0" w:line="215" w:lineRule="exact"/>
              <w:rPr>
                <w:sz w:val="20"/>
                <w:szCs w:val="20"/>
                <w:color w:val="auto"/>
              </w:rPr>
            </w:pPr>
            <w:r>
              <w:rPr>
                <w:rFonts w:ascii="Calibri" w:cs="Calibri" w:eastAsia="Calibri" w:hAnsi="Calibri"/>
                <w:sz w:val="18"/>
                <w:szCs w:val="18"/>
                <w:color w:val="auto"/>
              </w:rPr>
              <w:t>2028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80" w:type="dxa"/>
            <w:vAlign w:val="bottom"/>
          </w:tcPr>
          <w:p>
            <w:pPr>
              <w:spacing w:after="0"/>
              <w:rPr>
                <w:sz w:val="18"/>
                <w:szCs w:val="18"/>
                <w:color w:val="auto"/>
              </w:rPr>
            </w:pPr>
          </w:p>
        </w:tc>
      </w:tr>
      <w:tr>
        <w:trPr>
          <w:trHeight w:val="217"/>
        </w:trPr>
        <w:tc>
          <w:tcPr>
            <w:tcW w:w="72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300</w:t>
            </w:r>
          </w:p>
        </w:tc>
        <w:tc>
          <w:tcPr>
            <w:tcW w:w="80" w:type="dxa"/>
            <w:vAlign w:val="bottom"/>
            <w:shd w:val="clear" w:color="auto" w:fill="CFF0FC"/>
          </w:tcPr>
          <w:p>
            <w:pPr>
              <w:spacing w:after="0"/>
              <w:rPr>
                <w:sz w:val="18"/>
                <w:szCs w:val="18"/>
                <w:color w:val="auto"/>
              </w:rPr>
            </w:pPr>
          </w:p>
        </w:tc>
      </w:tr>
      <w:tr>
        <w:trPr>
          <w:trHeight w:val="215"/>
        </w:trPr>
        <w:tc>
          <w:tcPr>
            <w:tcW w:w="7220" w:type="dxa"/>
            <w:vAlign w:val="bottom"/>
          </w:tcPr>
          <w:p>
            <w:pPr>
              <w:spacing w:after="0" w:line="215" w:lineRule="exact"/>
              <w:rPr>
                <w:sz w:val="20"/>
                <w:szCs w:val="20"/>
                <w:color w:val="auto"/>
              </w:rPr>
            </w:pPr>
            <w:r>
              <w:rPr>
                <w:rFonts w:ascii="Calibri" w:cs="Calibri" w:eastAsia="Calibri" w:hAnsi="Calibri"/>
                <w:sz w:val="18"/>
                <w:szCs w:val="18"/>
                <w:color w:val="auto"/>
              </w:rPr>
              <w:t>Thereafer</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400</w:t>
            </w:r>
          </w:p>
        </w:tc>
        <w:tc>
          <w:tcPr>
            <w:tcW w:w="80" w:type="dxa"/>
            <w:vAlign w:val="bottom"/>
          </w:tcPr>
          <w:p>
            <w:pPr>
              <w:spacing w:after="0"/>
              <w:rPr>
                <w:sz w:val="18"/>
                <w:szCs w:val="18"/>
                <w:color w:val="auto"/>
              </w:rPr>
            </w:pPr>
          </w:p>
        </w:tc>
      </w:tr>
      <w:tr>
        <w:trPr>
          <w:trHeight w:val="250"/>
        </w:trPr>
        <w:tc>
          <w:tcPr>
            <w:tcW w:w="7220" w:type="dxa"/>
            <w:vAlign w:val="bottom"/>
            <w:tcBorders>
              <w:bottom w:val="single" w:sz="8" w:color="CFF0FC"/>
            </w:tcBorders>
            <w:shd w:val="clear" w:color="auto" w:fill="CFF0FC"/>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1,075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b w:val="1"/>
          <w:bCs w:val="1"/>
          <w:i w:val="1"/>
          <w:iCs w:val="1"/>
          <w:color w:val="auto"/>
        </w:rPr>
        <w:t>Standby leters of credit</w:t>
      </w:r>
      <w:r>
        <w:rPr>
          <w:rFonts w:ascii="Calibri" w:cs="Calibri" w:eastAsia="Calibri" w:hAnsi="Calibri"/>
          <w:sz w:val="18"/>
          <w:szCs w:val="18"/>
          <w:color w:val="auto"/>
        </w:rPr>
        <w:t>—At September 30, 2024, the Company had provided standby leters of credit that were outstanding and not drawn totaling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$7 million, which expire through fscal 2025.</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J. Financial Instruments and Fair Value Measurements</w:t>
      </w:r>
    </w:p>
    <w:p>
      <w:pPr>
        <w:spacing w:after="0" w:line="82" w:lineRule="exact"/>
        <w:rPr>
          <w:sz w:val="20"/>
          <w:szCs w:val="20"/>
          <w:color w:val="auto"/>
        </w:rPr>
      </w:pPr>
    </w:p>
    <w:p>
      <w:pPr>
        <w:jc w:val="both"/>
        <w:ind w:right="200" w:firstLine="509"/>
        <w:spacing w:after="0" w:line="235" w:lineRule="auto"/>
        <w:rPr>
          <w:sz w:val="20"/>
          <w:szCs w:val="20"/>
          <w:color w:val="auto"/>
        </w:rPr>
      </w:pPr>
      <w:r>
        <w:rPr>
          <w:rFonts w:ascii="Calibri" w:cs="Calibri" w:eastAsia="Calibri" w:hAnsi="Calibri"/>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79" w:lineRule="exact"/>
        <w:rPr>
          <w:sz w:val="20"/>
          <w:szCs w:val="20"/>
          <w:color w:val="auto"/>
        </w:rPr>
      </w:pPr>
    </w:p>
    <w:p>
      <w:pPr>
        <w:ind w:left="20"/>
        <w:spacing w:after="0"/>
        <w:tabs>
          <w:tab w:leader="none" w:pos="900" w:val="left"/>
          <w:tab w:leader="none" w:pos="128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Quoted market prices in actve markets for identcal assets or liabilites</w:t>
      </w:r>
    </w:p>
    <w:p>
      <w:pPr>
        <w:spacing w:after="0" w:line="109" w:lineRule="exact"/>
        <w:rPr>
          <w:sz w:val="20"/>
          <w:szCs w:val="20"/>
          <w:color w:val="auto"/>
        </w:rPr>
      </w:pPr>
    </w:p>
    <w:p>
      <w:pPr>
        <w:ind w:left="920" w:right="340" w:hanging="1281"/>
        <w:spacing w:after="0" w:line="235" w:lineRule="auto"/>
        <w:tabs>
          <w:tab w:leader="none" w:pos="900" w:val="left"/>
        </w:tabs>
        <w:rPr>
          <w:sz w:val="20"/>
          <w:szCs w:val="20"/>
          <w:color w:val="auto"/>
        </w:rPr>
      </w:pPr>
      <w:r>
        <w:rPr>
          <w:rFonts w:ascii="Calibri" w:cs="Calibri" w:eastAsia="Calibri" w:hAnsi="Calibri"/>
          <w:sz w:val="18"/>
          <w:szCs w:val="18"/>
          <w:color w:val="auto"/>
        </w:rPr>
        <w:t>Level 2</w:t>
      </w:r>
      <w:r>
        <w:rPr>
          <w:sz w:val="20"/>
          <w:szCs w:val="20"/>
          <w:color w:val="auto"/>
        </w:rPr>
        <w:tab/>
      </w:r>
      <w:r>
        <w:rPr>
          <w:rFonts w:ascii="Calibri" w:cs="Calibri" w:eastAsia="Calibri" w:hAnsi="Calibri"/>
          <w:sz w:val="18"/>
          <w:szCs w:val="18"/>
          <w:color w:val="auto"/>
        </w:rPr>
        <w:t>— Signifcant other observable inputs (e.g., quoted prices for similar items in actve markets, quoted prices for identcal or similar items in markets that are not actve, inputs other than quoted prices that are observable such as interest rate and yield curves, and market-corroborated inputs)</w:t>
      </w:r>
    </w:p>
    <w:p>
      <w:pPr>
        <w:spacing w:after="0" w:line="106" w:lineRule="exact"/>
        <w:rPr>
          <w:sz w:val="20"/>
          <w:szCs w:val="20"/>
          <w:color w:val="auto"/>
        </w:rPr>
      </w:pPr>
    </w:p>
    <w:p>
      <w:pPr>
        <w:ind w:left="20"/>
        <w:spacing w:after="0"/>
        <w:tabs>
          <w:tab w:leader="none" w:pos="900" w:val="left"/>
          <w:tab w:leader="none" w:pos="128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Signifcant unobservable inputs</w:t>
      </w:r>
    </w:p>
    <w:p>
      <w:pPr>
        <w:spacing w:after="0" w:line="163"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There were no transfers of fnancial assets or liabilites measured at fair value between Level 1 and Level 2, and there were no Level 3 investments during fscal 2024 or 2023.</w:t>
      </w:r>
    </w:p>
    <w:p>
      <w:pPr>
        <w:spacing w:after="0" w:line="8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At both September 30, 2024 and 2023, the fair values of cash and cash equivalents, accounts and notes receivable, accounts payable and accrued liabilites, and short term borrowings and variable rate debt approximated their carrying values due to the short-term nature of these instruments. Cash and cash equivalents are classifed as Level 1 within the fair value hierarchy.</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8" w:name="page59"/>
    <w:bookmarkEnd w:id="58"/>
    <w:p>
      <w:pPr>
        <w:ind w:right="20" w:firstLine="509"/>
        <w:spacing w:after="0" w:line="235" w:lineRule="auto"/>
        <w:rPr>
          <w:sz w:val="20"/>
          <w:szCs w:val="20"/>
          <w:color w:val="auto"/>
        </w:rPr>
      </w:pPr>
      <w:r>
        <w:rPr>
          <w:rFonts w:ascii="Calibri" w:cs="Calibri" w:eastAsia="Calibri" w:hAnsi="Calibri"/>
          <w:sz w:val="18"/>
          <w:szCs w:val="18"/>
          <w:color w:val="auto"/>
        </w:rPr>
        <w:t>At both September 30, 2024 and 2023, Cabot had derivatves relatng to foreign currency risks carried at fair value. The Company uses standard models with market-based inputs, which take into account the present value of estmated future cash fows and the ability of Cabot or the fnancial counterparty to perform. For interest rate and cross-currency swaps, the signifcant inputs to these models are interest rate curves for discountng future cash fows and are adjusted for credit risk. For forward foreign currency contracts, the signifcant inputs are interest rate curves for discountng future cash fows, and exchange rate curves of the foreign currency for translatng future cash fows. These derivatves are classifed as Level 2 instruments within the fair value hierarchy as the fair value determinaton was based on observable inputs.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At both September 30, 2024 and 2023, the fair value of Guaranteed investment contracts, included in Other assets on the Consolidated Balance Sheets was $8 million. Guaranteed investment contracts were classifed as Level 2 instruments within the fair value hierarchy as the fair value determinaton was based on other observable inputs.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carrying value and fair value of the long-term fxed rate debt were each $1.08 billion as of September 30, 2024 and $1.08 billion and $1.04 billion, respectvely, as of September 30, 2023. The fair values of Cabot’s fxed rate long-term debt are estmated based on comparable quoted market prices at the respectve period ends. The carrying amounts of Cabot’s foatng rate long-term debt approximates the fair value. All such measurements are based on observable inputs and are classifed as Level 2 within the fair value hierarchy. The valuaton technique used is the discounted cash fow model.</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K. Derivatves</w:t>
      </w:r>
    </w:p>
    <w:p>
      <w:pPr>
        <w:spacing w:after="0" w:line="82" w:lineRule="exact"/>
        <w:rPr>
          <w:sz w:val="20"/>
          <w:szCs w:val="20"/>
          <w:color w:val="auto"/>
        </w:rPr>
      </w:pPr>
    </w:p>
    <w:p>
      <w:pPr>
        <w:ind w:right="100" w:firstLine="397"/>
        <w:spacing w:after="0" w:line="235" w:lineRule="auto"/>
        <w:rPr>
          <w:sz w:val="20"/>
          <w:szCs w:val="20"/>
          <w:color w:val="auto"/>
        </w:rPr>
      </w:pPr>
      <w:r>
        <w:rPr>
          <w:rFonts w:ascii="Calibri" w:cs="Calibri" w:eastAsia="Calibri" w:hAnsi="Calibri"/>
          <w:sz w:val="18"/>
          <w:szCs w:val="18"/>
          <w:color w:val="auto"/>
        </w:rPr>
        <w:t>The Company has foreign currency exposure arising from its net investments in foreign operatons. The Company uses cross-currency swaps to partally mitgate the impact of the Euro currency rate changes on the Company’s Euro denominated net investments. The Company’s cross-currency swaps are designated as net investment hedges.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 also has foreign currency exposure arising from the denominaton of monetary assets and liabilites in foreign currencies other than the functonal currency of a given subsidiary as well as the risk that currency fuctuatons could afect the dollar value of future cash fows generated in foreign currencies. The Company uses short-term forward contracts to minimize the exposure to foreign currency risk.</w:t>
      </w:r>
    </w:p>
    <w:p>
      <w:pPr>
        <w:sectPr>
          <w:pgSz w:w="11900" w:h="16838" w:orient="portrait"/>
          <w:cols w:equalWidth="0" w:num="1">
            <w:col w:w="11240"/>
          </w:cols>
          <w:pgMar w:left="320" w:top="1062" w:right="339" w:bottom="1440" w:gutter="0" w:footer="0" w:header="0"/>
        </w:sectPr>
      </w:pP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had no signifcant concentraton of credit risk at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following table provides details of the derivatves held as of September 30, 2024 and 2023 to manage foreign currency risk.</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tcBorders>
              <w:bottom w:val="single" w:sz="8" w:color="auto"/>
            </w:tcBorders>
            <w:gridSpan w:val="3"/>
          </w:tcPr>
          <w:p>
            <w:pPr>
              <w:ind w:left="1880"/>
              <w:spacing w:after="0"/>
              <w:rPr>
                <w:sz w:val="20"/>
                <w:szCs w:val="20"/>
                <w:color w:val="auto"/>
              </w:rPr>
            </w:pPr>
            <w:r>
              <w:rPr>
                <w:rFonts w:ascii="Calibri" w:cs="Calibri" w:eastAsia="Calibri" w:hAnsi="Calibri"/>
                <w:sz w:val="14"/>
                <w:szCs w:val="14"/>
                <w:b w:val="1"/>
                <w:bCs w:val="1"/>
                <w:color w:val="auto"/>
              </w:rPr>
              <w:t>Notonal Amount</w:t>
            </w:r>
          </w:p>
        </w:tc>
        <w:tc>
          <w:tcPr>
            <w:tcW w:w="0" w:type="dxa"/>
            <w:vAlign w:val="bottom"/>
          </w:tcPr>
          <w:p>
            <w:pPr>
              <w:spacing w:after="0"/>
              <w:rPr>
                <w:sz w:val="1"/>
                <w:szCs w:val="1"/>
                <w:color w:val="auto"/>
              </w:rPr>
            </w:pPr>
          </w:p>
        </w:tc>
      </w:tr>
      <w:tr>
        <w:trPr>
          <w:trHeight w:val="345"/>
        </w:trPr>
        <w:tc>
          <w:tcPr>
            <w:tcW w:w="3380" w:type="dxa"/>
            <w:vAlign w:val="bottom"/>
            <w:tcBorders>
              <w:bottom w:val="single" w:sz="8" w:color="auto"/>
            </w:tcBorders>
          </w:tcPr>
          <w:p>
            <w:pPr>
              <w:ind w:left="1360"/>
              <w:spacing w:after="0"/>
              <w:rPr>
                <w:sz w:val="20"/>
                <w:szCs w:val="20"/>
                <w:color w:val="auto"/>
              </w:rPr>
            </w:pPr>
            <w:r>
              <w:rPr>
                <w:rFonts w:ascii="Calibri" w:cs="Calibri" w:eastAsia="Calibri" w:hAnsi="Calibri"/>
                <w:sz w:val="14"/>
                <w:szCs w:val="14"/>
                <w:b w:val="1"/>
                <w:bCs w:val="1"/>
                <w:color w:val="auto"/>
              </w:rPr>
              <w:t>Descripton</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Borrowing</w:t>
            </w:r>
          </w:p>
        </w:tc>
        <w:tc>
          <w:tcPr>
            <w:tcW w:w="120" w:type="dxa"/>
            <w:vAlign w:val="bottom"/>
          </w:tcPr>
          <w:p>
            <w:pPr>
              <w:spacing w:after="0"/>
              <w:rPr>
                <w:sz w:val="24"/>
                <w:szCs w:val="24"/>
                <w:color w:val="auto"/>
              </w:rPr>
            </w:pPr>
          </w:p>
        </w:tc>
        <w:tc>
          <w:tcPr>
            <w:tcW w:w="24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September 30, 2024</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September 30, 2023</w:t>
            </w:r>
          </w:p>
        </w:tc>
        <w:tc>
          <w:tcPr>
            <w:tcW w:w="0" w:type="dxa"/>
            <w:vAlign w:val="bottom"/>
          </w:tcPr>
          <w:p>
            <w:pPr>
              <w:spacing w:after="0"/>
              <w:rPr>
                <w:sz w:val="1"/>
                <w:szCs w:val="1"/>
                <w:color w:val="auto"/>
              </w:rPr>
            </w:pPr>
          </w:p>
        </w:tc>
      </w:tr>
      <w:tr>
        <w:trPr>
          <w:trHeight w:val="194"/>
        </w:trPr>
        <w:tc>
          <w:tcPr>
            <w:tcW w:w="3380" w:type="dxa"/>
            <w:vAlign w:val="bottom"/>
            <w:vMerge w:val="restart"/>
          </w:tcPr>
          <w:p>
            <w:pPr>
              <w:ind w:left="20"/>
              <w:spacing w:after="0"/>
              <w:rPr>
                <w:sz w:val="20"/>
                <w:szCs w:val="20"/>
                <w:color w:val="auto"/>
              </w:rPr>
            </w:pPr>
            <w:r>
              <w:rPr>
                <w:rFonts w:ascii="Calibri" w:cs="Calibri" w:eastAsia="Calibri" w:hAnsi="Calibri"/>
                <w:sz w:val="18"/>
                <w:szCs w:val="18"/>
                <w:color w:val="auto"/>
              </w:rPr>
              <w:t>Cross Currency Swaps</w:t>
            </w:r>
          </w:p>
        </w:tc>
        <w:tc>
          <w:tcPr>
            <w:tcW w:w="120" w:type="dxa"/>
            <w:vAlign w:val="bottom"/>
          </w:tcPr>
          <w:p>
            <w:pPr>
              <w:spacing w:after="0"/>
              <w:rPr>
                <w:sz w:val="16"/>
                <w:szCs w:val="16"/>
                <w:color w:val="auto"/>
              </w:rPr>
            </w:pPr>
          </w:p>
        </w:tc>
        <w:tc>
          <w:tcPr>
            <w:tcW w:w="1360" w:type="dxa"/>
            <w:vAlign w:val="bottom"/>
            <w:gridSpan w:val="2"/>
            <w:vMerge w:val="restart"/>
          </w:tcPr>
          <w:p>
            <w:pPr>
              <w:jc w:val="center"/>
              <w:ind w:right="100"/>
              <w:spacing w:after="0"/>
              <w:rPr>
                <w:sz w:val="20"/>
                <w:szCs w:val="20"/>
                <w:color w:val="auto"/>
              </w:rPr>
            </w:pPr>
            <w:r>
              <w:rPr>
                <w:rFonts w:ascii="Calibri" w:cs="Calibri" w:eastAsia="Calibri" w:hAnsi="Calibri"/>
                <w:sz w:val="18"/>
                <w:szCs w:val="18"/>
                <w:color w:val="auto"/>
                <w:w w:val="98"/>
              </w:rPr>
              <w:t>3.4% Notes</w:t>
            </w:r>
          </w:p>
        </w:tc>
        <w:tc>
          <w:tcPr>
            <w:tcW w:w="2460" w:type="dxa"/>
            <w:vAlign w:val="bottom"/>
          </w:tcPr>
          <w:p>
            <w:pPr>
              <w:jc w:val="center"/>
              <w:spacing w:after="0" w:line="194" w:lineRule="exact"/>
              <w:rPr>
                <w:sz w:val="20"/>
                <w:szCs w:val="20"/>
                <w:color w:val="auto"/>
              </w:rPr>
            </w:pPr>
            <w:r>
              <w:rPr>
                <w:rFonts w:ascii="Calibri" w:cs="Calibri" w:eastAsia="Calibri" w:hAnsi="Calibri"/>
                <w:sz w:val="18"/>
                <w:szCs w:val="18"/>
                <w:color w:val="auto"/>
                <w:w w:val="97"/>
              </w:rPr>
              <w:t>USD 250 million swapped to EUR</w:t>
            </w:r>
          </w:p>
        </w:tc>
        <w:tc>
          <w:tcPr>
            <w:tcW w:w="120" w:type="dxa"/>
            <w:vAlign w:val="bottom"/>
          </w:tcPr>
          <w:p>
            <w:pPr>
              <w:spacing w:after="0"/>
              <w:rPr>
                <w:sz w:val="16"/>
                <w:szCs w:val="16"/>
                <w:color w:val="auto"/>
              </w:rPr>
            </w:pPr>
          </w:p>
        </w:tc>
        <w:tc>
          <w:tcPr>
            <w:tcW w:w="2240" w:type="dxa"/>
            <w:vAlign w:val="bottom"/>
          </w:tcPr>
          <w:p>
            <w:pPr>
              <w:jc w:val="center"/>
              <w:spacing w:after="0" w:line="194" w:lineRule="exact"/>
              <w:rPr>
                <w:sz w:val="20"/>
                <w:szCs w:val="20"/>
                <w:color w:val="auto"/>
              </w:rPr>
            </w:pPr>
            <w:r>
              <w:rPr>
                <w:rFonts w:ascii="Calibri" w:cs="Calibri" w:eastAsia="Calibri" w:hAnsi="Calibri"/>
                <w:sz w:val="18"/>
                <w:szCs w:val="18"/>
                <w:color w:val="auto"/>
                <w:w w:val="97"/>
              </w:rPr>
              <w:t>USD 250 million swapped to</w:t>
            </w:r>
          </w:p>
        </w:tc>
        <w:tc>
          <w:tcPr>
            <w:tcW w:w="0" w:type="dxa"/>
            <w:vAlign w:val="bottom"/>
          </w:tcPr>
          <w:p>
            <w:pPr>
              <w:spacing w:after="0"/>
              <w:rPr>
                <w:sz w:val="1"/>
                <w:szCs w:val="1"/>
                <w:color w:val="auto"/>
              </w:rPr>
            </w:pPr>
          </w:p>
        </w:tc>
      </w:tr>
      <w:tr>
        <w:trPr>
          <w:trHeight w:val="107"/>
        </w:trPr>
        <w:tc>
          <w:tcPr>
            <w:tcW w:w="3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460" w:type="dxa"/>
            <w:vAlign w:val="bottom"/>
            <w:vMerge w:val="restart"/>
          </w:tcPr>
          <w:p>
            <w:pPr>
              <w:jc w:val="center"/>
              <w:spacing w:after="0" w:line="215" w:lineRule="exact"/>
              <w:rPr>
                <w:sz w:val="20"/>
                <w:szCs w:val="20"/>
                <w:color w:val="auto"/>
              </w:rPr>
            </w:pPr>
            <w:r>
              <w:rPr>
                <w:rFonts w:ascii="Calibri" w:cs="Calibri" w:eastAsia="Calibri" w:hAnsi="Calibri"/>
                <w:sz w:val="18"/>
                <w:szCs w:val="18"/>
                <w:color w:val="auto"/>
                <w:w w:val="95"/>
              </w:rPr>
              <w:t>223 million</w:t>
            </w:r>
          </w:p>
        </w:tc>
        <w:tc>
          <w:tcPr>
            <w:tcW w:w="120" w:type="dxa"/>
            <w:vAlign w:val="bottom"/>
          </w:tcPr>
          <w:p>
            <w:pPr>
              <w:spacing w:after="0"/>
              <w:rPr>
                <w:sz w:val="9"/>
                <w:szCs w:val="9"/>
                <w:color w:val="auto"/>
              </w:rPr>
            </w:pPr>
          </w:p>
        </w:tc>
        <w:tc>
          <w:tcPr>
            <w:tcW w:w="2240" w:type="dxa"/>
            <w:vAlign w:val="bottom"/>
            <w:vMerge w:val="restart"/>
          </w:tcPr>
          <w:p>
            <w:pPr>
              <w:jc w:val="center"/>
              <w:spacing w:after="0" w:line="215" w:lineRule="exact"/>
              <w:rPr>
                <w:sz w:val="20"/>
                <w:szCs w:val="20"/>
                <w:color w:val="auto"/>
              </w:rPr>
            </w:pPr>
            <w:r>
              <w:rPr>
                <w:rFonts w:ascii="Calibri" w:cs="Calibri" w:eastAsia="Calibri" w:hAnsi="Calibri"/>
                <w:sz w:val="18"/>
                <w:szCs w:val="18"/>
                <w:color w:val="auto"/>
                <w:w w:val="96"/>
              </w:rPr>
              <w:t>EUR 223 million</w:t>
            </w:r>
          </w:p>
        </w:tc>
        <w:tc>
          <w:tcPr>
            <w:tcW w:w="0" w:type="dxa"/>
            <w:vAlign w:val="bottom"/>
          </w:tcPr>
          <w:p>
            <w:pPr>
              <w:spacing w:after="0"/>
              <w:rPr>
                <w:sz w:val="1"/>
                <w:szCs w:val="1"/>
                <w:color w:val="auto"/>
              </w:rPr>
            </w:pPr>
          </w:p>
        </w:tc>
      </w:tr>
      <w:tr>
        <w:trPr>
          <w:trHeight w:val="108"/>
        </w:trPr>
        <w:tc>
          <w:tcPr>
            <w:tcW w:w="3380" w:type="dxa"/>
            <w:vAlign w:val="bottom"/>
            <w:vMerge w:val="restart"/>
          </w:tcPr>
          <w:p>
            <w:pPr>
              <w:ind w:left="20"/>
              <w:spacing w:after="0"/>
              <w:rPr>
                <w:sz w:val="20"/>
                <w:szCs w:val="20"/>
                <w:color w:val="auto"/>
              </w:rPr>
            </w:pPr>
            <w:r>
              <w:rPr>
                <w:rFonts w:ascii="Calibri" w:cs="Calibri" w:eastAsia="Calibri" w:hAnsi="Calibri"/>
                <w:sz w:val="18"/>
                <w:szCs w:val="18"/>
                <w:color w:val="auto"/>
              </w:rPr>
              <w:t>Forward Foreign Currency Contracts</w:t>
            </w:r>
            <w:r>
              <w:rPr>
                <w:rFonts w:ascii="Calibri" w:cs="Calibri" w:eastAsia="Calibri" w:hAnsi="Calibri"/>
                <w:sz w:val="24"/>
                <w:szCs w:val="24"/>
                <w:color w:val="auto"/>
                <w:vertAlign w:val="superscript"/>
              </w:rPr>
              <w:t>(1)</w:t>
            </w: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3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20"/>
              <w:spacing w:after="0" w:line="216" w:lineRule="exact"/>
              <w:rPr>
                <w:sz w:val="20"/>
                <w:szCs w:val="20"/>
                <w:color w:val="auto"/>
              </w:rPr>
            </w:pPr>
            <w:r>
              <w:rPr>
                <w:rFonts w:ascii="Calibri" w:cs="Calibri" w:eastAsia="Calibri" w:hAnsi="Calibri"/>
                <w:sz w:val="18"/>
                <w:szCs w:val="18"/>
                <w:color w:val="auto"/>
                <w:w w:val="96"/>
              </w:rPr>
              <w:t>N/A</w:t>
            </w:r>
          </w:p>
        </w:tc>
        <w:tc>
          <w:tcPr>
            <w:tcW w:w="246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USD 138 million</w:t>
            </w:r>
          </w:p>
        </w:tc>
        <w:tc>
          <w:tcPr>
            <w:tcW w:w="120" w:type="dxa"/>
            <w:vAlign w:val="bottom"/>
          </w:tcPr>
          <w:p>
            <w:pPr>
              <w:spacing w:after="0"/>
              <w:rPr>
                <w:sz w:val="22"/>
                <w:szCs w:val="22"/>
                <w:color w:val="auto"/>
              </w:rPr>
            </w:pPr>
          </w:p>
        </w:tc>
        <w:tc>
          <w:tcPr>
            <w:tcW w:w="22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USD 82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11912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Hedge</w:t>
      </w:r>
    </w:p>
    <w:p>
      <w:pPr>
        <w:spacing w:after="0" w:line="5" w:lineRule="exact"/>
        <w:rPr>
          <w:sz w:val="20"/>
          <w:szCs w:val="20"/>
          <w:color w:val="auto"/>
        </w:rPr>
      </w:pPr>
    </w:p>
    <w:p>
      <w:pPr>
        <w:ind w:left="200"/>
        <w:spacing w:after="0"/>
        <w:rPr>
          <w:sz w:val="20"/>
          <w:szCs w:val="20"/>
          <w:color w:val="auto"/>
        </w:rPr>
      </w:pPr>
      <w:r>
        <w:rPr>
          <w:rFonts w:ascii="Calibri" w:cs="Calibri" w:eastAsia="Calibri" w:hAnsi="Calibri"/>
          <w:sz w:val="14"/>
          <w:szCs w:val="14"/>
          <w:b w:val="1"/>
          <w:bCs w:val="1"/>
          <w:color w:val="auto"/>
        </w:rPr>
        <w:t>Designaton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12700</wp:posOffset>
            </wp:positionV>
            <wp:extent cx="9258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Calibri" w:cs="Calibri" w:eastAsia="Calibri" w:hAnsi="Calibri"/>
          <w:sz w:val="17"/>
          <w:szCs w:val="17"/>
          <w:color w:val="auto"/>
        </w:rPr>
        <w:t>Net investment</w:t>
      </w:r>
    </w:p>
    <w:p>
      <w:pPr>
        <w:spacing w:after="0" w:line="11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No designaton</w:t>
      </w:r>
    </w:p>
    <w:p>
      <w:pPr>
        <w:spacing w:after="0" w:line="176" w:lineRule="exact"/>
        <w:rPr>
          <w:sz w:val="20"/>
          <w:szCs w:val="20"/>
          <w:color w:val="auto"/>
        </w:rPr>
      </w:pPr>
    </w:p>
    <w:p>
      <w:pPr>
        <w:sectPr>
          <w:pgSz w:w="11900" w:h="16838" w:orient="portrait"/>
          <w:cols w:equalWidth="0" w:num="2">
            <w:col w:w="9680" w:space="280"/>
            <w:col w:w="1280"/>
          </w:cols>
          <w:pgMar w:left="320" w:top="1062" w:right="339" w:bottom="1440" w:gutter="0" w:footer="0" w:header="0"/>
          <w:type w:val="continuous"/>
        </w:sectPr>
      </w:pPr>
    </w:p>
    <w:p>
      <w:pPr>
        <w:ind w:left="520" w:right="40" w:hanging="512"/>
        <w:spacing w:after="0" w:line="201" w:lineRule="auto"/>
        <w:tabs>
          <w:tab w:leader="none" w:pos="520" w:val="left"/>
        </w:tabs>
        <w:numPr>
          <w:ilvl w:val="0"/>
          <w:numId w:val="17"/>
        </w:numPr>
        <w:rPr>
          <w:rFonts w:ascii="Calibri" w:cs="Calibri" w:eastAsia="Calibri" w:hAnsi="Calibri"/>
          <w:sz w:val="24"/>
          <w:szCs w:val="24"/>
          <w:color w:val="auto"/>
          <w:vertAlign w:val="superscript"/>
        </w:rPr>
      </w:pPr>
      <w:r>
        <w:rPr>
          <w:rFonts w:ascii="Calibri" w:cs="Calibri" w:eastAsia="Calibri" w:hAnsi="Calibri"/>
          <w:sz w:val="18"/>
          <w:szCs w:val="18"/>
          <w:color w:val="auto"/>
        </w:rPr>
        <w:t>At both September 30, 2024 and 2023, the Company’s forward foreign exchange contracts were denominated in Indonesian rupiah, Czech koruna, and Colombian peso.</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Accountng for Derivatve Instruments and Hedging Actvites</w:t>
      </w:r>
    </w:p>
    <w:p>
      <w:pPr>
        <w:spacing w:after="0" w:line="77"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Net Investment Hedge</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For net investment hedges, changes in the fair value of the efectve porton of the derivatves’ gains or losses are reported as CTA in AOCI while changes in the inefectve porton are reported in earnings. Efectveness is assessed based on the hypothetcal derivatve method. The gains or losses on derivatve instruments reported in AOCI are reclassifed to earnings in the period in which earnings are afected by the underlying item, such as a disposal or substantal liquidatons of the enttes being hedged.</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59" w:name="page60"/>
    <w:bookmarkEnd w:id="59"/>
    <w:p>
      <w:pPr>
        <w:ind w:right="80" w:firstLine="509"/>
        <w:spacing w:after="0" w:line="228" w:lineRule="auto"/>
        <w:rPr>
          <w:sz w:val="20"/>
          <w:szCs w:val="20"/>
          <w:color w:val="auto"/>
        </w:rPr>
      </w:pPr>
      <w:r>
        <w:rPr>
          <w:rFonts w:ascii="Calibri" w:cs="Calibri" w:eastAsia="Calibri" w:hAnsi="Calibri"/>
          <w:sz w:val="18"/>
          <w:szCs w:val="18"/>
          <w:color w:val="auto"/>
        </w:rPr>
        <w:t>Cash setlements related to the net investment hedge occur semi-annually on March 15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and September 15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for fxed rate interest payments and a cash exchange of the notonal currency amount will occur at the end of the term in 2026. During each of fscal 2024, 2023 and 2022, the Company received net cash interest of $4 million. As of September 30, 2024 and 2023, the fair value of these swaps was an asset of $1 million and $12 million, respectvely, and was included in Prepaid expenses and other current assets and Other assets, and the cumulatve unrealized gain of $5 million and $15 million, respectvely, was included in AOCI on the Consolidated Balance Sheets.</w:t>
      </w:r>
    </w:p>
    <w:p>
      <w:pPr>
        <w:spacing w:after="0" w:line="81"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the impact of the cross-currency swaps, net of tax, to AOCI and the Consolidated Statements of Operatons:</w:t>
      </w:r>
    </w:p>
    <w:p>
      <w:pPr>
        <w:spacing w:after="0" w:line="143"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spacing w:after="0"/>
              <w:rPr>
                <w:sz w:val="20"/>
                <w:szCs w:val="20"/>
                <w:color w:val="auto"/>
              </w:rPr>
            </w:pPr>
            <w:r>
              <w:rPr>
                <w:rFonts w:ascii="Calibri" w:cs="Calibri" w:eastAsia="Calibri" w:hAnsi="Calibri"/>
                <w:sz w:val="14"/>
                <w:szCs w:val="14"/>
                <w:b w:val="1"/>
                <w:bCs w:val="1"/>
                <w:color w:val="auto"/>
              </w:rPr>
              <w:t>Years Ended September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6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5"/>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5"/>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9"/>
                <w:szCs w:val="19"/>
                <w:color w:val="auto"/>
              </w:rPr>
            </w:pPr>
          </w:p>
        </w:tc>
      </w:tr>
      <w:tr>
        <w:trPr>
          <w:trHeight w:val="223"/>
        </w:trPr>
        <w:tc>
          <w:tcPr>
            <w:tcW w:w="6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Calibri" w:cs="Calibri" w:eastAsia="Calibri" w:hAnsi="Calibri"/>
                <w:sz w:val="14"/>
                <w:szCs w:val="14"/>
                <w:b w:val="1"/>
                <w:bCs w:val="1"/>
                <w:color w:val="auto"/>
              </w:rPr>
              <w:t>(In millions)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2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Gain/(loss) recognized in AOCI</w:t>
            </w:r>
          </w:p>
        </w:tc>
        <w:tc>
          <w:tcPr>
            <w:tcW w:w="600" w:type="dxa"/>
            <w:vAlign w:val="bottom"/>
            <w:shd w:val="clear" w:color="auto" w:fill="CFF0FC"/>
          </w:tcPr>
          <w:p>
            <w:pPr>
              <w:jc w:val="right"/>
              <w:ind w:right="415"/>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(6 )</w:t>
            </w:r>
          </w:p>
        </w:tc>
        <w:tc>
          <w:tcPr>
            <w:tcW w:w="1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(13 )</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w:t>
            </w:r>
          </w:p>
        </w:tc>
        <w:tc>
          <w:tcPr>
            <w:tcW w:w="80" w:type="dxa"/>
            <w:vAlign w:val="bottom"/>
            <w:shd w:val="clear" w:color="auto" w:fill="CFF0FC"/>
          </w:tcPr>
          <w:p>
            <w:pPr>
              <w:spacing w:after="0"/>
              <w:rPr>
                <w:sz w:val="18"/>
                <w:szCs w:val="18"/>
                <w:color w:val="auto"/>
              </w:rPr>
            </w:pPr>
          </w:p>
        </w:tc>
      </w:tr>
      <w:tr>
        <w:trPr>
          <w:trHeight w:val="215"/>
        </w:trPr>
        <w:tc>
          <w:tcPr>
            <w:tcW w:w="6240" w:type="dxa"/>
            <w:vAlign w:val="bottom"/>
          </w:tcPr>
          <w:p>
            <w:pPr>
              <w:ind w:left="20"/>
              <w:spacing w:after="0" w:line="215" w:lineRule="exact"/>
              <w:rPr>
                <w:sz w:val="20"/>
                <w:szCs w:val="20"/>
                <w:color w:val="auto"/>
              </w:rPr>
            </w:pPr>
            <w:r>
              <w:rPr>
                <w:rFonts w:ascii="Calibri" w:cs="Calibri" w:eastAsia="Calibri" w:hAnsi="Calibri"/>
                <w:sz w:val="18"/>
                <w:szCs w:val="18"/>
                <w:color w:val="auto"/>
              </w:rPr>
              <w:t>(Gain)/loss reclassifed from AOCI into Interest expense</w:t>
            </w:r>
          </w:p>
        </w:tc>
        <w:tc>
          <w:tcPr>
            <w:tcW w:w="600" w:type="dxa"/>
            <w:vAlign w:val="bottom"/>
          </w:tcPr>
          <w:p>
            <w:pPr>
              <w:jc w:val="right"/>
              <w:ind w:right="415"/>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(4 )</w:t>
            </w:r>
          </w:p>
        </w:tc>
        <w:tc>
          <w:tcPr>
            <w:tcW w:w="18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(6 )</w:t>
            </w:r>
          </w:p>
        </w:tc>
      </w:tr>
      <w:tr>
        <w:trPr>
          <w:trHeight w:val="194"/>
        </w:trPr>
        <w:tc>
          <w:tcPr>
            <w:tcW w:w="624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(Gain)/loss recognized in Interest expense (amount excluded</w:t>
            </w: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5"/>
        </w:trPr>
        <w:tc>
          <w:tcPr>
            <w:tcW w:w="6240" w:type="dxa"/>
            <w:vAlign w:val="bottom"/>
            <w:shd w:val="clear" w:color="auto" w:fill="CFF0FC"/>
          </w:tcPr>
          <w:p>
            <w:pPr>
              <w:ind w:left="220"/>
              <w:spacing w:after="0" w:line="215" w:lineRule="exact"/>
              <w:rPr>
                <w:sz w:val="20"/>
                <w:szCs w:val="20"/>
                <w:color w:val="auto"/>
              </w:rPr>
            </w:pPr>
            <w:r>
              <w:rPr>
                <w:rFonts w:ascii="Calibri" w:cs="Calibri" w:eastAsia="Calibri" w:hAnsi="Calibri"/>
                <w:sz w:val="18"/>
                <w:szCs w:val="18"/>
                <w:color w:val="auto"/>
              </w:rPr>
              <w:t>from efectveness testng)</w:t>
            </w:r>
          </w:p>
        </w:tc>
        <w:tc>
          <w:tcPr>
            <w:tcW w:w="600" w:type="dxa"/>
            <w:vAlign w:val="bottom"/>
            <w:shd w:val="clear" w:color="auto" w:fill="CFF0FC"/>
          </w:tcPr>
          <w:p>
            <w:pPr>
              <w:jc w:val="right"/>
              <w:ind w:right="415"/>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shd w:val="clear" w:color="auto" w:fill="CFF0FC"/>
          </w:tcPr>
          <w:p>
            <w:pPr>
              <w:spacing w:after="0"/>
              <w:rPr>
                <w:sz w:val="18"/>
                <w:szCs w:val="18"/>
                <w:color w:val="auto"/>
              </w:rPr>
            </w:pPr>
          </w:p>
        </w:tc>
      </w:tr>
      <w:tr>
        <w:trPr>
          <w:trHeight w:val="23"/>
        </w:trPr>
        <w:tc>
          <w:tcPr>
            <w:tcW w:w="62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310"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Forward Foreign Currency Contracts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At both September 30, 2024 and 2023, the Company had foreign currency forward contracts that were not designated as hedges for accountng purposes. Although these derivatves do not qualify for hedge accountng, Cabot believes that such instruments are closely correlated with the underlying exposure, thus managing the associated risk. The gains or losses from changes in the fair value of derivatve instruments that are not accounted for as hedges are recognized in current period earnings.</w:t>
      </w:r>
    </w:p>
    <w:p>
      <w:pPr>
        <w:spacing w:after="0" w:line="84"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At both September 30, 2024 and 2023, the fair value of derivatve instruments not designated as hedges was less than $1 million and was presented in Accounts payable and accrued liabilites on the Consolidated Balance Sheets.</w:t>
      </w:r>
    </w:p>
    <w:p>
      <w:pPr>
        <w:spacing w:after="0" w:line="29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L. Insurance Recoveries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Pepinster, Belgium</w:t>
      </w:r>
    </w:p>
    <w:p>
      <w:pPr>
        <w:spacing w:after="0" w:line="69" w:lineRule="exact"/>
        <w:rPr>
          <w:sz w:val="20"/>
          <w:szCs w:val="20"/>
          <w:color w:val="auto"/>
        </w:rPr>
      </w:pPr>
    </w:p>
    <w:p>
      <w:pPr>
        <w:jc w:val="both"/>
        <w:ind w:right="20" w:firstLine="591"/>
        <w:spacing w:after="0" w:line="235" w:lineRule="auto"/>
        <w:rPr>
          <w:sz w:val="20"/>
          <w:szCs w:val="20"/>
          <w:color w:val="auto"/>
        </w:rPr>
      </w:pPr>
      <w:r>
        <w:rPr>
          <w:rFonts w:ascii="Calibri" w:cs="Calibri" w:eastAsia="Calibri" w:hAnsi="Calibri"/>
          <w:sz w:val="18"/>
          <w:szCs w:val="18"/>
          <w:color w:val="auto"/>
        </w:rPr>
        <w:t>In July 2021, the Company’s Specialty Compounds manufacturing and research and development facility in Pepinster, Belgium experienced signifcant fooding. Full producton, which was temporarily halted, resumed in the second quarter of fscal 2022. The Company agreed to a fnal insurance setlement in fscal 2023 for total proceeds of $33 million.</w:t>
      </w:r>
    </w:p>
    <w:p>
      <w:pPr>
        <w:spacing w:after="0" w:line="70" w:lineRule="exact"/>
        <w:rPr>
          <w:sz w:val="20"/>
          <w:szCs w:val="20"/>
          <w:color w:val="auto"/>
        </w:rPr>
      </w:pPr>
    </w:p>
    <w:p>
      <w:pPr>
        <w:ind w:right="240" w:firstLine="433"/>
        <w:spacing w:after="0" w:line="235" w:lineRule="auto"/>
        <w:rPr>
          <w:sz w:val="20"/>
          <w:szCs w:val="20"/>
          <w:color w:val="auto"/>
        </w:rPr>
      </w:pPr>
      <w:r>
        <w:rPr>
          <w:rFonts w:ascii="Calibri" w:cs="Calibri" w:eastAsia="Calibri" w:hAnsi="Calibri"/>
          <w:sz w:val="18"/>
          <w:szCs w:val="18"/>
          <w:color w:val="auto"/>
        </w:rPr>
        <w:t>During fscal 2022, the Company recorded expenses of $6 million for clean-up costs, inventory, and fxed asset impairments and simultaneously recognized a fully ofsetng loss recovery from expected insurance proceeds. During fscal 2023, the Company recognized gains of $9 million related to lost margin and the replacement value of fxed assets exceeding their net book value. The food-related expenses, loss recoveries and gains are included within Cost of sales in the Consolidated Statements of Operatons in fscal 2023 and 2022.</w:t>
      </w:r>
    </w:p>
    <w:p>
      <w:pPr>
        <w:spacing w:after="0" w:line="84" w:lineRule="exact"/>
        <w:rPr>
          <w:sz w:val="20"/>
          <w:szCs w:val="20"/>
          <w:color w:val="auto"/>
        </w:rPr>
      </w:pPr>
    </w:p>
    <w:p>
      <w:pPr>
        <w:ind w:firstLine="433"/>
        <w:spacing w:after="0" w:line="235" w:lineRule="auto"/>
        <w:rPr>
          <w:sz w:val="20"/>
          <w:szCs w:val="20"/>
          <w:color w:val="auto"/>
        </w:rPr>
      </w:pPr>
      <w:r>
        <w:rPr>
          <w:rFonts w:ascii="Calibri" w:cs="Calibri" w:eastAsia="Calibri" w:hAnsi="Calibri"/>
          <w:sz w:val="18"/>
          <w:szCs w:val="18"/>
          <w:color w:val="auto"/>
        </w:rPr>
        <w:t>During fscal 2023 and 2022, the Company received insurance proceeds of $14 million and $11 million, respectvely. Of the proceeds received, $12 million and $1 million is included in Cash provided by investng actvites and $2 million and $10 million, is included in Cash provided by operatng actvites for fscal 2023 and 2022, respectvely, in the Consolidated Statements of Cash Flows.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Franklin, Louisiana</w:t>
      </w:r>
    </w:p>
    <w:p>
      <w:pPr>
        <w:spacing w:after="0" w:line="82" w:lineRule="exact"/>
        <w:rPr>
          <w:sz w:val="20"/>
          <w:szCs w:val="20"/>
          <w:color w:val="auto"/>
        </w:rPr>
      </w:pPr>
    </w:p>
    <w:p>
      <w:pPr>
        <w:ind w:right="60" w:firstLine="484"/>
        <w:spacing w:after="0" w:line="235" w:lineRule="auto"/>
        <w:rPr>
          <w:sz w:val="20"/>
          <w:szCs w:val="20"/>
          <w:color w:val="auto"/>
        </w:rPr>
      </w:pPr>
      <w:r>
        <w:rPr>
          <w:rFonts w:ascii="Calibri" w:cs="Calibri" w:eastAsia="Calibri" w:hAnsi="Calibri"/>
          <w:sz w:val="18"/>
          <w:szCs w:val="18"/>
          <w:color w:val="auto"/>
        </w:rPr>
        <w:t>In August 2021, the Company’s specialty carbons and reinforcing carbons manufacturing facility in Franklin, Louisiana experienced an unplanned plant outage due to equipment failure. During fscal 2022, the Company received insurance proceeds of $8 million for business interrupton. These proceeds were included within Cost of sales in the Consolidated Statements of Operatons and in Cash Provided by operatng actvites in the Consolidated Statements of Cash Flows for the fscal year ended September 30, 2022.</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M. Employee Beneft Plans</w:t>
      </w:r>
    </w:p>
    <w:p>
      <w:pPr>
        <w:spacing w:after="0" w:line="82"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The informaton below provides detail concerning the Company’s beneft obligatons under the defned beneft and postretrement beneft plans it sponsors.</w:t>
      </w:r>
    </w:p>
    <w:p>
      <w:pPr>
        <w:spacing w:after="0" w:line="83" w:lineRule="exact"/>
        <w:rPr>
          <w:sz w:val="20"/>
          <w:szCs w:val="20"/>
          <w:color w:val="auto"/>
        </w:rPr>
      </w:pPr>
    </w:p>
    <w:p>
      <w:pPr>
        <w:ind w:right="360" w:firstLine="509"/>
        <w:spacing w:after="0"/>
        <w:rPr>
          <w:sz w:val="20"/>
          <w:szCs w:val="20"/>
          <w:color w:val="auto"/>
        </w:rPr>
      </w:pPr>
      <w:r>
        <w:rPr>
          <w:rFonts w:ascii="Calibri" w:cs="Calibri" w:eastAsia="Calibri" w:hAnsi="Calibri"/>
          <w:sz w:val="18"/>
          <w:szCs w:val="18"/>
          <w:color w:val="auto"/>
        </w:rPr>
        <w:t>Defned beneft plans provide pre-determined benefts to employees that are distributed upon retrement. Cabot is making all sponsor required contributons to these plans. The accumulated beneft obligaton was $2 million for the U.S. defned beneft plan and $145 million for the foreign defned beneft plans as of September 30, 2024 and $2 million for the U.S. defned beneft plans and</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8" w:right="359" w:bottom="1440" w:gutter="0" w:footer="0" w:header="0"/>
        </w:sectPr>
      </w:pPr>
    </w:p>
    <w:bookmarkStart w:id="60" w:name="page61"/>
    <w:bookmarkEnd w:id="60"/>
    <w:p>
      <w:pPr>
        <w:spacing w:after="0"/>
        <w:rPr>
          <w:sz w:val="20"/>
          <w:szCs w:val="20"/>
          <w:color w:val="auto"/>
        </w:rPr>
      </w:pPr>
      <w:r>
        <w:rPr>
          <w:rFonts w:ascii="Calibri" w:cs="Calibri" w:eastAsia="Calibri" w:hAnsi="Calibri"/>
          <w:sz w:val="18"/>
          <w:szCs w:val="18"/>
          <w:color w:val="auto"/>
        </w:rPr>
        <w:t>$131 million for the foreign defned beneft plans as of September 30, 2023. The U.S. defned beneft plan is the frozen Supplemental Cash Balance Plan.</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following provides informaton about projected beneft obligatons, plan assets, the funded status and weighted-average assumptons of the defned beneft pension and postretrement beneft plans: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jc w:val="right"/>
              <w:ind w:right="280"/>
              <w:spacing w:after="0"/>
              <w:rPr>
                <w:sz w:val="20"/>
                <w:szCs w:val="20"/>
                <w:color w:val="auto"/>
              </w:rPr>
            </w:pPr>
            <w:r>
              <w:rPr>
                <w:rFonts w:ascii="Calibri" w:cs="Calibri" w:eastAsia="Calibri" w:hAnsi="Calibri"/>
                <w:sz w:val="14"/>
                <w:szCs w:val="14"/>
                <w:b w:val="1"/>
                <w:bCs w:val="1"/>
                <w:color w:val="auto"/>
              </w:rPr>
              <w:t>Years Ended September 30</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10"/>
              <w:spacing w:after="0"/>
              <w:rPr>
                <w:sz w:val="20"/>
                <w:szCs w:val="20"/>
                <w:color w:val="auto"/>
              </w:rPr>
            </w:pPr>
            <w:r>
              <w:rPr>
                <w:rFonts w:ascii="Calibri" w:cs="Calibri" w:eastAsia="Calibri" w:hAnsi="Calibri"/>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4"/>
          </w:tcPr>
          <w:p>
            <w:pPr>
              <w:jc w:val="right"/>
              <w:ind w:right="30"/>
              <w:spacing w:after="0"/>
              <w:rPr>
                <w:sz w:val="20"/>
                <w:szCs w:val="20"/>
                <w:color w:val="auto"/>
              </w:rPr>
            </w:pPr>
            <w:r>
              <w:rPr>
                <w:rFonts w:ascii="Calibri" w:cs="Calibri" w:eastAsia="Calibri" w:hAnsi="Calibri"/>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6" w:lineRule="exact"/>
              <w:rPr>
                <w:sz w:val="20"/>
                <w:szCs w:val="20"/>
                <w:color w:val="auto"/>
              </w:rPr>
            </w:pPr>
            <w:r>
              <w:rPr>
                <w:rFonts w:ascii="Calibri" w:cs="Calibri" w:eastAsia="Calibri" w:hAnsi="Calibri"/>
                <w:sz w:val="14"/>
                <w:szCs w:val="14"/>
                <w:b w:val="1"/>
                <w:bCs w:val="1"/>
                <w:color w:val="auto"/>
              </w:rPr>
              <w:t>Pension</w:t>
            </w:r>
          </w:p>
        </w:tc>
        <w:tc>
          <w:tcPr>
            <w:tcW w:w="740" w:type="dxa"/>
            <w:vAlign w:val="bottom"/>
            <w:tcBorders>
              <w:bottom w:val="single" w:sz="8" w:color="auto"/>
            </w:tcBorders>
            <w:gridSpan w:val="2"/>
          </w:tcPr>
          <w:p>
            <w:pPr>
              <w:jc w:val="right"/>
              <w:ind w:right="55"/>
              <w:spacing w:after="0" w:line="166" w:lineRule="exact"/>
              <w:rPr>
                <w:sz w:val="20"/>
                <w:szCs w:val="20"/>
                <w:color w:val="auto"/>
              </w:rPr>
            </w:pPr>
            <w:r>
              <w:rPr>
                <w:rFonts w:ascii="Calibri" w:cs="Calibri" w:eastAsia="Calibri" w:hAnsi="Calibri"/>
                <w:sz w:val="14"/>
                <w:szCs w:val="14"/>
                <w:b w:val="1"/>
                <w:bCs w:val="1"/>
                <w:color w:val="auto"/>
              </w:rPr>
              <w:t>Benefts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100"/>
              <w:spacing w:after="0" w:line="166"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Calibri" w:cs="Calibri" w:eastAsia="Calibri" w:hAnsi="Calibri"/>
                <w:sz w:val="14"/>
                <w:szCs w:val="14"/>
                <w:b w:val="1"/>
                <w:bCs w:val="1"/>
                <w:color w:val="auto"/>
                <w:w w:val="96"/>
              </w:rPr>
              <w:t>Foreign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3"/>
              <w:spacing w:after="0"/>
              <w:rPr>
                <w:sz w:val="20"/>
                <w:szCs w:val="20"/>
                <w:color w:val="auto"/>
              </w:rPr>
            </w:pPr>
            <w:r>
              <w:rPr>
                <w:rFonts w:ascii="Calibri" w:cs="Calibri" w:eastAsia="Calibri" w:hAnsi="Calibri"/>
                <w:sz w:val="14"/>
                <w:szCs w:val="14"/>
                <w:b w:val="1"/>
                <w:bCs w:val="1"/>
                <w:color w:val="auto"/>
              </w:rPr>
              <w:t>U.S.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3"/>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3"/>
              <w:spacing w:after="0" w:line="169" w:lineRule="exact"/>
              <w:rPr>
                <w:sz w:val="20"/>
                <w:szCs w:val="20"/>
                <w:color w:val="auto"/>
              </w:rPr>
            </w:pPr>
            <w:r>
              <w:rPr>
                <w:rFonts w:ascii="Calibri" w:cs="Calibri" w:eastAsia="Calibri" w:hAnsi="Calibri"/>
                <w:sz w:val="14"/>
                <w:szCs w:val="14"/>
                <w:b w:val="1"/>
                <w:bCs w:val="1"/>
                <w:color w:val="auto"/>
              </w:rPr>
              <w:t>(In</w:t>
            </w:r>
          </w:p>
        </w:tc>
        <w:tc>
          <w:tcPr>
            <w:tcW w:w="420" w:type="dxa"/>
            <w:vAlign w:val="bottom"/>
            <w:gridSpan w:val="2"/>
          </w:tcPr>
          <w:p>
            <w:pPr>
              <w:jc w:val="right"/>
              <w:spacing w:after="0" w:line="169" w:lineRule="exact"/>
              <w:rPr>
                <w:sz w:val="20"/>
                <w:szCs w:val="20"/>
                <w:color w:val="auto"/>
              </w:rPr>
            </w:pPr>
            <w:r>
              <w:rPr>
                <w:rFonts w:ascii="Calibri" w:cs="Calibri" w:eastAsia="Calibri" w:hAnsi="Calibri"/>
                <w:sz w:val="14"/>
                <w:szCs w:val="14"/>
                <w:b w:val="1"/>
                <w:bCs w:val="1"/>
                <w:color w:val="auto"/>
                <w:w w:val="75"/>
              </w:rPr>
              <w:t>millions)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b w:val="1"/>
                <w:bCs w:val="1"/>
                <w:color w:val="auto"/>
              </w:rPr>
              <w:t>Change in Beneft Obligatons: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line="194" w:lineRule="exact"/>
              <w:rPr>
                <w:sz w:val="20"/>
                <w:szCs w:val="20"/>
                <w:color w:val="auto"/>
              </w:rPr>
            </w:pPr>
            <w:r>
              <w:rPr>
                <w:rFonts w:ascii="Calibri" w:cs="Calibri" w:eastAsia="Calibri" w:hAnsi="Calibri"/>
                <w:sz w:val="18"/>
                <w:szCs w:val="18"/>
                <w:color w:val="auto"/>
              </w:rPr>
              <w:t>Beneft obligaton at beginning of</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140"/>
              <w:spacing w:after="0" w:line="215" w:lineRule="exact"/>
              <w:rPr>
                <w:sz w:val="20"/>
                <w:szCs w:val="20"/>
                <w:color w:val="auto"/>
              </w:rPr>
            </w:pPr>
            <w:r>
              <w:rPr>
                <w:rFonts w:ascii="Calibri" w:cs="Calibri" w:eastAsia="Calibri" w:hAnsi="Calibri"/>
                <w:sz w:val="18"/>
                <w:szCs w:val="18"/>
                <w:color w:val="auto"/>
              </w:rPr>
              <w:t>year</w:t>
            </w:r>
          </w:p>
        </w:tc>
        <w:tc>
          <w:tcPr>
            <w:tcW w:w="520" w:type="dxa"/>
            <w:vAlign w:val="bottom"/>
          </w:tcPr>
          <w:p>
            <w:pPr>
              <w:jc w:val="right"/>
              <w:ind w:right="335"/>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139</w:t>
            </w:r>
          </w:p>
        </w:tc>
        <w:tc>
          <w:tcPr>
            <w:tcW w:w="240" w:type="dxa"/>
            <w:vAlign w:val="bottom"/>
          </w:tcPr>
          <w:p>
            <w:pPr>
              <w:spacing w:after="0"/>
              <w:rPr>
                <w:sz w:val="18"/>
                <w:szCs w:val="18"/>
                <w:color w:val="auto"/>
              </w:rPr>
            </w:pPr>
          </w:p>
        </w:tc>
        <w:tc>
          <w:tcPr>
            <w:tcW w:w="500" w:type="dxa"/>
            <w:vAlign w:val="bottom"/>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8"/>
                <w:szCs w:val="18"/>
                <w:color w:val="auto"/>
              </w:rPr>
            </w:pP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133</w:t>
            </w:r>
          </w:p>
        </w:tc>
        <w:tc>
          <w:tcPr>
            <w:tcW w:w="220" w:type="dxa"/>
            <w:vAlign w:val="bottom"/>
          </w:tcPr>
          <w:p>
            <w:pPr>
              <w:spacing w:after="0"/>
              <w:rPr>
                <w:sz w:val="18"/>
                <w:szCs w:val="18"/>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0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22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Service cost</w:t>
            </w:r>
          </w:p>
        </w:tc>
        <w:tc>
          <w:tcPr>
            <w:tcW w:w="5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cost</w:t>
            </w:r>
          </w:p>
        </w:tc>
        <w:tc>
          <w:tcPr>
            <w:tcW w:w="520" w:type="dxa"/>
            <w:vAlign w:val="bottom"/>
          </w:tcPr>
          <w:p>
            <w:pPr>
              <w:spacing w:after="0"/>
              <w:rPr>
                <w:sz w:val="18"/>
                <w:szCs w:val="18"/>
                <w:color w:val="auto"/>
              </w:rPr>
            </w:pP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Plan partcipants’ contributon</w:t>
            </w:r>
          </w:p>
        </w:tc>
        <w:tc>
          <w:tcPr>
            <w:tcW w:w="5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w w:val="97"/>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line="194" w:lineRule="exact"/>
              <w:rPr>
                <w:sz w:val="20"/>
                <w:szCs w:val="20"/>
                <w:color w:val="auto"/>
              </w:rPr>
            </w:pPr>
            <w:r>
              <w:rPr>
                <w:rFonts w:ascii="Calibri" w:cs="Calibri" w:eastAsia="Calibri" w:hAnsi="Calibri"/>
                <w:sz w:val="18"/>
                <w:szCs w:val="18"/>
                <w:color w:val="auto"/>
              </w:rPr>
              <w:t>Foreign currency exchange rate</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140"/>
              <w:spacing w:after="0" w:line="215" w:lineRule="exact"/>
              <w:rPr>
                <w:sz w:val="20"/>
                <w:szCs w:val="20"/>
                <w:color w:val="auto"/>
              </w:rPr>
            </w:pPr>
            <w:r>
              <w:rPr>
                <w:rFonts w:ascii="Calibri" w:cs="Calibri" w:eastAsia="Calibri" w:hAnsi="Calibri"/>
                <w:sz w:val="18"/>
                <w:szCs w:val="18"/>
                <w:color w:val="auto"/>
              </w:rPr>
              <w:t>changes</w:t>
            </w:r>
          </w:p>
        </w:tc>
        <w:tc>
          <w:tcPr>
            <w:tcW w:w="520" w:type="dxa"/>
            <w:vAlign w:val="bottom"/>
          </w:tcPr>
          <w:p>
            <w:pPr>
              <w:spacing w:after="0"/>
              <w:rPr>
                <w:sz w:val="18"/>
                <w:szCs w:val="18"/>
                <w:color w:val="auto"/>
              </w:rPr>
            </w:pP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92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(Gain) loss from changes in actuarial</w:t>
            </w: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assumptons and plan experience</w:t>
            </w:r>
          </w:p>
        </w:tc>
        <w:tc>
          <w:tcPr>
            <w:tcW w:w="5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(4 )</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Benefts paid</w:t>
            </w:r>
          </w:p>
        </w:tc>
        <w:tc>
          <w:tcPr>
            <w:tcW w:w="520" w:type="dxa"/>
            <w:vAlign w:val="bottom"/>
          </w:tcPr>
          <w:p>
            <w:pPr>
              <w:spacing w:after="0"/>
              <w:rPr>
                <w:sz w:val="18"/>
                <w:szCs w:val="18"/>
                <w:color w:val="auto"/>
              </w:rPr>
            </w:pP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8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(8 )</w:t>
            </w:r>
          </w:p>
        </w:tc>
        <w:tc>
          <w:tcPr>
            <w:tcW w:w="500" w:type="dxa"/>
            <w:vAlign w:val="bottom"/>
          </w:tcPr>
          <w:p>
            <w:pPr>
              <w:spacing w:after="0"/>
              <w:rPr>
                <w:sz w:val="18"/>
                <w:szCs w:val="18"/>
                <w:color w:val="auto"/>
              </w:rPr>
            </w:pPr>
          </w:p>
        </w:tc>
        <w:tc>
          <w:tcPr>
            <w:tcW w:w="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8"/>
              <w:spacing w:after="0" w:line="215" w:lineRule="exact"/>
              <w:rPr>
                <w:sz w:val="20"/>
                <w:szCs w:val="20"/>
                <w:color w:val="auto"/>
              </w:rPr>
            </w:pPr>
            <w:r>
              <w:rPr>
                <w:rFonts w:ascii="Calibri" w:cs="Calibri" w:eastAsia="Calibri" w:hAnsi="Calibri"/>
                <w:sz w:val="18"/>
                <w:szCs w:val="18"/>
                <w:color w:val="auto"/>
              </w:rPr>
              <w:t>(5 )</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Setlements or curtailments</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8"/>
              <w:spacing w:after="0" w:line="216" w:lineRule="exact"/>
              <w:rPr>
                <w:sz w:val="20"/>
                <w:szCs w:val="20"/>
                <w:color w:val="auto"/>
              </w:rPr>
            </w:pPr>
            <w:r>
              <w:rPr>
                <w:rFonts w:ascii="Calibri" w:cs="Calibri" w:eastAsia="Calibri" w:hAnsi="Calibri"/>
                <w:sz w:val="18"/>
                <w:szCs w:val="18"/>
                <w:color w:val="auto"/>
              </w:rPr>
              <w:t>(5 )</w:t>
            </w:r>
          </w:p>
        </w:tc>
        <w:tc>
          <w:tcPr>
            <w:tcW w:w="5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8"/>
              <w:spacing w:after="0" w:line="216" w:lineRule="exact"/>
              <w:rPr>
                <w:sz w:val="20"/>
                <w:szCs w:val="20"/>
                <w:color w:val="auto"/>
              </w:rPr>
            </w:pPr>
            <w:r>
              <w:rPr>
                <w:rFonts w:ascii="Calibri" w:cs="Calibri" w:eastAsia="Calibri" w:hAnsi="Calibri"/>
                <w:sz w:val="18"/>
                <w:szCs w:val="18"/>
                <w:color w:val="auto"/>
              </w:rPr>
              <w:t>(2 )</w:t>
            </w: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(1 )</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color w:val="auto"/>
              </w:rPr>
              <w:t>Beneft obligaton at end of year</w:t>
            </w:r>
          </w:p>
        </w:tc>
        <w:tc>
          <w:tcPr>
            <w:tcW w:w="520" w:type="dxa"/>
            <w:vAlign w:val="bottom"/>
            <w:tcBorders>
              <w:top w:val="single" w:sz="8" w:color="auto"/>
              <w:bottom w:val="single" w:sz="8" w:color="auto"/>
            </w:tcBorders>
          </w:tcPr>
          <w:p>
            <w:pPr>
              <w:jc w:val="right"/>
              <w:ind w:right="335"/>
              <w:spacing w:after="0" w:line="210" w:lineRule="exact"/>
              <w:rPr>
                <w:sz w:val="20"/>
                <w:szCs w:val="20"/>
                <w:color w:val="auto"/>
              </w:rPr>
            </w:pPr>
            <w:r>
              <w:rPr>
                <w:rFonts w:ascii="Calibri" w:cs="Calibri" w:eastAsia="Calibri" w:hAnsi="Calibri"/>
                <w:sz w:val="18"/>
                <w:szCs w:val="18"/>
                <w:color w:val="auto"/>
                <w:w w:val="87"/>
              </w:rPr>
              <w:t>$</w:t>
            </w:r>
          </w:p>
        </w:tc>
        <w:tc>
          <w:tcPr>
            <w:tcW w:w="2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6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155</w:t>
            </w:r>
          </w:p>
        </w:tc>
        <w:tc>
          <w:tcPr>
            <w:tcW w:w="2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5"/>
              <w:spacing w:after="0" w:line="210" w:lineRule="exact"/>
              <w:rPr>
                <w:sz w:val="20"/>
                <w:szCs w:val="20"/>
                <w:color w:val="auto"/>
              </w:rPr>
            </w:pPr>
            <w:r>
              <w:rPr>
                <w:rFonts w:ascii="Calibri" w:cs="Calibri" w:eastAsia="Calibri" w:hAnsi="Calibri"/>
                <w:sz w:val="18"/>
                <w:szCs w:val="18"/>
                <w:color w:val="auto"/>
                <w:w w:val="87"/>
              </w:rPr>
              <w:t>$</w:t>
            </w:r>
          </w:p>
        </w:tc>
        <w:tc>
          <w:tcPr>
            <w:tcW w:w="2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139</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color w:val="auto"/>
                <w:w w:val="87"/>
              </w:rPr>
              <w:t>$</w:t>
            </w:r>
          </w:p>
        </w:tc>
        <w:tc>
          <w:tcPr>
            <w:tcW w:w="5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12</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6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9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right"/>
              <w:ind w:right="280"/>
              <w:spacing w:after="0"/>
              <w:rPr>
                <w:sz w:val="20"/>
                <w:szCs w:val="20"/>
                <w:color w:val="auto"/>
              </w:rPr>
            </w:pPr>
            <w:r>
              <w:rPr>
                <w:rFonts w:ascii="Calibri" w:cs="Calibri" w:eastAsia="Calibri" w:hAnsi="Calibri"/>
                <w:sz w:val="14"/>
                <w:szCs w:val="14"/>
                <w:b w:val="1"/>
                <w:bCs w:val="1"/>
                <w:color w:val="auto"/>
              </w:rPr>
              <w:t>Years Ended September 30</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10"/>
              <w:spacing w:after="0"/>
              <w:rPr>
                <w:sz w:val="20"/>
                <w:szCs w:val="20"/>
                <w:color w:val="auto"/>
              </w:rPr>
            </w:pPr>
            <w:r>
              <w:rPr>
                <w:rFonts w:ascii="Calibri" w:cs="Calibri" w:eastAsia="Calibri" w:hAnsi="Calibri"/>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4"/>
          </w:tcPr>
          <w:p>
            <w:pPr>
              <w:jc w:val="right"/>
              <w:ind w:right="30"/>
              <w:spacing w:after="0"/>
              <w:rPr>
                <w:sz w:val="20"/>
                <w:szCs w:val="20"/>
                <w:color w:val="auto"/>
              </w:rPr>
            </w:pPr>
            <w:r>
              <w:rPr>
                <w:rFonts w:ascii="Calibri" w:cs="Calibri" w:eastAsia="Calibri" w:hAnsi="Calibri"/>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6" w:lineRule="exact"/>
              <w:rPr>
                <w:sz w:val="20"/>
                <w:szCs w:val="20"/>
                <w:color w:val="auto"/>
              </w:rPr>
            </w:pPr>
            <w:r>
              <w:rPr>
                <w:rFonts w:ascii="Calibri" w:cs="Calibri" w:eastAsia="Calibri" w:hAnsi="Calibri"/>
                <w:sz w:val="14"/>
                <w:szCs w:val="14"/>
                <w:b w:val="1"/>
                <w:bCs w:val="1"/>
                <w:color w:val="auto"/>
              </w:rPr>
              <w:t>Pension</w:t>
            </w:r>
          </w:p>
        </w:tc>
        <w:tc>
          <w:tcPr>
            <w:tcW w:w="740" w:type="dxa"/>
            <w:vAlign w:val="bottom"/>
            <w:tcBorders>
              <w:bottom w:val="single" w:sz="8" w:color="auto"/>
            </w:tcBorders>
            <w:gridSpan w:val="2"/>
          </w:tcPr>
          <w:p>
            <w:pPr>
              <w:jc w:val="right"/>
              <w:ind w:right="55"/>
              <w:spacing w:after="0" w:line="166" w:lineRule="exact"/>
              <w:rPr>
                <w:sz w:val="20"/>
                <w:szCs w:val="20"/>
                <w:color w:val="auto"/>
              </w:rPr>
            </w:pPr>
            <w:r>
              <w:rPr>
                <w:rFonts w:ascii="Calibri" w:cs="Calibri" w:eastAsia="Calibri" w:hAnsi="Calibri"/>
                <w:sz w:val="14"/>
                <w:szCs w:val="14"/>
                <w:b w:val="1"/>
                <w:bCs w:val="1"/>
                <w:color w:val="auto"/>
              </w:rPr>
              <w:t>Benefts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100"/>
              <w:spacing w:after="0" w:line="166"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Calibri" w:cs="Calibri" w:eastAsia="Calibri" w:hAnsi="Calibri"/>
                <w:sz w:val="14"/>
                <w:szCs w:val="14"/>
                <w:b w:val="1"/>
                <w:bCs w:val="1"/>
                <w:color w:val="auto"/>
                <w:w w:val="96"/>
              </w:rPr>
              <w:t>Foreign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3"/>
              <w:spacing w:after="0"/>
              <w:rPr>
                <w:sz w:val="20"/>
                <w:szCs w:val="20"/>
                <w:color w:val="auto"/>
              </w:rPr>
            </w:pPr>
            <w:r>
              <w:rPr>
                <w:rFonts w:ascii="Calibri" w:cs="Calibri" w:eastAsia="Calibri" w:hAnsi="Calibri"/>
                <w:sz w:val="14"/>
                <w:szCs w:val="14"/>
                <w:b w:val="1"/>
                <w:bCs w:val="1"/>
                <w:color w:val="auto"/>
              </w:rPr>
              <w:t>U.S.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3"/>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3"/>
              <w:spacing w:after="0" w:line="169" w:lineRule="exact"/>
              <w:rPr>
                <w:sz w:val="20"/>
                <w:szCs w:val="20"/>
                <w:color w:val="auto"/>
              </w:rPr>
            </w:pPr>
            <w:r>
              <w:rPr>
                <w:rFonts w:ascii="Calibri" w:cs="Calibri" w:eastAsia="Calibri" w:hAnsi="Calibri"/>
                <w:sz w:val="14"/>
                <w:szCs w:val="14"/>
                <w:b w:val="1"/>
                <w:bCs w:val="1"/>
                <w:color w:val="auto"/>
              </w:rPr>
              <w:t>(In</w:t>
            </w:r>
          </w:p>
        </w:tc>
        <w:tc>
          <w:tcPr>
            <w:tcW w:w="420" w:type="dxa"/>
            <w:vAlign w:val="bottom"/>
            <w:gridSpan w:val="2"/>
          </w:tcPr>
          <w:p>
            <w:pPr>
              <w:jc w:val="right"/>
              <w:spacing w:after="0" w:line="169" w:lineRule="exact"/>
              <w:rPr>
                <w:sz w:val="20"/>
                <w:szCs w:val="20"/>
                <w:color w:val="auto"/>
              </w:rPr>
            </w:pPr>
            <w:r>
              <w:rPr>
                <w:rFonts w:ascii="Calibri" w:cs="Calibri" w:eastAsia="Calibri" w:hAnsi="Calibri"/>
                <w:sz w:val="14"/>
                <w:szCs w:val="14"/>
                <w:b w:val="1"/>
                <w:bCs w:val="1"/>
                <w:color w:val="auto"/>
                <w:w w:val="75"/>
              </w:rPr>
              <w:t>millions)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b w:val="1"/>
                <w:bCs w:val="1"/>
                <w:color w:val="auto"/>
              </w:rPr>
              <w:t>Change in Plan Assets: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line="194" w:lineRule="exact"/>
              <w:rPr>
                <w:sz w:val="20"/>
                <w:szCs w:val="20"/>
                <w:color w:val="auto"/>
              </w:rPr>
            </w:pPr>
            <w:r>
              <w:rPr>
                <w:rFonts w:ascii="Calibri" w:cs="Calibri" w:eastAsia="Calibri" w:hAnsi="Calibri"/>
                <w:sz w:val="18"/>
                <w:szCs w:val="18"/>
                <w:color w:val="auto"/>
              </w:rPr>
              <w:t>Fair value of plan assets at beginning</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140"/>
              <w:spacing w:after="0" w:line="215" w:lineRule="exact"/>
              <w:rPr>
                <w:sz w:val="20"/>
                <w:szCs w:val="20"/>
                <w:color w:val="auto"/>
              </w:rPr>
            </w:pPr>
            <w:r>
              <w:rPr>
                <w:rFonts w:ascii="Calibri" w:cs="Calibri" w:eastAsia="Calibri" w:hAnsi="Calibri"/>
                <w:sz w:val="18"/>
                <w:szCs w:val="18"/>
                <w:color w:val="auto"/>
              </w:rPr>
              <w:t>of year</w:t>
            </w:r>
          </w:p>
        </w:tc>
        <w:tc>
          <w:tcPr>
            <w:tcW w:w="520" w:type="dxa"/>
            <w:vAlign w:val="bottom"/>
          </w:tcPr>
          <w:p>
            <w:pPr>
              <w:jc w:val="right"/>
              <w:ind w:right="33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144</w:t>
            </w:r>
          </w:p>
        </w:tc>
        <w:tc>
          <w:tcPr>
            <w:tcW w:w="240" w:type="dxa"/>
            <w:vAlign w:val="bottom"/>
          </w:tcPr>
          <w:p>
            <w:pPr>
              <w:spacing w:after="0"/>
              <w:rPr>
                <w:sz w:val="18"/>
                <w:szCs w:val="18"/>
                <w:color w:val="auto"/>
              </w:rPr>
            </w:pPr>
          </w:p>
        </w:tc>
        <w:tc>
          <w:tcPr>
            <w:tcW w:w="500" w:type="dxa"/>
            <w:vAlign w:val="bottom"/>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135</w:t>
            </w:r>
          </w:p>
        </w:tc>
        <w:tc>
          <w:tcPr>
            <w:tcW w:w="220" w:type="dxa"/>
            <w:vAlign w:val="bottom"/>
          </w:tcPr>
          <w:p>
            <w:pPr>
              <w:spacing w:after="0"/>
              <w:rPr>
                <w:sz w:val="18"/>
                <w:szCs w:val="18"/>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Actual return on plan assets</w:t>
            </w:r>
          </w:p>
        </w:tc>
        <w:tc>
          <w:tcPr>
            <w:tcW w:w="5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Employer contributon</w:t>
            </w:r>
          </w:p>
        </w:tc>
        <w:tc>
          <w:tcPr>
            <w:tcW w:w="520" w:type="dxa"/>
            <w:vAlign w:val="bottom"/>
          </w:tcPr>
          <w:p>
            <w:pPr>
              <w:spacing w:after="0"/>
              <w:rPr>
                <w:sz w:val="18"/>
                <w:szCs w:val="18"/>
                <w:color w:val="auto"/>
              </w:rPr>
            </w:pP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Plan partcipants’ contributon</w:t>
            </w:r>
          </w:p>
        </w:tc>
        <w:tc>
          <w:tcPr>
            <w:tcW w:w="5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w w:val="97"/>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line="194" w:lineRule="exact"/>
              <w:rPr>
                <w:sz w:val="20"/>
                <w:szCs w:val="20"/>
                <w:color w:val="auto"/>
              </w:rPr>
            </w:pPr>
            <w:r>
              <w:rPr>
                <w:rFonts w:ascii="Calibri" w:cs="Calibri" w:eastAsia="Calibri" w:hAnsi="Calibri"/>
                <w:sz w:val="18"/>
                <w:szCs w:val="18"/>
                <w:color w:val="auto"/>
              </w:rPr>
              <w:t>Foreign currency exchange rate</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140"/>
              <w:spacing w:after="0" w:line="215" w:lineRule="exact"/>
              <w:rPr>
                <w:sz w:val="20"/>
                <w:szCs w:val="20"/>
                <w:color w:val="auto"/>
              </w:rPr>
            </w:pPr>
            <w:r>
              <w:rPr>
                <w:rFonts w:ascii="Calibri" w:cs="Calibri" w:eastAsia="Calibri" w:hAnsi="Calibri"/>
                <w:sz w:val="18"/>
                <w:szCs w:val="18"/>
                <w:color w:val="auto"/>
              </w:rPr>
              <w:t>changes</w:t>
            </w:r>
          </w:p>
        </w:tc>
        <w:tc>
          <w:tcPr>
            <w:tcW w:w="520" w:type="dxa"/>
            <w:vAlign w:val="bottom"/>
          </w:tcPr>
          <w:p>
            <w:pPr>
              <w:spacing w:after="0"/>
              <w:rPr>
                <w:sz w:val="18"/>
                <w:szCs w:val="18"/>
                <w:color w:val="auto"/>
              </w:rPr>
            </w:pP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Benefts paid</w:t>
            </w:r>
          </w:p>
        </w:tc>
        <w:tc>
          <w:tcPr>
            <w:tcW w:w="5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(8 )</w:t>
            </w:r>
          </w:p>
        </w:tc>
        <w:tc>
          <w:tcPr>
            <w:tcW w:w="5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(5 )</w:t>
            </w: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Setlements or curtailments</w:t>
            </w:r>
          </w:p>
        </w:tc>
        <w:tc>
          <w:tcPr>
            <w:tcW w:w="52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(5 )</w:t>
            </w:r>
          </w:p>
        </w:tc>
        <w:tc>
          <w:tcPr>
            <w:tcW w:w="500" w:type="dxa"/>
            <w:vAlign w:val="bottom"/>
          </w:tcPr>
          <w:p>
            <w:pPr>
              <w:spacing w:after="0"/>
              <w:rPr>
                <w:sz w:val="18"/>
                <w:szCs w:val="18"/>
                <w:color w:val="auto"/>
              </w:rPr>
            </w:pPr>
          </w:p>
        </w:tc>
        <w:tc>
          <w:tcPr>
            <w:tcW w:w="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8"/>
              <w:spacing w:after="0" w:line="215" w:lineRule="exact"/>
              <w:rPr>
                <w:sz w:val="20"/>
                <w:szCs w:val="20"/>
                <w:color w:val="auto"/>
              </w:rPr>
            </w:pPr>
            <w:r>
              <w:rPr>
                <w:rFonts w:ascii="Calibri" w:cs="Calibri" w:eastAsia="Calibri" w:hAnsi="Calibri"/>
                <w:sz w:val="18"/>
                <w:szCs w:val="18"/>
                <w:color w:val="auto"/>
              </w:rPr>
              <w:t>(2 )</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88"/>
        </w:trPr>
        <w:tc>
          <w:tcPr>
            <w:tcW w:w="3920" w:type="dxa"/>
            <w:vAlign w:val="bottom"/>
            <w:shd w:val="clear" w:color="auto" w:fill="CFF0FC"/>
          </w:tcPr>
          <w:p>
            <w:pPr>
              <w:ind w:left="20"/>
              <w:spacing w:after="0" w:line="187" w:lineRule="exact"/>
              <w:rPr>
                <w:sz w:val="20"/>
                <w:szCs w:val="20"/>
                <w:color w:val="auto"/>
              </w:rPr>
            </w:pPr>
            <w:r>
              <w:rPr>
                <w:rFonts w:ascii="Calibri" w:cs="Calibri" w:eastAsia="Calibri" w:hAnsi="Calibri"/>
                <w:sz w:val="18"/>
                <w:szCs w:val="18"/>
                <w:color w:val="auto"/>
              </w:rPr>
              <w:t>Fair value of plan assets at end</w:t>
            </w:r>
          </w:p>
        </w:tc>
        <w:tc>
          <w:tcPr>
            <w:tcW w:w="520" w:type="dxa"/>
            <w:vAlign w:val="bottom"/>
            <w:tcBorders>
              <w:top w:val="single" w:sz="8" w:color="auto"/>
            </w:tcBorders>
            <w:vMerge w:val="restart"/>
            <w:shd w:val="clear" w:color="auto" w:fill="CFF0FC"/>
          </w:tcPr>
          <w:p>
            <w:pPr>
              <w:jc w:val="right"/>
              <w:ind w:right="335"/>
              <w:spacing w:after="0"/>
              <w:rPr>
                <w:sz w:val="20"/>
                <w:szCs w:val="20"/>
                <w:color w:val="auto"/>
              </w:rPr>
            </w:pPr>
            <w:r>
              <w:rPr>
                <w:rFonts w:ascii="Calibri" w:cs="Calibri" w:eastAsia="Calibri" w:hAnsi="Calibri"/>
                <w:sz w:val="18"/>
                <w:szCs w:val="18"/>
                <w:color w:val="auto"/>
                <w:w w:val="87"/>
              </w:rPr>
              <w:t>$</w:t>
            </w: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w w:val="97"/>
              </w:rPr>
              <w:t>—</w:t>
            </w:r>
          </w:p>
        </w:tc>
        <w:tc>
          <w:tcPr>
            <w:tcW w:w="240" w:type="dxa"/>
            <w:vAlign w:val="bottom"/>
            <w:vMerge w:val="restart"/>
            <w:shd w:val="clear" w:color="auto" w:fill="CFF0FC"/>
          </w:tcPr>
          <w:p>
            <w:pPr>
              <w:spacing w:after="0"/>
              <w:rPr>
                <w:sz w:val="16"/>
                <w:szCs w:val="16"/>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156</w:t>
            </w:r>
          </w:p>
        </w:tc>
        <w:tc>
          <w:tcPr>
            <w:tcW w:w="240" w:type="dxa"/>
            <w:vAlign w:val="bottom"/>
            <w:shd w:val="clear" w:color="auto" w:fill="CFF0FC"/>
          </w:tcPr>
          <w:p>
            <w:pPr>
              <w:spacing w:after="0"/>
              <w:rPr>
                <w:sz w:val="16"/>
                <w:szCs w:val="16"/>
                <w:color w:val="auto"/>
              </w:rPr>
            </w:pPr>
          </w:p>
        </w:tc>
        <w:tc>
          <w:tcPr>
            <w:tcW w:w="500" w:type="dxa"/>
            <w:vAlign w:val="bottom"/>
            <w:tcBorders>
              <w:top w:val="single" w:sz="8" w:color="auto"/>
            </w:tcBorders>
            <w:vMerge w:val="restart"/>
            <w:shd w:val="clear" w:color="auto" w:fill="CFF0FC"/>
          </w:tcPr>
          <w:p>
            <w:pPr>
              <w:jc w:val="right"/>
              <w:ind w:right="315"/>
              <w:spacing w:after="0"/>
              <w:rPr>
                <w:sz w:val="20"/>
                <w:szCs w:val="20"/>
                <w:color w:val="auto"/>
              </w:rPr>
            </w:pPr>
            <w:r>
              <w:rPr>
                <w:rFonts w:ascii="Calibri" w:cs="Calibri" w:eastAsia="Calibri" w:hAnsi="Calibri"/>
                <w:sz w:val="18"/>
                <w:szCs w:val="18"/>
                <w:color w:val="auto"/>
                <w:w w:val="87"/>
              </w:rPr>
              <w:t>$</w:t>
            </w:r>
          </w:p>
        </w:tc>
        <w:tc>
          <w:tcPr>
            <w:tcW w:w="2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spacing w:after="0"/>
              <w:rPr>
                <w:sz w:val="16"/>
                <w:szCs w:val="16"/>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144</w:t>
            </w: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vMerge w:val="restart"/>
            <w:shd w:val="clear" w:color="auto" w:fill="CFF0FC"/>
          </w:tcPr>
          <w:p>
            <w:pPr>
              <w:jc w:val="right"/>
              <w:ind w:right="10"/>
              <w:spacing w:after="0"/>
              <w:rPr>
                <w:sz w:val="20"/>
                <w:szCs w:val="20"/>
                <w:color w:val="auto"/>
              </w:rPr>
            </w:pPr>
            <w:r>
              <w:rPr>
                <w:rFonts w:ascii="Calibri" w:cs="Calibri" w:eastAsia="Calibri" w:hAnsi="Calibri"/>
                <w:sz w:val="18"/>
                <w:szCs w:val="18"/>
                <w:color w:val="auto"/>
                <w:w w:val="87"/>
              </w:rPr>
              <w:t>$</w:t>
            </w:r>
          </w:p>
        </w:tc>
        <w:tc>
          <w:tcPr>
            <w:tcW w:w="50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vMerge w:val="restart"/>
            <w:shd w:val="clear" w:color="auto" w:fill="CFF0FC"/>
          </w:tcPr>
          <w:p>
            <w:pPr>
              <w:spacing w:after="0"/>
              <w:rPr>
                <w:sz w:val="16"/>
                <w:szCs w:val="16"/>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vMerge w:val="restart"/>
            <w:shd w:val="clear" w:color="auto" w:fill="CFF0FC"/>
          </w:tcPr>
          <w:p>
            <w:pPr>
              <w:spacing w:after="0"/>
              <w:rPr>
                <w:sz w:val="16"/>
                <w:szCs w:val="16"/>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vMerge w:val="restart"/>
            <w:shd w:val="clear" w:color="auto" w:fill="CFF0FC"/>
          </w:tcPr>
          <w:p>
            <w:pPr>
              <w:spacing w:after="0"/>
              <w:rPr>
                <w:sz w:val="16"/>
                <w:szCs w:val="16"/>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tcBorders>
              <w:bottom w:val="single" w:sz="8" w:color="CFF0FC"/>
            </w:tcBorders>
            <w:shd w:val="clear" w:color="auto" w:fill="CFF0FC"/>
          </w:tcPr>
          <w:p>
            <w:pPr>
              <w:ind w:left="140"/>
              <w:spacing w:after="0" w:line="198" w:lineRule="exact"/>
              <w:rPr>
                <w:sz w:val="20"/>
                <w:szCs w:val="20"/>
                <w:color w:val="auto"/>
              </w:rPr>
            </w:pPr>
            <w:r>
              <w:rPr>
                <w:rFonts w:ascii="Calibri" w:cs="Calibri" w:eastAsia="Calibri" w:hAnsi="Calibri"/>
                <w:sz w:val="18"/>
                <w:szCs w:val="18"/>
                <w:color w:val="auto"/>
              </w:rPr>
              <w:t>of year</w:t>
            </w: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5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20" w:type="dxa"/>
            <w:vAlign w:val="bottom"/>
          </w:tcPr>
          <w:p>
            <w:pPr>
              <w:ind w:left="20"/>
              <w:spacing w:after="0" w:line="196" w:lineRule="exact"/>
              <w:rPr>
                <w:sz w:val="20"/>
                <w:szCs w:val="20"/>
                <w:color w:val="auto"/>
              </w:rPr>
            </w:pPr>
            <w:r>
              <w:rPr>
                <w:rFonts w:ascii="Calibri" w:cs="Calibri" w:eastAsia="Calibri" w:hAnsi="Calibri"/>
                <w:sz w:val="18"/>
                <w:szCs w:val="18"/>
                <w:color w:val="auto"/>
              </w:rPr>
              <w:t>Funded status</w:t>
            </w:r>
          </w:p>
        </w:tc>
        <w:tc>
          <w:tcPr>
            <w:tcW w:w="520" w:type="dxa"/>
            <w:vAlign w:val="bottom"/>
          </w:tcPr>
          <w:p>
            <w:pPr>
              <w:jc w:val="right"/>
              <w:ind w:right="335"/>
              <w:spacing w:after="0" w:line="196" w:lineRule="exact"/>
              <w:rPr>
                <w:sz w:val="20"/>
                <w:szCs w:val="20"/>
                <w:color w:val="auto"/>
              </w:rPr>
            </w:pPr>
            <w:r>
              <w:rPr>
                <w:rFonts w:ascii="Calibri" w:cs="Calibri" w:eastAsia="Calibri" w:hAnsi="Calibri"/>
                <w:sz w:val="18"/>
                <w:szCs w:val="18"/>
                <w:color w:val="auto"/>
                <w:w w:val="87"/>
              </w:rPr>
              <w:t>$</w:t>
            </w:r>
          </w:p>
        </w:tc>
        <w:tc>
          <w:tcPr>
            <w:tcW w:w="440" w:type="dxa"/>
            <w:vAlign w:val="bottom"/>
            <w:gridSpan w:val="2"/>
          </w:tcPr>
          <w:p>
            <w:pPr>
              <w:jc w:val="right"/>
              <w:ind w:right="180"/>
              <w:spacing w:after="0" w:line="196" w:lineRule="exact"/>
              <w:rPr>
                <w:sz w:val="20"/>
                <w:szCs w:val="20"/>
                <w:color w:val="auto"/>
              </w:rPr>
            </w:pPr>
            <w:r>
              <w:rPr>
                <w:rFonts w:ascii="Calibri" w:cs="Calibri" w:eastAsia="Calibri" w:hAnsi="Calibri"/>
                <w:sz w:val="18"/>
                <w:szCs w:val="18"/>
                <w:color w:val="auto"/>
                <w:w w:val="99"/>
              </w:rPr>
              <w:t>(2 )</w:t>
            </w:r>
          </w:p>
        </w:tc>
        <w:tc>
          <w:tcPr>
            <w:tcW w:w="120" w:type="dxa"/>
            <w:vAlign w:val="bottom"/>
          </w:tcPr>
          <w:p>
            <w:pPr>
              <w:jc w:val="right"/>
              <w:spacing w:after="0" w:line="196"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196"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7"/>
                <w:szCs w:val="17"/>
                <w:color w:val="auto"/>
              </w:rPr>
            </w:pPr>
          </w:p>
        </w:tc>
        <w:tc>
          <w:tcPr>
            <w:tcW w:w="500" w:type="dxa"/>
            <w:vAlign w:val="bottom"/>
          </w:tcPr>
          <w:p>
            <w:pPr>
              <w:jc w:val="right"/>
              <w:ind w:right="315"/>
              <w:spacing w:after="0" w:line="196" w:lineRule="exact"/>
              <w:rPr>
                <w:sz w:val="20"/>
                <w:szCs w:val="20"/>
                <w:color w:val="auto"/>
              </w:rPr>
            </w:pPr>
            <w:r>
              <w:rPr>
                <w:rFonts w:ascii="Calibri" w:cs="Calibri" w:eastAsia="Calibri" w:hAnsi="Calibri"/>
                <w:sz w:val="18"/>
                <w:szCs w:val="18"/>
                <w:color w:val="auto"/>
                <w:w w:val="87"/>
              </w:rPr>
              <w:t>$</w:t>
            </w:r>
          </w:p>
        </w:tc>
        <w:tc>
          <w:tcPr>
            <w:tcW w:w="340" w:type="dxa"/>
            <w:vAlign w:val="bottom"/>
            <w:gridSpan w:val="2"/>
          </w:tcPr>
          <w:p>
            <w:pPr>
              <w:jc w:val="right"/>
              <w:ind w:right="60"/>
              <w:spacing w:after="0" w:line="196" w:lineRule="exact"/>
              <w:rPr>
                <w:sz w:val="20"/>
                <w:szCs w:val="20"/>
                <w:color w:val="auto"/>
              </w:rPr>
            </w:pPr>
            <w:r>
              <w:rPr>
                <w:rFonts w:ascii="Calibri" w:cs="Calibri" w:eastAsia="Calibri" w:hAnsi="Calibri"/>
                <w:sz w:val="18"/>
                <w:szCs w:val="18"/>
                <w:color w:val="auto"/>
              </w:rPr>
              <w:t>(2 )</w:t>
            </w:r>
          </w:p>
        </w:tc>
        <w:tc>
          <w:tcPr>
            <w:tcW w:w="24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140"/>
              <w:spacing w:after="0" w:line="196" w:lineRule="exact"/>
              <w:rPr>
                <w:sz w:val="20"/>
                <w:szCs w:val="20"/>
                <w:color w:val="auto"/>
              </w:rPr>
            </w:pPr>
            <w:r>
              <w:rPr>
                <w:rFonts w:ascii="Calibri" w:cs="Calibri" w:eastAsia="Calibri" w:hAnsi="Calibri"/>
                <w:sz w:val="18"/>
                <w:szCs w:val="18"/>
                <w:color w:val="auto"/>
              </w:rPr>
              <w:t>(13 )</w:t>
            </w:r>
          </w:p>
        </w:tc>
        <w:tc>
          <w:tcPr>
            <w:tcW w:w="12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800" w:type="dxa"/>
            <w:vAlign w:val="bottom"/>
            <w:gridSpan w:val="2"/>
          </w:tcPr>
          <w:p>
            <w:pPr>
              <w:jc w:val="right"/>
              <w:ind w:right="160"/>
              <w:spacing w:after="0" w:line="196" w:lineRule="exact"/>
              <w:rPr>
                <w:sz w:val="20"/>
                <w:szCs w:val="20"/>
                <w:color w:val="auto"/>
              </w:rPr>
            </w:pPr>
            <w:r>
              <w:rPr>
                <w:rFonts w:ascii="Calibri" w:cs="Calibri" w:eastAsia="Calibri" w:hAnsi="Calibri"/>
                <w:sz w:val="18"/>
                <w:szCs w:val="18"/>
                <w:color w:val="auto"/>
              </w:rPr>
              <w:t>(12 )</w:t>
            </w:r>
          </w:p>
        </w:tc>
        <w:tc>
          <w:tcPr>
            <w:tcW w:w="160" w:type="dxa"/>
            <w:vAlign w:val="bottom"/>
          </w:tcPr>
          <w:p>
            <w:pPr>
              <w:jc w:val="right"/>
              <w:spacing w:after="0" w:line="196" w:lineRule="exact"/>
              <w:rPr>
                <w:sz w:val="20"/>
                <w:szCs w:val="20"/>
                <w:color w:val="auto"/>
              </w:rPr>
            </w:pPr>
            <w:r>
              <w:rPr>
                <w:rFonts w:ascii="Calibri" w:cs="Calibri" w:eastAsia="Calibri" w:hAnsi="Calibri"/>
                <w:sz w:val="18"/>
                <w:szCs w:val="18"/>
                <w:color w:val="auto"/>
                <w:w w:val="87"/>
              </w:rPr>
              <w:t>$</w:t>
            </w:r>
          </w:p>
        </w:tc>
        <w:tc>
          <w:tcPr>
            <w:tcW w:w="740" w:type="dxa"/>
            <w:vAlign w:val="bottom"/>
            <w:gridSpan w:val="2"/>
          </w:tcPr>
          <w:p>
            <w:pPr>
              <w:jc w:val="right"/>
              <w:ind w:right="160"/>
              <w:spacing w:after="0" w:line="196" w:lineRule="exact"/>
              <w:rPr>
                <w:sz w:val="20"/>
                <w:szCs w:val="20"/>
                <w:color w:val="auto"/>
              </w:rPr>
            </w:pPr>
            <w:r>
              <w:rPr>
                <w:rFonts w:ascii="Calibri" w:cs="Calibri" w:eastAsia="Calibri" w:hAnsi="Calibri"/>
                <w:sz w:val="18"/>
                <w:szCs w:val="18"/>
                <w:color w:val="auto"/>
              </w:rPr>
              <w:t>(14 )</w:t>
            </w:r>
          </w:p>
        </w:tc>
        <w:tc>
          <w:tcPr>
            <w:tcW w:w="120" w:type="dxa"/>
            <w:vAlign w:val="bottom"/>
          </w:tcPr>
          <w:p>
            <w:pPr>
              <w:jc w:val="right"/>
              <w:spacing w:after="0" w:line="196"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40"/>
              <w:spacing w:after="0" w:line="196"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37"/>
        </w:trPr>
        <w:tc>
          <w:tcPr>
            <w:tcW w:w="392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Recognized asset (liability)</w:t>
            </w:r>
          </w:p>
        </w:tc>
        <w:tc>
          <w:tcPr>
            <w:tcW w:w="520" w:type="dxa"/>
            <w:vAlign w:val="bottom"/>
            <w:shd w:val="clear" w:color="auto" w:fill="CFF0FC"/>
          </w:tcPr>
          <w:p>
            <w:pPr>
              <w:jc w:val="right"/>
              <w:ind w:right="335"/>
              <w:spacing w:after="0" w:line="216"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w w:val="99"/>
              </w:rPr>
              <w:t>(2 )</w:t>
            </w:r>
          </w:p>
        </w:tc>
        <w:tc>
          <w:tcPr>
            <w:tcW w:w="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5"/>
              <w:spacing w:after="0" w:line="216" w:lineRule="exact"/>
              <w:rPr>
                <w:sz w:val="20"/>
                <w:szCs w:val="20"/>
                <w:color w:val="auto"/>
              </w:rPr>
            </w:pPr>
            <w:r>
              <w:rPr>
                <w:rFonts w:ascii="Calibri" w:cs="Calibri" w:eastAsia="Calibri" w:hAnsi="Calibri"/>
                <w:sz w:val="18"/>
                <w:szCs w:val="18"/>
                <w:color w:val="auto"/>
                <w:w w:val="87"/>
              </w:rPr>
              <w:t>$</w:t>
            </w:r>
          </w:p>
        </w:tc>
        <w:tc>
          <w:tcPr>
            <w:tcW w:w="34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(2 )</w:t>
            </w:r>
          </w:p>
        </w:tc>
        <w:tc>
          <w:tcPr>
            <w:tcW w:w="2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(13 )</w:t>
            </w:r>
          </w:p>
        </w:tc>
        <w:tc>
          <w:tcPr>
            <w:tcW w:w="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8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(12 )</w:t>
            </w:r>
          </w:p>
        </w:tc>
        <w:tc>
          <w:tcPr>
            <w:tcW w:w="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74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(14 )</w:t>
            </w:r>
          </w:p>
        </w:tc>
        <w:tc>
          <w:tcPr>
            <w:tcW w:w="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3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48"/>
              <w:spacing w:after="0"/>
              <w:rPr>
                <w:sz w:val="20"/>
                <w:szCs w:val="20"/>
                <w:color w:val="auto"/>
              </w:rPr>
            </w:pPr>
            <w:r>
              <w:rPr>
                <w:rFonts w:ascii="Calibri" w:cs="Calibri" w:eastAsia="Calibri" w:hAnsi="Calibri"/>
                <w:sz w:val="18"/>
                <w:szCs w:val="18"/>
                <w:color w:val="auto"/>
              </w:rPr>
              <w:t>61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3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-3762375</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-3762375</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-3762375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-3762375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-3762375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-3762375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-3762375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-1233805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-1216660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-1233805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-1216660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-1233805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-1216660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-1233805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-1216660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-1233805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-1216660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-1233805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-1216660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-933450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-916305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-933450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-916305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-933450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-916305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-933450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-916305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-933450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-916305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-933450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-916305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ind w:left="280"/>
        <w:spacing w:after="0"/>
        <w:rPr>
          <w:sz w:val="20"/>
          <w:szCs w:val="20"/>
          <w:color w:val="auto"/>
        </w:rPr>
      </w:pPr>
      <w:r>
        <w:rPr>
          <w:rFonts w:ascii="Calibri" w:cs="Calibri" w:eastAsia="Calibri" w:hAnsi="Calibri"/>
          <w:sz w:val="18"/>
          <w:szCs w:val="18"/>
          <w:b w:val="1"/>
          <w:bCs w:val="1"/>
          <w:i w:val="1"/>
          <w:iCs w:val="1"/>
          <w:color w:val="auto"/>
        </w:rPr>
        <w:t>Pension Assumptons and Strategy</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following assumptons were used to determine the pension beneft obligatons and periodic beneft costs as of and for the years ended September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280" w:type="dxa"/>
            <w:vAlign w:val="bottom"/>
            <w:tcBorders>
              <w:bottom w:val="single" w:sz="8" w:color="auto"/>
            </w:tcBorders>
            <w:gridSpan w:val="3"/>
          </w:tcPr>
          <w:p>
            <w:pPr>
              <w:ind w:left="880"/>
              <w:spacing w:after="0"/>
              <w:rPr>
                <w:sz w:val="20"/>
                <w:szCs w:val="20"/>
                <w:color w:val="auto"/>
              </w:rPr>
            </w:pPr>
            <w:r>
              <w:rPr>
                <w:rFonts w:ascii="Calibri" w:cs="Calibri" w:eastAsia="Calibri" w:hAnsi="Calibri"/>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gridSpan w:val="3"/>
          </w:tcPr>
          <w:p>
            <w:pPr>
              <w:ind w:left="840"/>
              <w:spacing w:after="0"/>
              <w:rPr>
                <w:sz w:val="20"/>
                <w:szCs w:val="20"/>
                <w:color w:val="auto"/>
              </w:rPr>
            </w:pPr>
            <w:r>
              <w:rPr>
                <w:rFonts w:ascii="Calibri" w:cs="Calibri" w:eastAsia="Calibri" w:hAnsi="Calibri"/>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bottom w:val="single" w:sz="8" w:color="auto"/>
            </w:tcBorders>
            <w:gridSpan w:val="3"/>
          </w:tcPr>
          <w:p>
            <w:pPr>
              <w:ind w:left="860"/>
              <w:spacing w:after="0"/>
              <w:rPr>
                <w:sz w:val="20"/>
                <w:szCs w:val="20"/>
                <w:color w:val="auto"/>
              </w:rPr>
            </w:pPr>
            <w:r>
              <w:rPr>
                <w:rFonts w:ascii="Calibri" w:cs="Calibri" w:eastAsia="Calibri" w:hAnsi="Calibri"/>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46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460"/>
              <w:spacing w:after="0"/>
              <w:rPr>
                <w:sz w:val="20"/>
                <w:szCs w:val="20"/>
                <w:color w:val="auto"/>
              </w:rPr>
            </w:pPr>
            <w:r>
              <w:rPr>
                <w:rFonts w:ascii="Calibri" w:cs="Calibri" w:eastAsia="Calibri" w:hAnsi="Calibri"/>
                <w:sz w:val="14"/>
                <w:szCs w:val="14"/>
                <w:b w:val="1"/>
                <w:bCs w:val="1"/>
                <w:color w:val="auto"/>
              </w:rPr>
              <w:t>Pension Benefts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4660" w:type="dxa"/>
            <w:vAlign w:val="bottom"/>
          </w:tcPr>
          <w:p>
            <w:pPr>
              <w:spacing w:after="0"/>
              <w:rPr>
                <w:sz w:val="14"/>
                <w:szCs w:val="14"/>
                <w:color w:val="auto"/>
              </w:rPr>
            </w:pPr>
          </w:p>
        </w:tc>
        <w:tc>
          <w:tcPr>
            <w:tcW w:w="1280" w:type="dxa"/>
            <w:vAlign w:val="bottom"/>
            <w:gridSpan w:val="3"/>
          </w:tcPr>
          <w:p>
            <w:pPr>
              <w:ind w:left="340"/>
              <w:spacing w:after="0"/>
              <w:rPr>
                <w:sz w:val="20"/>
                <w:szCs w:val="20"/>
                <w:color w:val="auto"/>
              </w:rPr>
            </w:pPr>
            <w:r>
              <w:rPr>
                <w:rFonts w:ascii="Calibri" w:cs="Calibri" w:eastAsia="Calibri" w:hAnsi="Calibri"/>
                <w:sz w:val="14"/>
                <w:szCs w:val="14"/>
                <w:b w:val="1"/>
                <w:bCs w:val="1"/>
                <w:color w:val="auto"/>
              </w:rPr>
              <w:t>U.S.</w:t>
            </w:r>
          </w:p>
        </w:tc>
        <w:tc>
          <w:tcPr>
            <w:tcW w:w="1000" w:type="dxa"/>
            <w:vAlign w:val="bottom"/>
            <w:gridSpan w:val="2"/>
          </w:tcPr>
          <w:p>
            <w:pPr>
              <w:jc w:val="right"/>
              <w:ind w:right="460"/>
              <w:spacing w:after="0"/>
              <w:rPr>
                <w:sz w:val="20"/>
                <w:szCs w:val="20"/>
                <w:color w:val="auto"/>
              </w:rPr>
            </w:pPr>
            <w:r>
              <w:rPr>
                <w:rFonts w:ascii="Calibri" w:cs="Calibri" w:eastAsia="Calibri" w:hAnsi="Calibri"/>
                <w:sz w:val="14"/>
                <w:szCs w:val="14"/>
                <w:b w:val="1"/>
                <w:bCs w:val="1"/>
                <w:color w:val="auto"/>
              </w:rPr>
              <w:t>Foreign</w:t>
            </w:r>
          </w:p>
        </w:tc>
        <w:tc>
          <w:tcPr>
            <w:tcW w:w="1220" w:type="dxa"/>
            <w:vAlign w:val="bottom"/>
            <w:gridSpan w:val="3"/>
          </w:tcPr>
          <w:p>
            <w:pPr>
              <w:ind w:left="320"/>
              <w:spacing w:after="0"/>
              <w:rPr>
                <w:sz w:val="20"/>
                <w:szCs w:val="20"/>
                <w:color w:val="auto"/>
              </w:rPr>
            </w:pPr>
            <w:r>
              <w:rPr>
                <w:rFonts w:ascii="Calibri" w:cs="Calibri" w:eastAsia="Calibri" w:hAnsi="Calibri"/>
                <w:sz w:val="14"/>
                <w:szCs w:val="14"/>
                <w:b w:val="1"/>
                <w:bCs w:val="1"/>
                <w:color w:val="auto"/>
              </w:rPr>
              <w:t>U.S.</w:t>
            </w:r>
          </w:p>
        </w:tc>
        <w:tc>
          <w:tcPr>
            <w:tcW w:w="960" w:type="dxa"/>
            <w:vAlign w:val="bottom"/>
            <w:gridSpan w:val="2"/>
          </w:tcPr>
          <w:p>
            <w:pPr>
              <w:jc w:val="right"/>
              <w:ind w:right="440"/>
              <w:spacing w:after="0"/>
              <w:rPr>
                <w:sz w:val="20"/>
                <w:szCs w:val="20"/>
                <w:color w:val="auto"/>
              </w:rPr>
            </w:pPr>
            <w:r>
              <w:rPr>
                <w:rFonts w:ascii="Calibri" w:cs="Calibri" w:eastAsia="Calibri" w:hAnsi="Calibri"/>
                <w:sz w:val="14"/>
                <w:szCs w:val="14"/>
                <w:b w:val="1"/>
                <w:bCs w:val="1"/>
                <w:color w:val="auto"/>
              </w:rPr>
              <w:t>Foreign</w:t>
            </w:r>
          </w:p>
        </w:tc>
        <w:tc>
          <w:tcPr>
            <w:tcW w:w="1240" w:type="dxa"/>
            <w:vAlign w:val="bottom"/>
            <w:gridSpan w:val="3"/>
          </w:tcPr>
          <w:p>
            <w:pPr>
              <w:ind w:left="320"/>
              <w:spacing w:after="0"/>
              <w:rPr>
                <w:sz w:val="20"/>
                <w:szCs w:val="20"/>
                <w:color w:val="auto"/>
              </w:rPr>
            </w:pPr>
            <w:r>
              <w:rPr>
                <w:rFonts w:ascii="Calibri" w:cs="Calibri" w:eastAsia="Calibri" w:hAnsi="Calibri"/>
                <w:sz w:val="14"/>
                <w:szCs w:val="14"/>
                <w:b w:val="1"/>
                <w:bCs w:val="1"/>
                <w:color w:val="auto"/>
              </w:rPr>
              <w:t>U.S.</w:t>
            </w:r>
          </w:p>
        </w:tc>
        <w:tc>
          <w:tcPr>
            <w:tcW w:w="780" w:type="dxa"/>
            <w:vAlign w:val="bottom"/>
          </w:tcPr>
          <w:p>
            <w:pPr>
              <w:ind w:left="100"/>
              <w:spacing w:after="0"/>
              <w:rPr>
                <w:sz w:val="20"/>
                <w:szCs w:val="20"/>
                <w:color w:val="auto"/>
              </w:rPr>
            </w:pPr>
            <w:r>
              <w:rPr>
                <w:rFonts w:ascii="Calibri" w:cs="Calibri" w:eastAsia="Calibri" w:hAnsi="Calibri"/>
                <w:sz w:val="14"/>
                <w:szCs w:val="14"/>
                <w:b w:val="1"/>
                <w:bCs w:val="1"/>
                <w:color w:val="auto"/>
              </w:rPr>
              <w:t>Foreign</w:t>
            </w:r>
          </w:p>
        </w:tc>
        <w:tc>
          <w:tcPr>
            <w:tcW w:w="140" w:type="dxa"/>
            <w:vAlign w:val="bottom"/>
            <w:gridSpan w:val="2"/>
          </w:tcPr>
          <w:p>
            <w:pPr>
              <w:spacing w:after="0"/>
              <w:rPr>
                <w:sz w:val="14"/>
                <w:szCs w:val="14"/>
                <w:color w:val="auto"/>
              </w:rPr>
            </w:pPr>
          </w:p>
        </w:tc>
      </w:tr>
      <w:tr>
        <w:trPr>
          <w:trHeight w:val="190"/>
        </w:trPr>
        <w:tc>
          <w:tcPr>
            <w:tcW w:w="4660" w:type="dxa"/>
            <w:vAlign w:val="bottom"/>
            <w:shd w:val="clear" w:color="auto" w:fill="CFF0FC"/>
          </w:tcPr>
          <w:p>
            <w:pPr>
              <w:ind w:left="20"/>
              <w:spacing w:after="0" w:line="190" w:lineRule="exact"/>
              <w:rPr>
                <w:sz w:val="20"/>
                <w:szCs w:val="20"/>
                <w:color w:val="auto"/>
              </w:rPr>
            </w:pPr>
            <w:r>
              <w:rPr>
                <w:rFonts w:ascii="Calibri" w:cs="Calibri" w:eastAsia="Calibri" w:hAnsi="Calibri"/>
                <w:sz w:val="18"/>
                <w:szCs w:val="18"/>
                <w:color w:val="auto"/>
              </w:rPr>
              <w:t>Actuarial assumptons as of the year-end</w:t>
            </w:r>
          </w:p>
        </w:tc>
        <w:tc>
          <w:tcPr>
            <w:tcW w:w="9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218"/>
        </w:trPr>
        <w:tc>
          <w:tcPr>
            <w:tcW w:w="46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measurement date:</w:t>
            </w: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Discount rate</w:t>
            </w:r>
          </w:p>
        </w:tc>
        <w:tc>
          <w:tcPr>
            <w:tcW w:w="11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5.1 %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4.1 %</w:t>
            </w:r>
          </w:p>
        </w:tc>
        <w:tc>
          <w:tcPr>
            <w:tcW w:w="10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6.0 %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4.7 %</w:t>
            </w: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5.5 %</w:t>
            </w:r>
          </w:p>
        </w:tc>
        <w:tc>
          <w:tcPr>
            <w:tcW w:w="14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4.5 %</w:t>
            </w:r>
          </w:p>
        </w:tc>
      </w:tr>
      <w:tr>
        <w:trPr>
          <w:trHeight w:val="215"/>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Rate of increase in compensaton</w:t>
            </w:r>
          </w:p>
        </w:tc>
        <w:tc>
          <w:tcPr>
            <w:tcW w:w="1280" w:type="dxa"/>
            <w:vAlign w:val="bottom"/>
            <w:gridSpan w:val="3"/>
          </w:tcPr>
          <w:p>
            <w:pPr>
              <w:ind w:left="620"/>
              <w:spacing w:after="0" w:line="215" w:lineRule="exact"/>
              <w:rPr>
                <w:sz w:val="20"/>
                <w:szCs w:val="20"/>
                <w:color w:val="auto"/>
              </w:rPr>
            </w:pPr>
            <w:r>
              <w:rPr>
                <w:rFonts w:ascii="Calibri" w:cs="Calibri" w:eastAsia="Calibri" w:hAnsi="Calibri"/>
                <w:sz w:val="18"/>
                <w:szCs w:val="18"/>
                <w:color w:val="auto"/>
              </w:rPr>
              <w:t>N/A</w:t>
            </w: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2.9 %</w:t>
            </w:r>
          </w:p>
        </w:tc>
        <w:tc>
          <w:tcPr>
            <w:tcW w:w="1220" w:type="dxa"/>
            <w:vAlign w:val="bottom"/>
            <w:gridSpan w:val="3"/>
          </w:tcPr>
          <w:p>
            <w:pPr>
              <w:ind w:left="580"/>
              <w:spacing w:after="0" w:line="215" w:lineRule="exact"/>
              <w:rPr>
                <w:sz w:val="20"/>
                <w:szCs w:val="20"/>
                <w:color w:val="auto"/>
              </w:rPr>
            </w:pPr>
            <w:r>
              <w:rPr>
                <w:rFonts w:ascii="Calibri" w:cs="Calibri" w:eastAsia="Calibri" w:hAnsi="Calibri"/>
                <w:sz w:val="18"/>
                <w:szCs w:val="18"/>
                <w:color w:val="auto"/>
              </w:rPr>
              <w:t>N/A</w:t>
            </w: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3.0 %</w:t>
            </w: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3.0 %</w:t>
            </w:r>
          </w:p>
        </w:tc>
        <w:tc>
          <w:tcPr>
            <w:tcW w:w="14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3.0 %</w:t>
            </w:r>
          </w:p>
        </w:tc>
      </w:tr>
      <w:tr>
        <w:trPr>
          <w:trHeight w:val="217"/>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Cash balance interest credit rate</w:t>
            </w:r>
          </w:p>
        </w:tc>
        <w:tc>
          <w:tcPr>
            <w:tcW w:w="11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2.0 %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2.2 %</w:t>
            </w:r>
          </w:p>
        </w:tc>
        <w:tc>
          <w:tcPr>
            <w:tcW w:w="10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2.0 %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2.1 %</w:t>
            </w: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2.0 %</w:t>
            </w:r>
          </w:p>
        </w:tc>
        <w:tc>
          <w:tcPr>
            <w:tcW w:w="14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2.0 %</w:t>
            </w:r>
          </w:p>
        </w:tc>
      </w:tr>
      <w:tr>
        <w:trPr>
          <w:trHeight w:val="195"/>
        </w:trPr>
        <w:tc>
          <w:tcPr>
            <w:tcW w:w="466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Actuarial assumptons used to determine net</w:t>
            </w: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218"/>
        </w:trPr>
        <w:tc>
          <w:tcPr>
            <w:tcW w:w="46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periodic beneft cost during the year:</w:t>
            </w: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Discount rate - beneft obligaton</w:t>
            </w:r>
          </w:p>
        </w:tc>
        <w:tc>
          <w:tcPr>
            <w:tcW w:w="11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6.0 %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4.7 %</w:t>
            </w:r>
          </w:p>
        </w:tc>
        <w:tc>
          <w:tcPr>
            <w:tcW w:w="10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5.6 %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4.5 %</w:t>
            </w: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2.2 %</w:t>
            </w:r>
          </w:p>
        </w:tc>
        <w:tc>
          <w:tcPr>
            <w:tcW w:w="14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2.1 %</w:t>
            </w:r>
          </w:p>
        </w:tc>
      </w:tr>
      <w:tr>
        <w:trPr>
          <w:trHeight w:val="215"/>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Discount rate - service cost</w:t>
            </w:r>
          </w:p>
        </w:tc>
        <w:tc>
          <w:tcPr>
            <w:tcW w:w="1280" w:type="dxa"/>
            <w:vAlign w:val="bottom"/>
            <w:gridSpan w:val="3"/>
          </w:tcPr>
          <w:p>
            <w:pPr>
              <w:ind w:left="620"/>
              <w:spacing w:after="0" w:line="215" w:lineRule="exact"/>
              <w:rPr>
                <w:sz w:val="20"/>
                <w:szCs w:val="20"/>
                <w:color w:val="auto"/>
              </w:rPr>
            </w:pPr>
            <w:r>
              <w:rPr>
                <w:rFonts w:ascii="Calibri" w:cs="Calibri" w:eastAsia="Calibri" w:hAnsi="Calibri"/>
                <w:sz w:val="18"/>
                <w:szCs w:val="18"/>
                <w:color w:val="auto"/>
              </w:rPr>
              <w:t>N/A</w:t>
            </w: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3.9 %</w:t>
            </w:r>
          </w:p>
        </w:tc>
        <w:tc>
          <w:tcPr>
            <w:tcW w:w="1220" w:type="dxa"/>
            <w:vAlign w:val="bottom"/>
            <w:gridSpan w:val="3"/>
          </w:tcPr>
          <w:p>
            <w:pPr>
              <w:ind w:left="580"/>
              <w:spacing w:after="0" w:line="215" w:lineRule="exact"/>
              <w:rPr>
                <w:sz w:val="20"/>
                <w:szCs w:val="20"/>
                <w:color w:val="auto"/>
              </w:rPr>
            </w:pPr>
            <w:r>
              <w:rPr>
                <w:rFonts w:ascii="Calibri" w:cs="Calibri" w:eastAsia="Calibri" w:hAnsi="Calibri"/>
                <w:sz w:val="18"/>
                <w:szCs w:val="18"/>
                <w:color w:val="auto"/>
              </w:rPr>
              <w:t>N/A</w:t>
            </w: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3.6 %</w:t>
            </w:r>
          </w:p>
        </w:tc>
        <w:tc>
          <w:tcPr>
            <w:tcW w:w="1240" w:type="dxa"/>
            <w:vAlign w:val="bottom"/>
            <w:gridSpan w:val="3"/>
          </w:tcPr>
          <w:p>
            <w:pPr>
              <w:ind w:left="580"/>
              <w:spacing w:after="0" w:line="215" w:lineRule="exact"/>
              <w:rPr>
                <w:sz w:val="20"/>
                <w:szCs w:val="20"/>
                <w:color w:val="auto"/>
              </w:rPr>
            </w:pPr>
            <w:r>
              <w:rPr>
                <w:rFonts w:ascii="Calibri" w:cs="Calibri" w:eastAsia="Calibri" w:hAnsi="Calibri"/>
                <w:sz w:val="18"/>
                <w:szCs w:val="18"/>
                <w:color w:val="auto"/>
              </w:rPr>
              <w:t>N/A</w:t>
            </w: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2.0 %</w:t>
            </w:r>
          </w:p>
        </w:tc>
      </w:tr>
      <w:tr>
        <w:trPr>
          <w:trHeight w:val="215"/>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Discount rate - interest cost</w:t>
            </w:r>
          </w:p>
        </w:tc>
        <w:tc>
          <w:tcPr>
            <w:tcW w:w="11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6.0 %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4.7 %</w:t>
            </w:r>
          </w:p>
        </w:tc>
        <w:tc>
          <w:tcPr>
            <w:tcW w:w="10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5.3 %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4.5 %</w:t>
            </w: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1.6 %</w:t>
            </w:r>
          </w:p>
        </w:tc>
        <w:tc>
          <w:tcPr>
            <w:tcW w:w="14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1.7 %</w:t>
            </w:r>
          </w:p>
        </w:tc>
      </w:tr>
      <w:tr>
        <w:trPr>
          <w:trHeight w:val="197"/>
        </w:trPr>
        <w:tc>
          <w:tcPr>
            <w:tcW w:w="4660" w:type="dxa"/>
            <w:vAlign w:val="bottom"/>
          </w:tcPr>
          <w:p>
            <w:pPr>
              <w:ind w:left="380"/>
              <w:spacing w:after="0" w:line="196" w:lineRule="exact"/>
              <w:rPr>
                <w:sz w:val="20"/>
                <w:szCs w:val="20"/>
                <w:color w:val="auto"/>
              </w:rPr>
            </w:pPr>
            <w:r>
              <w:rPr>
                <w:rFonts w:ascii="Calibri" w:cs="Calibri" w:eastAsia="Calibri" w:hAnsi="Calibri"/>
                <w:sz w:val="18"/>
                <w:szCs w:val="18"/>
                <w:color w:val="auto"/>
              </w:rPr>
              <w:t>Expected long-term rate of return on</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4660" w:type="dxa"/>
            <w:vAlign w:val="bottom"/>
          </w:tcPr>
          <w:p>
            <w:pPr>
              <w:ind w:left="500"/>
              <w:spacing w:after="0" w:line="215" w:lineRule="exact"/>
              <w:rPr>
                <w:sz w:val="20"/>
                <w:szCs w:val="20"/>
                <w:color w:val="auto"/>
              </w:rPr>
            </w:pPr>
            <w:r>
              <w:rPr>
                <w:rFonts w:ascii="Calibri" w:cs="Calibri" w:eastAsia="Calibri" w:hAnsi="Calibri"/>
                <w:sz w:val="18"/>
                <w:szCs w:val="18"/>
                <w:color w:val="auto"/>
              </w:rPr>
              <w:t>plan assets</w:t>
            </w:r>
          </w:p>
        </w:tc>
        <w:tc>
          <w:tcPr>
            <w:tcW w:w="1280" w:type="dxa"/>
            <w:vAlign w:val="bottom"/>
            <w:gridSpan w:val="3"/>
          </w:tcPr>
          <w:p>
            <w:pPr>
              <w:ind w:left="620"/>
              <w:spacing w:after="0" w:line="215" w:lineRule="exact"/>
              <w:rPr>
                <w:sz w:val="20"/>
                <w:szCs w:val="20"/>
                <w:color w:val="auto"/>
              </w:rPr>
            </w:pPr>
            <w:r>
              <w:rPr>
                <w:rFonts w:ascii="Calibri" w:cs="Calibri" w:eastAsia="Calibri" w:hAnsi="Calibri"/>
                <w:sz w:val="18"/>
                <w:szCs w:val="18"/>
                <w:color w:val="auto"/>
              </w:rPr>
              <w:t>N/A</w:t>
            </w: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5.2 %</w:t>
            </w:r>
          </w:p>
        </w:tc>
        <w:tc>
          <w:tcPr>
            <w:tcW w:w="1220" w:type="dxa"/>
            <w:vAlign w:val="bottom"/>
            <w:gridSpan w:val="3"/>
          </w:tcPr>
          <w:p>
            <w:pPr>
              <w:ind w:left="580"/>
              <w:spacing w:after="0" w:line="215" w:lineRule="exact"/>
              <w:rPr>
                <w:sz w:val="20"/>
                <w:szCs w:val="20"/>
                <w:color w:val="auto"/>
              </w:rPr>
            </w:pPr>
            <w:r>
              <w:rPr>
                <w:rFonts w:ascii="Calibri" w:cs="Calibri" w:eastAsia="Calibri" w:hAnsi="Calibri"/>
                <w:sz w:val="18"/>
                <w:szCs w:val="18"/>
                <w:color w:val="auto"/>
              </w:rPr>
              <w:t>N/A</w:t>
            </w: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5.1 %</w:t>
            </w:r>
          </w:p>
        </w:tc>
        <w:tc>
          <w:tcPr>
            <w:tcW w:w="1240" w:type="dxa"/>
            <w:vAlign w:val="bottom"/>
            <w:gridSpan w:val="3"/>
          </w:tcPr>
          <w:p>
            <w:pPr>
              <w:ind w:left="580"/>
              <w:spacing w:after="0" w:line="215" w:lineRule="exact"/>
              <w:rPr>
                <w:sz w:val="20"/>
                <w:szCs w:val="20"/>
                <w:color w:val="auto"/>
              </w:rPr>
            </w:pPr>
            <w:r>
              <w:rPr>
                <w:rFonts w:ascii="Calibri" w:cs="Calibri" w:eastAsia="Calibri" w:hAnsi="Calibri"/>
                <w:sz w:val="18"/>
                <w:szCs w:val="18"/>
                <w:color w:val="auto"/>
              </w:rPr>
              <w:t>N/A</w:t>
            </w: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3.5 %</w:t>
            </w:r>
          </w:p>
        </w:tc>
      </w:tr>
      <w:tr>
        <w:trPr>
          <w:trHeight w:val="216"/>
        </w:trPr>
        <w:tc>
          <w:tcPr>
            <w:tcW w:w="4660" w:type="dxa"/>
            <w:vAlign w:val="bottom"/>
          </w:tcPr>
          <w:p>
            <w:pPr>
              <w:ind w:left="380"/>
              <w:spacing w:after="0" w:line="216" w:lineRule="exact"/>
              <w:rPr>
                <w:sz w:val="20"/>
                <w:szCs w:val="20"/>
                <w:color w:val="auto"/>
              </w:rPr>
            </w:pPr>
            <w:r>
              <w:rPr>
                <w:rFonts w:ascii="Calibri" w:cs="Calibri" w:eastAsia="Calibri" w:hAnsi="Calibri"/>
                <w:sz w:val="18"/>
                <w:szCs w:val="18"/>
                <w:color w:val="auto"/>
              </w:rPr>
              <w:t>Rate of increase in compensaton</w:t>
            </w:r>
          </w:p>
        </w:tc>
        <w:tc>
          <w:tcPr>
            <w:tcW w:w="1280" w:type="dxa"/>
            <w:vAlign w:val="bottom"/>
            <w:gridSpan w:val="3"/>
          </w:tcPr>
          <w:p>
            <w:pPr>
              <w:ind w:left="620"/>
              <w:spacing w:after="0" w:line="216" w:lineRule="exact"/>
              <w:rPr>
                <w:sz w:val="20"/>
                <w:szCs w:val="20"/>
                <w:color w:val="auto"/>
              </w:rPr>
            </w:pPr>
            <w:r>
              <w:rPr>
                <w:rFonts w:ascii="Calibri" w:cs="Calibri" w:eastAsia="Calibri" w:hAnsi="Calibri"/>
                <w:sz w:val="18"/>
                <w:szCs w:val="18"/>
                <w:color w:val="auto"/>
              </w:rPr>
              <w:t>N/A</w:t>
            </w:r>
          </w:p>
        </w:tc>
        <w:tc>
          <w:tcPr>
            <w:tcW w:w="10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3.0 %</w:t>
            </w:r>
          </w:p>
        </w:tc>
        <w:tc>
          <w:tcPr>
            <w:tcW w:w="1220" w:type="dxa"/>
            <w:vAlign w:val="bottom"/>
            <w:gridSpan w:val="3"/>
          </w:tcPr>
          <w:p>
            <w:pPr>
              <w:ind w:left="580"/>
              <w:spacing w:after="0" w:line="216" w:lineRule="exact"/>
              <w:rPr>
                <w:sz w:val="20"/>
                <w:szCs w:val="20"/>
                <w:color w:val="auto"/>
              </w:rPr>
            </w:pPr>
            <w:r>
              <w:rPr>
                <w:rFonts w:ascii="Calibri" w:cs="Calibri" w:eastAsia="Calibri" w:hAnsi="Calibri"/>
                <w:sz w:val="18"/>
                <w:szCs w:val="18"/>
                <w:color w:val="auto"/>
              </w:rPr>
              <w:t>N/A</w:t>
            </w:r>
          </w:p>
        </w:tc>
        <w:tc>
          <w:tcPr>
            <w:tcW w:w="96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3.0 %</w:t>
            </w:r>
          </w:p>
        </w:tc>
        <w:tc>
          <w:tcPr>
            <w:tcW w:w="1240" w:type="dxa"/>
            <w:vAlign w:val="bottom"/>
            <w:gridSpan w:val="3"/>
          </w:tcPr>
          <w:p>
            <w:pPr>
              <w:ind w:left="580"/>
              <w:spacing w:after="0" w:line="216" w:lineRule="exact"/>
              <w:rPr>
                <w:sz w:val="20"/>
                <w:szCs w:val="20"/>
                <w:color w:val="auto"/>
              </w:rPr>
            </w:pPr>
            <w:r>
              <w:rPr>
                <w:rFonts w:ascii="Calibri" w:cs="Calibri" w:eastAsia="Calibri" w:hAnsi="Calibri"/>
                <w:sz w:val="18"/>
                <w:szCs w:val="18"/>
                <w:color w:val="auto"/>
              </w:rPr>
              <w:t>N/A</w:t>
            </w:r>
          </w:p>
        </w:tc>
        <w:tc>
          <w:tcPr>
            <w:tcW w:w="920" w:type="dxa"/>
            <w:vAlign w:val="bottom"/>
            <w:gridSpan w:val="3"/>
          </w:tcPr>
          <w:p>
            <w:pPr>
              <w:jc w:val="right"/>
              <w:spacing w:after="0" w:line="216" w:lineRule="exact"/>
              <w:rPr>
                <w:sz w:val="20"/>
                <w:szCs w:val="20"/>
                <w:color w:val="auto"/>
              </w:rPr>
            </w:pPr>
            <w:r>
              <w:rPr>
                <w:rFonts w:ascii="Calibri" w:cs="Calibri" w:eastAsia="Calibri" w:hAnsi="Calibri"/>
                <w:sz w:val="18"/>
                <w:szCs w:val="18"/>
                <w:color w:val="auto"/>
              </w:rPr>
              <w:t>2.9 %</w:t>
            </w:r>
          </w:p>
        </w:tc>
      </w:tr>
      <w:tr>
        <w:trPr>
          <w:trHeight w:val="216"/>
        </w:trPr>
        <w:tc>
          <w:tcPr>
            <w:tcW w:w="4660" w:type="dxa"/>
            <w:vAlign w:val="bottom"/>
          </w:tcPr>
          <w:p>
            <w:pPr>
              <w:ind w:left="380"/>
              <w:spacing w:after="0" w:line="216" w:lineRule="exact"/>
              <w:rPr>
                <w:sz w:val="20"/>
                <w:szCs w:val="20"/>
                <w:color w:val="auto"/>
              </w:rPr>
            </w:pPr>
            <w:r>
              <w:rPr>
                <w:rFonts w:ascii="Calibri" w:cs="Calibri" w:eastAsia="Calibri" w:hAnsi="Calibri"/>
                <w:sz w:val="18"/>
                <w:szCs w:val="18"/>
                <w:color w:val="auto"/>
              </w:rPr>
              <w:t>Cash balance interest credit rate</w:t>
            </w:r>
          </w:p>
        </w:tc>
        <w:tc>
          <w:tcPr>
            <w:tcW w:w="1160" w:type="dxa"/>
            <w:vAlign w:val="bottom"/>
            <w:gridSpan w:val="2"/>
          </w:tcPr>
          <w:p>
            <w:pPr>
              <w:jc w:val="right"/>
              <w:ind w:right="100"/>
              <w:spacing w:after="0" w:line="216" w:lineRule="exact"/>
              <w:rPr>
                <w:sz w:val="20"/>
                <w:szCs w:val="20"/>
                <w:color w:val="auto"/>
              </w:rPr>
            </w:pPr>
            <w:r>
              <w:rPr>
                <w:rFonts w:ascii="Calibri" w:cs="Calibri" w:eastAsia="Calibri" w:hAnsi="Calibri"/>
                <w:sz w:val="18"/>
                <w:szCs w:val="18"/>
                <w:color w:val="auto"/>
              </w:rPr>
              <w:t>2.0 %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2.1 %</w:t>
            </w:r>
          </w:p>
        </w:tc>
        <w:tc>
          <w:tcPr>
            <w:tcW w:w="108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rPr>
              <w:t>2.0 %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2.0 %</w:t>
            </w:r>
          </w:p>
        </w:tc>
        <w:tc>
          <w:tcPr>
            <w:tcW w:w="11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2.0 %</w:t>
            </w:r>
          </w:p>
        </w:tc>
        <w:tc>
          <w:tcPr>
            <w:tcW w:w="140" w:type="dxa"/>
            <w:vAlign w:val="bottom"/>
          </w:tcPr>
          <w:p>
            <w:pPr>
              <w:spacing w:after="0"/>
              <w:rPr>
                <w:sz w:val="18"/>
                <w:szCs w:val="18"/>
                <w:color w:val="auto"/>
              </w:rPr>
            </w:pPr>
          </w:p>
        </w:tc>
        <w:tc>
          <w:tcPr>
            <w:tcW w:w="920" w:type="dxa"/>
            <w:vAlign w:val="bottom"/>
            <w:gridSpan w:val="3"/>
          </w:tcPr>
          <w:p>
            <w:pPr>
              <w:jc w:val="right"/>
              <w:spacing w:after="0" w:line="216" w:lineRule="exact"/>
              <w:rPr>
                <w:sz w:val="20"/>
                <w:szCs w:val="20"/>
                <w:color w:val="auto"/>
              </w:rPr>
            </w:pPr>
            <w:r>
              <w:rPr>
                <w:rFonts w:ascii="Calibri" w:cs="Calibri" w:eastAsia="Calibri" w:hAnsi="Calibri"/>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-1493520</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-807720</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274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9" w:lineRule="exact"/>
        <w:rPr>
          <w:sz w:val="20"/>
          <w:szCs w:val="20"/>
          <w:color w:val="auto"/>
        </w:rPr>
      </w:pPr>
    </w:p>
    <w:p>
      <w:pPr>
        <w:ind w:left="280"/>
        <w:spacing w:after="0"/>
        <w:rPr>
          <w:sz w:val="20"/>
          <w:szCs w:val="20"/>
          <w:color w:val="auto"/>
        </w:rPr>
      </w:pPr>
      <w:r>
        <w:rPr>
          <w:rFonts w:ascii="Calibri" w:cs="Calibri" w:eastAsia="Calibri" w:hAnsi="Calibri"/>
          <w:sz w:val="18"/>
          <w:szCs w:val="18"/>
          <w:b w:val="1"/>
          <w:bCs w:val="1"/>
          <w:i w:val="1"/>
          <w:iCs w:val="1"/>
          <w:color w:val="auto"/>
        </w:rPr>
        <w:t>Postretrement Assumptons and Strategy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assumptons were used to determine the postretrement beneft obligatons and net costs as of and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100"/>
              <w:spacing w:after="0"/>
              <w:rPr>
                <w:sz w:val="20"/>
                <w:szCs w:val="20"/>
                <w:color w:val="auto"/>
              </w:rPr>
            </w:pPr>
            <w:r>
              <w:rPr>
                <w:rFonts w:ascii="Calibri" w:cs="Calibri" w:eastAsia="Calibri" w:hAnsi="Calibri"/>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Calibri" w:cs="Calibri" w:eastAsia="Calibri" w:hAnsi="Calibri"/>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Calibri" w:cs="Calibri" w:eastAsia="Calibri" w:hAnsi="Calibri"/>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4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Calibri" w:cs="Calibri" w:eastAsia="Calibri" w:hAnsi="Calibri"/>
                <w:sz w:val="14"/>
                <w:szCs w:val="14"/>
                <w:b w:val="1"/>
                <w:bCs w:val="1"/>
                <w:color w:val="auto"/>
              </w:rPr>
              <w:t>Postretrement Benefts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4660" w:type="dxa"/>
            <w:vAlign w:val="bottom"/>
          </w:tcPr>
          <w:p>
            <w:pPr>
              <w:spacing w:after="0"/>
              <w:rPr>
                <w:sz w:val="14"/>
                <w:szCs w:val="14"/>
                <w:color w:val="auto"/>
              </w:rPr>
            </w:pPr>
          </w:p>
        </w:tc>
        <w:tc>
          <w:tcPr>
            <w:tcW w:w="620" w:type="dxa"/>
            <w:vAlign w:val="bottom"/>
            <w:tcBorders>
              <w:bottom w:val="single" w:sz="8" w:color="auto"/>
            </w:tcBorders>
          </w:tcPr>
          <w:p>
            <w:pPr>
              <w:ind w:left="340"/>
              <w:spacing w:after="0"/>
              <w:rPr>
                <w:sz w:val="20"/>
                <w:szCs w:val="20"/>
                <w:color w:val="auto"/>
              </w:rPr>
            </w:pPr>
            <w:r>
              <w:rPr>
                <w:rFonts w:ascii="Calibri" w:cs="Calibri" w:eastAsia="Calibri" w:hAnsi="Calibri"/>
                <w:sz w:val="14"/>
                <w:szCs w:val="14"/>
                <w:b w:val="1"/>
                <w:bCs w:val="1"/>
                <w:color w:val="auto"/>
              </w:rPr>
              <w:t>U.S.</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880" w:type="dxa"/>
            <w:vAlign w:val="bottom"/>
            <w:tcBorders>
              <w:bottom w:val="single" w:sz="8" w:color="auto"/>
            </w:tcBorders>
          </w:tcPr>
          <w:p>
            <w:pPr>
              <w:ind w:left="320"/>
              <w:spacing w:after="0"/>
              <w:rPr>
                <w:sz w:val="20"/>
                <w:szCs w:val="20"/>
                <w:color w:val="auto"/>
              </w:rPr>
            </w:pPr>
            <w:r>
              <w:rPr>
                <w:rFonts w:ascii="Calibri" w:cs="Calibri" w:eastAsia="Calibri" w:hAnsi="Calibri"/>
                <w:sz w:val="14"/>
                <w:szCs w:val="14"/>
                <w:b w:val="1"/>
                <w:bCs w:val="1"/>
                <w:color w:val="auto"/>
              </w:rPr>
              <w:t>U.S.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880" w:type="dxa"/>
            <w:vAlign w:val="bottom"/>
            <w:tcBorders>
              <w:bottom w:val="single" w:sz="8" w:color="auto"/>
            </w:tcBorders>
          </w:tcPr>
          <w:p>
            <w:pPr>
              <w:ind w:left="320"/>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b w:val="1"/>
                <w:bCs w:val="1"/>
                <w:color w:val="auto"/>
              </w:rPr>
              <w:t>Foreign</w:t>
            </w:r>
          </w:p>
        </w:tc>
        <w:tc>
          <w:tcPr>
            <w:tcW w:w="140" w:type="dxa"/>
            <w:vAlign w:val="bottom"/>
            <w:gridSpan w:val="2"/>
          </w:tcPr>
          <w:p>
            <w:pPr>
              <w:spacing w:after="0"/>
              <w:rPr>
                <w:sz w:val="14"/>
                <w:szCs w:val="14"/>
                <w:color w:val="auto"/>
              </w:rPr>
            </w:pPr>
          </w:p>
        </w:tc>
      </w:tr>
      <w:tr>
        <w:trPr>
          <w:trHeight w:val="190"/>
        </w:trPr>
        <w:tc>
          <w:tcPr>
            <w:tcW w:w="5280" w:type="dxa"/>
            <w:vAlign w:val="bottom"/>
            <w:gridSpan w:val="2"/>
            <w:shd w:val="clear" w:color="auto" w:fill="CFF0FC"/>
          </w:tcPr>
          <w:p>
            <w:pPr>
              <w:ind w:left="20"/>
              <w:spacing w:after="0" w:line="190" w:lineRule="exact"/>
              <w:rPr>
                <w:sz w:val="20"/>
                <w:szCs w:val="20"/>
                <w:color w:val="auto"/>
              </w:rPr>
            </w:pPr>
            <w:r>
              <w:rPr>
                <w:rFonts w:ascii="Calibri" w:cs="Calibri" w:eastAsia="Calibri" w:hAnsi="Calibri"/>
                <w:sz w:val="18"/>
                <w:szCs w:val="18"/>
                <w:color w:val="auto"/>
              </w:rPr>
              <w:t>Actuarial assumptons as of the year-end</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218"/>
        </w:trPr>
        <w:tc>
          <w:tcPr>
            <w:tcW w:w="5280" w:type="dxa"/>
            <w:vAlign w:val="bottom"/>
            <w:tcBorders>
              <w:bottom w:val="single" w:sz="8" w:color="CFF0FC"/>
            </w:tcBorders>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measurement date:</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280" w:type="dxa"/>
            <w:vAlign w:val="bottom"/>
            <w:gridSpan w:val="2"/>
          </w:tcPr>
          <w:p>
            <w:pPr>
              <w:ind w:left="380"/>
              <w:spacing w:after="0" w:line="215" w:lineRule="exact"/>
              <w:rPr>
                <w:sz w:val="20"/>
                <w:szCs w:val="20"/>
                <w:color w:val="auto"/>
              </w:rPr>
            </w:pPr>
            <w:r>
              <w:rPr>
                <w:rFonts w:ascii="Calibri" w:cs="Calibri" w:eastAsia="Calibri" w:hAnsi="Calibri"/>
                <w:sz w:val="18"/>
                <w:szCs w:val="18"/>
                <w:color w:val="auto"/>
              </w:rPr>
              <w:t>Discount rate</w:t>
            </w:r>
          </w:p>
        </w:tc>
        <w:tc>
          <w:tcPr>
            <w:tcW w:w="5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5.1 %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4.8 %</w:t>
            </w:r>
          </w:p>
        </w:tc>
        <w:tc>
          <w:tcPr>
            <w:tcW w:w="10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6.0 %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5.7 %</w:t>
            </w: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5.6 %</w:t>
            </w:r>
          </w:p>
        </w:tc>
        <w:tc>
          <w:tcPr>
            <w:tcW w:w="14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5.1 %</w:t>
            </w:r>
          </w:p>
        </w:tc>
      </w:tr>
      <w:tr>
        <w:trPr>
          <w:trHeight w:val="215"/>
        </w:trPr>
        <w:tc>
          <w:tcPr>
            <w:tcW w:w="5280" w:type="dxa"/>
            <w:vAlign w:val="bottom"/>
            <w:gridSpan w:val="2"/>
          </w:tcPr>
          <w:p>
            <w:pPr>
              <w:ind w:left="380"/>
              <w:spacing w:after="0" w:line="215" w:lineRule="exact"/>
              <w:rPr>
                <w:sz w:val="20"/>
                <w:szCs w:val="20"/>
                <w:color w:val="auto"/>
              </w:rPr>
            </w:pPr>
            <w:r>
              <w:rPr>
                <w:rFonts w:ascii="Calibri" w:cs="Calibri" w:eastAsia="Calibri" w:hAnsi="Calibri"/>
                <w:sz w:val="18"/>
                <w:szCs w:val="18"/>
                <w:color w:val="auto"/>
              </w:rPr>
              <w:t>Inital health care cost trend rate</w:t>
            </w:r>
          </w:p>
        </w:tc>
        <w:tc>
          <w:tcPr>
            <w:tcW w:w="5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5.0 %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6.3 %</w:t>
            </w:r>
          </w:p>
        </w:tc>
        <w:tc>
          <w:tcPr>
            <w:tcW w:w="10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5.0 %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6.4 %</w:t>
            </w:r>
          </w:p>
        </w:tc>
        <w:tc>
          <w:tcPr>
            <w:tcW w:w="1240" w:type="dxa"/>
            <w:vAlign w:val="bottom"/>
            <w:gridSpan w:val="3"/>
          </w:tcPr>
          <w:p>
            <w:pPr>
              <w:jc w:val="right"/>
              <w:ind w:right="220"/>
              <w:spacing w:after="0" w:line="215" w:lineRule="exact"/>
              <w:rPr>
                <w:sz w:val="20"/>
                <w:szCs w:val="20"/>
                <w:color w:val="auto"/>
              </w:rPr>
            </w:pPr>
            <w:r>
              <w:rPr>
                <w:rFonts w:ascii="Calibri" w:cs="Calibri" w:eastAsia="Calibri" w:hAnsi="Calibri"/>
                <w:sz w:val="18"/>
                <w:szCs w:val="18"/>
                <w:color w:val="auto"/>
              </w:rPr>
              <w:t>— %</w:t>
            </w: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6.8 %</w:t>
            </w:r>
          </w:p>
        </w:tc>
      </w:tr>
      <w:tr>
        <w:trPr>
          <w:trHeight w:val="196"/>
        </w:trPr>
        <w:tc>
          <w:tcPr>
            <w:tcW w:w="5280" w:type="dxa"/>
            <w:vAlign w:val="bottom"/>
            <w:gridSpan w:val="2"/>
          </w:tcPr>
          <w:p>
            <w:pPr>
              <w:ind w:left="20"/>
              <w:spacing w:after="0" w:line="196" w:lineRule="exact"/>
              <w:rPr>
                <w:sz w:val="20"/>
                <w:szCs w:val="20"/>
                <w:color w:val="auto"/>
              </w:rPr>
            </w:pPr>
            <w:r>
              <w:rPr>
                <w:rFonts w:ascii="Calibri" w:cs="Calibri" w:eastAsia="Calibri" w:hAnsi="Calibri"/>
                <w:sz w:val="18"/>
                <w:szCs w:val="18"/>
                <w:color w:val="auto"/>
              </w:rPr>
              <w:t>Actuarial assumptons used to determine</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528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net cost during the year: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gridSpan w:val="2"/>
          </w:tcPr>
          <w:p>
            <w:pPr>
              <w:ind w:left="380"/>
              <w:spacing w:after="0" w:line="216" w:lineRule="exact"/>
              <w:rPr>
                <w:sz w:val="20"/>
                <w:szCs w:val="20"/>
                <w:color w:val="auto"/>
              </w:rPr>
            </w:pPr>
            <w:r>
              <w:rPr>
                <w:rFonts w:ascii="Calibri" w:cs="Calibri" w:eastAsia="Calibri" w:hAnsi="Calibri"/>
                <w:sz w:val="18"/>
                <w:szCs w:val="18"/>
                <w:color w:val="auto"/>
              </w:rPr>
              <w:t>Discount rate - beneft obligaton</w:t>
            </w:r>
          </w:p>
        </w:tc>
        <w:tc>
          <w:tcPr>
            <w:tcW w:w="540" w:type="dxa"/>
            <w:vAlign w:val="bottom"/>
            <w:gridSpan w:val="2"/>
          </w:tcPr>
          <w:p>
            <w:pPr>
              <w:jc w:val="right"/>
              <w:ind w:right="100"/>
              <w:spacing w:after="0" w:line="216" w:lineRule="exact"/>
              <w:rPr>
                <w:sz w:val="20"/>
                <w:szCs w:val="20"/>
                <w:color w:val="auto"/>
              </w:rPr>
            </w:pPr>
            <w:r>
              <w:rPr>
                <w:rFonts w:ascii="Calibri" w:cs="Calibri" w:eastAsia="Calibri" w:hAnsi="Calibri"/>
                <w:sz w:val="18"/>
                <w:szCs w:val="18"/>
                <w:color w:val="auto"/>
              </w:rPr>
              <w:t>6.0 %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5.7 %</w:t>
            </w:r>
          </w:p>
        </w:tc>
        <w:tc>
          <w:tcPr>
            <w:tcW w:w="108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rPr>
              <w:t>5.6 %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5.1 %</w:t>
            </w:r>
          </w:p>
        </w:tc>
        <w:tc>
          <w:tcPr>
            <w:tcW w:w="11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2.4 %</w:t>
            </w:r>
          </w:p>
        </w:tc>
        <w:tc>
          <w:tcPr>
            <w:tcW w:w="140" w:type="dxa"/>
            <w:vAlign w:val="bottom"/>
          </w:tcPr>
          <w:p>
            <w:pPr>
              <w:spacing w:after="0"/>
              <w:rPr>
                <w:sz w:val="18"/>
                <w:szCs w:val="18"/>
                <w:color w:val="auto"/>
              </w:rPr>
            </w:pPr>
          </w:p>
        </w:tc>
        <w:tc>
          <w:tcPr>
            <w:tcW w:w="920" w:type="dxa"/>
            <w:vAlign w:val="bottom"/>
            <w:gridSpan w:val="3"/>
          </w:tcPr>
          <w:p>
            <w:pPr>
              <w:jc w:val="right"/>
              <w:spacing w:after="0" w:line="216" w:lineRule="exact"/>
              <w:rPr>
                <w:sz w:val="20"/>
                <w:szCs w:val="20"/>
                <w:color w:val="auto"/>
              </w:rPr>
            </w:pPr>
            <w:r>
              <w:rPr>
                <w:rFonts w:ascii="Calibri" w:cs="Calibri" w:eastAsia="Calibri" w:hAnsi="Calibri"/>
                <w:sz w:val="18"/>
                <w:szCs w:val="18"/>
                <w:color w:val="auto"/>
              </w:rPr>
              <w:t>2.8 %</w:t>
            </w:r>
          </w:p>
        </w:tc>
      </w:tr>
      <w:tr>
        <w:trPr>
          <w:trHeight w:val="216"/>
        </w:trPr>
        <w:tc>
          <w:tcPr>
            <w:tcW w:w="5280" w:type="dxa"/>
            <w:vAlign w:val="bottom"/>
            <w:gridSpan w:val="2"/>
          </w:tcPr>
          <w:p>
            <w:pPr>
              <w:ind w:left="380"/>
              <w:spacing w:after="0" w:line="216" w:lineRule="exact"/>
              <w:rPr>
                <w:sz w:val="20"/>
                <w:szCs w:val="20"/>
                <w:color w:val="auto"/>
              </w:rPr>
            </w:pPr>
            <w:r>
              <w:rPr>
                <w:rFonts w:ascii="Calibri" w:cs="Calibri" w:eastAsia="Calibri" w:hAnsi="Calibri"/>
                <w:sz w:val="18"/>
                <w:szCs w:val="18"/>
                <w:color w:val="auto"/>
              </w:rPr>
              <w:t>Discount rate - service cost</w:t>
            </w:r>
          </w:p>
        </w:tc>
        <w:tc>
          <w:tcPr>
            <w:tcW w:w="540" w:type="dxa"/>
            <w:vAlign w:val="bottom"/>
            <w:gridSpan w:val="2"/>
          </w:tcPr>
          <w:p>
            <w:pPr>
              <w:jc w:val="right"/>
              <w:ind w:right="100"/>
              <w:spacing w:after="0" w:line="216" w:lineRule="exact"/>
              <w:rPr>
                <w:sz w:val="20"/>
                <w:szCs w:val="20"/>
                <w:color w:val="auto"/>
              </w:rPr>
            </w:pPr>
            <w:r>
              <w:rPr>
                <w:rFonts w:ascii="Calibri" w:cs="Calibri" w:eastAsia="Calibri" w:hAnsi="Calibri"/>
                <w:sz w:val="18"/>
                <w:szCs w:val="18"/>
                <w:color w:val="auto"/>
              </w:rPr>
              <w:t>6.0 %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5.6 %</w:t>
            </w:r>
          </w:p>
        </w:tc>
        <w:tc>
          <w:tcPr>
            <w:tcW w:w="108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rPr>
              <w:t>5.4 %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5.1 %</w:t>
            </w:r>
          </w:p>
        </w:tc>
        <w:tc>
          <w:tcPr>
            <w:tcW w:w="11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1.7 %</w:t>
            </w:r>
          </w:p>
        </w:tc>
        <w:tc>
          <w:tcPr>
            <w:tcW w:w="140" w:type="dxa"/>
            <w:vAlign w:val="bottom"/>
          </w:tcPr>
          <w:p>
            <w:pPr>
              <w:spacing w:after="0"/>
              <w:rPr>
                <w:sz w:val="18"/>
                <w:szCs w:val="18"/>
                <w:color w:val="auto"/>
              </w:rPr>
            </w:pPr>
          </w:p>
        </w:tc>
        <w:tc>
          <w:tcPr>
            <w:tcW w:w="920" w:type="dxa"/>
            <w:vAlign w:val="bottom"/>
            <w:gridSpan w:val="3"/>
          </w:tcPr>
          <w:p>
            <w:pPr>
              <w:jc w:val="right"/>
              <w:spacing w:after="0" w:line="216" w:lineRule="exact"/>
              <w:rPr>
                <w:sz w:val="20"/>
                <w:szCs w:val="20"/>
                <w:color w:val="auto"/>
              </w:rPr>
            </w:pPr>
            <w:r>
              <w:rPr>
                <w:rFonts w:ascii="Calibri" w:cs="Calibri" w:eastAsia="Calibri" w:hAnsi="Calibri"/>
                <w:sz w:val="18"/>
                <w:szCs w:val="18"/>
                <w:color w:val="auto"/>
              </w:rPr>
              <w:t>3.5 %</w:t>
            </w:r>
          </w:p>
        </w:tc>
      </w:tr>
      <w:tr>
        <w:trPr>
          <w:trHeight w:val="216"/>
        </w:trPr>
        <w:tc>
          <w:tcPr>
            <w:tcW w:w="5280" w:type="dxa"/>
            <w:vAlign w:val="bottom"/>
            <w:gridSpan w:val="2"/>
          </w:tcPr>
          <w:p>
            <w:pPr>
              <w:ind w:left="380"/>
              <w:spacing w:after="0" w:line="216" w:lineRule="exact"/>
              <w:rPr>
                <w:sz w:val="20"/>
                <w:szCs w:val="20"/>
                <w:color w:val="auto"/>
              </w:rPr>
            </w:pPr>
            <w:r>
              <w:rPr>
                <w:rFonts w:ascii="Calibri" w:cs="Calibri" w:eastAsia="Calibri" w:hAnsi="Calibri"/>
                <w:sz w:val="18"/>
                <w:szCs w:val="18"/>
                <w:color w:val="auto"/>
              </w:rPr>
              <w:t>Discount rate - interest cost</w:t>
            </w:r>
          </w:p>
        </w:tc>
        <w:tc>
          <w:tcPr>
            <w:tcW w:w="540" w:type="dxa"/>
            <w:vAlign w:val="bottom"/>
            <w:gridSpan w:val="2"/>
          </w:tcPr>
          <w:p>
            <w:pPr>
              <w:jc w:val="right"/>
              <w:ind w:right="100"/>
              <w:spacing w:after="0" w:line="216" w:lineRule="exact"/>
              <w:rPr>
                <w:sz w:val="20"/>
                <w:szCs w:val="20"/>
                <w:color w:val="auto"/>
              </w:rPr>
            </w:pPr>
            <w:r>
              <w:rPr>
                <w:rFonts w:ascii="Calibri" w:cs="Calibri" w:eastAsia="Calibri" w:hAnsi="Calibri"/>
                <w:sz w:val="18"/>
                <w:szCs w:val="18"/>
                <w:color w:val="auto"/>
              </w:rPr>
              <w:t>5.9 %</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5.7 %</w:t>
            </w:r>
          </w:p>
        </w:tc>
        <w:tc>
          <w:tcPr>
            <w:tcW w:w="108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rPr>
              <w:t>5.3 %</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5.1 %</w:t>
            </w:r>
          </w:p>
        </w:tc>
        <w:tc>
          <w:tcPr>
            <w:tcW w:w="11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1.6 %</w:t>
            </w:r>
          </w:p>
        </w:tc>
        <w:tc>
          <w:tcPr>
            <w:tcW w:w="140" w:type="dxa"/>
            <w:vAlign w:val="bottom"/>
          </w:tcPr>
          <w:p>
            <w:pPr>
              <w:spacing w:after="0"/>
              <w:rPr>
                <w:sz w:val="18"/>
                <w:szCs w:val="18"/>
                <w:color w:val="auto"/>
              </w:rPr>
            </w:pPr>
          </w:p>
        </w:tc>
        <w:tc>
          <w:tcPr>
            <w:tcW w:w="920" w:type="dxa"/>
            <w:vAlign w:val="bottom"/>
            <w:gridSpan w:val="3"/>
          </w:tcPr>
          <w:p>
            <w:pPr>
              <w:jc w:val="right"/>
              <w:spacing w:after="0" w:line="216" w:lineRule="exact"/>
              <w:rPr>
                <w:sz w:val="20"/>
                <w:szCs w:val="20"/>
                <w:color w:val="auto"/>
              </w:rPr>
            </w:pPr>
            <w:r>
              <w:rPr>
                <w:rFonts w:ascii="Calibri" w:cs="Calibri" w:eastAsia="Calibri" w:hAnsi="Calibri"/>
                <w:sz w:val="18"/>
                <w:szCs w:val="18"/>
                <w:color w:val="auto"/>
              </w:rPr>
              <w:t>2.5 %</w:t>
            </w:r>
          </w:p>
        </w:tc>
      </w:tr>
      <w:tr>
        <w:trPr>
          <w:trHeight w:val="243"/>
        </w:trPr>
        <w:tc>
          <w:tcPr>
            <w:tcW w:w="5280" w:type="dxa"/>
            <w:vAlign w:val="bottom"/>
            <w:gridSpan w:val="2"/>
          </w:tcPr>
          <w:p>
            <w:pPr>
              <w:ind w:left="380"/>
              <w:spacing w:after="0"/>
              <w:rPr>
                <w:sz w:val="20"/>
                <w:szCs w:val="20"/>
                <w:color w:val="auto"/>
              </w:rPr>
            </w:pPr>
            <w:r>
              <w:rPr>
                <w:rFonts w:ascii="Calibri" w:cs="Calibri" w:eastAsia="Calibri" w:hAnsi="Calibri"/>
                <w:sz w:val="18"/>
                <w:szCs w:val="18"/>
                <w:color w:val="auto"/>
              </w:rPr>
              <w:t>Inital health care cost trend rate</w:t>
            </w:r>
          </w:p>
        </w:tc>
        <w:tc>
          <w:tcPr>
            <w:tcW w:w="54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5.0 %</w:t>
            </w:r>
          </w:p>
        </w:tc>
        <w:tc>
          <w:tcPr>
            <w:tcW w:w="1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Calibri" w:cs="Calibri" w:eastAsia="Calibri" w:hAnsi="Calibri"/>
                <w:sz w:val="18"/>
                <w:szCs w:val="18"/>
                <w:color w:val="auto"/>
              </w:rPr>
              <w:t>6.4 %</w:t>
            </w:r>
          </w:p>
        </w:tc>
        <w:tc>
          <w:tcPr>
            <w:tcW w:w="1220" w:type="dxa"/>
            <w:vAlign w:val="bottom"/>
            <w:gridSpan w:val="3"/>
          </w:tcPr>
          <w:p>
            <w:pPr>
              <w:jc w:val="right"/>
              <w:ind w:right="200"/>
              <w:spacing w:after="0"/>
              <w:rPr>
                <w:sz w:val="20"/>
                <w:szCs w:val="20"/>
                <w:color w:val="auto"/>
              </w:rPr>
            </w:pPr>
            <w:r>
              <w:rPr>
                <w:rFonts w:ascii="Calibri" w:cs="Calibri" w:eastAsia="Calibri" w:hAnsi="Calibri"/>
                <w:sz w:val="18"/>
                <w:szCs w:val="18"/>
                <w:color w:val="auto"/>
              </w:rPr>
              <w:t>— %</w:t>
            </w:r>
          </w:p>
        </w:tc>
        <w:tc>
          <w:tcPr>
            <w:tcW w:w="960" w:type="dxa"/>
            <w:vAlign w:val="bottom"/>
            <w:gridSpan w:val="2"/>
          </w:tcPr>
          <w:p>
            <w:pPr>
              <w:jc w:val="right"/>
              <w:ind w:right="80"/>
              <w:spacing w:after="0"/>
              <w:rPr>
                <w:sz w:val="20"/>
                <w:szCs w:val="20"/>
                <w:color w:val="auto"/>
              </w:rPr>
            </w:pPr>
            <w:r>
              <w:rPr>
                <w:rFonts w:ascii="Calibri" w:cs="Calibri" w:eastAsia="Calibri" w:hAnsi="Calibri"/>
                <w:sz w:val="18"/>
                <w:szCs w:val="18"/>
                <w:color w:val="auto"/>
              </w:rPr>
              <w:t>6.8 %</w:t>
            </w:r>
          </w:p>
        </w:tc>
        <w:tc>
          <w:tcPr>
            <w:tcW w:w="1100" w:type="dxa"/>
            <w:vAlign w:val="bottom"/>
            <w:gridSpan w:val="2"/>
          </w:tcPr>
          <w:p>
            <w:pPr>
              <w:jc w:val="right"/>
              <w:ind w:right="80"/>
              <w:spacing w:after="0"/>
              <w:rPr>
                <w:sz w:val="20"/>
                <w:szCs w:val="20"/>
                <w:color w:val="auto"/>
              </w:rPr>
            </w:pPr>
            <w:r>
              <w:rPr>
                <w:rFonts w:ascii="Calibri" w:cs="Calibri" w:eastAsia="Calibri" w:hAnsi="Calibri"/>
                <w:sz w:val="18"/>
                <w:szCs w:val="18"/>
                <w:color w:val="auto"/>
              </w:rPr>
              <w:t>5.5 %</w:t>
            </w:r>
          </w:p>
        </w:tc>
        <w:tc>
          <w:tcPr>
            <w:tcW w:w="1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-961390</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Cabot uses discount rates as of September 30, the plans’ measurement date, to determine future beneft obligatons under its U.S. and foreign defned beneft plans. The discount rates for the defned beneft plans in Canada, the Eurozone, Japan, Switzerland, the United Arab Emirates, the United Kingdom and the U.S. are derived from yield curves that refect high quality corporate bond yield or swap rate informaton in each region and refect the characteristcs of Cabot’s employee beneft plans. The discount rates for the defned beneft plans in Mexico, the Czech Republic and Indonesia are based on government bond indices that best refect the duratons of the plans, adjusted for credit spreads presented in selected AA corporate bond indices. The rates utlized are selected because they represent long-term, high quality, fxed income benchmarks that approximate the long-term nature of Cabot’s pension obligatons and related payouts.</w:t>
      </w:r>
    </w:p>
    <w:p>
      <w:pPr>
        <w:spacing w:after="0" w:line="21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76" w:right="299" w:bottom="1440" w:gutter="0" w:footer="0" w:header="0"/>
        </w:sectPr>
      </w:pPr>
    </w:p>
    <w:bookmarkStart w:id="62" w:name="page63"/>
    <w:bookmarkEnd w:id="62"/>
    <w:p>
      <w:pPr>
        <w:ind w:right="500" w:firstLine="509"/>
        <w:spacing w:after="0" w:line="235" w:lineRule="auto"/>
        <w:rPr>
          <w:sz w:val="20"/>
          <w:szCs w:val="20"/>
          <w:color w:val="auto"/>
        </w:rPr>
      </w:pPr>
      <w:r>
        <w:rPr>
          <w:rFonts w:ascii="Calibri" w:cs="Calibri" w:eastAsia="Calibri" w:hAnsi="Calibri"/>
          <w:sz w:val="18"/>
          <w:szCs w:val="18"/>
          <w:color w:val="auto"/>
        </w:rPr>
        <w:t>Amounts recognized in the Consolidated Balance Sheets at September 30, 2024 and 2023 related to the Company's defned beneft pension and postretrement beneft plans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660"/>
              <w:spacing w:after="0"/>
              <w:rPr>
                <w:sz w:val="20"/>
                <w:szCs w:val="20"/>
                <w:color w:val="auto"/>
              </w:rPr>
            </w:pPr>
            <w:r>
              <w:rPr>
                <w:rFonts w:ascii="Calibri" w:cs="Calibri" w:eastAsia="Calibri" w:hAnsi="Calibri"/>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39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10"/>
              <w:spacing w:after="0"/>
              <w:rPr>
                <w:sz w:val="20"/>
                <w:szCs w:val="20"/>
                <w:color w:val="auto"/>
              </w:rPr>
            </w:pPr>
            <w:r>
              <w:rPr>
                <w:rFonts w:ascii="Calibri" w:cs="Calibri" w:eastAsia="Calibri" w:hAnsi="Calibri"/>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3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6" w:lineRule="exact"/>
              <w:rPr>
                <w:sz w:val="20"/>
                <w:szCs w:val="20"/>
                <w:color w:val="auto"/>
              </w:rPr>
            </w:pPr>
            <w:r>
              <w:rPr>
                <w:rFonts w:ascii="Calibri" w:cs="Calibri" w:eastAsia="Calibri" w:hAnsi="Calibri"/>
                <w:sz w:val="14"/>
                <w:szCs w:val="14"/>
                <w:b w:val="1"/>
                <w:bCs w:val="1"/>
                <w:color w:val="auto"/>
              </w:rPr>
              <w:t>Pension</w:t>
            </w:r>
          </w:p>
        </w:tc>
        <w:tc>
          <w:tcPr>
            <w:tcW w:w="740" w:type="dxa"/>
            <w:vAlign w:val="bottom"/>
            <w:tcBorders>
              <w:bottom w:val="single" w:sz="8" w:color="auto"/>
            </w:tcBorders>
            <w:gridSpan w:val="2"/>
          </w:tcPr>
          <w:p>
            <w:pPr>
              <w:jc w:val="right"/>
              <w:ind w:right="55"/>
              <w:spacing w:after="0" w:line="166" w:lineRule="exact"/>
              <w:rPr>
                <w:sz w:val="20"/>
                <w:szCs w:val="20"/>
                <w:color w:val="auto"/>
              </w:rPr>
            </w:pPr>
            <w:r>
              <w:rPr>
                <w:rFonts w:ascii="Calibri" w:cs="Calibri" w:eastAsia="Calibri" w:hAnsi="Calibri"/>
                <w:sz w:val="14"/>
                <w:szCs w:val="14"/>
                <w:b w:val="1"/>
                <w:bCs w:val="1"/>
                <w:color w:val="auto"/>
              </w:rPr>
              <w:t>Benefts</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300"/>
              <w:spacing w:after="0" w:line="166"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7"/>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Calibri" w:cs="Calibri" w:eastAsia="Calibri" w:hAnsi="Calibri"/>
                <w:sz w:val="14"/>
                <w:szCs w:val="14"/>
                <w:b w:val="1"/>
                <w:bCs w:val="1"/>
                <w:color w:val="auto"/>
                <w:w w:val="96"/>
              </w:rPr>
              <w:t>Foreign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7"/>
              <w:spacing w:after="0"/>
              <w:rPr>
                <w:sz w:val="20"/>
                <w:szCs w:val="20"/>
                <w:color w:val="auto"/>
              </w:rPr>
            </w:pPr>
            <w:r>
              <w:rPr>
                <w:rFonts w:ascii="Calibri" w:cs="Calibri" w:eastAsia="Calibri" w:hAnsi="Calibri"/>
                <w:sz w:val="14"/>
                <w:szCs w:val="14"/>
                <w:b w:val="1"/>
                <w:bCs w:val="1"/>
                <w:color w:val="auto"/>
              </w:rPr>
              <w:t>U.S.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5"/>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9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520" w:type="dxa"/>
            <w:vAlign w:val="bottom"/>
            <w:shd w:val="clear" w:color="auto" w:fill="CFF0FC"/>
          </w:tcPr>
          <w:p>
            <w:pPr>
              <w:jc w:val="right"/>
              <w:ind w:right="33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3"/>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520" w:type="dxa"/>
            <w:vAlign w:val="bottom"/>
          </w:tcPr>
          <w:p>
            <w:pPr>
              <w:jc w:val="right"/>
              <w:ind w:right="33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(2 )</w:t>
            </w:r>
          </w:p>
        </w:tc>
        <w:tc>
          <w:tcPr>
            <w:tcW w:w="500" w:type="dxa"/>
            <w:vAlign w:val="bottom"/>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3"/>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7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17"/>
        </w:trPr>
        <w:tc>
          <w:tcPr>
            <w:tcW w:w="3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liabilites</w:t>
            </w:r>
          </w:p>
        </w:tc>
        <w:tc>
          <w:tcPr>
            <w:tcW w:w="520" w:type="dxa"/>
            <w:vAlign w:val="bottom"/>
            <w:shd w:val="clear" w:color="auto" w:fill="CFF0FC"/>
          </w:tcPr>
          <w:p>
            <w:pPr>
              <w:jc w:val="right"/>
              <w:ind w:right="335"/>
              <w:spacing w:after="0" w:line="216"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w w:val="99"/>
              </w:rPr>
              <w:t>(2 )</w:t>
            </w:r>
          </w:p>
        </w:tc>
        <w:tc>
          <w:tcPr>
            <w:tcW w:w="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840" w:type="dxa"/>
            <w:vAlign w:val="bottom"/>
            <w:gridSpan w:val="2"/>
            <w:shd w:val="clear" w:color="auto" w:fill="CFF0FC"/>
          </w:tcPr>
          <w:p>
            <w:pPr>
              <w:jc w:val="right"/>
              <w:ind w:right="108"/>
              <w:spacing w:after="0" w:line="216" w:lineRule="exact"/>
              <w:rPr>
                <w:sz w:val="20"/>
                <w:szCs w:val="20"/>
                <w:color w:val="auto"/>
              </w:rPr>
            </w:pPr>
            <w:r>
              <w:rPr>
                <w:rFonts w:ascii="Calibri" w:cs="Calibri" w:eastAsia="Calibri" w:hAnsi="Calibri"/>
                <w:sz w:val="18"/>
                <w:szCs w:val="18"/>
                <w:color w:val="auto"/>
              </w:rPr>
              <w:t>(28 )</w:t>
            </w:r>
          </w:p>
        </w:tc>
        <w:tc>
          <w:tcPr>
            <w:tcW w:w="500" w:type="dxa"/>
            <w:vAlign w:val="bottom"/>
            <w:shd w:val="clear" w:color="auto" w:fill="CFF0FC"/>
          </w:tcPr>
          <w:p>
            <w:pPr>
              <w:jc w:val="right"/>
              <w:ind w:right="315"/>
              <w:spacing w:after="0" w:line="216" w:lineRule="exact"/>
              <w:rPr>
                <w:sz w:val="20"/>
                <w:szCs w:val="20"/>
                <w:color w:val="auto"/>
              </w:rPr>
            </w:pPr>
            <w:r>
              <w:rPr>
                <w:rFonts w:ascii="Calibri" w:cs="Calibri" w:eastAsia="Calibri" w:hAnsi="Calibri"/>
                <w:sz w:val="18"/>
                <w:szCs w:val="18"/>
                <w:color w:val="auto"/>
                <w:w w:val="87"/>
              </w:rPr>
              <w:t>$</w:t>
            </w:r>
          </w:p>
        </w:tc>
        <w:tc>
          <w:tcPr>
            <w:tcW w:w="4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7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(24 )</w:t>
            </w: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(11 )</w:t>
            </w:r>
          </w:p>
        </w:tc>
        <w:tc>
          <w:tcPr>
            <w:tcW w:w="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8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(11 )</w:t>
            </w:r>
          </w:p>
        </w:tc>
        <w:tc>
          <w:tcPr>
            <w:tcW w:w="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74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(12 )</w:t>
            </w:r>
          </w:p>
        </w:tc>
        <w:tc>
          <w:tcPr>
            <w:tcW w:w="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(10 )</w:t>
            </w:r>
          </w:p>
        </w:tc>
      </w:tr>
    </w:tbl>
    <w:p>
      <w:pPr>
        <w:spacing w:after="0" w:line="180"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Amounts recognized in AOCI at September 30, 2024 and 2023 related to the Company's defned beneft pension and postretrement beneft plans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76"/>
              <w:spacing w:after="0"/>
              <w:rPr>
                <w:sz w:val="20"/>
                <w:szCs w:val="20"/>
                <w:color w:val="auto"/>
              </w:rPr>
            </w:pPr>
            <w:r>
              <w:rPr>
                <w:rFonts w:ascii="Calibri" w:cs="Calibri" w:eastAsia="Calibri" w:hAnsi="Calibri"/>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10"/>
              <w:spacing w:after="0"/>
              <w:rPr>
                <w:sz w:val="20"/>
                <w:szCs w:val="20"/>
                <w:color w:val="auto"/>
              </w:rPr>
            </w:pPr>
            <w:r>
              <w:rPr>
                <w:rFonts w:ascii="Calibri" w:cs="Calibri" w:eastAsia="Calibri" w:hAnsi="Calibri"/>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6" w:lineRule="exact"/>
              <w:rPr>
                <w:sz w:val="20"/>
                <w:szCs w:val="20"/>
                <w:color w:val="auto"/>
              </w:rPr>
            </w:pPr>
            <w:r>
              <w:rPr>
                <w:rFonts w:ascii="Calibri" w:cs="Calibri" w:eastAsia="Calibri" w:hAnsi="Calibri"/>
                <w:sz w:val="14"/>
                <w:szCs w:val="14"/>
                <w:b w:val="1"/>
                <w:bCs w:val="1"/>
                <w:color w:val="auto"/>
              </w:rPr>
              <w:t>Pension</w:t>
            </w:r>
          </w:p>
        </w:tc>
        <w:tc>
          <w:tcPr>
            <w:tcW w:w="740" w:type="dxa"/>
            <w:vAlign w:val="bottom"/>
            <w:tcBorders>
              <w:bottom w:val="single" w:sz="8" w:color="auto"/>
            </w:tcBorders>
            <w:gridSpan w:val="2"/>
          </w:tcPr>
          <w:p>
            <w:pPr>
              <w:jc w:val="right"/>
              <w:ind w:right="56"/>
              <w:spacing w:after="0" w:line="166" w:lineRule="exact"/>
              <w:rPr>
                <w:sz w:val="20"/>
                <w:szCs w:val="20"/>
                <w:color w:val="auto"/>
              </w:rPr>
            </w:pPr>
            <w:r>
              <w:rPr>
                <w:rFonts w:ascii="Calibri" w:cs="Calibri" w:eastAsia="Calibri" w:hAnsi="Calibri"/>
                <w:sz w:val="14"/>
                <w:szCs w:val="14"/>
                <w:b w:val="1"/>
                <w:bCs w:val="1"/>
                <w:color w:val="auto"/>
              </w:rPr>
              <w:t>Benefts</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300"/>
              <w:spacing w:after="0" w:line="166"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7"/>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Calibri" w:cs="Calibri" w:eastAsia="Calibri" w:hAnsi="Calibri"/>
                <w:sz w:val="14"/>
                <w:szCs w:val="14"/>
                <w:b w:val="1"/>
                <w:bCs w:val="1"/>
                <w:color w:val="auto"/>
                <w:w w:val="96"/>
              </w:rPr>
              <w:t>Foreign</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5"/>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36"/>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Net actuarial (gain) loss</w:t>
            </w:r>
          </w:p>
        </w:tc>
        <w:tc>
          <w:tcPr>
            <w:tcW w:w="520" w:type="dxa"/>
            <w:vAlign w:val="bottom"/>
            <w:shd w:val="clear" w:color="auto" w:fill="CFF0FC"/>
          </w:tcPr>
          <w:p>
            <w:pPr>
              <w:jc w:val="right"/>
              <w:ind w:right="336"/>
              <w:spacing w:after="0"/>
              <w:rPr>
                <w:sz w:val="20"/>
                <w:szCs w:val="20"/>
                <w:color w:val="auto"/>
              </w:rPr>
            </w:pPr>
            <w:r>
              <w:rPr>
                <w:rFonts w:ascii="Calibri" w:cs="Calibri" w:eastAsia="Calibri" w:hAnsi="Calibri"/>
                <w:sz w:val="18"/>
                <w:szCs w:val="18"/>
                <w:color w:val="auto"/>
                <w:w w:val="87"/>
              </w:rPr>
              <w:t>$</w:t>
            </w:r>
          </w:p>
        </w:tc>
        <w:tc>
          <w:tcPr>
            <w:tcW w:w="2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w w:val="97"/>
              </w:rPr>
              <w:t>—</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32</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6"/>
              <w:spacing w:after="0"/>
              <w:rPr>
                <w:sz w:val="20"/>
                <w:szCs w:val="20"/>
                <w:color w:val="auto"/>
              </w:rPr>
            </w:pPr>
            <w:r>
              <w:rPr>
                <w:rFonts w:ascii="Calibri" w:cs="Calibri" w:eastAsia="Calibri" w:hAnsi="Calibri"/>
                <w:sz w:val="18"/>
                <w:szCs w:val="18"/>
                <w:color w:val="auto"/>
                <w:w w:val="87"/>
              </w:rPr>
              <w:t>$</w:t>
            </w:r>
          </w:p>
        </w:tc>
        <w:tc>
          <w:tcPr>
            <w:tcW w:w="480" w:type="dxa"/>
            <w:vAlign w:val="bottom"/>
            <w:tcBorders>
              <w:right w:val="single" w:sz="8" w:color="CFF0FC"/>
            </w:tcBorders>
            <w:gridSpan w:val="2"/>
            <w:shd w:val="clear" w:color="auto" w:fill="CFF0FC"/>
          </w:tcPr>
          <w:p>
            <w:pPr>
              <w:ind w:left="4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5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6"/>
              <w:spacing w:after="0"/>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8"/>
                <w:szCs w:val="18"/>
                <w:color w:val="auto"/>
                <w:w w:val="99"/>
              </w:rPr>
              <w:t>(5 )</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8"/>
                <w:szCs w:val="18"/>
                <w:color w:val="auto"/>
              </w:rPr>
              <w:t>(4 )</w:t>
            </w:r>
          </w:p>
        </w:tc>
        <w:tc>
          <w:tcPr>
            <w:tcW w:w="480" w:type="dxa"/>
            <w:vAlign w:val="bottom"/>
            <w:shd w:val="clear" w:color="auto" w:fill="CFF0FC"/>
          </w:tcPr>
          <w:p>
            <w:pPr>
              <w:jc w:val="right"/>
              <w:ind w:right="296"/>
              <w:spacing w:after="0"/>
              <w:rPr>
                <w:sz w:val="20"/>
                <w:szCs w:val="20"/>
                <w:color w:val="auto"/>
              </w:rPr>
            </w:pPr>
            <w:r>
              <w:rPr>
                <w:rFonts w:ascii="Calibri" w:cs="Calibri" w:eastAsia="Calibri" w:hAnsi="Calibri"/>
                <w:sz w:val="18"/>
                <w:szCs w:val="18"/>
                <w:color w:val="auto"/>
                <w:w w:val="87"/>
              </w:rPr>
              <w:t>$</w:t>
            </w:r>
          </w:p>
        </w:tc>
        <w:tc>
          <w:tcPr>
            <w:tcW w:w="4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8"/>
                <w:szCs w:val="18"/>
                <w:color w:val="auto"/>
                <w:w w:val="99"/>
              </w:rPr>
              <w:t>(6 )</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Net prior service credit</w:t>
            </w:r>
          </w:p>
        </w:tc>
        <w:tc>
          <w:tcPr>
            <w:tcW w:w="520" w:type="dxa"/>
            <w:vAlign w:val="bottom"/>
          </w:tcPr>
          <w:p>
            <w:pPr>
              <w:spacing w:after="0"/>
              <w:rPr>
                <w:sz w:val="18"/>
                <w:szCs w:val="18"/>
                <w:color w:val="auto"/>
              </w:rPr>
            </w:pPr>
          </w:p>
        </w:tc>
        <w:tc>
          <w:tcPr>
            <w:tcW w:w="200" w:type="dxa"/>
            <w:vAlign w:val="bottom"/>
          </w:tcPr>
          <w:p>
            <w:pPr>
              <w:ind w:left="2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(1 )</w:t>
            </w:r>
          </w:p>
        </w:tc>
        <w:tc>
          <w:tcPr>
            <w:tcW w:w="500" w:type="dxa"/>
            <w:vAlign w:val="bottom"/>
          </w:tcPr>
          <w:p>
            <w:pPr>
              <w:spacing w:after="0"/>
              <w:rPr>
                <w:sz w:val="18"/>
                <w:szCs w:val="18"/>
                <w:color w:val="auto"/>
              </w:rPr>
            </w:pPr>
          </w:p>
        </w:tc>
        <w:tc>
          <w:tcPr>
            <w:tcW w:w="4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500" w:type="dxa"/>
            <w:vAlign w:val="bottom"/>
          </w:tcPr>
          <w:p>
            <w:pPr>
              <w:spacing w:after="0"/>
              <w:rPr>
                <w:sz w:val="18"/>
                <w:szCs w:val="18"/>
                <w:color w:val="auto"/>
              </w:rPr>
            </w:pPr>
          </w:p>
        </w:tc>
        <w:tc>
          <w:tcPr>
            <w:tcW w:w="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8"/>
                <w:szCs w:val="18"/>
                <w:color w:val="auto"/>
              </w:rPr>
            </w:pPr>
          </w:p>
        </w:tc>
        <w:tc>
          <w:tcPr>
            <w:tcW w:w="4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20" w:type="dxa"/>
            <w:vAlign w:val="bottom"/>
            <w:shd w:val="clear" w:color="auto" w:fill="CFF0FC"/>
          </w:tcPr>
          <w:p>
            <w:pPr>
              <w:ind w:left="20"/>
              <w:spacing w:after="0" w:line="187" w:lineRule="exact"/>
              <w:rPr>
                <w:sz w:val="20"/>
                <w:szCs w:val="20"/>
                <w:color w:val="auto"/>
              </w:rPr>
            </w:pPr>
            <w:r>
              <w:rPr>
                <w:rFonts w:ascii="Calibri" w:cs="Calibri" w:eastAsia="Calibri" w:hAnsi="Calibri"/>
                <w:sz w:val="18"/>
                <w:szCs w:val="18"/>
                <w:color w:val="auto"/>
              </w:rPr>
              <w:t>Balance in accumulated other</w:t>
            </w:r>
          </w:p>
        </w:tc>
        <w:tc>
          <w:tcPr>
            <w:tcW w:w="520" w:type="dxa"/>
            <w:vAlign w:val="bottom"/>
            <w:vMerge w:val="restart"/>
            <w:shd w:val="clear" w:color="auto" w:fill="CFF0FC"/>
          </w:tcPr>
          <w:p>
            <w:pPr>
              <w:jc w:val="right"/>
              <w:ind w:right="336"/>
              <w:spacing w:after="0"/>
              <w:rPr>
                <w:sz w:val="20"/>
                <w:szCs w:val="20"/>
                <w:color w:val="auto"/>
              </w:rPr>
            </w:pPr>
            <w:r>
              <w:rPr>
                <w:rFonts w:ascii="Calibri" w:cs="Calibri" w:eastAsia="Calibri" w:hAnsi="Calibri"/>
                <w:sz w:val="18"/>
                <w:szCs w:val="18"/>
                <w:color w:val="auto"/>
                <w:w w:val="87"/>
              </w:rPr>
              <w:t>$</w:t>
            </w:r>
          </w:p>
        </w:tc>
        <w:tc>
          <w:tcPr>
            <w:tcW w:w="200" w:type="dxa"/>
            <w:vAlign w:val="bottom"/>
            <w:vMerge w:val="restart"/>
            <w:shd w:val="clear" w:color="auto" w:fill="CFF0FC"/>
          </w:tcPr>
          <w:p>
            <w:pPr>
              <w:ind w:left="20"/>
              <w:spacing w:after="0"/>
              <w:rPr>
                <w:sz w:val="20"/>
                <w:szCs w:val="20"/>
                <w:color w:val="auto"/>
              </w:rPr>
            </w:pPr>
            <w:r>
              <w:rPr>
                <w:rFonts w:ascii="Calibri" w:cs="Calibri" w:eastAsia="Calibri" w:hAnsi="Calibri"/>
                <w:sz w:val="18"/>
                <w:szCs w:val="18"/>
                <w:color w:val="auto"/>
                <w:w w:val="97"/>
              </w:rPr>
              <w:t>—</w:t>
            </w:r>
          </w:p>
        </w:tc>
        <w:tc>
          <w:tcPr>
            <w:tcW w:w="24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31</w:t>
            </w:r>
          </w:p>
        </w:tc>
        <w:tc>
          <w:tcPr>
            <w:tcW w:w="24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jc w:val="right"/>
              <w:ind w:right="316"/>
              <w:spacing w:after="0"/>
              <w:rPr>
                <w:sz w:val="20"/>
                <w:szCs w:val="20"/>
                <w:color w:val="auto"/>
              </w:rPr>
            </w:pPr>
            <w:r>
              <w:rPr>
                <w:rFonts w:ascii="Calibri" w:cs="Calibri" w:eastAsia="Calibri" w:hAnsi="Calibri"/>
                <w:sz w:val="18"/>
                <w:szCs w:val="18"/>
                <w:color w:val="auto"/>
                <w:w w:val="87"/>
              </w:rPr>
              <w:t>$</w:t>
            </w:r>
          </w:p>
        </w:tc>
        <w:tc>
          <w:tcPr>
            <w:tcW w:w="220" w:type="dxa"/>
            <w:vAlign w:val="bottom"/>
            <w:vMerge w:val="restart"/>
            <w:shd w:val="clear" w:color="auto" w:fill="CFF0FC"/>
          </w:tcPr>
          <w:p>
            <w:pPr>
              <w:ind w:left="40"/>
              <w:spacing w:after="0"/>
              <w:rPr>
                <w:sz w:val="20"/>
                <w:szCs w:val="20"/>
                <w:color w:val="auto"/>
              </w:rPr>
            </w:pPr>
            <w:r>
              <w:rPr>
                <w:rFonts w:ascii="Calibri" w:cs="Calibri" w:eastAsia="Calibri" w:hAnsi="Calibri"/>
                <w:sz w:val="18"/>
                <w:szCs w:val="18"/>
                <w:color w:val="auto"/>
                <w:w w:val="97"/>
              </w:rPr>
              <w:t>—</w:t>
            </w:r>
          </w:p>
        </w:tc>
        <w:tc>
          <w:tcPr>
            <w:tcW w:w="260" w:type="dxa"/>
            <w:vAlign w:val="bottom"/>
            <w:tcBorders>
              <w:right w:val="single" w:sz="8" w:color="CFF0FC"/>
            </w:tcBorders>
            <w:vMerge w:val="restart"/>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5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23</w:t>
            </w:r>
          </w:p>
        </w:tc>
        <w:tc>
          <w:tcPr>
            <w:tcW w:w="22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jc w:val="right"/>
              <w:ind w:right="316"/>
              <w:spacing w:after="0"/>
              <w:rPr>
                <w:sz w:val="20"/>
                <w:szCs w:val="20"/>
                <w:color w:val="auto"/>
              </w:rPr>
            </w:pPr>
            <w:r>
              <w:rPr>
                <w:rFonts w:ascii="Calibri" w:cs="Calibri" w:eastAsia="Calibri" w:hAnsi="Calibri"/>
                <w:sz w:val="18"/>
                <w:szCs w:val="18"/>
                <w:color w:val="auto"/>
                <w:w w:val="87"/>
              </w:rPr>
              <w:t>$</w:t>
            </w:r>
          </w:p>
        </w:tc>
        <w:tc>
          <w:tcPr>
            <w:tcW w:w="400" w:type="dxa"/>
            <w:vAlign w:val="bottom"/>
            <w:gridSpan w:val="2"/>
            <w:vMerge w:val="restart"/>
            <w:shd w:val="clear" w:color="auto" w:fill="CFF0FC"/>
          </w:tcPr>
          <w:p>
            <w:pPr>
              <w:jc w:val="right"/>
              <w:ind w:right="140"/>
              <w:spacing w:after="0"/>
              <w:rPr>
                <w:sz w:val="20"/>
                <w:szCs w:val="20"/>
                <w:color w:val="auto"/>
              </w:rPr>
            </w:pPr>
            <w:r>
              <w:rPr>
                <w:rFonts w:ascii="Calibri" w:cs="Calibri" w:eastAsia="Calibri" w:hAnsi="Calibri"/>
                <w:sz w:val="18"/>
                <w:szCs w:val="18"/>
                <w:color w:val="auto"/>
                <w:w w:val="99"/>
              </w:rPr>
              <w:t>(5 )</w:t>
            </w: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0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8"/>
                <w:szCs w:val="18"/>
                <w:color w:val="auto"/>
              </w:rPr>
              <w:t>(4 )</w:t>
            </w:r>
          </w:p>
        </w:tc>
        <w:tc>
          <w:tcPr>
            <w:tcW w:w="480" w:type="dxa"/>
            <w:vAlign w:val="bottom"/>
            <w:vMerge w:val="restart"/>
            <w:shd w:val="clear" w:color="auto" w:fill="CFF0FC"/>
          </w:tcPr>
          <w:p>
            <w:pPr>
              <w:jc w:val="right"/>
              <w:ind w:right="296"/>
              <w:spacing w:after="0"/>
              <w:rPr>
                <w:sz w:val="20"/>
                <w:szCs w:val="20"/>
                <w:color w:val="auto"/>
              </w:rPr>
            </w:pPr>
            <w:r>
              <w:rPr>
                <w:rFonts w:ascii="Calibri" w:cs="Calibri" w:eastAsia="Calibri" w:hAnsi="Calibri"/>
                <w:sz w:val="18"/>
                <w:szCs w:val="18"/>
                <w:color w:val="auto"/>
                <w:w w:val="87"/>
              </w:rPr>
              <w:t>$</w:t>
            </w:r>
          </w:p>
        </w:tc>
        <w:tc>
          <w:tcPr>
            <w:tcW w:w="42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8"/>
                <w:szCs w:val="18"/>
                <w:color w:val="auto"/>
                <w:w w:val="99"/>
              </w:rPr>
              <w:t>(6 )</w:t>
            </w: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70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18"/>
        </w:trPr>
        <w:tc>
          <w:tcPr>
            <w:tcW w:w="3920" w:type="dxa"/>
            <w:vAlign w:val="bottom"/>
            <w:shd w:val="clear" w:color="auto" w:fill="CFF0FC"/>
          </w:tcPr>
          <w:p>
            <w:pPr>
              <w:ind w:left="140"/>
              <w:spacing w:after="0" w:line="198" w:lineRule="exact"/>
              <w:rPr>
                <w:sz w:val="20"/>
                <w:szCs w:val="20"/>
                <w:color w:val="auto"/>
              </w:rPr>
            </w:pPr>
            <w:r>
              <w:rPr>
                <w:rFonts w:ascii="Calibri" w:cs="Calibri" w:eastAsia="Calibri" w:hAnsi="Calibri"/>
                <w:sz w:val="18"/>
                <w:szCs w:val="18"/>
                <w:color w:val="auto"/>
              </w:rPr>
              <w:t>comprehensive (income) loss, pretax</w:t>
            </w:r>
          </w:p>
        </w:tc>
        <w:tc>
          <w:tcPr>
            <w:tcW w:w="52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48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0" w:lineRule="exact"/>
        <w:rPr>
          <w:sz w:val="20"/>
          <w:szCs w:val="20"/>
          <w:color w:val="auto"/>
        </w:rPr>
      </w:pPr>
    </w:p>
    <w:p>
      <w:pPr>
        <w:ind w:left="280"/>
        <w:spacing w:after="0"/>
        <w:rPr>
          <w:sz w:val="20"/>
          <w:szCs w:val="20"/>
          <w:color w:val="auto"/>
        </w:rPr>
      </w:pPr>
      <w:r>
        <w:rPr>
          <w:rFonts w:ascii="Calibri" w:cs="Calibri" w:eastAsia="Calibri" w:hAnsi="Calibri"/>
          <w:sz w:val="18"/>
          <w:szCs w:val="18"/>
          <w:b w:val="1"/>
          <w:bCs w:val="1"/>
          <w:i w:val="1"/>
          <w:iCs w:val="1"/>
          <w:color w:val="auto"/>
        </w:rPr>
        <w:t>Estmated Future Beneft Payments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expects that the following beneft payments will be made to plan partcipants in the years from 2025 to 2034:</w:t>
      </w:r>
    </w:p>
    <w:p>
      <w:pPr>
        <w:spacing w:after="0" w:line="116" w:lineRule="exact"/>
        <w:rPr>
          <w:sz w:val="20"/>
          <w:szCs w:val="20"/>
          <w:color w:val="auto"/>
        </w:rPr>
      </w:pPr>
    </w:p>
    <w:tbl>
      <w:tblPr>
        <w:tblLayout w:type="fixed"/>
        <w:tblInd w:w="226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tcPr>
          <w:p>
            <w:pPr>
              <w:jc w:val="right"/>
              <w:ind w:right="495"/>
              <w:spacing w:after="0"/>
              <w:rPr>
                <w:sz w:val="20"/>
                <w:szCs w:val="20"/>
                <w:color w:val="auto"/>
              </w:rPr>
            </w:pPr>
            <w:r>
              <w:rPr>
                <w:rFonts w:ascii="Calibri" w:cs="Calibri" w:eastAsia="Calibri" w:hAnsi="Calibri"/>
                <w:sz w:val="14"/>
                <w:szCs w:val="14"/>
                <w:b w:val="1"/>
                <w:bCs w:val="1"/>
                <w:color w:val="auto"/>
              </w:rPr>
              <w:t>Pension Benefts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5"/>
          </w:tcPr>
          <w:p>
            <w:pPr>
              <w:ind w:left="40"/>
              <w:spacing w:after="0"/>
              <w:rPr>
                <w:sz w:val="20"/>
                <w:szCs w:val="20"/>
                <w:color w:val="auto"/>
              </w:rPr>
            </w:pPr>
            <w:r>
              <w:rPr>
                <w:rFonts w:ascii="Calibri" w:cs="Calibri" w:eastAsia="Calibri" w:hAnsi="Calibri"/>
                <w:sz w:val="14"/>
                <w:szCs w:val="14"/>
                <w:b w:val="1"/>
                <w:bCs w:val="1"/>
                <w:color w:val="auto"/>
              </w:rPr>
              <w:t>Postretrement Benefts</w:t>
            </w:r>
          </w:p>
        </w:tc>
      </w:tr>
      <w:tr>
        <w:trPr>
          <w:trHeight w:val="173"/>
        </w:trPr>
        <w:tc>
          <w:tcPr>
            <w:tcW w:w="2140" w:type="dxa"/>
            <w:vAlign w:val="bottom"/>
            <w:tcBorders>
              <w:bottom w:val="single" w:sz="8" w:color="auto"/>
            </w:tcBorders>
          </w:tcPr>
          <w:p>
            <w:pPr>
              <w:ind w:left="260"/>
              <w:spacing w:after="0" w:line="156" w:lineRule="exact"/>
              <w:rPr>
                <w:sz w:val="20"/>
                <w:szCs w:val="20"/>
                <w:color w:val="auto"/>
              </w:rPr>
            </w:pPr>
            <w:r>
              <w:rPr>
                <w:rFonts w:ascii="Calibri" w:cs="Calibri" w:eastAsia="Calibri" w:hAnsi="Calibri"/>
                <w:sz w:val="14"/>
                <w:szCs w:val="14"/>
                <w:b w:val="1"/>
                <w:bCs w:val="1"/>
                <w:color w:val="auto"/>
              </w:rPr>
              <w:t>Years Ending September 30</w:t>
            </w: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Calibri" w:cs="Calibri" w:eastAsia="Calibri" w:hAnsi="Calibri"/>
                <w:sz w:val="14"/>
                <w:szCs w:val="14"/>
                <w:b w:val="1"/>
                <w:bCs w:val="1"/>
                <w:color w:val="auto"/>
              </w:rPr>
              <w:t>U.S.</w:t>
            </w:r>
          </w:p>
        </w:tc>
        <w:tc>
          <w:tcPr>
            <w:tcW w:w="2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75"/>
              <w:spacing w:after="0"/>
              <w:rPr>
                <w:sz w:val="20"/>
                <w:szCs w:val="20"/>
                <w:color w:val="auto"/>
              </w:rPr>
            </w:pPr>
            <w:r>
              <w:rPr>
                <w:rFonts w:ascii="Calibri" w:cs="Calibri" w:eastAsia="Calibri" w:hAnsi="Calibri"/>
                <w:sz w:val="14"/>
                <w:szCs w:val="14"/>
                <w:b w:val="1"/>
                <w:bCs w:val="1"/>
                <w:color w:val="auto"/>
              </w:rPr>
              <w:t>Foreign</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315"/>
              <w:spacing w:after="0"/>
              <w:rPr>
                <w:sz w:val="20"/>
                <w:szCs w:val="20"/>
                <w:color w:val="auto"/>
              </w:rPr>
            </w:pPr>
            <w:r>
              <w:rPr>
                <w:rFonts w:ascii="Calibri" w:cs="Calibri" w:eastAsia="Calibri" w:hAnsi="Calibri"/>
                <w:sz w:val="14"/>
                <w:szCs w:val="14"/>
                <w:b w:val="1"/>
                <w:bCs w:val="1"/>
                <w:color w:val="auto"/>
              </w:rPr>
              <w:t>U.S.</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73"/>
              <w:spacing w:after="0"/>
              <w:rPr>
                <w:sz w:val="20"/>
                <w:szCs w:val="20"/>
                <w:color w:val="auto"/>
              </w:rPr>
            </w:pPr>
            <w:r>
              <w:rPr>
                <w:rFonts w:ascii="Calibri" w:cs="Calibri" w:eastAsia="Calibri" w:hAnsi="Calibri"/>
                <w:sz w:val="14"/>
                <w:szCs w:val="14"/>
                <w:b w:val="1"/>
                <w:bCs w:val="1"/>
                <w:color w:val="auto"/>
              </w:rPr>
              <w:t>Foreign</w:t>
            </w:r>
          </w:p>
        </w:tc>
        <w:tc>
          <w:tcPr>
            <w:tcW w:w="60" w:type="dxa"/>
            <w:vAlign w:val="bottom"/>
          </w:tcPr>
          <w:p>
            <w:pPr>
              <w:spacing w:after="0"/>
              <w:rPr>
                <w:sz w:val="15"/>
                <w:szCs w:val="15"/>
                <w:color w:val="auto"/>
              </w:rPr>
            </w:pPr>
          </w:p>
        </w:tc>
      </w:tr>
      <w:tr>
        <w:trPr>
          <w:trHeight w:val="169"/>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5"/>
              <w:spacing w:after="0" w:line="169"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center"/>
              <w:ind w:right="40"/>
              <w:spacing w:after="0" w:line="169" w:lineRule="exact"/>
              <w:rPr>
                <w:sz w:val="20"/>
                <w:szCs w:val="20"/>
                <w:color w:val="auto"/>
              </w:rPr>
            </w:pPr>
            <w:r>
              <w:rPr>
                <w:rFonts w:ascii="Calibri" w:cs="Calibri" w:eastAsia="Calibri" w:hAnsi="Calibri"/>
                <w:sz w:val="14"/>
                <w:szCs w:val="14"/>
                <w:b w:val="1"/>
                <w:bCs w:val="1"/>
                <w:color w:val="auto"/>
                <w:w w:val="87"/>
              </w:rPr>
              <w:t>millions)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9"/>
        </w:trPr>
        <w:tc>
          <w:tcPr>
            <w:tcW w:w="2140" w:type="dxa"/>
            <w:vAlign w:val="bottom"/>
            <w:shd w:val="clear" w:color="auto" w:fill="CFF0FC"/>
          </w:tcPr>
          <w:p>
            <w:pPr>
              <w:ind w:left="180"/>
              <w:spacing w:after="0" w:line="217" w:lineRule="exact"/>
              <w:rPr>
                <w:sz w:val="20"/>
                <w:szCs w:val="20"/>
                <w:color w:val="auto"/>
              </w:rPr>
            </w:pPr>
            <w:r>
              <w:rPr>
                <w:rFonts w:ascii="Calibri" w:cs="Calibri" w:eastAsia="Calibri" w:hAnsi="Calibri"/>
                <w:sz w:val="18"/>
                <w:szCs w:val="18"/>
                <w:color w:val="auto"/>
              </w:rPr>
              <w:t>2025</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5"/>
              <w:spacing w:after="0" w:line="217" w:lineRule="exact"/>
              <w:rPr>
                <w:sz w:val="20"/>
                <w:szCs w:val="20"/>
                <w:color w:val="auto"/>
              </w:rPr>
            </w:pPr>
            <w:r>
              <w:rPr>
                <w:rFonts w:ascii="Calibri" w:cs="Calibri" w:eastAsia="Calibri" w:hAnsi="Calibri"/>
                <w:sz w:val="18"/>
                <w:szCs w:val="18"/>
                <w:color w:val="auto"/>
                <w:w w:val="87"/>
              </w:rPr>
              <w:t>$</w:t>
            </w:r>
          </w:p>
        </w:tc>
        <w:tc>
          <w:tcPr>
            <w:tcW w:w="2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ind w:right="80"/>
              <w:spacing w:after="0" w:line="217"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w:t>
            </w:r>
          </w:p>
        </w:tc>
        <w:tc>
          <w:tcPr>
            <w:tcW w:w="480" w:type="dxa"/>
            <w:vAlign w:val="bottom"/>
            <w:gridSpan w:val="2"/>
            <w:shd w:val="clear" w:color="auto" w:fill="CFF0FC"/>
          </w:tcPr>
          <w:p>
            <w:pPr>
              <w:jc w:val="center"/>
              <w:spacing w:after="0" w:line="217"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w:t>
            </w:r>
          </w:p>
        </w:tc>
        <w:tc>
          <w:tcPr>
            <w:tcW w:w="340" w:type="dxa"/>
            <w:vAlign w:val="bottom"/>
            <w:gridSpan w:val="2"/>
            <w:shd w:val="clear" w:color="auto" w:fill="CFF0FC"/>
          </w:tcPr>
          <w:p>
            <w:pPr>
              <w:jc w:val="right"/>
              <w:ind w:right="80"/>
              <w:spacing w:after="0" w:line="217"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w:t>
            </w:r>
          </w:p>
        </w:tc>
        <w:tc>
          <w:tcPr>
            <w:tcW w:w="60" w:type="dxa"/>
            <w:vAlign w:val="bottom"/>
            <w:shd w:val="clear" w:color="auto" w:fill="CFF0FC"/>
          </w:tcPr>
          <w:p>
            <w:pPr>
              <w:spacing w:after="0"/>
              <w:rPr>
                <w:sz w:val="19"/>
                <w:szCs w:val="19"/>
                <w:color w:val="auto"/>
              </w:rPr>
            </w:pPr>
          </w:p>
        </w:tc>
      </w:tr>
      <w:tr>
        <w:trPr>
          <w:trHeight w:val="215"/>
        </w:trPr>
        <w:tc>
          <w:tcPr>
            <w:tcW w:w="2140" w:type="dxa"/>
            <w:vAlign w:val="bottom"/>
          </w:tcPr>
          <w:p>
            <w:pPr>
              <w:ind w:left="180"/>
              <w:spacing w:after="0" w:line="215" w:lineRule="exact"/>
              <w:rPr>
                <w:sz w:val="20"/>
                <w:szCs w:val="20"/>
                <w:color w:val="auto"/>
              </w:rPr>
            </w:pPr>
            <w:r>
              <w:rPr>
                <w:rFonts w:ascii="Calibri" w:cs="Calibri" w:eastAsia="Calibri" w:hAnsi="Calibri"/>
                <w:sz w:val="18"/>
                <w:szCs w:val="18"/>
                <w:color w:val="auto"/>
              </w:rPr>
              <w:t>2026</w:t>
            </w:r>
          </w:p>
        </w:tc>
        <w:tc>
          <w:tcPr>
            <w:tcW w:w="100" w:type="dxa"/>
            <w:vAlign w:val="bottom"/>
          </w:tcPr>
          <w:p>
            <w:pPr>
              <w:spacing w:after="0"/>
              <w:rPr>
                <w:sz w:val="18"/>
                <w:szCs w:val="18"/>
                <w:color w:val="auto"/>
              </w:rPr>
            </w:pPr>
          </w:p>
        </w:tc>
        <w:tc>
          <w:tcPr>
            <w:tcW w:w="700" w:type="dxa"/>
            <w:vAlign w:val="bottom"/>
          </w:tcPr>
          <w:p>
            <w:pPr>
              <w:jc w:val="right"/>
              <w:ind w:right="515"/>
              <w:spacing w:after="0" w:line="215" w:lineRule="exact"/>
              <w:rPr>
                <w:sz w:val="20"/>
                <w:szCs w:val="20"/>
                <w:color w:val="auto"/>
              </w:rPr>
            </w:pPr>
            <w:r>
              <w:rPr>
                <w:rFonts w:ascii="Calibri" w:cs="Calibri" w:eastAsia="Calibri" w:hAnsi="Calibri"/>
                <w:sz w:val="18"/>
                <w:szCs w:val="18"/>
                <w:color w:val="auto"/>
                <w:w w:val="87"/>
              </w:rPr>
              <w:t>$</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48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3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18"/>
                <w:szCs w:val="18"/>
                <w:color w:val="auto"/>
              </w:rPr>
            </w:pPr>
          </w:p>
        </w:tc>
      </w:tr>
      <w:tr>
        <w:trPr>
          <w:trHeight w:val="217"/>
        </w:trPr>
        <w:tc>
          <w:tcPr>
            <w:tcW w:w="214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2027</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5"/>
              <w:spacing w:after="0" w:line="216" w:lineRule="exact"/>
              <w:rPr>
                <w:sz w:val="20"/>
                <w:szCs w:val="20"/>
                <w:color w:val="auto"/>
              </w:rPr>
            </w:pPr>
            <w:r>
              <w:rPr>
                <w:rFonts w:ascii="Calibri" w:cs="Calibri" w:eastAsia="Calibri" w:hAnsi="Calibri"/>
                <w:sz w:val="18"/>
                <w:szCs w:val="18"/>
                <w:color w:val="auto"/>
                <w:w w:val="87"/>
              </w:rPr>
              <w:t>$</w:t>
            </w:r>
          </w:p>
        </w:tc>
        <w:tc>
          <w:tcPr>
            <w:tcW w:w="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w:t>
            </w:r>
          </w:p>
        </w:tc>
        <w:tc>
          <w:tcPr>
            <w:tcW w:w="480" w:type="dxa"/>
            <w:vAlign w:val="bottom"/>
            <w:gridSpan w:val="2"/>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34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60" w:type="dxa"/>
            <w:vAlign w:val="bottom"/>
            <w:shd w:val="clear" w:color="auto" w:fill="CFF0FC"/>
          </w:tcPr>
          <w:p>
            <w:pPr>
              <w:spacing w:after="0"/>
              <w:rPr>
                <w:sz w:val="18"/>
                <w:szCs w:val="18"/>
                <w:color w:val="auto"/>
              </w:rPr>
            </w:pPr>
          </w:p>
        </w:tc>
      </w:tr>
      <w:tr>
        <w:trPr>
          <w:trHeight w:val="215"/>
        </w:trPr>
        <w:tc>
          <w:tcPr>
            <w:tcW w:w="2140" w:type="dxa"/>
            <w:vAlign w:val="bottom"/>
          </w:tcPr>
          <w:p>
            <w:pPr>
              <w:ind w:left="180"/>
              <w:spacing w:after="0" w:line="215" w:lineRule="exact"/>
              <w:rPr>
                <w:sz w:val="20"/>
                <w:szCs w:val="20"/>
                <w:color w:val="auto"/>
              </w:rPr>
            </w:pPr>
            <w:r>
              <w:rPr>
                <w:rFonts w:ascii="Calibri" w:cs="Calibri" w:eastAsia="Calibri" w:hAnsi="Calibri"/>
                <w:sz w:val="18"/>
                <w:szCs w:val="18"/>
                <w:color w:val="auto"/>
              </w:rPr>
              <w:t>2028</w:t>
            </w:r>
          </w:p>
        </w:tc>
        <w:tc>
          <w:tcPr>
            <w:tcW w:w="100" w:type="dxa"/>
            <w:vAlign w:val="bottom"/>
          </w:tcPr>
          <w:p>
            <w:pPr>
              <w:spacing w:after="0"/>
              <w:rPr>
                <w:sz w:val="18"/>
                <w:szCs w:val="18"/>
                <w:color w:val="auto"/>
              </w:rPr>
            </w:pPr>
          </w:p>
        </w:tc>
        <w:tc>
          <w:tcPr>
            <w:tcW w:w="700" w:type="dxa"/>
            <w:vAlign w:val="bottom"/>
          </w:tcPr>
          <w:p>
            <w:pPr>
              <w:jc w:val="right"/>
              <w:ind w:right="515"/>
              <w:spacing w:after="0" w:line="215" w:lineRule="exact"/>
              <w:rPr>
                <w:sz w:val="20"/>
                <w:szCs w:val="20"/>
                <w:color w:val="auto"/>
              </w:rPr>
            </w:pPr>
            <w:r>
              <w:rPr>
                <w:rFonts w:ascii="Calibri" w:cs="Calibri" w:eastAsia="Calibri" w:hAnsi="Calibri"/>
                <w:sz w:val="18"/>
                <w:szCs w:val="18"/>
                <w:color w:val="auto"/>
                <w:w w:val="87"/>
              </w:rPr>
              <w:t>$</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48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3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18"/>
                <w:szCs w:val="18"/>
                <w:color w:val="auto"/>
              </w:rPr>
            </w:pPr>
          </w:p>
        </w:tc>
      </w:tr>
      <w:tr>
        <w:trPr>
          <w:trHeight w:val="217"/>
        </w:trPr>
        <w:tc>
          <w:tcPr>
            <w:tcW w:w="214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2029</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5"/>
              <w:spacing w:after="0" w:line="216" w:lineRule="exact"/>
              <w:rPr>
                <w:sz w:val="20"/>
                <w:szCs w:val="20"/>
                <w:color w:val="auto"/>
              </w:rPr>
            </w:pPr>
            <w:r>
              <w:rPr>
                <w:rFonts w:ascii="Calibri" w:cs="Calibri" w:eastAsia="Calibri" w:hAnsi="Calibri"/>
                <w:sz w:val="18"/>
                <w:szCs w:val="18"/>
                <w:color w:val="auto"/>
                <w:w w:val="87"/>
              </w:rPr>
              <w:t>$</w:t>
            </w:r>
          </w:p>
        </w:tc>
        <w:tc>
          <w:tcPr>
            <w:tcW w:w="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w:t>
            </w:r>
          </w:p>
        </w:tc>
        <w:tc>
          <w:tcPr>
            <w:tcW w:w="480" w:type="dxa"/>
            <w:vAlign w:val="bottom"/>
            <w:gridSpan w:val="2"/>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34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60" w:type="dxa"/>
            <w:vAlign w:val="bottom"/>
            <w:shd w:val="clear" w:color="auto" w:fill="CFF0FC"/>
          </w:tcPr>
          <w:p>
            <w:pPr>
              <w:spacing w:after="0"/>
              <w:rPr>
                <w:sz w:val="18"/>
                <w:szCs w:val="18"/>
                <w:color w:val="auto"/>
              </w:rPr>
            </w:pPr>
          </w:p>
        </w:tc>
      </w:tr>
      <w:tr>
        <w:trPr>
          <w:trHeight w:val="215"/>
        </w:trPr>
        <w:tc>
          <w:tcPr>
            <w:tcW w:w="2140" w:type="dxa"/>
            <w:vAlign w:val="bottom"/>
          </w:tcPr>
          <w:p>
            <w:pPr>
              <w:ind w:left="180"/>
              <w:spacing w:after="0" w:line="215" w:lineRule="exact"/>
              <w:rPr>
                <w:sz w:val="20"/>
                <w:szCs w:val="20"/>
                <w:color w:val="auto"/>
              </w:rPr>
            </w:pPr>
            <w:r>
              <w:rPr>
                <w:rFonts w:ascii="Calibri" w:cs="Calibri" w:eastAsia="Calibri" w:hAnsi="Calibri"/>
                <w:sz w:val="18"/>
                <w:szCs w:val="18"/>
                <w:color w:val="auto"/>
              </w:rPr>
              <w:t>2030 - 2034</w:t>
            </w:r>
          </w:p>
        </w:tc>
        <w:tc>
          <w:tcPr>
            <w:tcW w:w="100" w:type="dxa"/>
            <w:vAlign w:val="bottom"/>
          </w:tcPr>
          <w:p>
            <w:pPr>
              <w:spacing w:after="0"/>
              <w:rPr>
                <w:sz w:val="18"/>
                <w:szCs w:val="18"/>
                <w:color w:val="auto"/>
              </w:rPr>
            </w:pPr>
          </w:p>
        </w:tc>
        <w:tc>
          <w:tcPr>
            <w:tcW w:w="700" w:type="dxa"/>
            <w:vAlign w:val="bottom"/>
          </w:tcPr>
          <w:p>
            <w:pPr>
              <w:jc w:val="right"/>
              <w:ind w:right="515"/>
              <w:spacing w:after="0" w:line="215" w:lineRule="exact"/>
              <w:rPr>
                <w:sz w:val="20"/>
                <w:szCs w:val="20"/>
                <w:color w:val="auto"/>
              </w:rPr>
            </w:pPr>
            <w:r>
              <w:rPr>
                <w:rFonts w:ascii="Calibri" w:cs="Calibri" w:eastAsia="Calibri" w:hAnsi="Calibri"/>
                <w:sz w:val="18"/>
                <w:szCs w:val="18"/>
                <w:color w:val="auto"/>
                <w:w w:val="87"/>
              </w:rPr>
              <w:t>$</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3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48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3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60" w:type="dxa"/>
            <w:vAlign w:val="bottom"/>
          </w:tcPr>
          <w:p>
            <w:pPr>
              <w:spacing w:after="0"/>
              <w:rPr>
                <w:sz w:val="18"/>
                <w:szCs w:val="18"/>
                <w:color w:val="auto"/>
              </w:rPr>
            </w:pPr>
          </w:p>
        </w:tc>
      </w:tr>
    </w:tbl>
    <w:p>
      <w:pPr>
        <w:spacing w:after="0" w:line="276"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Postretrement benefts are unfunded and impact Cabot’s cash fows as benefts become due, which is expected to be $3 million in fscal 2025. The Company expects to contribute $5 million to its pension plans in fscal 2025.</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Net periodic defned beneft pension and other postretrement beneft costs include the following components: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tcPr>
          <w:p>
            <w:pPr>
              <w:ind w:left="380"/>
              <w:spacing w:after="0"/>
              <w:rPr>
                <w:sz w:val="20"/>
                <w:szCs w:val="20"/>
                <w:color w:val="auto"/>
              </w:rPr>
            </w:pPr>
            <w:r>
              <w:rPr>
                <w:rFonts w:ascii="Calibri" w:cs="Calibri" w:eastAsia="Calibri" w:hAnsi="Calibri"/>
                <w:sz w:val="14"/>
                <w:szCs w:val="14"/>
                <w:b w:val="1"/>
                <w:bCs w:val="1"/>
                <w:color w:val="auto"/>
              </w:rPr>
              <w:t>Years Ended September 30</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ind w:left="140"/>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Calibri" w:cs="Calibri" w:eastAsia="Calibri" w:hAnsi="Calibri"/>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380"/>
              <w:spacing w:after="0"/>
              <w:rPr>
                <w:sz w:val="20"/>
                <w:szCs w:val="20"/>
                <w:color w:val="auto"/>
              </w:rPr>
            </w:pPr>
            <w:r>
              <w:rPr>
                <w:rFonts w:ascii="Calibri" w:cs="Calibri" w:eastAsia="Calibri" w:hAnsi="Calibri"/>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28"/>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08"/>
              <w:spacing w:after="0"/>
              <w:rPr>
                <w:sz w:val="20"/>
                <w:szCs w:val="20"/>
                <w:color w:val="auto"/>
              </w:rPr>
            </w:pPr>
            <w:r>
              <w:rPr>
                <w:rFonts w:ascii="Calibri" w:cs="Calibri" w:eastAsia="Calibri" w:hAnsi="Calibri"/>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08"/>
              <w:spacing w:after="0"/>
              <w:rPr>
                <w:sz w:val="20"/>
                <w:szCs w:val="20"/>
                <w:color w:val="auto"/>
              </w:rPr>
            </w:pPr>
            <w:r>
              <w:rPr>
                <w:rFonts w:ascii="Calibri" w:cs="Calibri" w:eastAsia="Calibri" w:hAnsi="Calibri"/>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line="169" w:lineRule="exact"/>
              <w:rPr>
                <w:sz w:val="20"/>
                <w:szCs w:val="20"/>
                <w:color w:val="auto"/>
              </w:rPr>
            </w:pPr>
            <w:r>
              <w:rPr>
                <w:rFonts w:ascii="Calibri" w:cs="Calibri" w:eastAsia="Calibri" w:hAnsi="Calibri"/>
                <w:sz w:val="14"/>
                <w:szCs w:val="14"/>
                <w:b w:val="1"/>
                <w:bCs w:val="1"/>
                <w:color w:val="auto"/>
              </w:rPr>
              <w:t>Pension Benefts</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spacing w:after="0" w:line="169" w:lineRule="exact"/>
              <w:rPr>
                <w:sz w:val="20"/>
                <w:szCs w:val="20"/>
                <w:color w:val="auto"/>
              </w:rPr>
            </w:pPr>
            <w:r>
              <w:rPr>
                <w:rFonts w:ascii="Calibri" w:cs="Calibri" w:eastAsia="Calibri" w:hAnsi="Calibri"/>
                <w:sz w:val="14"/>
                <w:szCs w:val="14"/>
                <w:b w:val="1"/>
                <w:bCs w:val="1"/>
                <w:color w:val="auto"/>
                <w:w w:val="91"/>
              </w:rPr>
              <w:t>Postretrement Benefts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U.S.</w:t>
            </w:r>
          </w:p>
        </w:tc>
        <w:tc>
          <w:tcPr>
            <w:tcW w:w="2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Foreign</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right"/>
              <w:ind w:right="580"/>
              <w:spacing w:after="0" w:line="169"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Service cost</w:t>
            </w:r>
          </w:p>
        </w:tc>
        <w:tc>
          <w:tcPr>
            <w:tcW w:w="380" w:type="dxa"/>
            <w:vAlign w:val="bottom"/>
            <w:shd w:val="clear" w:color="auto" w:fill="CFF0FC"/>
          </w:tcPr>
          <w:p>
            <w:pPr>
              <w:jc w:val="right"/>
              <w:ind w:right="228"/>
              <w:spacing w:after="0"/>
              <w:rPr>
                <w:sz w:val="20"/>
                <w:szCs w:val="20"/>
                <w:color w:val="auto"/>
              </w:rPr>
            </w:pPr>
            <w:r>
              <w:rPr>
                <w:rFonts w:ascii="Calibri" w:cs="Calibri" w:eastAsia="Calibri" w:hAnsi="Calibri"/>
                <w:sz w:val="14"/>
                <w:szCs w:val="14"/>
                <w:color w:val="auto"/>
                <w:w w:val="83"/>
              </w:rPr>
              <w:t>$</w:t>
            </w:r>
          </w:p>
        </w:tc>
        <w:tc>
          <w:tcPr>
            <w:tcW w:w="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480" w:type="dxa"/>
            <w:vAlign w:val="bottom"/>
            <w:gridSpan w:val="2"/>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3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62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360" w:type="dxa"/>
            <w:vAlign w:val="bottom"/>
            <w:gridSpan w:val="2"/>
            <w:shd w:val="clear" w:color="auto" w:fill="CFF0FC"/>
          </w:tcPr>
          <w:p>
            <w:pPr>
              <w:ind w:left="240"/>
              <w:spacing w:after="0"/>
              <w:rPr>
                <w:sz w:val="20"/>
                <w:szCs w:val="20"/>
                <w:color w:val="auto"/>
              </w:rPr>
            </w:pPr>
            <w:r>
              <w:rPr>
                <w:rFonts w:ascii="Calibri" w:cs="Calibri" w:eastAsia="Calibri" w:hAnsi="Calibri"/>
                <w:sz w:val="14"/>
                <w:szCs w:val="14"/>
                <w:color w:val="auto"/>
              </w:rPr>
              <w:t>$</w:t>
            </w:r>
          </w:p>
        </w:tc>
        <w:tc>
          <w:tcPr>
            <w:tcW w:w="3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6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38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220" w:type="dxa"/>
            <w:vAlign w:val="bottom"/>
            <w:gridSpan w:val="2"/>
            <w:shd w:val="clear" w:color="auto" w:fill="CFF0FC"/>
          </w:tcPr>
          <w:p>
            <w:pPr>
              <w:ind w:left="120"/>
              <w:spacing w:after="0"/>
              <w:rPr>
                <w:sz w:val="20"/>
                <w:szCs w:val="20"/>
                <w:color w:val="auto"/>
              </w:rPr>
            </w:pPr>
            <w:r>
              <w:rPr>
                <w:rFonts w:ascii="Calibri" w:cs="Calibri" w:eastAsia="Calibri" w:hAnsi="Calibri"/>
                <w:sz w:val="14"/>
                <w:szCs w:val="14"/>
                <w:color w:val="auto"/>
              </w:rPr>
              <w:t>$</w:t>
            </w:r>
          </w:p>
        </w:tc>
        <w:tc>
          <w:tcPr>
            <w:tcW w:w="6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5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6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w w:val="83"/>
              </w:rPr>
              <w:t>$</w:t>
            </w:r>
          </w:p>
        </w:tc>
        <w:tc>
          <w:tcPr>
            <w:tcW w:w="4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3"/>
        </w:trPr>
        <w:tc>
          <w:tcPr>
            <w:tcW w:w="2320" w:type="dxa"/>
            <w:vAlign w:val="bottom"/>
          </w:tcPr>
          <w:p>
            <w:pPr>
              <w:ind w:left="20"/>
              <w:spacing w:after="0"/>
              <w:rPr>
                <w:sz w:val="20"/>
                <w:szCs w:val="20"/>
                <w:color w:val="auto"/>
              </w:rPr>
            </w:pPr>
            <w:r>
              <w:rPr>
                <w:rFonts w:ascii="Calibri" w:cs="Calibri" w:eastAsia="Calibri" w:hAnsi="Calibri"/>
                <w:sz w:val="14"/>
                <w:szCs w:val="14"/>
                <w:color w:val="auto"/>
              </w:rPr>
              <w:t>Interest cost</w:t>
            </w:r>
          </w:p>
        </w:tc>
        <w:tc>
          <w:tcPr>
            <w:tcW w:w="3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Expected return on plan</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4"/>
                <w:szCs w:val="14"/>
                <w:color w:val="auto"/>
              </w:rPr>
              <w:t>assets</w:t>
            </w:r>
          </w:p>
        </w:tc>
        <w:tc>
          <w:tcPr>
            <w:tcW w:w="3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(9 )</w:t>
            </w:r>
          </w:p>
        </w:tc>
        <w:tc>
          <w:tcPr>
            <w:tcW w:w="1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(7 )</w:t>
            </w:r>
          </w:p>
        </w:tc>
        <w:tc>
          <w:tcPr>
            <w:tcW w:w="1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(6 )</w:t>
            </w: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3"/>
        </w:trPr>
        <w:tc>
          <w:tcPr>
            <w:tcW w:w="2320" w:type="dxa"/>
            <w:vAlign w:val="bottom"/>
          </w:tcPr>
          <w:p>
            <w:pPr>
              <w:ind w:left="20"/>
              <w:spacing w:after="0"/>
              <w:rPr>
                <w:sz w:val="20"/>
                <w:szCs w:val="20"/>
                <w:color w:val="auto"/>
              </w:rPr>
            </w:pPr>
            <w:r>
              <w:rPr>
                <w:rFonts w:ascii="Calibri" w:cs="Calibri" w:eastAsia="Calibri" w:hAnsi="Calibri"/>
                <w:sz w:val="14"/>
                <w:szCs w:val="14"/>
                <w:color w:val="auto"/>
              </w:rPr>
              <w:t>Amortzaton of net (gains) losses</w:t>
            </w:r>
          </w:p>
        </w:tc>
        <w:tc>
          <w:tcPr>
            <w:tcW w:w="3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(1 )</w:t>
            </w: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(1 )</w:t>
            </w:r>
          </w:p>
        </w:tc>
        <w:tc>
          <w:tcPr>
            <w:tcW w:w="24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Calibri" w:cs="Calibri" w:eastAsia="Calibri" w:hAnsi="Calibri"/>
                <w:sz w:val="14"/>
                <w:szCs w:val="14"/>
                <w:color w:val="auto"/>
              </w:rPr>
              <w:t>(1 )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(1 )</w:t>
            </w:r>
          </w:p>
        </w:tc>
        <w:tc>
          <w:tcPr>
            <w:tcW w:w="2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4"/>
        </w:trPr>
        <w:tc>
          <w:tcPr>
            <w:tcW w:w="2320" w:type="dxa"/>
            <w:vAlign w:val="bottom"/>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Setlements or</w:t>
            </w:r>
          </w:p>
        </w:tc>
        <w:tc>
          <w:tcPr>
            <w:tcW w:w="38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vMerge w:val="restart"/>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vMerge w:val="restart"/>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vMerge w:val="restart"/>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vMerge w:val="restart"/>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vMerge w:val="restart"/>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vMerge w:val="restart"/>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4"/>
                <w:szCs w:val="14"/>
                <w:color w:val="auto"/>
              </w:rPr>
              <w:t>(1 )</w:t>
            </w:r>
          </w:p>
        </w:tc>
        <w:tc>
          <w:tcPr>
            <w:tcW w:w="240" w:type="dxa"/>
            <w:vAlign w:val="bottom"/>
            <w:shd w:val="clear" w:color="auto" w:fill="CFF0FC"/>
          </w:tcPr>
          <w:p>
            <w:pPr>
              <w:spacing w:after="0"/>
              <w:rPr>
                <w:sz w:val="14"/>
                <w:szCs w:val="14"/>
                <w:color w:val="auto"/>
              </w:rPr>
            </w:pPr>
          </w:p>
        </w:tc>
        <w:tc>
          <w:tcPr>
            <w:tcW w:w="42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3"/>
        </w:trPr>
        <w:tc>
          <w:tcPr>
            <w:tcW w:w="2320" w:type="dxa"/>
            <w:vAlign w:val="bottom"/>
            <w:shd w:val="clear" w:color="auto" w:fill="CFF0FC"/>
          </w:tcPr>
          <w:p>
            <w:pPr>
              <w:ind w:left="120"/>
              <w:spacing w:after="0"/>
              <w:rPr>
                <w:sz w:val="20"/>
                <w:szCs w:val="20"/>
                <w:color w:val="auto"/>
              </w:rPr>
            </w:pPr>
            <w:r>
              <w:rPr>
                <w:rFonts w:ascii="Calibri" w:cs="Calibri" w:eastAsia="Calibri" w:hAnsi="Calibri"/>
                <w:sz w:val="14"/>
                <w:szCs w:val="14"/>
                <w:color w:val="auto"/>
              </w:rPr>
              <w:t>Curtailments (gains) cost</w:t>
            </w:r>
          </w:p>
        </w:tc>
        <w:tc>
          <w:tcPr>
            <w:tcW w:w="380" w:type="dxa"/>
            <w:vAlign w:val="bottom"/>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gridSpan w:val="2"/>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20" w:type="dxa"/>
            <w:vAlign w:val="bottom"/>
          </w:tcPr>
          <w:p>
            <w:pPr>
              <w:ind w:left="20"/>
              <w:spacing w:after="0"/>
              <w:rPr>
                <w:sz w:val="20"/>
                <w:szCs w:val="20"/>
                <w:color w:val="auto"/>
              </w:rPr>
            </w:pPr>
            <w:r>
              <w:rPr>
                <w:rFonts w:ascii="Calibri" w:cs="Calibri" w:eastAsia="Calibri" w:hAnsi="Calibri"/>
                <w:sz w:val="14"/>
                <w:szCs w:val="14"/>
                <w:color w:val="auto"/>
              </w:rPr>
              <w:t>Net periodic (beneft) cost</w:t>
            </w:r>
          </w:p>
        </w:tc>
        <w:tc>
          <w:tcPr>
            <w:tcW w:w="380" w:type="dxa"/>
            <w:vAlign w:val="bottom"/>
          </w:tcPr>
          <w:p>
            <w:pPr>
              <w:jc w:val="right"/>
              <w:ind w:right="228"/>
              <w:spacing w:after="0"/>
              <w:rPr>
                <w:sz w:val="20"/>
                <w:szCs w:val="20"/>
                <w:color w:val="auto"/>
              </w:rPr>
            </w:pPr>
            <w:r>
              <w:rPr>
                <w:rFonts w:ascii="Calibri" w:cs="Calibri" w:eastAsia="Calibri" w:hAnsi="Calibri"/>
                <w:sz w:val="14"/>
                <w:szCs w:val="14"/>
                <w:color w:val="auto"/>
                <w:w w:val="83"/>
              </w:rPr>
              <w:t>$</w:t>
            </w:r>
          </w:p>
        </w:tc>
        <w:tc>
          <w:tcPr>
            <w:tcW w:w="160" w:type="dxa"/>
            <w:vAlign w:val="bottom"/>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alibri" w:cs="Calibri" w:eastAsia="Calibri" w:hAnsi="Calibri"/>
                <w:sz w:val="14"/>
                <w:szCs w:val="14"/>
                <w:color w:val="auto"/>
                <w:w w:val="83"/>
              </w:rPr>
              <w:t>$</w:t>
            </w:r>
          </w:p>
        </w:tc>
        <w:tc>
          <w:tcPr>
            <w:tcW w:w="300" w:type="dxa"/>
            <w:vAlign w:val="bottom"/>
          </w:tcPr>
          <w:p>
            <w:pPr>
              <w:jc w:val="right"/>
              <w:spacing w:after="0"/>
              <w:rPr>
                <w:sz w:val="20"/>
                <w:szCs w:val="20"/>
                <w:color w:val="auto"/>
              </w:rPr>
            </w:pPr>
            <w:r>
              <w:rPr>
                <w:rFonts w:ascii="Calibri" w:cs="Calibri" w:eastAsia="Calibri" w:hAnsi="Calibri"/>
                <w:sz w:val="14"/>
                <w:szCs w:val="14"/>
                <w:color w:val="auto"/>
              </w:rPr>
              <w:t>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380" w:type="dxa"/>
            <w:vAlign w:val="bottom"/>
          </w:tcPr>
          <w:p>
            <w:pPr>
              <w:jc w:val="right"/>
              <w:ind w:right="208"/>
              <w:spacing w:after="0"/>
              <w:rPr>
                <w:sz w:val="20"/>
                <w:szCs w:val="20"/>
                <w:color w:val="auto"/>
              </w:rPr>
            </w:pPr>
            <w:r>
              <w:rPr>
                <w:rFonts w:ascii="Calibri" w:cs="Calibri" w:eastAsia="Calibri" w:hAnsi="Calibri"/>
                <w:sz w:val="14"/>
                <w:szCs w:val="14"/>
                <w:color w:val="auto"/>
              </w:rPr>
              <w:t>$</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4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Calibri" w:cs="Calibri" w:eastAsia="Calibri" w:hAnsi="Calibri"/>
                <w:sz w:val="14"/>
                <w:szCs w:val="14"/>
                <w:color w:val="auto"/>
              </w:rPr>
              <w:t>$</w:t>
            </w:r>
          </w:p>
        </w:tc>
        <w:tc>
          <w:tcPr>
            <w:tcW w:w="2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Calibri" w:cs="Calibri" w:eastAsia="Calibri" w:hAnsi="Calibri"/>
                <w:sz w:val="14"/>
                <w:szCs w:val="14"/>
                <w:color w:val="auto"/>
              </w:rPr>
              <w:t>$</w:t>
            </w:r>
          </w:p>
        </w:tc>
        <w:tc>
          <w:tcPr>
            <w:tcW w:w="4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Calibri" w:cs="Calibri" w:eastAsia="Calibri" w:hAnsi="Calibri"/>
                <w:sz w:val="14"/>
                <w:szCs w:val="14"/>
                <w:color w:val="auto"/>
              </w:rPr>
              <w:t>$</w:t>
            </w:r>
          </w:p>
        </w:tc>
        <w:tc>
          <w:tcPr>
            <w:tcW w:w="3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6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(1 )</w:t>
            </w:r>
          </w:p>
        </w:tc>
        <w:tc>
          <w:tcPr>
            <w:tcW w:w="240" w:type="dxa"/>
            <w:vAlign w:val="bottom"/>
          </w:tcPr>
          <w:p>
            <w:pPr>
              <w:jc w:val="right"/>
              <w:ind w:right="88"/>
              <w:spacing w:after="0"/>
              <w:rPr>
                <w:sz w:val="20"/>
                <w:szCs w:val="20"/>
                <w:color w:val="auto"/>
              </w:rPr>
            </w:pPr>
            <w:r>
              <w:rPr>
                <w:rFonts w:ascii="Calibri" w:cs="Calibri" w:eastAsia="Calibri" w:hAnsi="Calibri"/>
                <w:sz w:val="14"/>
                <w:szCs w:val="14"/>
                <w:color w:val="auto"/>
                <w:w w:val="83"/>
              </w:rPr>
              <w:t>$</w:t>
            </w:r>
          </w:p>
        </w:tc>
        <w:tc>
          <w:tcPr>
            <w:tcW w:w="32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-144780</wp:posOffset>
            </wp:positionV>
            <wp:extent cx="768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-144780</wp:posOffset>
            </wp:positionV>
            <wp:extent cx="768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-144780</wp:posOffset>
            </wp:positionV>
            <wp:extent cx="768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-144780</wp:posOffset>
            </wp:positionV>
            <wp:extent cx="774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-144780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-144780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-144780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-144780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-144780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-144780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3" w:name="page64"/>
    <w:bookmarkEnd w:id="63"/>
    <w:p>
      <w:pPr>
        <w:ind w:left="520"/>
        <w:spacing w:after="0"/>
        <w:rPr>
          <w:sz w:val="20"/>
          <w:szCs w:val="20"/>
          <w:color w:val="auto"/>
        </w:rPr>
      </w:pPr>
      <w:r>
        <w:rPr>
          <w:rFonts w:ascii="Calibri" w:cs="Calibri" w:eastAsia="Calibri" w:hAnsi="Calibri"/>
          <w:sz w:val="18"/>
          <w:szCs w:val="18"/>
          <w:color w:val="auto"/>
        </w:rPr>
        <w:t>Other changes in plan assets and beneft obligatons recognized in Other comprehensive income (loss)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tcPr>
          <w:p>
            <w:pPr>
              <w:ind w:left="380"/>
              <w:spacing w:after="0"/>
              <w:rPr>
                <w:sz w:val="20"/>
                <w:szCs w:val="20"/>
                <w:color w:val="auto"/>
              </w:rPr>
            </w:pPr>
            <w:r>
              <w:rPr>
                <w:rFonts w:ascii="Calibri" w:cs="Calibri" w:eastAsia="Calibri" w:hAnsi="Calibri"/>
                <w:sz w:val="14"/>
                <w:szCs w:val="14"/>
                <w:b w:val="1"/>
                <w:bCs w:val="1"/>
                <w:color w:val="auto"/>
              </w:rPr>
              <w:t>Years Ended September 30</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ind w:left="140"/>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Calibri" w:cs="Calibri" w:eastAsia="Calibri" w:hAnsi="Calibri"/>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380"/>
              <w:spacing w:after="0"/>
              <w:rPr>
                <w:sz w:val="20"/>
                <w:szCs w:val="20"/>
                <w:color w:val="auto"/>
              </w:rPr>
            </w:pPr>
            <w:r>
              <w:rPr>
                <w:rFonts w:ascii="Calibri" w:cs="Calibri" w:eastAsia="Calibri" w:hAnsi="Calibri"/>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28"/>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08"/>
              <w:spacing w:after="0"/>
              <w:rPr>
                <w:sz w:val="20"/>
                <w:szCs w:val="20"/>
                <w:color w:val="auto"/>
              </w:rPr>
            </w:pPr>
            <w:r>
              <w:rPr>
                <w:rFonts w:ascii="Calibri" w:cs="Calibri" w:eastAsia="Calibri" w:hAnsi="Calibri"/>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08"/>
              <w:spacing w:after="0"/>
              <w:rPr>
                <w:sz w:val="20"/>
                <w:szCs w:val="20"/>
                <w:color w:val="auto"/>
              </w:rPr>
            </w:pPr>
            <w:r>
              <w:rPr>
                <w:rFonts w:ascii="Calibri" w:cs="Calibri" w:eastAsia="Calibri" w:hAnsi="Calibri"/>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line="169" w:lineRule="exact"/>
              <w:rPr>
                <w:sz w:val="20"/>
                <w:szCs w:val="20"/>
                <w:color w:val="auto"/>
              </w:rPr>
            </w:pPr>
            <w:r>
              <w:rPr>
                <w:rFonts w:ascii="Calibri" w:cs="Calibri" w:eastAsia="Calibri" w:hAnsi="Calibri"/>
                <w:sz w:val="14"/>
                <w:szCs w:val="14"/>
                <w:b w:val="1"/>
                <w:bCs w:val="1"/>
                <w:color w:val="auto"/>
              </w:rPr>
              <w:t>Pension Benefts</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spacing w:after="0" w:line="169" w:lineRule="exact"/>
              <w:rPr>
                <w:sz w:val="20"/>
                <w:szCs w:val="20"/>
                <w:color w:val="auto"/>
              </w:rPr>
            </w:pPr>
            <w:r>
              <w:rPr>
                <w:rFonts w:ascii="Calibri" w:cs="Calibri" w:eastAsia="Calibri" w:hAnsi="Calibri"/>
                <w:sz w:val="14"/>
                <w:szCs w:val="14"/>
                <w:b w:val="1"/>
                <w:bCs w:val="1"/>
                <w:color w:val="auto"/>
                <w:w w:val="91"/>
              </w:rPr>
              <w:t>Postretrement Benefts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U.S.</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U.S.</w:t>
            </w:r>
          </w:p>
        </w:tc>
        <w:tc>
          <w:tcPr>
            <w:tcW w:w="2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Foreign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Foreign</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U.S.</w:t>
            </w: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ind w:left="40"/>
              <w:spacing w:after="0" w:line="169"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Net (gains) losses</w:t>
            </w:r>
          </w:p>
        </w:tc>
        <w:tc>
          <w:tcPr>
            <w:tcW w:w="380" w:type="dxa"/>
            <w:vAlign w:val="bottom"/>
            <w:shd w:val="clear" w:color="auto" w:fill="CFF0FC"/>
          </w:tcPr>
          <w:p>
            <w:pPr>
              <w:jc w:val="right"/>
              <w:ind w:right="228"/>
              <w:spacing w:after="0"/>
              <w:rPr>
                <w:sz w:val="20"/>
                <w:szCs w:val="20"/>
                <w:color w:val="auto"/>
              </w:rPr>
            </w:pPr>
            <w:r>
              <w:rPr>
                <w:rFonts w:ascii="Calibri" w:cs="Calibri" w:eastAsia="Calibri" w:hAnsi="Calibri"/>
                <w:sz w:val="14"/>
                <w:szCs w:val="14"/>
                <w:color w:val="auto"/>
                <w:w w:val="83"/>
              </w:rPr>
              <w:t>$</w:t>
            </w:r>
          </w:p>
        </w:tc>
        <w:tc>
          <w:tcPr>
            <w:tcW w:w="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480" w:type="dxa"/>
            <w:vAlign w:val="bottom"/>
            <w:gridSpan w:val="2"/>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3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62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360" w:type="dxa"/>
            <w:vAlign w:val="bottom"/>
            <w:gridSpan w:val="2"/>
            <w:shd w:val="clear" w:color="auto" w:fill="CFF0FC"/>
          </w:tcPr>
          <w:p>
            <w:pPr>
              <w:jc w:val="right"/>
              <w:ind w:right="20"/>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360" w:type="dxa"/>
            <w:vAlign w:val="bottom"/>
            <w:gridSpan w:val="2"/>
            <w:shd w:val="clear" w:color="auto" w:fill="CFF0FC"/>
          </w:tcPr>
          <w:p>
            <w:pPr>
              <w:ind w:left="240"/>
              <w:spacing w:after="0"/>
              <w:rPr>
                <w:sz w:val="20"/>
                <w:szCs w:val="20"/>
                <w:color w:val="auto"/>
              </w:rPr>
            </w:pPr>
            <w:r>
              <w:rPr>
                <w:rFonts w:ascii="Calibri" w:cs="Calibri" w:eastAsia="Calibri" w:hAnsi="Calibri"/>
                <w:sz w:val="14"/>
                <w:szCs w:val="14"/>
                <w:color w:val="auto"/>
              </w:rPr>
              <w:t>$</w:t>
            </w:r>
          </w:p>
        </w:tc>
        <w:tc>
          <w:tcPr>
            <w:tcW w:w="6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(2 )</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6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w:t>
            </w:r>
          </w:p>
        </w:tc>
        <w:tc>
          <w:tcPr>
            <w:tcW w:w="320" w:type="dxa"/>
            <w:vAlign w:val="bottom"/>
            <w:gridSpan w:val="2"/>
            <w:shd w:val="clear" w:color="auto" w:fill="CFF0FC"/>
          </w:tcPr>
          <w:p>
            <w:pPr>
              <w:ind w:left="220"/>
              <w:spacing w:after="0"/>
              <w:rPr>
                <w:sz w:val="20"/>
                <w:szCs w:val="20"/>
                <w:color w:val="auto"/>
              </w:rPr>
            </w:pPr>
            <w:r>
              <w:rPr>
                <w:rFonts w:ascii="Calibri" w:cs="Calibri" w:eastAsia="Calibri" w:hAnsi="Calibri"/>
                <w:sz w:val="14"/>
                <w:szCs w:val="14"/>
                <w:color w:val="auto"/>
              </w:rPr>
              <w:t>$</w:t>
            </w:r>
          </w:p>
        </w:tc>
        <w:tc>
          <w:tcPr>
            <w:tcW w:w="6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(1 )</w:t>
            </w:r>
          </w:p>
        </w:tc>
        <w:tc>
          <w:tcPr>
            <w:tcW w:w="2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50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(3 )</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6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(4 )</w:t>
            </w:r>
          </w:p>
        </w:tc>
        <w:tc>
          <w:tcPr>
            <w:tcW w:w="24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w w:val="83"/>
              </w:rPr>
              <w:t>$</w:t>
            </w:r>
          </w:p>
        </w:tc>
        <w:tc>
          <w:tcPr>
            <w:tcW w:w="4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(4 )</w:t>
            </w:r>
          </w:p>
        </w:tc>
        <w:tc>
          <w:tcPr>
            <w:tcW w:w="0" w:type="dxa"/>
            <w:vAlign w:val="bottom"/>
          </w:tcPr>
          <w:p>
            <w:pPr>
              <w:spacing w:after="0"/>
              <w:rPr>
                <w:sz w:val="1"/>
                <w:szCs w:val="1"/>
                <w:color w:val="auto"/>
              </w:rPr>
            </w:pPr>
          </w:p>
        </w:tc>
      </w:tr>
      <w:tr>
        <w:trPr>
          <w:trHeight w:val="173"/>
        </w:trPr>
        <w:tc>
          <w:tcPr>
            <w:tcW w:w="2320" w:type="dxa"/>
            <w:vAlign w:val="bottom"/>
          </w:tcPr>
          <w:p>
            <w:pPr>
              <w:ind w:left="20"/>
              <w:spacing w:after="0"/>
              <w:rPr>
                <w:sz w:val="20"/>
                <w:szCs w:val="20"/>
                <w:color w:val="auto"/>
              </w:rPr>
            </w:pPr>
            <w:r>
              <w:rPr>
                <w:rFonts w:ascii="Calibri" w:cs="Calibri" w:eastAsia="Calibri" w:hAnsi="Calibri"/>
                <w:sz w:val="14"/>
                <w:szCs w:val="14"/>
                <w:color w:val="auto"/>
              </w:rPr>
              <w:t>Prior service (credit) cost</w:t>
            </w:r>
          </w:p>
        </w:tc>
        <w:tc>
          <w:tcPr>
            <w:tcW w:w="3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(1 )</w:t>
            </w: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4"/>
        </w:trPr>
        <w:tc>
          <w:tcPr>
            <w:tcW w:w="2320" w:type="dxa"/>
            <w:vAlign w:val="bottom"/>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Amortzaton of prior</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shd w:val="clear" w:color="auto" w:fill="CFF0FC"/>
          </w:tcPr>
          <w:p>
            <w:pPr>
              <w:ind w:left="120"/>
              <w:spacing w:after="0"/>
              <w:rPr>
                <w:sz w:val="20"/>
                <w:szCs w:val="20"/>
                <w:color w:val="auto"/>
              </w:rPr>
            </w:pPr>
            <w:r>
              <w:rPr>
                <w:rFonts w:ascii="Calibri" w:cs="Calibri" w:eastAsia="Calibri" w:hAnsi="Calibri"/>
                <w:sz w:val="14"/>
                <w:szCs w:val="14"/>
                <w:color w:val="auto"/>
              </w:rPr>
              <w:t>unrecognized gains (losses)</w:t>
            </w: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(1 )</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3"/>
        </w:trPr>
        <w:tc>
          <w:tcPr>
            <w:tcW w:w="2320" w:type="dxa"/>
            <w:vAlign w:val="bottom"/>
          </w:tcPr>
          <w:p>
            <w:pPr>
              <w:ind w:left="20"/>
              <w:spacing w:after="0"/>
              <w:rPr>
                <w:sz w:val="20"/>
                <w:szCs w:val="20"/>
                <w:color w:val="auto"/>
              </w:rPr>
            </w:pPr>
            <w:r>
              <w:rPr>
                <w:rFonts w:ascii="Calibri" w:cs="Calibri" w:eastAsia="Calibri" w:hAnsi="Calibri"/>
                <w:sz w:val="14"/>
                <w:szCs w:val="14"/>
                <w:color w:val="auto"/>
              </w:rPr>
              <w:t>Loss on divestture</w:t>
            </w:r>
          </w:p>
        </w:tc>
        <w:tc>
          <w:tcPr>
            <w:tcW w:w="3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(2 )</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(Loss) gain on setlements</w:t>
            </w: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57"/>
        </w:trPr>
        <w:tc>
          <w:tcPr>
            <w:tcW w:w="2320" w:type="dxa"/>
            <w:vAlign w:val="bottom"/>
            <w:tcBorders>
              <w:top w:val="single" w:sz="8" w:color="CFF0FC"/>
            </w:tcBorders>
          </w:tcPr>
          <w:p>
            <w:pPr>
              <w:ind w:left="20"/>
              <w:spacing w:after="0" w:line="157" w:lineRule="exact"/>
              <w:rPr>
                <w:sz w:val="20"/>
                <w:szCs w:val="20"/>
                <w:color w:val="auto"/>
              </w:rPr>
            </w:pPr>
            <w:r>
              <w:rPr>
                <w:rFonts w:ascii="Calibri" w:cs="Calibri" w:eastAsia="Calibri" w:hAnsi="Calibri"/>
                <w:sz w:val="14"/>
                <w:szCs w:val="14"/>
                <w:color w:val="auto"/>
              </w:rPr>
              <w:t>Net changes recognized in</w:t>
            </w: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20" w:type="dxa"/>
            <w:vAlign w:val="bottom"/>
          </w:tcPr>
          <w:p>
            <w:pPr>
              <w:ind w:left="120"/>
              <w:spacing w:after="0" w:line="154" w:lineRule="exact"/>
              <w:rPr>
                <w:sz w:val="20"/>
                <w:szCs w:val="20"/>
                <w:color w:val="auto"/>
              </w:rPr>
            </w:pPr>
            <w:r>
              <w:rPr>
                <w:rFonts w:ascii="Calibri" w:cs="Calibri" w:eastAsia="Calibri" w:hAnsi="Calibri"/>
                <w:sz w:val="14"/>
                <w:szCs w:val="14"/>
                <w:color w:val="auto"/>
              </w:rPr>
              <w:t>Total other comprehensive</w:t>
            </w:r>
          </w:p>
        </w:tc>
        <w:tc>
          <w:tcPr>
            <w:tcW w:w="380" w:type="dxa"/>
            <w:vAlign w:val="bottom"/>
            <w:vMerge w:val="restart"/>
          </w:tcPr>
          <w:p>
            <w:pPr>
              <w:jc w:val="right"/>
              <w:ind w:right="228"/>
              <w:spacing w:after="0"/>
              <w:rPr>
                <w:sz w:val="20"/>
                <w:szCs w:val="20"/>
                <w:color w:val="auto"/>
              </w:rPr>
            </w:pPr>
            <w:r>
              <w:rPr>
                <w:rFonts w:ascii="Calibri" w:cs="Calibri" w:eastAsia="Calibri" w:hAnsi="Calibri"/>
                <w:sz w:val="14"/>
                <w:szCs w:val="14"/>
                <w:color w:val="auto"/>
                <w:w w:val="83"/>
              </w:rPr>
              <w:t>$</w:t>
            </w:r>
          </w:p>
        </w:tc>
        <w:tc>
          <w:tcPr>
            <w:tcW w:w="160" w:type="dxa"/>
            <w:vAlign w:val="bottom"/>
            <w:vMerge w:val="restart"/>
          </w:tcPr>
          <w:p>
            <w:pPr>
              <w:ind w:left="20"/>
              <w:spacing w:after="0"/>
              <w:rPr>
                <w:sz w:val="20"/>
                <w:szCs w:val="20"/>
                <w:color w:val="auto"/>
              </w:rPr>
            </w:pPr>
            <w:r>
              <w:rPr>
                <w:rFonts w:ascii="Calibri" w:cs="Calibri" w:eastAsia="Calibri" w:hAnsi="Calibri"/>
                <w:sz w:val="14"/>
                <w:szCs w:val="14"/>
                <w:color w:val="auto"/>
                <w:w w:val="94"/>
              </w:rPr>
              <w:t>—</w:t>
            </w:r>
          </w:p>
        </w:tc>
        <w:tc>
          <w:tcPr>
            <w:tcW w:w="480" w:type="dxa"/>
            <w:vAlign w:val="bottom"/>
            <w:gridSpan w:val="2"/>
            <w:vMerge w:val="restart"/>
          </w:tcPr>
          <w:p>
            <w:pPr>
              <w:jc w:val="right"/>
              <w:ind w:right="88"/>
              <w:spacing w:after="0"/>
              <w:rPr>
                <w:sz w:val="20"/>
                <w:szCs w:val="20"/>
                <w:color w:val="auto"/>
              </w:rPr>
            </w:pPr>
            <w:r>
              <w:rPr>
                <w:rFonts w:ascii="Calibri" w:cs="Calibri" w:eastAsia="Calibri" w:hAnsi="Calibri"/>
                <w:sz w:val="14"/>
                <w:szCs w:val="14"/>
                <w:color w:val="auto"/>
              </w:rPr>
              <w:t>$</w:t>
            </w:r>
          </w:p>
        </w:tc>
        <w:tc>
          <w:tcPr>
            <w:tcW w:w="300" w:type="dxa"/>
            <w:vAlign w:val="bottom"/>
            <w:vMerge w:val="restart"/>
          </w:tcPr>
          <w:p>
            <w:pPr>
              <w:jc w:val="right"/>
              <w:spacing w:after="0"/>
              <w:rPr>
                <w:sz w:val="20"/>
                <w:szCs w:val="20"/>
                <w:color w:val="auto"/>
              </w:rPr>
            </w:pPr>
            <w:r>
              <w:rPr>
                <w:rFonts w:ascii="Calibri" w:cs="Calibri" w:eastAsia="Calibri" w:hAnsi="Calibri"/>
                <w:sz w:val="14"/>
                <w:szCs w:val="14"/>
                <w:color w:val="auto"/>
              </w:rPr>
              <w:t>8</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Calibri" w:cs="Calibri" w:eastAsia="Calibri" w:hAnsi="Calibri"/>
                <w:sz w:val="14"/>
                <w:szCs w:val="14"/>
                <w:color w:val="auto"/>
                <w:w w:val="83"/>
              </w:rPr>
              <w:t>$</w:t>
            </w:r>
          </w:p>
        </w:tc>
        <w:tc>
          <w:tcPr>
            <w:tcW w:w="420" w:type="dxa"/>
            <w:vAlign w:val="bottom"/>
            <w:vMerge w:val="restart"/>
          </w:tcPr>
          <w:p>
            <w:pPr>
              <w:ind w:left="280"/>
              <w:spacing w:after="0"/>
              <w:rPr>
                <w:sz w:val="20"/>
                <w:szCs w:val="20"/>
                <w:color w:val="auto"/>
              </w:rPr>
            </w:pPr>
            <w:r>
              <w:rPr>
                <w:rFonts w:ascii="Calibri" w:cs="Calibri" w:eastAsia="Calibri" w:hAnsi="Calibri"/>
                <w:sz w:val="14"/>
                <w:szCs w:val="14"/>
                <w:color w:val="auto"/>
                <w:w w:val="94"/>
              </w:rPr>
              <w:t>—</w:t>
            </w:r>
          </w:p>
        </w:tc>
        <w:tc>
          <w:tcPr>
            <w:tcW w:w="620" w:type="dxa"/>
            <w:vAlign w:val="bottom"/>
            <w:gridSpan w:val="2"/>
            <w:vMerge w:val="restart"/>
          </w:tcPr>
          <w:p>
            <w:pPr>
              <w:jc w:val="right"/>
              <w:ind w:right="208"/>
              <w:spacing w:after="0"/>
              <w:rPr>
                <w:sz w:val="20"/>
                <w:szCs w:val="20"/>
                <w:color w:val="auto"/>
              </w:rPr>
            </w:pPr>
            <w:r>
              <w:rPr>
                <w:rFonts w:ascii="Calibri" w:cs="Calibri" w:eastAsia="Calibri" w:hAnsi="Calibri"/>
                <w:sz w:val="14"/>
                <w:szCs w:val="14"/>
                <w:color w:val="auto"/>
              </w:rPr>
              <w:t>$</w:t>
            </w:r>
          </w:p>
        </w:tc>
        <w:tc>
          <w:tcPr>
            <w:tcW w:w="160" w:type="dxa"/>
            <w:vAlign w:val="bottom"/>
            <w:vMerge w:val="restart"/>
          </w:tcPr>
          <w:p>
            <w:pPr>
              <w:jc w:val="right"/>
              <w:spacing w:after="0"/>
              <w:rPr>
                <w:sz w:val="20"/>
                <w:szCs w:val="20"/>
                <w:color w:val="auto"/>
              </w:rPr>
            </w:pPr>
            <w:r>
              <w:rPr>
                <w:rFonts w:ascii="Calibri" w:cs="Calibri" w:eastAsia="Calibri" w:hAnsi="Calibri"/>
                <w:sz w:val="14"/>
                <w:szCs w:val="14"/>
                <w:color w:val="auto"/>
              </w:rPr>
              <w:t>2</w:t>
            </w:r>
          </w:p>
        </w:tc>
        <w:tc>
          <w:tcPr>
            <w:tcW w:w="360" w:type="dxa"/>
            <w:vAlign w:val="bottom"/>
            <w:gridSpan w:val="2"/>
            <w:vMerge w:val="restart"/>
          </w:tcPr>
          <w:p>
            <w:pPr>
              <w:jc w:val="right"/>
              <w:ind w:right="20"/>
              <w:spacing w:after="0"/>
              <w:rPr>
                <w:sz w:val="20"/>
                <w:szCs w:val="20"/>
                <w:color w:val="auto"/>
              </w:rPr>
            </w:pPr>
            <w:r>
              <w:rPr>
                <w:rFonts w:ascii="Calibri" w:cs="Calibri" w:eastAsia="Calibri" w:hAnsi="Calibri"/>
                <w:sz w:val="14"/>
                <w:szCs w:val="14"/>
                <w:color w:val="auto"/>
              </w:rPr>
              <w:t>$</w:t>
            </w:r>
          </w:p>
        </w:tc>
        <w:tc>
          <w:tcPr>
            <w:tcW w:w="420" w:type="dxa"/>
            <w:vAlign w:val="bottom"/>
            <w:vMerge w:val="restart"/>
          </w:tcPr>
          <w:p>
            <w:pPr>
              <w:ind w:left="280"/>
              <w:spacing w:after="0"/>
              <w:rPr>
                <w:sz w:val="20"/>
                <w:szCs w:val="20"/>
                <w:color w:val="auto"/>
              </w:rPr>
            </w:pPr>
            <w:r>
              <w:rPr>
                <w:rFonts w:ascii="Calibri" w:cs="Calibri" w:eastAsia="Calibri" w:hAnsi="Calibri"/>
                <w:sz w:val="14"/>
                <w:szCs w:val="14"/>
                <w:color w:val="auto"/>
                <w:w w:val="94"/>
              </w:rPr>
              <w:t>—</w:t>
            </w:r>
          </w:p>
        </w:tc>
        <w:tc>
          <w:tcPr>
            <w:tcW w:w="360" w:type="dxa"/>
            <w:vAlign w:val="bottom"/>
            <w:gridSpan w:val="2"/>
            <w:vMerge w:val="restart"/>
          </w:tcPr>
          <w:p>
            <w:pPr>
              <w:ind w:left="240"/>
              <w:spacing w:after="0"/>
              <w:rPr>
                <w:sz w:val="20"/>
                <w:szCs w:val="20"/>
                <w:color w:val="auto"/>
              </w:rPr>
            </w:pPr>
            <w:r>
              <w:rPr>
                <w:rFonts w:ascii="Calibri" w:cs="Calibri" w:eastAsia="Calibri" w:hAnsi="Calibri"/>
                <w:sz w:val="14"/>
                <w:szCs w:val="14"/>
                <w:color w:val="auto"/>
              </w:rPr>
              <w:t>$</w:t>
            </w:r>
          </w:p>
        </w:tc>
        <w:tc>
          <w:tcPr>
            <w:tcW w:w="60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(5 )</w:t>
            </w:r>
          </w:p>
        </w:tc>
        <w:tc>
          <w:tcPr>
            <w:tcW w:w="100" w:type="dxa"/>
            <w:vAlign w:val="bottom"/>
            <w:vMerge w:val="restart"/>
          </w:tcPr>
          <w:p>
            <w:pPr>
              <w:jc w:val="right"/>
              <w:spacing w:after="0"/>
              <w:rPr>
                <w:sz w:val="20"/>
                <w:szCs w:val="20"/>
                <w:color w:val="auto"/>
              </w:rPr>
            </w:pPr>
            <w:r>
              <w:rPr>
                <w:rFonts w:ascii="Calibri" w:cs="Calibri" w:eastAsia="Calibri" w:hAnsi="Calibri"/>
                <w:sz w:val="14"/>
                <w:szCs w:val="14"/>
                <w:color w:val="auto"/>
                <w:w w:val="83"/>
              </w:rPr>
              <w:t>$</w:t>
            </w:r>
          </w:p>
        </w:tc>
        <w:tc>
          <w:tcPr>
            <w:tcW w:w="400" w:type="dxa"/>
            <w:vAlign w:val="bottom"/>
            <w:vMerge w:val="restart"/>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Calibri" w:cs="Calibri" w:eastAsia="Calibri" w:hAnsi="Calibri"/>
                <w:sz w:val="14"/>
                <w:szCs w:val="14"/>
                <w:color w:val="auto"/>
              </w:rPr>
              <w:t>$</w:t>
            </w:r>
          </w:p>
        </w:tc>
        <w:tc>
          <w:tcPr>
            <w:tcW w:w="280" w:type="dxa"/>
            <w:vAlign w:val="bottom"/>
            <w:vMerge w:val="restart"/>
          </w:tcPr>
          <w:p>
            <w:pPr>
              <w:jc w:val="right"/>
              <w:spacing w:after="0"/>
              <w:rPr>
                <w:sz w:val="20"/>
                <w:szCs w:val="20"/>
                <w:color w:val="auto"/>
              </w:rPr>
            </w:pPr>
            <w:r>
              <w:rPr>
                <w:rFonts w:ascii="Calibri" w:cs="Calibri" w:eastAsia="Calibri" w:hAnsi="Calibri"/>
                <w:sz w:val="14"/>
                <w:szCs w:val="14"/>
                <w:color w:val="auto"/>
              </w:rPr>
              <w:t>2</w:t>
            </w:r>
          </w:p>
        </w:tc>
        <w:tc>
          <w:tcPr>
            <w:tcW w:w="320" w:type="dxa"/>
            <w:vAlign w:val="bottom"/>
            <w:gridSpan w:val="2"/>
            <w:vMerge w:val="restart"/>
          </w:tcPr>
          <w:p>
            <w:pPr>
              <w:ind w:left="220"/>
              <w:spacing w:after="0"/>
              <w:rPr>
                <w:sz w:val="20"/>
                <w:szCs w:val="20"/>
                <w:color w:val="auto"/>
              </w:rPr>
            </w:pPr>
            <w:r>
              <w:rPr>
                <w:rFonts w:ascii="Calibri" w:cs="Calibri" w:eastAsia="Calibri" w:hAnsi="Calibri"/>
                <w:sz w:val="14"/>
                <w:szCs w:val="14"/>
                <w:color w:val="auto"/>
              </w:rPr>
              <w:t>$</w:t>
            </w:r>
          </w:p>
        </w:tc>
        <w:tc>
          <w:tcPr>
            <w:tcW w:w="62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vMerge w:val="restart"/>
          </w:tcPr>
          <w:p>
            <w:pPr>
              <w:ind w:left="20"/>
              <w:spacing w:after="0"/>
              <w:rPr>
                <w:sz w:val="20"/>
                <w:szCs w:val="20"/>
                <w:color w:val="auto"/>
              </w:rPr>
            </w:pPr>
            <w:r>
              <w:rPr>
                <w:rFonts w:ascii="Calibri" w:cs="Calibri" w:eastAsia="Calibri" w:hAnsi="Calibri"/>
                <w:sz w:val="14"/>
                <w:szCs w:val="14"/>
                <w:color w:val="auto"/>
              </w:rPr>
              <w:t>$</w:t>
            </w:r>
          </w:p>
        </w:tc>
        <w:tc>
          <w:tcPr>
            <w:tcW w:w="50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(3 )</w:t>
            </w:r>
          </w:p>
        </w:tc>
        <w:tc>
          <w:tcPr>
            <w:tcW w:w="12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(3 )</w:t>
            </w:r>
          </w:p>
        </w:tc>
        <w:tc>
          <w:tcPr>
            <w:tcW w:w="240" w:type="dxa"/>
            <w:vAlign w:val="bottom"/>
            <w:vMerge w:val="restart"/>
          </w:tcPr>
          <w:p>
            <w:pPr>
              <w:jc w:val="right"/>
              <w:ind w:right="88"/>
              <w:spacing w:after="0"/>
              <w:rPr>
                <w:sz w:val="20"/>
                <w:szCs w:val="20"/>
                <w:color w:val="auto"/>
              </w:rPr>
            </w:pPr>
            <w:r>
              <w:rPr>
                <w:rFonts w:ascii="Calibri" w:cs="Calibri" w:eastAsia="Calibri" w:hAnsi="Calibri"/>
                <w:sz w:val="14"/>
                <w:szCs w:val="14"/>
                <w:color w:val="auto"/>
                <w:w w:val="83"/>
              </w:rPr>
              <w:t>$</w:t>
            </w:r>
          </w:p>
        </w:tc>
        <w:tc>
          <w:tcPr>
            <w:tcW w:w="420" w:type="dxa"/>
            <w:vAlign w:val="bottom"/>
            <w:gridSpan w:val="2"/>
            <w:vMerge w:val="restart"/>
          </w:tcPr>
          <w:p>
            <w:pPr>
              <w:jc w:val="right"/>
              <w:ind w:right="60"/>
              <w:spacing w:after="0"/>
              <w:rPr>
                <w:sz w:val="20"/>
                <w:szCs w:val="20"/>
                <w:color w:val="auto"/>
              </w:rPr>
            </w:pPr>
            <w:r>
              <w:rPr>
                <w:rFonts w:ascii="Calibri" w:cs="Calibri" w:eastAsia="Calibri" w:hAnsi="Calibri"/>
                <w:sz w:val="14"/>
                <w:szCs w:val="14"/>
                <w:color w:val="auto"/>
              </w:rPr>
              <w:t>(4 )</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line="172" w:lineRule="exact"/>
              <w:rPr>
                <w:sz w:val="20"/>
                <w:szCs w:val="20"/>
                <w:color w:val="auto"/>
              </w:rPr>
            </w:pPr>
            <w:r>
              <w:rPr>
                <w:rFonts w:ascii="Calibri" w:cs="Calibri" w:eastAsia="Calibri" w:hAnsi="Calibri"/>
                <w:sz w:val="14"/>
                <w:szCs w:val="14"/>
                <w:color w:val="auto"/>
              </w:rPr>
              <w:t xml:space="preserve">(income) loss </w:t>
            </w:r>
            <w:r>
              <w:rPr>
                <w:rFonts w:ascii="Calibri" w:cs="Calibri" w:eastAsia="Calibri" w:hAnsi="Calibri"/>
                <w:sz w:val="18"/>
                <w:szCs w:val="18"/>
                <w:color w:val="auto"/>
                <w:vertAlign w:val="superscript"/>
              </w:rPr>
              <w:t>(1)</w:t>
            </w:r>
          </w:p>
        </w:tc>
        <w:tc>
          <w:tcPr>
            <w:tcW w:w="3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-342265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-342265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-342265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-342265</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-342265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-342265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-342265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-342265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-342265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-342265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-342265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40" w:right="560" w:hanging="532"/>
        <w:spacing w:after="0" w:line="201" w:lineRule="auto"/>
        <w:tabs>
          <w:tab w:leader="none" w:pos="540" w:val="left"/>
        </w:tabs>
        <w:numPr>
          <w:ilvl w:val="0"/>
          <w:numId w:val="18"/>
        </w:numPr>
        <w:rPr>
          <w:rFonts w:ascii="Calibri" w:cs="Calibri" w:eastAsia="Calibri" w:hAnsi="Calibri"/>
          <w:sz w:val="24"/>
          <w:szCs w:val="24"/>
          <w:color w:val="auto"/>
          <w:vertAlign w:val="superscript"/>
        </w:rPr>
      </w:pPr>
      <w:r>
        <w:rPr>
          <w:rFonts w:ascii="Calibri" w:cs="Calibri" w:eastAsia="Calibri" w:hAnsi="Calibri"/>
          <w:sz w:val="18"/>
          <w:szCs w:val="18"/>
          <w:color w:val="auto"/>
        </w:rPr>
        <w:t>The tax impact on pension and other postretrement beneft liability adjustments arising during the period was a tax beneft of $2 million, a tax provision of less than $1 million, and a tax beneft of $3 million for fscal 2024, 2023 and 2022,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1912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9" w:lineRule="exact"/>
        <w:rPr>
          <w:sz w:val="20"/>
          <w:szCs w:val="20"/>
          <w:color w:val="auto"/>
        </w:rPr>
      </w:pPr>
    </w:p>
    <w:p>
      <w:pPr>
        <w:ind w:left="280"/>
        <w:spacing w:after="0"/>
        <w:rPr>
          <w:sz w:val="20"/>
          <w:szCs w:val="20"/>
          <w:color w:val="auto"/>
        </w:rPr>
      </w:pPr>
      <w:r>
        <w:rPr>
          <w:rFonts w:ascii="Calibri" w:cs="Calibri" w:eastAsia="Calibri" w:hAnsi="Calibri"/>
          <w:sz w:val="18"/>
          <w:szCs w:val="18"/>
          <w:b w:val="1"/>
          <w:bCs w:val="1"/>
          <w:i w:val="1"/>
          <w:iCs w:val="1"/>
          <w:color w:val="auto"/>
        </w:rPr>
        <w:t>U.K. Plans Terminaton</w:t>
      </w:r>
    </w:p>
    <w:p>
      <w:pPr>
        <w:spacing w:after="0" w:line="82" w:lineRule="exact"/>
        <w:rPr>
          <w:sz w:val="20"/>
          <w:szCs w:val="20"/>
          <w:color w:val="auto"/>
        </w:rPr>
      </w:pPr>
    </w:p>
    <w:p>
      <w:pPr>
        <w:ind w:right="240" w:firstLine="281"/>
        <w:spacing w:after="0" w:line="235" w:lineRule="auto"/>
        <w:rPr>
          <w:sz w:val="20"/>
          <w:szCs w:val="20"/>
          <w:color w:val="auto"/>
        </w:rPr>
      </w:pPr>
      <w:r>
        <w:rPr>
          <w:rFonts w:ascii="Calibri" w:cs="Calibri" w:eastAsia="Calibri" w:hAnsi="Calibri"/>
          <w:sz w:val="18"/>
          <w:szCs w:val="18"/>
          <w:color w:val="auto"/>
        </w:rPr>
        <w:t>In fscal 2023, the Company commenced the plan terminaton process for the Cabot Carbon Limited Pension Plan and Carbon Plastcs Pension Plan and expects to complete the transacton in fscal 2025.</w:t>
      </w:r>
    </w:p>
    <w:p>
      <w:pPr>
        <w:spacing w:after="0" w:line="78"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i w:val="1"/>
          <w:iCs w:val="1"/>
          <w:color w:val="auto"/>
        </w:rPr>
        <w:t>Plan Assets</w:t>
      </w:r>
    </w:p>
    <w:p>
      <w:pPr>
        <w:spacing w:after="0" w:line="82"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The Company’s foreign defned beneft pension plans weighted-average asset allocatons at September 30, 2024 and 2023 by asset category, are as follows:</w:t>
      </w:r>
    </w:p>
    <w:p>
      <w:pPr>
        <w:spacing w:after="0" w:line="117" w:lineRule="exact"/>
        <w:rPr>
          <w:sz w:val="20"/>
          <w:szCs w:val="20"/>
          <w:color w:val="auto"/>
        </w:rPr>
      </w:pPr>
    </w:p>
    <w:p>
      <w:pPr>
        <w:ind w:left="7160"/>
        <w:spacing w:after="0"/>
        <w:rPr>
          <w:sz w:val="20"/>
          <w:szCs w:val="20"/>
          <w:color w:val="auto"/>
        </w:rPr>
      </w:pPr>
      <w:r>
        <w:rPr>
          <w:rFonts w:ascii="Calibri" w:cs="Calibri" w:eastAsia="Calibri" w:hAnsi="Calibri"/>
          <w:sz w:val="14"/>
          <w:szCs w:val="14"/>
          <w:b w:val="1"/>
          <w:bCs w:val="1"/>
          <w:color w:val="auto"/>
        </w:rPr>
        <w:t>September 30</w:t>
      </w:r>
    </w:p>
    <w:tbl>
      <w:tblPr>
        <w:tblLayout w:type="fixed"/>
        <w:tblInd w:w="20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Calibri" w:cs="Calibri" w:eastAsia="Calibri" w:hAnsi="Calibri"/>
                <w:sz w:val="14"/>
                <w:szCs w:val="14"/>
                <w:b w:val="1"/>
                <w:bCs w:val="1"/>
                <w:color w:val="auto"/>
              </w:rPr>
              <w:t>2023</w:t>
            </w:r>
          </w:p>
        </w:tc>
        <w:tc>
          <w:tcPr>
            <w:tcW w:w="140" w:type="dxa"/>
            <w:vAlign w:val="bottom"/>
          </w:tcPr>
          <w:p>
            <w:pPr>
              <w:spacing w:after="0"/>
              <w:rPr>
                <w:sz w:val="16"/>
                <w:szCs w:val="16"/>
                <w:color w:val="auto"/>
              </w:rPr>
            </w:pPr>
          </w:p>
        </w:tc>
      </w:tr>
      <w:tr>
        <w:trPr>
          <w:trHeight w:val="211"/>
        </w:trPr>
        <w:tc>
          <w:tcPr>
            <w:tcW w:w="5000" w:type="dxa"/>
            <w:vAlign w:val="bottom"/>
            <w:gridSpan w:val="2"/>
          </w:tcPr>
          <w:p>
            <w:pPr>
              <w:spacing w:after="0" w:line="211" w:lineRule="exact"/>
              <w:rPr>
                <w:sz w:val="20"/>
                <w:szCs w:val="20"/>
                <w:color w:val="auto"/>
              </w:rPr>
            </w:pPr>
            <w:r>
              <w:rPr>
                <w:rFonts w:ascii="Calibri" w:cs="Calibri" w:eastAsia="Calibri" w:hAnsi="Calibri"/>
                <w:sz w:val="18"/>
                <w:szCs w:val="18"/>
                <w:color w:val="auto"/>
              </w:rPr>
              <w:t>Equity securites</w:t>
            </w:r>
          </w:p>
        </w:tc>
        <w:tc>
          <w:tcPr>
            <w:tcW w:w="660" w:type="dxa"/>
            <w:vAlign w:val="bottom"/>
            <w:gridSpan w:val="2"/>
          </w:tcPr>
          <w:p>
            <w:pPr>
              <w:jc w:val="right"/>
              <w:ind w:right="80"/>
              <w:spacing w:after="0" w:line="211" w:lineRule="exact"/>
              <w:rPr>
                <w:sz w:val="20"/>
                <w:szCs w:val="20"/>
                <w:color w:val="auto"/>
              </w:rPr>
            </w:pPr>
            <w:r>
              <w:rPr>
                <w:rFonts w:ascii="Calibri" w:cs="Calibri" w:eastAsia="Calibri" w:hAnsi="Calibri"/>
                <w:sz w:val="18"/>
                <w:szCs w:val="18"/>
                <w:color w:val="auto"/>
              </w:rPr>
              <w:t>19 %</w:t>
            </w:r>
          </w:p>
        </w:tc>
        <w:tc>
          <w:tcPr>
            <w:tcW w:w="1580" w:type="dxa"/>
            <w:vAlign w:val="bottom"/>
            <w:gridSpan w:val="2"/>
          </w:tcPr>
          <w:p>
            <w:pPr>
              <w:jc w:val="right"/>
              <w:spacing w:after="0" w:line="211" w:lineRule="exact"/>
              <w:rPr>
                <w:sz w:val="20"/>
                <w:szCs w:val="20"/>
                <w:color w:val="auto"/>
              </w:rPr>
            </w:pPr>
            <w:r>
              <w:rPr>
                <w:rFonts w:ascii="Calibri" w:cs="Calibri" w:eastAsia="Calibri" w:hAnsi="Calibri"/>
                <w:sz w:val="18"/>
                <w:szCs w:val="18"/>
                <w:color w:val="auto"/>
              </w:rPr>
              <w:t>19 %</w:t>
            </w:r>
          </w:p>
        </w:tc>
      </w:tr>
      <w:tr>
        <w:trPr>
          <w:trHeight w:val="215"/>
        </w:trPr>
        <w:tc>
          <w:tcPr>
            <w:tcW w:w="5000" w:type="dxa"/>
            <w:vAlign w:val="bottom"/>
            <w:gridSpan w:val="2"/>
          </w:tcPr>
          <w:p>
            <w:pPr>
              <w:spacing w:after="0" w:line="215" w:lineRule="exact"/>
              <w:rPr>
                <w:sz w:val="20"/>
                <w:szCs w:val="20"/>
                <w:color w:val="auto"/>
              </w:rPr>
            </w:pPr>
            <w:r>
              <w:rPr>
                <w:rFonts w:ascii="Calibri" w:cs="Calibri" w:eastAsia="Calibri" w:hAnsi="Calibri"/>
                <w:sz w:val="18"/>
                <w:szCs w:val="18"/>
                <w:color w:val="auto"/>
              </w:rPr>
              <w:t>Debt securites</w:t>
            </w:r>
          </w:p>
        </w:tc>
        <w:tc>
          <w:tcPr>
            <w:tcW w:w="6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33 %</w:t>
            </w:r>
          </w:p>
        </w:tc>
        <w:tc>
          <w:tcPr>
            <w:tcW w:w="1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31 %</w:t>
            </w:r>
          </w:p>
        </w:tc>
      </w:tr>
      <w:tr>
        <w:trPr>
          <w:trHeight w:val="215"/>
        </w:trPr>
        <w:tc>
          <w:tcPr>
            <w:tcW w:w="5000" w:type="dxa"/>
            <w:vAlign w:val="bottom"/>
            <w:gridSpan w:val="2"/>
          </w:tcPr>
          <w:p>
            <w:pPr>
              <w:spacing w:after="0" w:line="215" w:lineRule="exact"/>
              <w:rPr>
                <w:sz w:val="20"/>
                <w:szCs w:val="20"/>
                <w:color w:val="auto"/>
              </w:rPr>
            </w:pPr>
            <w:r>
              <w:rPr>
                <w:rFonts w:ascii="Calibri" w:cs="Calibri" w:eastAsia="Calibri" w:hAnsi="Calibri"/>
                <w:sz w:val="18"/>
                <w:szCs w:val="18"/>
                <w:color w:val="auto"/>
              </w:rPr>
              <w:t>Real estate</w:t>
            </w:r>
          </w:p>
        </w:tc>
        <w:tc>
          <w:tcPr>
            <w:tcW w:w="6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11 %</w:t>
            </w:r>
          </w:p>
        </w:tc>
        <w:tc>
          <w:tcPr>
            <w:tcW w:w="1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10 %</w:t>
            </w:r>
          </w:p>
        </w:tc>
      </w:tr>
      <w:tr>
        <w:trPr>
          <w:trHeight w:val="217"/>
        </w:trPr>
        <w:tc>
          <w:tcPr>
            <w:tcW w:w="3960" w:type="dxa"/>
            <w:vAlign w:val="bottom"/>
          </w:tcPr>
          <w:p>
            <w:pPr>
              <w:spacing w:after="0" w:line="215" w:lineRule="exact"/>
              <w:rPr>
                <w:sz w:val="20"/>
                <w:szCs w:val="20"/>
                <w:color w:val="auto"/>
              </w:rPr>
            </w:pPr>
            <w:r>
              <w:rPr>
                <w:rFonts w:ascii="Calibri" w:cs="Calibri" w:eastAsia="Calibri" w:hAnsi="Calibri"/>
                <w:sz w:val="18"/>
                <w:szCs w:val="18"/>
                <w:color w:val="auto"/>
              </w:rPr>
              <w:t>Cash and other securites</w:t>
            </w:r>
          </w:p>
        </w:tc>
        <w:tc>
          <w:tcPr>
            <w:tcW w:w="1040" w:type="dxa"/>
            <w:vAlign w:val="bottom"/>
          </w:tcPr>
          <w:p>
            <w:pPr>
              <w:spacing w:after="0"/>
              <w:rPr>
                <w:sz w:val="18"/>
                <w:szCs w:val="18"/>
                <w:color w:val="auto"/>
              </w:rPr>
            </w:pPr>
          </w:p>
        </w:tc>
        <w:tc>
          <w:tcPr>
            <w:tcW w:w="6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37 %</w:t>
            </w:r>
          </w:p>
        </w:tc>
        <w:tc>
          <w:tcPr>
            <w:tcW w:w="1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40 %</w:t>
            </w:r>
          </w:p>
        </w:tc>
      </w:tr>
      <w:tr>
        <w:trPr>
          <w:trHeight w:val="20"/>
        </w:trPr>
        <w:tc>
          <w:tcPr>
            <w:tcW w:w="3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2"/>
        </w:trPr>
        <w:tc>
          <w:tcPr>
            <w:tcW w:w="3960" w:type="dxa"/>
            <w:vAlign w:val="bottom"/>
          </w:tcPr>
          <w:p>
            <w:pPr>
              <w:ind w:left="180"/>
              <w:spacing w:after="0" w:line="212" w:lineRule="exact"/>
              <w:rPr>
                <w:sz w:val="20"/>
                <w:szCs w:val="20"/>
                <w:color w:val="auto"/>
              </w:rPr>
            </w:pPr>
            <w:r>
              <w:rPr>
                <w:rFonts w:ascii="Calibri" w:cs="Calibri" w:eastAsia="Calibri" w:hAnsi="Calibri"/>
                <w:sz w:val="18"/>
                <w:szCs w:val="18"/>
                <w:color w:val="auto"/>
              </w:rPr>
              <w:t>Total</w:t>
            </w:r>
          </w:p>
        </w:tc>
        <w:tc>
          <w:tcPr>
            <w:tcW w:w="1040" w:type="dxa"/>
            <w:vAlign w:val="bottom"/>
          </w:tcPr>
          <w:p>
            <w:pPr>
              <w:spacing w:after="0"/>
              <w:rPr>
                <w:sz w:val="18"/>
                <w:szCs w:val="18"/>
                <w:color w:val="auto"/>
              </w:rPr>
            </w:pPr>
          </w:p>
        </w:tc>
        <w:tc>
          <w:tcPr>
            <w:tcW w:w="660" w:type="dxa"/>
            <w:vAlign w:val="bottom"/>
            <w:gridSpan w:val="2"/>
          </w:tcPr>
          <w:p>
            <w:pPr>
              <w:jc w:val="right"/>
              <w:ind w:right="80"/>
              <w:spacing w:after="0" w:line="212" w:lineRule="exact"/>
              <w:rPr>
                <w:sz w:val="20"/>
                <w:szCs w:val="20"/>
                <w:color w:val="auto"/>
              </w:rPr>
            </w:pPr>
            <w:r>
              <w:rPr>
                <w:rFonts w:ascii="Calibri" w:cs="Calibri" w:eastAsia="Calibri" w:hAnsi="Calibri"/>
                <w:sz w:val="18"/>
                <w:szCs w:val="18"/>
                <w:color w:val="auto"/>
              </w:rPr>
              <w:t>100 %</w:t>
            </w:r>
          </w:p>
        </w:tc>
        <w:tc>
          <w:tcPr>
            <w:tcW w:w="1580" w:type="dxa"/>
            <w:vAlign w:val="bottom"/>
            <w:gridSpan w:val="2"/>
          </w:tcPr>
          <w:p>
            <w:pPr>
              <w:jc w:val="right"/>
              <w:spacing w:after="0" w:line="212" w:lineRule="exact"/>
              <w:rPr>
                <w:sz w:val="20"/>
                <w:szCs w:val="20"/>
                <w:color w:val="auto"/>
              </w:rPr>
            </w:pPr>
            <w:r>
              <w:rPr>
                <w:rFonts w:ascii="Calibri" w:cs="Calibri" w:eastAsia="Calibri" w:hAnsi="Calibri"/>
                <w:sz w:val="18"/>
                <w:szCs w:val="18"/>
                <w:color w:val="auto"/>
              </w:rPr>
              <w:t>100 %</w:t>
            </w:r>
          </w:p>
        </w:tc>
      </w:tr>
      <w:tr>
        <w:trPr>
          <w:trHeight w:val="20"/>
        </w:trPr>
        <w:tc>
          <w:tcPr>
            <w:tcW w:w="3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-719455</wp:posOffset>
            </wp:positionV>
            <wp:extent cx="456057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-445135</wp:posOffset>
            </wp:positionV>
            <wp:extent cx="456057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-161925</wp:posOffset>
            </wp:positionV>
            <wp:extent cx="4560570" cy="162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560570" cy="162560"/>
                    </a:xfrm>
                    <a:prstGeom prst="rect">
                      <a:avLst/>
                    </a:prstGeom>
                    <a:noFill/>
                  </pic:spPr>
                </pic:pic>
              </a:graphicData>
            </a:graphic>
          </wp:anchor>
        </w:drawing>
      </w:r>
    </w:p>
    <w:p>
      <w:pPr>
        <w:spacing w:after="0" w:line="3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To develop the expected long-term rate of return on plan assets assumpton, the Company used a capital asset pricing model. The model considers the current level of expected returns on risk-free investments comprised of government bonds, the historical level of the risk premium associated with the other asset classes in which the portolio is invested and the expectatons for future returns for each asset class. The expected return for each asset class was then weighted based on the target asset allocaton to develop the expected long-term rate of return for each plan.</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Cabot’s investment strategy for each of its foreign defned beneft plans is generally based on a set of investment objectves and policies that cover tme horizons and risk tolerance levels consistent with plan liabilites. Periodic studies are performed to determine the asset mix that will meet pension obligatons at a reasonable cost to the Company. The assets of the defned beneft plans are comprised principally of investments in equity and high-quality fxed income securites, which are broadly diversifed across the capitalizaton and style spectrum and are managed using both actve and passive strategies. The weighted average target asset allocaton for the foreign plans is 29% in equity, 47% in fxed income, 18% in real estate and 6% in cash and other securites. The actual weighted average asset allocatons are temporarily changed as a result of the insurance contracts with Cabot Carbon Limited Pension Plan and Carbon Plastcs Pension Plan purchased with plan assets in antcipaton of the setlement discussed above.</w:t>
      </w:r>
    </w:p>
    <w:p>
      <w:pPr>
        <w:spacing w:after="0" w:line="87"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For pension plan assets classifed as Level 1 measurements (measured using quoted prices in actve markets), total fair value is either the price of the most recent trade at the tme of the market close or the ofcial close price, as defned by the exchange on which the asset is most actvely traded on the last trading day of the period, multplied by the number of units held without consideraton of transacton costs.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For pension plan assets classifed as Level 2 measurements, where the security is frequently traded in less actve markets, fair value is based on the closing price at the end of the period; where the security is less frequently traded, fair value is based on the price a dealer would pay for the security or similar securites, adjusted for any terms specifc to that asset or liability. Market inputs are obtained from third-party vendors of market data and subjected to tolerance/quality checks.</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4" w:name="page65"/>
    <w:bookmarkEnd w:id="64"/>
    <w:p>
      <w:pPr>
        <w:ind w:left="520"/>
        <w:spacing w:after="0"/>
        <w:rPr>
          <w:sz w:val="20"/>
          <w:szCs w:val="20"/>
          <w:color w:val="auto"/>
        </w:rPr>
      </w:pPr>
      <w:r>
        <w:rPr>
          <w:rFonts w:ascii="Calibri" w:cs="Calibri" w:eastAsia="Calibri" w:hAnsi="Calibri"/>
          <w:sz w:val="18"/>
          <w:szCs w:val="18"/>
          <w:color w:val="auto"/>
        </w:rPr>
        <w:t>The fair value of the Company’s pension plan assets at September 30, 2024 and 2023 by asset category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48"/>
              <w:spacing w:after="0"/>
              <w:rPr>
                <w:sz w:val="20"/>
                <w:szCs w:val="20"/>
                <w:color w:val="auto"/>
              </w:rPr>
            </w:pPr>
            <w:r>
              <w:rPr>
                <w:rFonts w:ascii="Calibri" w:cs="Calibri" w:eastAsia="Calibri" w:hAnsi="Calibri"/>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Calibri" w:cs="Calibri" w:eastAsia="Calibri" w:hAnsi="Calibri"/>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4700" w:type="dxa"/>
            <w:vAlign w:val="bottom"/>
          </w:tcPr>
          <w:p>
            <w:pPr>
              <w:spacing w:after="0"/>
              <w:rPr>
                <w:sz w:val="13"/>
                <w:szCs w:val="13"/>
                <w:color w:val="auto"/>
              </w:rPr>
            </w:pPr>
          </w:p>
        </w:tc>
        <w:tc>
          <w:tcPr>
            <w:tcW w:w="900" w:type="dxa"/>
            <w:vAlign w:val="bottom"/>
            <w:gridSpan w:val="2"/>
          </w:tcPr>
          <w:p>
            <w:pPr>
              <w:jc w:val="center"/>
              <w:spacing w:after="0" w:line="160" w:lineRule="exact"/>
              <w:rPr>
                <w:sz w:val="20"/>
                <w:szCs w:val="20"/>
                <w:color w:val="auto"/>
              </w:rPr>
            </w:pPr>
            <w:r>
              <w:rPr>
                <w:rFonts w:ascii="Calibri" w:cs="Calibri" w:eastAsia="Calibri" w:hAnsi="Calibri"/>
                <w:sz w:val="14"/>
                <w:szCs w:val="14"/>
                <w:b w:val="1"/>
                <w:bCs w:val="1"/>
                <w:color w:val="auto"/>
              </w:rPr>
              <w:t>Quoted Prices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spacing w:after="0" w:line="160" w:lineRule="exact"/>
              <w:rPr>
                <w:sz w:val="20"/>
                <w:szCs w:val="20"/>
                <w:color w:val="auto"/>
              </w:rPr>
            </w:pPr>
            <w:r>
              <w:rPr>
                <w:rFonts w:ascii="Calibri" w:cs="Calibri" w:eastAsia="Calibri" w:hAnsi="Calibri"/>
                <w:sz w:val="14"/>
                <w:szCs w:val="14"/>
                <w:b w:val="1"/>
                <w:bCs w:val="1"/>
                <w:color w:val="auto"/>
              </w:rPr>
              <w:t>Quoted Prices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4"/>
              <w:spacing w:after="0"/>
              <w:rPr>
                <w:sz w:val="20"/>
                <w:szCs w:val="20"/>
                <w:color w:val="auto"/>
              </w:rPr>
            </w:pPr>
            <w:r>
              <w:rPr>
                <w:rFonts w:ascii="Calibri" w:cs="Calibri" w:eastAsia="Calibri" w:hAnsi="Calibri"/>
                <w:sz w:val="14"/>
                <w:szCs w:val="14"/>
                <w:b w:val="1"/>
                <w:bCs w:val="1"/>
                <w:color w:val="auto"/>
              </w:rPr>
              <w:t>in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ind w:left="108"/>
              <w:spacing w:after="0"/>
              <w:rPr>
                <w:sz w:val="20"/>
                <w:szCs w:val="20"/>
                <w:color w:val="auto"/>
              </w:rPr>
            </w:pPr>
            <w:r>
              <w:rPr>
                <w:rFonts w:ascii="Calibri" w:cs="Calibri" w:eastAsia="Calibri" w:hAnsi="Calibri"/>
                <w:sz w:val="14"/>
                <w:szCs w:val="14"/>
                <w:b w:val="1"/>
                <w:bCs w:val="1"/>
                <w:color w:val="auto"/>
                <w:w w:val="90"/>
              </w:rPr>
              <w:t>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94"/>
              <w:spacing w:after="0"/>
              <w:rPr>
                <w:sz w:val="20"/>
                <w:szCs w:val="20"/>
                <w:color w:val="auto"/>
              </w:rPr>
            </w:pPr>
            <w:r>
              <w:rPr>
                <w:rFonts w:ascii="Calibri" w:cs="Calibri" w:eastAsia="Calibri" w:hAnsi="Calibri"/>
                <w:sz w:val="14"/>
                <w:szCs w:val="14"/>
                <w:b w:val="1"/>
                <w:bCs w:val="1"/>
                <w:color w:val="auto"/>
              </w:rPr>
              <w:t>Actve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Actve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4"/>
              <w:spacing w:after="0"/>
              <w:rPr>
                <w:sz w:val="20"/>
                <w:szCs w:val="20"/>
                <w:color w:val="auto"/>
              </w:rPr>
            </w:pPr>
            <w:r>
              <w:rPr>
                <w:rFonts w:ascii="Calibri" w:cs="Calibri" w:eastAsia="Calibri" w:hAnsi="Calibri"/>
                <w:sz w:val="14"/>
                <w:szCs w:val="14"/>
                <w:b w:val="1"/>
                <w:bCs w:val="1"/>
                <w:color w:val="auto"/>
              </w:rPr>
              <w:t>Markets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Calibri" w:cs="Calibri" w:eastAsia="Calibri" w:hAnsi="Calibri"/>
                <w:sz w:val="14"/>
                <w:szCs w:val="14"/>
                <w:b w:val="1"/>
                <w:bCs w:val="1"/>
                <w:color w:val="auto"/>
              </w:rPr>
              <w:t>Signifcant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Markets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3"/>
              <w:spacing w:after="0"/>
              <w:rPr>
                <w:sz w:val="20"/>
                <w:szCs w:val="20"/>
                <w:color w:val="auto"/>
              </w:rPr>
            </w:pPr>
            <w:r>
              <w:rPr>
                <w:rFonts w:ascii="Calibri" w:cs="Calibri" w:eastAsia="Calibri" w:hAnsi="Calibri"/>
                <w:sz w:val="14"/>
                <w:szCs w:val="14"/>
                <w:b w:val="1"/>
                <w:bCs w:val="1"/>
                <w:color w:val="auto"/>
              </w:rPr>
              <w:t>Signifcant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for Identcal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b w:val="1"/>
                <w:bCs w:val="1"/>
                <w:color w:val="auto"/>
              </w:rPr>
              <w:t>Observable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for Identcal</w:t>
            </w:r>
          </w:p>
        </w:tc>
        <w:tc>
          <w:tcPr>
            <w:tcW w:w="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Observable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4"/>
              <w:spacing w:after="0"/>
              <w:rPr>
                <w:sz w:val="20"/>
                <w:szCs w:val="20"/>
                <w:color w:val="auto"/>
              </w:rPr>
            </w:pPr>
            <w:r>
              <w:rPr>
                <w:rFonts w:ascii="Calibri" w:cs="Calibri" w:eastAsia="Calibri" w:hAnsi="Calibri"/>
                <w:sz w:val="14"/>
                <w:szCs w:val="14"/>
                <w:b w:val="1"/>
                <w:bCs w:val="1"/>
                <w:color w:val="auto"/>
              </w:rPr>
              <w:t>Assets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Calibri" w:cs="Calibri" w:eastAsia="Calibri" w:hAnsi="Calibri"/>
                <w:sz w:val="14"/>
                <w:szCs w:val="14"/>
                <w:b w:val="1"/>
                <w:bCs w:val="1"/>
                <w:color w:val="auto"/>
              </w:rPr>
              <w:t>Inputs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3"/>
              <w:spacing w:after="0"/>
              <w:rPr>
                <w:sz w:val="20"/>
                <w:szCs w:val="20"/>
                <w:color w:val="auto"/>
              </w:rPr>
            </w:pPr>
            <w:r>
              <w:rPr>
                <w:rFonts w:ascii="Calibri" w:cs="Calibri" w:eastAsia="Calibri" w:hAnsi="Calibri"/>
                <w:sz w:val="14"/>
                <w:szCs w:val="14"/>
                <w:b w:val="1"/>
                <w:bCs w:val="1"/>
                <w:color w:val="auto"/>
              </w:rPr>
              <w:t>Inputs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4"/>
              <w:spacing w:after="0"/>
              <w:rPr>
                <w:sz w:val="20"/>
                <w:szCs w:val="20"/>
                <w:color w:val="auto"/>
              </w:rPr>
            </w:pPr>
            <w:r>
              <w:rPr>
                <w:rFonts w:ascii="Calibri" w:cs="Calibri" w:eastAsia="Calibri" w:hAnsi="Calibri"/>
                <w:sz w:val="14"/>
                <w:szCs w:val="14"/>
                <w:b w:val="1"/>
                <w:bCs w:val="1"/>
                <w:color w:val="auto"/>
              </w:rPr>
              <w:t>(Level 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4"/>
              <w:spacing w:after="0"/>
              <w:rPr>
                <w:sz w:val="20"/>
                <w:szCs w:val="20"/>
                <w:color w:val="auto"/>
              </w:rPr>
            </w:pPr>
            <w:r>
              <w:rPr>
                <w:rFonts w:ascii="Calibri" w:cs="Calibri" w:eastAsia="Calibri" w:hAnsi="Calibri"/>
                <w:sz w:val="14"/>
                <w:szCs w:val="14"/>
                <w:b w:val="1"/>
                <w:bCs w:val="1"/>
                <w:color w:val="auto"/>
              </w:rPr>
              <w:t>(Level 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Calibri" w:cs="Calibri" w:eastAsia="Calibri" w:hAnsi="Calibri"/>
                <w:sz w:val="14"/>
                <w:szCs w:val="14"/>
                <w:b w:val="1"/>
                <w:bCs w:val="1"/>
                <w:color w:val="auto"/>
              </w:rPr>
              <w:t>Total</w:t>
            </w: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4"/>
                <w:szCs w:val="14"/>
                <w:b w:val="1"/>
                <w:bCs w:val="1"/>
                <w:color w:val="auto"/>
              </w:rPr>
              <w:t>(Level 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
              <w:spacing w:after="0"/>
              <w:rPr>
                <w:sz w:val="20"/>
                <w:szCs w:val="20"/>
                <w:color w:val="auto"/>
              </w:rPr>
            </w:pPr>
            <w:r>
              <w:rPr>
                <w:rFonts w:ascii="Calibri" w:cs="Calibri" w:eastAsia="Calibri" w:hAnsi="Calibri"/>
                <w:sz w:val="14"/>
                <w:szCs w:val="14"/>
                <w:b w:val="1"/>
                <w:bCs w:val="1"/>
                <w:color w:val="auto"/>
              </w:rPr>
              <w:t>(Level 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6"/>
                <w:szCs w:val="16"/>
                <w:color w:val="auto"/>
              </w:rPr>
            </w:pPr>
          </w:p>
        </w:tc>
      </w:tr>
      <w:tr>
        <w:trPr>
          <w:trHeight w:val="223"/>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jc w:val="right"/>
              <w:ind w:right="408"/>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0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Cash</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3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2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900" w:type="dxa"/>
            <w:vAlign w:val="bottom"/>
            <w:gridSpan w:val="2"/>
            <w:shd w:val="clear" w:color="auto" w:fill="CFF0FC"/>
          </w:tcPr>
          <w:p>
            <w:pPr>
              <w:jc w:val="right"/>
              <w:ind w:right="508"/>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2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4700" w:type="dxa"/>
            <w:vAlign w:val="bottom"/>
          </w:tcPr>
          <w:p>
            <w:pPr>
              <w:ind w:left="200"/>
              <w:spacing w:after="0" w:line="215" w:lineRule="exact"/>
              <w:rPr>
                <w:sz w:val="20"/>
                <w:szCs w:val="20"/>
                <w:color w:val="auto"/>
              </w:rPr>
            </w:pPr>
            <w:r>
              <w:rPr>
                <w:rFonts w:ascii="Calibri" w:cs="Calibri" w:eastAsia="Calibri" w:hAnsi="Calibri"/>
                <w:sz w:val="18"/>
                <w:szCs w:val="18"/>
                <w:color w:val="auto"/>
              </w:rPr>
              <w:t>Direct investments: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70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U.S government bonds</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7"/>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4700" w:type="dxa"/>
            <w:vAlign w:val="bottom"/>
          </w:tcPr>
          <w:p>
            <w:pPr>
              <w:ind w:left="380"/>
              <w:spacing w:after="0" w:line="215" w:lineRule="exact"/>
              <w:rPr>
                <w:sz w:val="20"/>
                <w:szCs w:val="20"/>
                <w:color w:val="auto"/>
              </w:rPr>
            </w:pPr>
            <w:r>
              <w:rPr>
                <w:rFonts w:ascii="Calibri" w:cs="Calibri" w:eastAsia="Calibri" w:hAnsi="Calibri"/>
                <w:sz w:val="18"/>
                <w:szCs w:val="18"/>
                <w:color w:val="auto"/>
              </w:rPr>
              <w:t>U.S. corporate bonds</w:t>
            </w:r>
          </w:p>
        </w:tc>
        <w:tc>
          <w:tcPr>
            <w:tcW w:w="1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470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Non-U.S. equites</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ind w:left="380"/>
              <w:spacing w:after="0" w:line="215" w:lineRule="exact"/>
              <w:rPr>
                <w:sz w:val="20"/>
                <w:szCs w:val="20"/>
                <w:color w:val="auto"/>
              </w:rPr>
            </w:pPr>
            <w:r>
              <w:rPr>
                <w:rFonts w:ascii="Calibri" w:cs="Calibri" w:eastAsia="Calibri" w:hAnsi="Calibri"/>
                <w:sz w:val="18"/>
                <w:szCs w:val="18"/>
                <w:color w:val="auto"/>
              </w:rPr>
              <w:t>Non-U.S. government bonds</w:t>
            </w:r>
          </w:p>
        </w:tc>
        <w:tc>
          <w:tcPr>
            <w:tcW w:w="1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r>
      <w:tr>
        <w:trPr>
          <w:trHeight w:val="217"/>
        </w:trPr>
        <w:tc>
          <w:tcPr>
            <w:tcW w:w="470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Non-U.S. corporate bonds</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ind w:left="380"/>
              <w:spacing w:after="0" w:line="215" w:lineRule="exact"/>
              <w:rPr>
                <w:sz w:val="20"/>
                <w:szCs w:val="20"/>
                <w:color w:val="auto"/>
              </w:rPr>
            </w:pPr>
            <w:r>
              <w:rPr>
                <w:rFonts w:ascii="Calibri" w:cs="Calibri" w:eastAsia="Calibri" w:hAnsi="Calibri"/>
                <w:sz w:val="18"/>
                <w:szCs w:val="18"/>
                <w:color w:val="auto"/>
              </w:rPr>
              <w:t>Mortgage-backed securites</w:t>
            </w:r>
          </w:p>
        </w:tc>
        <w:tc>
          <w:tcPr>
            <w:tcW w:w="1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Other fxed income</w:t>
            </w: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00" w:type="dxa"/>
            <w:vAlign w:val="bottom"/>
          </w:tcPr>
          <w:p>
            <w:pPr>
              <w:ind w:left="560"/>
              <w:spacing w:after="0" w:line="209" w:lineRule="exact"/>
              <w:rPr>
                <w:sz w:val="20"/>
                <w:szCs w:val="20"/>
                <w:color w:val="auto"/>
              </w:rPr>
            </w:pPr>
            <w:r>
              <w:rPr>
                <w:rFonts w:ascii="Calibri" w:cs="Calibri" w:eastAsia="Calibri" w:hAnsi="Calibri"/>
                <w:sz w:val="18"/>
                <w:szCs w:val="18"/>
                <w:color w:val="auto"/>
              </w:rPr>
              <w:t>Total direct investments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12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r>
      <w:tr>
        <w:trPr>
          <w:trHeight w:val="164"/>
        </w:trPr>
        <w:tc>
          <w:tcPr>
            <w:tcW w:w="4700" w:type="dxa"/>
            <w:vAlign w:val="bottom"/>
          </w:tcPr>
          <w:p>
            <w:pPr>
              <w:ind w:left="200"/>
              <w:spacing w:after="0" w:line="164" w:lineRule="exact"/>
              <w:rPr>
                <w:sz w:val="20"/>
                <w:szCs w:val="20"/>
                <w:color w:val="auto"/>
              </w:rPr>
            </w:pPr>
            <w:r>
              <w:rPr>
                <w:rFonts w:ascii="Calibri" w:cs="Calibri" w:eastAsia="Calibri" w:hAnsi="Calibri"/>
                <w:sz w:val="17"/>
                <w:szCs w:val="17"/>
                <w:color w:val="auto"/>
              </w:rPr>
              <w:t>Investment funds: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00" w:type="dxa"/>
            <w:vAlign w:val="bottom"/>
          </w:tcPr>
          <w:p>
            <w:pPr>
              <w:ind w:left="380"/>
              <w:spacing w:after="0" w:line="216" w:lineRule="exact"/>
              <w:rPr>
                <w:sz w:val="20"/>
                <w:szCs w:val="20"/>
                <w:color w:val="auto"/>
              </w:rPr>
            </w:pPr>
            <w:r>
              <w:rPr>
                <w:rFonts w:ascii="Calibri" w:cs="Calibri" w:eastAsia="Calibri" w:hAnsi="Calibri"/>
                <w:sz w:val="17"/>
                <w:szCs w:val="17"/>
                <w:color w:val="auto"/>
              </w:rPr>
              <w:t>Equity funds</w:t>
            </w:r>
            <w:r>
              <w:rPr>
                <w:rFonts w:ascii="Calibri" w:cs="Calibri" w:eastAsia="Calibri" w:hAnsi="Calibri"/>
                <w:sz w:val="23"/>
                <w:szCs w:val="23"/>
                <w:color w:val="auto"/>
                <w:vertAlign w:val="superscript"/>
              </w:rPr>
              <w:t>(1)</w:t>
            </w:r>
          </w:p>
        </w:tc>
        <w:tc>
          <w:tcPr>
            <w:tcW w:w="14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Calibri" w:cs="Calibri" w:eastAsia="Calibri" w:hAnsi="Calibri"/>
                <w:sz w:val="18"/>
                <w:szCs w:val="18"/>
                <w:color w:val="auto"/>
              </w:rPr>
              <w:t>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Calibri" w:cs="Calibri" w:eastAsia="Calibri" w:hAnsi="Calibri"/>
                <w:sz w:val="18"/>
                <w:szCs w:val="18"/>
                <w:color w:val="auto"/>
              </w:rPr>
              <w:t>16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Calibri" w:cs="Calibri" w:eastAsia="Calibri" w:hAnsi="Calibri"/>
                <w:sz w:val="18"/>
                <w:szCs w:val="18"/>
                <w:color w:val="auto"/>
              </w:rPr>
              <w:t>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6" w:lineRule="exact"/>
              <w:rPr>
                <w:sz w:val="20"/>
                <w:szCs w:val="20"/>
                <w:color w:val="auto"/>
              </w:rPr>
            </w:pPr>
            <w:r>
              <w:rPr>
                <w:rFonts w:ascii="Calibri" w:cs="Calibri" w:eastAsia="Calibri" w:hAnsi="Calibri"/>
                <w:sz w:val="18"/>
                <w:szCs w:val="18"/>
                <w:color w:val="auto"/>
              </w:rPr>
              <w:t>21</w:t>
            </w:r>
          </w:p>
        </w:tc>
        <w:tc>
          <w:tcPr>
            <w:tcW w:w="100" w:type="dxa"/>
            <w:vAlign w:val="bottom"/>
          </w:tcPr>
          <w:p>
            <w:pPr>
              <w:spacing w:after="0"/>
              <w:rPr>
                <w:sz w:val="18"/>
                <w:szCs w:val="18"/>
                <w:color w:val="auto"/>
              </w:rPr>
            </w:pPr>
          </w:p>
        </w:tc>
      </w:tr>
      <w:tr>
        <w:trPr>
          <w:trHeight w:val="216"/>
        </w:trPr>
        <w:tc>
          <w:tcPr>
            <w:tcW w:w="4700" w:type="dxa"/>
            <w:vAlign w:val="bottom"/>
          </w:tcPr>
          <w:p>
            <w:pPr>
              <w:ind w:left="380"/>
              <w:spacing w:after="0" w:line="216" w:lineRule="exact"/>
              <w:rPr>
                <w:sz w:val="20"/>
                <w:szCs w:val="20"/>
                <w:color w:val="auto"/>
              </w:rPr>
            </w:pPr>
            <w:r>
              <w:rPr>
                <w:rFonts w:ascii="Calibri" w:cs="Calibri" w:eastAsia="Calibri" w:hAnsi="Calibri"/>
                <w:sz w:val="17"/>
                <w:szCs w:val="17"/>
                <w:color w:val="auto"/>
              </w:rPr>
              <w:t>Fixed income funds</w:t>
            </w:r>
            <w:r>
              <w:rPr>
                <w:rFonts w:ascii="Calibri" w:cs="Calibri" w:eastAsia="Calibri" w:hAnsi="Calibri"/>
                <w:sz w:val="23"/>
                <w:szCs w:val="23"/>
                <w:color w:val="auto"/>
                <w:vertAlign w:val="superscript"/>
              </w:rPr>
              <w:t>(2)</w:t>
            </w:r>
          </w:p>
        </w:tc>
        <w:tc>
          <w:tcPr>
            <w:tcW w:w="14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Calibri" w:cs="Calibri" w:eastAsia="Calibri" w:hAnsi="Calibri"/>
                <w:sz w:val="18"/>
                <w:szCs w:val="18"/>
                <w:color w:val="auto"/>
              </w:rPr>
              <w:t>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Calibri" w:cs="Calibri" w:eastAsia="Calibri" w:hAnsi="Calibri"/>
                <w:sz w:val="18"/>
                <w:szCs w:val="18"/>
                <w:color w:val="auto"/>
              </w:rPr>
              <w:t>46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Calibri" w:cs="Calibri" w:eastAsia="Calibri" w:hAnsi="Calibri"/>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6" w:lineRule="exact"/>
              <w:rPr>
                <w:sz w:val="20"/>
                <w:szCs w:val="20"/>
                <w:color w:val="auto"/>
              </w:rPr>
            </w:pPr>
            <w:r>
              <w:rPr>
                <w:rFonts w:ascii="Calibri" w:cs="Calibri" w:eastAsia="Calibri" w:hAnsi="Calibri"/>
                <w:sz w:val="18"/>
                <w:szCs w:val="18"/>
                <w:color w:val="auto"/>
              </w:rPr>
              <w:t>38</w:t>
            </w:r>
          </w:p>
        </w:tc>
        <w:tc>
          <w:tcPr>
            <w:tcW w:w="100" w:type="dxa"/>
            <w:vAlign w:val="bottom"/>
          </w:tcPr>
          <w:p>
            <w:pPr>
              <w:spacing w:after="0"/>
              <w:rPr>
                <w:sz w:val="18"/>
                <w:szCs w:val="18"/>
                <w:color w:val="auto"/>
              </w:rPr>
            </w:pPr>
          </w:p>
        </w:tc>
      </w:tr>
      <w:tr>
        <w:trPr>
          <w:trHeight w:val="263"/>
        </w:trPr>
        <w:tc>
          <w:tcPr>
            <w:tcW w:w="4700" w:type="dxa"/>
            <w:vAlign w:val="bottom"/>
          </w:tcPr>
          <w:p>
            <w:pPr>
              <w:ind w:left="380"/>
              <w:spacing w:after="0" w:line="263" w:lineRule="exact"/>
              <w:rPr>
                <w:sz w:val="20"/>
                <w:szCs w:val="20"/>
                <w:color w:val="auto"/>
              </w:rPr>
            </w:pPr>
            <w:r>
              <w:rPr>
                <w:rFonts w:ascii="Calibri" w:cs="Calibri" w:eastAsia="Calibri" w:hAnsi="Calibri"/>
                <w:sz w:val="18"/>
                <w:szCs w:val="18"/>
                <w:color w:val="auto"/>
              </w:rPr>
              <w:t>Real estate funds</w:t>
            </w:r>
            <w:r>
              <w:rPr>
                <w:rFonts w:ascii="Calibri" w:cs="Calibri" w:eastAsia="Calibri" w:hAnsi="Calibri"/>
                <w:sz w:val="24"/>
                <w:szCs w:val="24"/>
                <w:color w:val="auto"/>
                <w:vertAlign w:val="superscript"/>
              </w:rPr>
              <w:t>(3)</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15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15</w:t>
            </w:r>
          </w:p>
        </w:tc>
        <w:tc>
          <w:tcPr>
            <w:tcW w:w="100" w:type="dxa"/>
            <w:vAlign w:val="bottom"/>
          </w:tcPr>
          <w:p>
            <w:pPr>
              <w:spacing w:after="0"/>
              <w:rPr>
                <w:sz w:val="22"/>
                <w:szCs w:val="22"/>
                <w:color w:val="auto"/>
              </w:rPr>
            </w:pPr>
          </w:p>
        </w:tc>
      </w:tr>
      <w:tr>
        <w:trPr>
          <w:trHeight w:val="216"/>
        </w:trPr>
        <w:tc>
          <w:tcPr>
            <w:tcW w:w="4700" w:type="dxa"/>
            <w:vAlign w:val="bottom"/>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Cash equivalent funds</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ind w:left="380"/>
              <w:spacing w:after="0" w:line="215" w:lineRule="exact"/>
              <w:rPr>
                <w:sz w:val="20"/>
                <w:szCs w:val="20"/>
                <w:color w:val="auto"/>
              </w:rPr>
            </w:pPr>
            <w:r>
              <w:rPr>
                <w:rFonts w:ascii="Calibri" w:cs="Calibri" w:eastAsia="Calibri" w:hAnsi="Calibri"/>
                <w:sz w:val="18"/>
                <w:szCs w:val="18"/>
                <w:color w:val="auto"/>
              </w:rPr>
              <w:t>Other investment funds</w:t>
            </w:r>
          </w:p>
        </w:tc>
        <w:tc>
          <w:tcPr>
            <w:tcW w:w="1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CFF0FC"/>
            </w:tcBorders>
            <w:shd w:val="clear" w:color="auto" w:fill="CFF0FC"/>
          </w:tcPr>
          <w:p>
            <w:pPr>
              <w:ind w:left="560"/>
              <w:spacing w:after="0" w:line="209" w:lineRule="exact"/>
              <w:rPr>
                <w:sz w:val="20"/>
                <w:szCs w:val="20"/>
                <w:color w:val="auto"/>
              </w:rPr>
            </w:pPr>
            <w:r>
              <w:rPr>
                <w:rFonts w:ascii="Calibri" w:cs="Calibri" w:eastAsia="Calibri" w:hAnsi="Calibri"/>
                <w:sz w:val="18"/>
                <w:szCs w:val="18"/>
                <w:color w:val="auto"/>
              </w:rPr>
              <w:t>Total investment funds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86</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3"/>
        </w:trPr>
        <w:tc>
          <w:tcPr>
            <w:tcW w:w="4700" w:type="dxa"/>
            <w:vAlign w:val="bottom"/>
          </w:tcPr>
          <w:p>
            <w:pPr>
              <w:ind w:left="200"/>
              <w:spacing w:after="0" w:line="163" w:lineRule="exact"/>
              <w:rPr>
                <w:sz w:val="20"/>
                <w:szCs w:val="20"/>
                <w:color w:val="auto"/>
              </w:rPr>
            </w:pPr>
            <w:r>
              <w:rPr>
                <w:rFonts w:ascii="Calibri" w:cs="Calibri" w:eastAsia="Calibri" w:hAnsi="Calibri"/>
                <w:sz w:val="17"/>
                <w:szCs w:val="17"/>
                <w:color w:val="auto"/>
              </w:rPr>
              <w:t>Alternatve investments: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3"/>
        </w:trPr>
        <w:tc>
          <w:tcPr>
            <w:tcW w:w="4700" w:type="dxa"/>
            <w:vAlign w:val="bottom"/>
          </w:tcPr>
          <w:p>
            <w:pPr>
              <w:ind w:left="380"/>
              <w:spacing w:after="0" w:line="263" w:lineRule="exact"/>
              <w:rPr>
                <w:sz w:val="20"/>
                <w:szCs w:val="20"/>
                <w:color w:val="auto"/>
              </w:rPr>
            </w:pPr>
            <w:r>
              <w:rPr>
                <w:rFonts w:ascii="Calibri" w:cs="Calibri" w:eastAsia="Calibri" w:hAnsi="Calibri"/>
                <w:sz w:val="18"/>
                <w:szCs w:val="18"/>
                <w:color w:val="auto"/>
              </w:rPr>
              <w:t>Insurance contracts</w:t>
            </w:r>
            <w:r>
              <w:rPr>
                <w:rFonts w:ascii="Calibri" w:cs="Calibri" w:eastAsia="Calibri" w:hAnsi="Calibri"/>
                <w:sz w:val="24"/>
                <w:szCs w:val="24"/>
                <w:color w:val="auto"/>
                <w:vertAlign w:val="superscript"/>
              </w:rPr>
              <w:t>(4)</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54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54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52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52</w:t>
            </w:r>
          </w:p>
        </w:tc>
        <w:tc>
          <w:tcPr>
            <w:tcW w:w="100" w:type="dxa"/>
            <w:vAlign w:val="bottom"/>
          </w:tcPr>
          <w:p>
            <w:pPr>
              <w:spacing w:after="0"/>
              <w:rPr>
                <w:sz w:val="22"/>
                <w:szCs w:val="22"/>
                <w:color w:val="auto"/>
              </w:rPr>
            </w:pPr>
          </w:p>
        </w:tc>
      </w:tr>
      <w:tr>
        <w:trPr>
          <w:trHeight w:val="215"/>
        </w:trPr>
        <w:tc>
          <w:tcPr>
            <w:tcW w:w="4700" w:type="dxa"/>
            <w:vAlign w:val="bottom"/>
          </w:tcPr>
          <w:p>
            <w:pPr>
              <w:ind w:left="380"/>
              <w:spacing w:after="0" w:line="215" w:lineRule="exact"/>
              <w:rPr>
                <w:sz w:val="20"/>
                <w:szCs w:val="20"/>
                <w:color w:val="auto"/>
              </w:rPr>
            </w:pPr>
            <w:r>
              <w:rPr>
                <w:rFonts w:ascii="Calibri" w:cs="Calibri" w:eastAsia="Calibri" w:hAnsi="Calibri"/>
                <w:sz w:val="18"/>
                <w:szCs w:val="18"/>
                <w:color w:val="auto"/>
              </w:rPr>
              <w:t>Other alternatve investments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0"/>
        </w:trPr>
        <w:tc>
          <w:tcPr>
            <w:tcW w:w="4700" w:type="dxa"/>
            <w:vAlign w:val="bottom"/>
            <w:tcBorders>
              <w:bottom w:val="single" w:sz="8" w:color="CFF0FC"/>
            </w:tcBorders>
            <w:shd w:val="clear" w:color="auto" w:fill="CFF0FC"/>
          </w:tcPr>
          <w:p>
            <w:pPr>
              <w:ind w:left="560"/>
              <w:spacing w:after="0" w:line="209" w:lineRule="exact"/>
              <w:rPr>
                <w:sz w:val="20"/>
                <w:szCs w:val="20"/>
                <w:color w:val="auto"/>
              </w:rPr>
            </w:pPr>
            <w:r>
              <w:rPr>
                <w:rFonts w:ascii="Calibri" w:cs="Calibri" w:eastAsia="Calibri" w:hAnsi="Calibri"/>
                <w:sz w:val="18"/>
                <w:szCs w:val="18"/>
                <w:color w:val="auto"/>
              </w:rPr>
              <w:t>Total alternatve investments</w:t>
            </w: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55</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7"/>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00" w:type="dxa"/>
            <w:vAlign w:val="bottom"/>
          </w:tcPr>
          <w:p>
            <w:pPr>
              <w:ind w:left="20"/>
              <w:spacing w:after="0" w:line="210" w:lineRule="exact"/>
              <w:rPr>
                <w:sz w:val="20"/>
                <w:szCs w:val="20"/>
                <w:color w:val="auto"/>
              </w:rPr>
            </w:pPr>
            <w:r>
              <w:rPr>
                <w:rFonts w:ascii="Calibri" w:cs="Calibri" w:eastAsia="Calibri" w:hAnsi="Calibri"/>
                <w:sz w:val="18"/>
                <w:szCs w:val="18"/>
                <w:color w:val="auto"/>
              </w:rPr>
              <w:t>Total pension plan assets</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0" w:lineRule="exact"/>
              <w:rPr>
                <w:sz w:val="20"/>
                <w:szCs w:val="20"/>
                <w:color w:val="auto"/>
              </w:rPr>
            </w:pPr>
            <w:r>
              <w:rPr>
                <w:rFonts w:ascii="Calibri" w:cs="Calibri" w:eastAsia="Calibri" w:hAnsi="Calibri"/>
                <w:sz w:val="18"/>
                <w:szCs w:val="18"/>
                <w:color w:val="auto"/>
              </w:rPr>
              <w:t>14</w:t>
            </w:r>
          </w:p>
        </w:tc>
        <w:tc>
          <w:tcPr>
            <w:tcW w:w="34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0" w:lineRule="exact"/>
              <w:rPr>
                <w:sz w:val="20"/>
                <w:szCs w:val="20"/>
                <w:color w:val="auto"/>
              </w:rPr>
            </w:pPr>
            <w:r>
              <w:rPr>
                <w:rFonts w:ascii="Calibri" w:cs="Calibri" w:eastAsia="Calibri" w:hAnsi="Calibri"/>
                <w:sz w:val="18"/>
                <w:szCs w:val="18"/>
                <w:color w:val="auto"/>
              </w:rPr>
              <w:t>142</w:t>
            </w:r>
          </w:p>
        </w:tc>
        <w:tc>
          <w:tcPr>
            <w:tcW w:w="4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0" w:lineRule="exact"/>
              <w:rPr>
                <w:sz w:val="20"/>
                <w:szCs w:val="20"/>
                <w:color w:val="auto"/>
              </w:rPr>
            </w:pPr>
            <w:r>
              <w:rPr>
                <w:rFonts w:ascii="Calibri" w:cs="Calibri" w:eastAsia="Calibri" w:hAnsi="Calibri"/>
                <w:sz w:val="18"/>
                <w:szCs w:val="18"/>
                <w:color w:val="auto"/>
              </w:rPr>
              <w:t>156</w:t>
            </w:r>
          </w:p>
        </w:tc>
        <w:tc>
          <w:tcPr>
            <w:tcW w:w="900" w:type="dxa"/>
            <w:vAlign w:val="bottom"/>
            <w:gridSpan w:val="2"/>
          </w:tcPr>
          <w:p>
            <w:pPr>
              <w:jc w:val="right"/>
              <w:ind w:right="508"/>
              <w:spacing w:after="0" w:line="210" w:lineRule="exact"/>
              <w:rPr>
                <w:sz w:val="20"/>
                <w:szCs w:val="20"/>
                <w:color w:val="auto"/>
              </w:rPr>
            </w:pPr>
            <w:r>
              <w:rPr>
                <w:rFonts w:ascii="Calibri" w:cs="Calibri" w:eastAsia="Calibri" w:hAnsi="Calibri"/>
                <w:sz w:val="18"/>
                <w:szCs w:val="18"/>
                <w:color w:val="auto"/>
              </w:rPr>
              <w:t>$</w:t>
            </w:r>
          </w:p>
        </w:tc>
        <w:tc>
          <w:tcPr>
            <w:tcW w:w="20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16</w:t>
            </w:r>
          </w:p>
        </w:tc>
        <w:tc>
          <w:tcPr>
            <w:tcW w:w="32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0" w:lineRule="exact"/>
              <w:rPr>
                <w:sz w:val="20"/>
                <w:szCs w:val="20"/>
                <w:color w:val="auto"/>
              </w:rPr>
            </w:pPr>
            <w:r>
              <w:rPr>
                <w:rFonts w:ascii="Calibri" w:cs="Calibri" w:eastAsia="Calibri" w:hAnsi="Calibri"/>
                <w:sz w:val="18"/>
                <w:szCs w:val="18"/>
                <w:color w:val="auto"/>
              </w:rPr>
              <w:t>128</w:t>
            </w:r>
          </w:p>
        </w:tc>
        <w:tc>
          <w:tcPr>
            <w:tcW w:w="4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0" w:lineRule="exact"/>
              <w:rPr>
                <w:sz w:val="20"/>
                <w:szCs w:val="20"/>
                <w:color w:val="auto"/>
              </w:rPr>
            </w:pPr>
            <w:r>
              <w:rPr>
                <w:rFonts w:ascii="Calibri" w:cs="Calibri" w:eastAsia="Calibri" w:hAnsi="Calibri"/>
                <w:sz w:val="18"/>
                <w:szCs w:val="18"/>
                <w:color w:val="auto"/>
              </w:rPr>
              <w:t>144</w:t>
            </w: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-1859280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-1859280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-1859280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-1859280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-1859280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-736600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-736600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-736600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-736600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-736600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-170815</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20" w:hanging="512"/>
        <w:spacing w:after="0" w:line="201" w:lineRule="auto"/>
        <w:tabs>
          <w:tab w:leader="none" w:pos="520" w:val="left"/>
        </w:tabs>
        <w:numPr>
          <w:ilvl w:val="0"/>
          <w:numId w:val="19"/>
        </w:numPr>
        <w:rPr>
          <w:rFonts w:ascii="Calibri" w:cs="Calibri" w:eastAsia="Calibri" w:hAnsi="Calibri"/>
          <w:sz w:val="24"/>
          <w:szCs w:val="24"/>
          <w:color w:val="auto"/>
          <w:vertAlign w:val="superscript"/>
        </w:rPr>
      </w:pPr>
      <w:r>
        <w:rPr>
          <w:rFonts w:ascii="Calibri" w:cs="Calibri" w:eastAsia="Calibri" w:hAnsi="Calibri"/>
          <w:sz w:val="18"/>
          <w:szCs w:val="18"/>
          <w:color w:val="auto"/>
        </w:rPr>
        <w:t>The equity funds asset class includes funds that invest in U.S. equites as well as equity securites issued by companies incorporated, listed or domiciled in countries in developed and/or emerging markets. These companies may be in the small-, mid- or large-cap categories.</w:t>
      </w:r>
    </w:p>
    <w:p>
      <w:pPr>
        <w:spacing w:after="0" w:line="2" w:lineRule="exact"/>
        <w:rPr>
          <w:rFonts w:ascii="Calibri" w:cs="Calibri" w:eastAsia="Calibri" w:hAnsi="Calibri"/>
          <w:sz w:val="24"/>
          <w:szCs w:val="24"/>
          <w:color w:val="auto"/>
          <w:vertAlign w:val="superscript"/>
        </w:rPr>
      </w:pPr>
    </w:p>
    <w:p>
      <w:pPr>
        <w:jc w:val="both"/>
        <w:ind w:left="520" w:right="40" w:hanging="512"/>
        <w:spacing w:after="0" w:line="211" w:lineRule="auto"/>
        <w:tabs>
          <w:tab w:leader="none" w:pos="520" w:val="left"/>
        </w:tabs>
        <w:numPr>
          <w:ilvl w:val="0"/>
          <w:numId w:val="19"/>
        </w:numPr>
        <w:rPr>
          <w:rFonts w:ascii="Calibri" w:cs="Calibri" w:eastAsia="Calibri" w:hAnsi="Calibri"/>
          <w:sz w:val="24"/>
          <w:szCs w:val="24"/>
          <w:color w:val="auto"/>
          <w:vertAlign w:val="superscript"/>
        </w:rPr>
      </w:pPr>
      <w:r>
        <w:rPr>
          <w:rFonts w:ascii="Calibri" w:cs="Calibri" w:eastAsia="Calibri" w:hAnsi="Calibri"/>
          <w:sz w:val="18"/>
          <w:szCs w:val="18"/>
          <w:color w:val="auto"/>
        </w:rPr>
        <w:t>The fxed income funds asset class includes investments in high quality funds. High quality fxed income funds primarily invest in low-risk U.S. and non-U.S. government securites, investment-grade corporate bonds, mortgages and asset-backed securites. A signifcant porton of the fxed income funds include investment in long-term bond funds.</w:t>
      </w:r>
    </w:p>
    <w:p>
      <w:pPr>
        <w:spacing w:after="0" w:line="4" w:lineRule="exact"/>
        <w:rPr>
          <w:rFonts w:ascii="Calibri" w:cs="Calibri" w:eastAsia="Calibri" w:hAnsi="Calibri"/>
          <w:sz w:val="24"/>
          <w:szCs w:val="24"/>
          <w:color w:val="auto"/>
          <w:vertAlign w:val="superscript"/>
        </w:rPr>
      </w:pPr>
    </w:p>
    <w:p>
      <w:pPr>
        <w:ind w:left="520" w:right="120" w:hanging="512"/>
        <w:spacing w:after="0" w:line="211" w:lineRule="auto"/>
        <w:tabs>
          <w:tab w:leader="none" w:pos="520" w:val="left"/>
        </w:tabs>
        <w:numPr>
          <w:ilvl w:val="0"/>
          <w:numId w:val="19"/>
        </w:numPr>
        <w:rPr>
          <w:rFonts w:ascii="Calibri" w:cs="Calibri" w:eastAsia="Calibri" w:hAnsi="Calibri"/>
          <w:sz w:val="24"/>
          <w:szCs w:val="24"/>
          <w:color w:val="auto"/>
          <w:vertAlign w:val="superscript"/>
        </w:rPr>
      </w:pPr>
      <w:r>
        <w:rPr>
          <w:rFonts w:ascii="Calibri" w:cs="Calibri" w:eastAsia="Calibri" w:hAnsi="Calibri"/>
          <w:sz w:val="18"/>
          <w:szCs w:val="18"/>
          <w:color w:val="auto"/>
        </w:rPr>
        <w:t>The real estate funds asset class includes funds that primarily invest in enttes which are principally engaged in the ownership, acquisiton, development, fnancing, sale and/or management of income-producing real estate propertes, both commercial and residental. These funds typically seek long-term growth of capital and current income that is above average relatve to public equity funds.</w:t>
      </w:r>
    </w:p>
    <w:p>
      <w:pPr>
        <w:spacing w:after="0" w:line="3" w:lineRule="exact"/>
        <w:rPr>
          <w:rFonts w:ascii="Calibri" w:cs="Calibri" w:eastAsia="Calibri" w:hAnsi="Calibri"/>
          <w:sz w:val="24"/>
          <w:szCs w:val="24"/>
          <w:color w:val="auto"/>
          <w:vertAlign w:val="superscript"/>
        </w:rPr>
      </w:pPr>
    </w:p>
    <w:p>
      <w:pPr>
        <w:ind w:left="520" w:hanging="512"/>
        <w:spacing w:after="0" w:line="184" w:lineRule="auto"/>
        <w:tabs>
          <w:tab w:leader="none" w:pos="520" w:val="left"/>
        </w:tabs>
        <w:numPr>
          <w:ilvl w:val="0"/>
          <w:numId w:val="19"/>
        </w:numPr>
        <w:rPr>
          <w:rFonts w:ascii="Calibri" w:cs="Calibri" w:eastAsia="Calibri" w:hAnsi="Calibri"/>
          <w:sz w:val="23"/>
          <w:szCs w:val="23"/>
          <w:color w:val="auto"/>
          <w:vertAlign w:val="superscript"/>
        </w:rPr>
      </w:pPr>
      <w:r>
        <w:rPr>
          <w:rFonts w:ascii="Calibri" w:cs="Calibri" w:eastAsia="Calibri" w:hAnsi="Calibri"/>
          <w:sz w:val="17"/>
          <w:szCs w:val="17"/>
          <w:color w:val="auto"/>
        </w:rPr>
        <w:t>Insurance contracts held by the Company’s non-U.S. plans are issued by well-known, highly rated insurance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-1226820</wp:posOffset>
            </wp:positionV>
            <wp:extent cx="11912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6"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i w:val="1"/>
          <w:iCs w:val="1"/>
          <w:color w:val="auto"/>
        </w:rPr>
        <w:t>Defned Contributon Plans</w:t>
      </w:r>
    </w:p>
    <w:p>
      <w:pPr>
        <w:spacing w:after="0" w:line="82" w:lineRule="exact"/>
        <w:rPr>
          <w:sz w:val="20"/>
          <w:szCs w:val="20"/>
          <w:color w:val="auto"/>
        </w:rPr>
      </w:pPr>
    </w:p>
    <w:p>
      <w:pPr>
        <w:ind w:right="220" w:firstLine="509"/>
        <w:spacing w:after="0" w:line="258" w:lineRule="auto"/>
        <w:rPr>
          <w:sz w:val="20"/>
          <w:szCs w:val="20"/>
          <w:color w:val="auto"/>
        </w:rPr>
      </w:pPr>
      <w:r>
        <w:rPr>
          <w:rFonts w:ascii="Calibri" w:cs="Calibri" w:eastAsia="Calibri" w:hAnsi="Calibri"/>
          <w:sz w:val="17"/>
          <w:szCs w:val="17"/>
          <w:color w:val="auto"/>
        </w:rPr>
        <w:t>In additon to benefts provided under the defned beneft and postretrement beneft plans, the Company provides benefts under defned contributon plans. Cabot recognized expenses related to these plans of $20 million, $19 million and $15 million in fscal 2024, 2023 and 2022, respectvely.</w:t>
      </w: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N. Share-Based Compensaton</w:t>
      </w:r>
    </w:p>
    <w:p>
      <w:pPr>
        <w:spacing w:after="0" w:line="82" w:lineRule="exact"/>
        <w:rPr>
          <w:sz w:val="20"/>
          <w:szCs w:val="20"/>
          <w:color w:val="auto"/>
        </w:rPr>
      </w:pPr>
    </w:p>
    <w:p>
      <w:pPr>
        <w:ind w:right="20" w:firstLine="509"/>
        <w:spacing w:after="0" w:line="254" w:lineRule="auto"/>
        <w:rPr>
          <w:sz w:val="20"/>
          <w:szCs w:val="20"/>
          <w:color w:val="auto"/>
        </w:rPr>
      </w:pPr>
      <w:r>
        <w:rPr>
          <w:rFonts w:ascii="Calibri" w:cs="Calibri" w:eastAsia="Calibri" w:hAnsi="Calibri"/>
          <w:sz w:val="17"/>
          <w:szCs w:val="17"/>
          <w:color w:val="auto"/>
        </w:rPr>
        <w:t>The Cabot Corporaton Amended and Restated 2017 Long-Term Incentve Plan (the “Amended Plan”) was established by the Company to provide stock-based compensaton to eligible employees. The Amended Plan was approved by Cabot’s stockholders on March 11, 2021 and authorizes the issuance of up to 8,625,000 shares of common stock. It is the only equity incentve plan under which the Company may grant equity awards to employees.</w:t>
      </w:r>
    </w:p>
    <w:p>
      <w:pPr>
        <w:spacing w:after="0" w:line="20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5" w:name="page66"/>
    <w:bookmarkEnd w:id="65"/>
    <w:p>
      <w:pPr>
        <w:ind w:firstLine="509"/>
        <w:spacing w:after="0" w:line="235" w:lineRule="auto"/>
        <w:rPr>
          <w:sz w:val="20"/>
          <w:szCs w:val="20"/>
          <w:color w:val="auto"/>
        </w:rPr>
      </w:pPr>
      <w:r>
        <w:rPr>
          <w:rFonts w:ascii="Calibri" w:cs="Calibri" w:eastAsia="Calibri" w:hAnsi="Calibri"/>
          <w:sz w:val="18"/>
          <w:szCs w:val="18"/>
          <w:color w:val="auto"/>
        </w:rPr>
        <w:t>The terms of awards made under Cabot’s equity compensaton plans are generally determined by the Compensaton Commitee of Cabot’s Board of Directors. The awards made in fscal 2024, 2023 and 2022 consist of grants of stock optons, tme-based restricted stock units and performance-based restricted stock units. The optons were issued with an exercise price equal to 100% of the market price of Cabot’s common stock on the date of grant, generally vest over a three-year period (30% on each of the frst and second anniversaries of the date of grant and 40% on the third anniversary of the date of grant) and have a ten-year term. The restricted stock units generally vest three years from the date of the grant. The number of shares issuable, if any, when a performance-based restricted stock unit award vests will depend on the degree of achievement of the corporate performance metrics for each year within the three-year performance period of the award. Accordingly, future compensaton costs associated with outstanding awards of performance-based restricted stock units may increase or decrease based on the probability of the Company achieving the performance metrics.</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Share-based employee compensaton expense was $23 million, $18 million and $22 million, afer tax, for fscal 2024, 2023 and 2022, respectvely.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presents share-based compensaton expenses included in the Company’s Consolidated Statements of Operatons: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110"/>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5320" w:type="dxa"/>
            <w:vAlign w:val="bottom"/>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15"/>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32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Cost of sales</w:t>
            </w:r>
          </w:p>
        </w:tc>
        <w:tc>
          <w:tcPr>
            <w:tcW w:w="780" w:type="dxa"/>
            <w:vAlign w:val="bottom"/>
            <w:shd w:val="clear" w:color="auto" w:fill="CFF0FC"/>
          </w:tcPr>
          <w:p>
            <w:pPr>
              <w:jc w:val="right"/>
              <w:ind w:right="596"/>
              <w:spacing w:after="0" w:line="217" w:lineRule="exact"/>
              <w:rPr>
                <w:sz w:val="20"/>
                <w:szCs w:val="20"/>
                <w:color w:val="auto"/>
              </w:rPr>
            </w:pPr>
            <w:r>
              <w:rPr>
                <w:rFonts w:ascii="Calibri" w:cs="Calibri" w:eastAsia="Calibri" w:hAnsi="Calibri"/>
                <w:sz w:val="18"/>
                <w:szCs w:val="18"/>
                <w:color w:val="auto"/>
                <w:w w:val="87"/>
              </w:rPr>
              <w:t>$</w:t>
            </w:r>
          </w:p>
        </w:tc>
        <w:tc>
          <w:tcPr>
            <w:tcW w:w="2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w:t>
            </w:r>
          </w:p>
        </w:tc>
        <w:tc>
          <w:tcPr>
            <w:tcW w:w="80" w:type="dxa"/>
            <w:vAlign w:val="bottom"/>
            <w:shd w:val="clear" w:color="auto" w:fill="CFF0FC"/>
          </w:tcPr>
          <w:p>
            <w:pPr>
              <w:spacing w:after="0"/>
              <w:rPr>
                <w:sz w:val="19"/>
                <w:szCs w:val="19"/>
                <w:color w:val="auto"/>
              </w:rPr>
            </w:pPr>
          </w:p>
        </w:tc>
      </w:tr>
      <w:tr>
        <w:trPr>
          <w:trHeight w:val="215"/>
        </w:trPr>
        <w:tc>
          <w:tcPr>
            <w:tcW w:w="5320" w:type="dxa"/>
            <w:vAlign w:val="bottom"/>
          </w:tcPr>
          <w:p>
            <w:pPr>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780" w:type="dxa"/>
            <w:vAlign w:val="bottom"/>
          </w:tcPr>
          <w:p>
            <w:pPr>
              <w:spacing w:after="0"/>
              <w:rPr>
                <w:sz w:val="18"/>
                <w:szCs w:val="18"/>
                <w:color w:val="auto"/>
              </w:rPr>
            </w:pP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8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Research and technical expenses</w:t>
            </w:r>
          </w:p>
        </w:tc>
        <w:tc>
          <w:tcPr>
            <w:tcW w:w="7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line="209" w:lineRule="exact"/>
              <w:rPr>
                <w:sz w:val="20"/>
                <w:szCs w:val="20"/>
                <w:color w:val="auto"/>
              </w:rPr>
            </w:pPr>
            <w:r>
              <w:rPr>
                <w:rFonts w:ascii="Calibri" w:cs="Calibri" w:eastAsia="Calibri" w:hAnsi="Calibri"/>
                <w:sz w:val="18"/>
                <w:szCs w:val="18"/>
                <w:color w:val="auto"/>
              </w:rPr>
              <w:t>Share-based compensaton expense</w:t>
            </w:r>
          </w:p>
        </w:tc>
        <w:tc>
          <w:tcPr>
            <w:tcW w:w="780" w:type="dxa"/>
            <w:vAlign w:val="bottom"/>
          </w:tcPr>
          <w:p>
            <w:pPr>
              <w:spacing w:after="0"/>
              <w:rPr>
                <w:sz w:val="18"/>
                <w:szCs w:val="18"/>
                <w:color w:val="auto"/>
              </w:rPr>
            </w:pPr>
          </w:p>
        </w:tc>
        <w:tc>
          <w:tcPr>
            <w:tcW w:w="280" w:type="dxa"/>
            <w:vAlign w:val="bottom"/>
          </w:tcPr>
          <w:p>
            <w:pPr>
              <w:jc w:val="right"/>
              <w:spacing w:after="0" w:line="209" w:lineRule="exact"/>
              <w:rPr>
                <w:sz w:val="20"/>
                <w:szCs w:val="20"/>
                <w:color w:val="auto"/>
              </w:rPr>
            </w:pPr>
            <w:r>
              <w:rPr>
                <w:rFonts w:ascii="Calibri" w:cs="Calibri" w:eastAsia="Calibri" w:hAnsi="Calibri"/>
                <w:sz w:val="18"/>
                <w:szCs w:val="18"/>
                <w:color w:val="auto"/>
              </w:rPr>
              <w:t>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23</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Income tax beneft</w:t>
            </w:r>
          </w:p>
        </w:tc>
        <w:tc>
          <w:tcPr>
            <w:tcW w:w="7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(2 )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(2 )</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(1 )</w:t>
            </w:r>
          </w:p>
        </w:tc>
      </w:tr>
      <w:tr>
        <w:trPr>
          <w:trHeight w:val="210"/>
        </w:trPr>
        <w:tc>
          <w:tcPr>
            <w:tcW w:w="5320" w:type="dxa"/>
            <w:vAlign w:val="bottom"/>
            <w:tcBorders>
              <w:top w:val="single" w:sz="8" w:color="CFF0FC"/>
            </w:tcBorders>
          </w:tcPr>
          <w:p>
            <w:pPr>
              <w:ind w:left="180"/>
              <w:spacing w:after="0" w:line="210" w:lineRule="exact"/>
              <w:rPr>
                <w:sz w:val="20"/>
                <w:szCs w:val="20"/>
                <w:color w:val="auto"/>
              </w:rPr>
            </w:pPr>
            <w:r>
              <w:rPr>
                <w:rFonts w:ascii="Calibri" w:cs="Calibri" w:eastAsia="Calibri" w:hAnsi="Calibri"/>
                <w:sz w:val="18"/>
                <w:szCs w:val="18"/>
                <w:color w:val="auto"/>
              </w:rPr>
              <w:t>Net share-based compensaton expense</w:t>
            </w:r>
          </w:p>
        </w:tc>
        <w:tc>
          <w:tcPr>
            <w:tcW w:w="780" w:type="dxa"/>
            <w:vAlign w:val="bottom"/>
            <w:tcBorders>
              <w:top w:val="single" w:sz="8" w:color="auto"/>
              <w:bottom w:val="single" w:sz="8" w:color="auto"/>
            </w:tcBorders>
          </w:tcPr>
          <w:p>
            <w:pPr>
              <w:jc w:val="right"/>
              <w:ind w:right="596"/>
              <w:spacing w:after="0" w:line="210" w:lineRule="exact"/>
              <w:rPr>
                <w:sz w:val="20"/>
                <w:szCs w:val="20"/>
                <w:color w:val="auto"/>
              </w:rPr>
            </w:pPr>
            <w:r>
              <w:rPr>
                <w:rFonts w:ascii="Calibri" w:cs="Calibri" w:eastAsia="Calibri" w:hAnsi="Calibri"/>
                <w:sz w:val="18"/>
                <w:szCs w:val="18"/>
                <w:color w:val="auto"/>
                <w:w w:val="87"/>
              </w:rPr>
              <w:t>$</w:t>
            </w:r>
          </w:p>
        </w:tc>
        <w:tc>
          <w:tcPr>
            <w:tcW w:w="2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23</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18</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22</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-454025</wp:posOffset>
            </wp:positionV>
            <wp:extent cx="596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-454025</wp:posOffset>
            </wp:positionV>
            <wp:extent cx="514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596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right="60" w:firstLine="509"/>
        <w:spacing w:after="0"/>
        <w:rPr>
          <w:sz w:val="20"/>
          <w:szCs w:val="20"/>
          <w:color w:val="auto"/>
        </w:rPr>
      </w:pPr>
      <w:r>
        <w:rPr>
          <w:rFonts w:ascii="Calibri" w:cs="Calibri" w:eastAsia="Calibri" w:hAnsi="Calibri"/>
          <w:sz w:val="18"/>
          <w:szCs w:val="18"/>
          <w:color w:val="auto"/>
        </w:rPr>
        <w:t>As of September 30, 2024, Cabot had $22 million and $3 million of total unrecognized compensaton cost related to restricted stock units and optons, respectvely, granted under the Company’s equity incentve plans. These costs are expected to be recognized over a weighted-average period of approximately one year for restricted stock units and optons.</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Equity Incentve Plan Actvity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the total stock opton and restricted stock unit actvity in the equity incentve plans for fscal 2024:</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60" w:type="dxa"/>
            <w:vAlign w:val="bottom"/>
            <w:gridSpan w:val="4"/>
          </w:tcPr>
          <w:p>
            <w:pPr>
              <w:jc w:val="right"/>
              <w:ind w:right="538"/>
              <w:spacing w:after="0"/>
              <w:rPr>
                <w:sz w:val="20"/>
                <w:szCs w:val="20"/>
                <w:color w:val="auto"/>
              </w:rPr>
            </w:pPr>
            <w:r>
              <w:rPr>
                <w:rFonts w:ascii="Calibri" w:cs="Calibri" w:eastAsia="Calibri" w:hAnsi="Calibri"/>
                <w:sz w:val="14"/>
                <w:szCs w:val="14"/>
                <w:b w:val="1"/>
                <w:bCs w:val="1"/>
                <w:color w:val="auto"/>
              </w:rPr>
              <w:t>Stock Optons</w:t>
            </w:r>
          </w:p>
        </w:tc>
        <w:tc>
          <w:tcPr>
            <w:tcW w:w="180" w:type="dxa"/>
            <w:vAlign w:val="bottom"/>
          </w:tcPr>
          <w:p>
            <w:pPr>
              <w:spacing w:after="0"/>
              <w:rPr>
                <w:sz w:val="16"/>
                <w:szCs w:val="16"/>
                <w:color w:val="auto"/>
              </w:rPr>
            </w:pPr>
          </w:p>
        </w:tc>
        <w:tc>
          <w:tcPr>
            <w:tcW w:w="2100" w:type="dxa"/>
            <w:vAlign w:val="bottom"/>
            <w:gridSpan w:val="5"/>
          </w:tcPr>
          <w:p>
            <w:pPr>
              <w:ind w:left="360"/>
              <w:spacing w:after="0"/>
              <w:rPr>
                <w:sz w:val="20"/>
                <w:szCs w:val="20"/>
                <w:color w:val="auto"/>
              </w:rPr>
            </w:pPr>
            <w:r>
              <w:rPr>
                <w:rFonts w:ascii="Calibri" w:cs="Calibri" w:eastAsia="Calibri" w:hAnsi="Calibri"/>
                <w:sz w:val="14"/>
                <w:szCs w:val="14"/>
                <w:b w:val="1"/>
                <w:bCs w:val="1"/>
                <w:color w:val="auto"/>
              </w:rPr>
              <w:t>Restricted Stock Units</w:t>
            </w:r>
          </w:p>
        </w:tc>
      </w:tr>
      <w:tr>
        <w:trPr>
          <w:trHeight w:val="161"/>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right="58"/>
              <w:spacing w:after="0" w:line="161" w:lineRule="exact"/>
              <w:rPr>
                <w:sz w:val="20"/>
                <w:szCs w:val="20"/>
                <w:color w:val="auto"/>
              </w:rPr>
            </w:pPr>
            <w:r>
              <w:rPr>
                <w:rFonts w:ascii="Calibri" w:cs="Calibri" w:eastAsia="Calibri" w:hAnsi="Calibri"/>
                <w:sz w:val="14"/>
                <w:szCs w:val="14"/>
                <w:b w:val="1"/>
                <w:bCs w:val="1"/>
                <w:color w:val="auto"/>
                <w:w w:val="98"/>
              </w:rPr>
              <w:t>Weighted</w:t>
            </w:r>
          </w:p>
        </w:tc>
        <w:tc>
          <w:tcPr>
            <w:tcW w:w="1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37"/>
              <w:spacing w:after="0" w:line="161" w:lineRule="exact"/>
              <w:rPr>
                <w:sz w:val="20"/>
                <w:szCs w:val="20"/>
                <w:color w:val="auto"/>
              </w:rPr>
            </w:pPr>
            <w:r>
              <w:rPr>
                <w:rFonts w:ascii="Calibri" w:cs="Calibri" w:eastAsia="Calibri" w:hAnsi="Calibri"/>
                <w:sz w:val="14"/>
                <w:szCs w:val="14"/>
                <w:b w:val="1"/>
                <w:bCs w:val="1"/>
                <w:color w:val="auto"/>
                <w:w w:val="98"/>
              </w:rPr>
              <w:t>Weighted</w:t>
            </w:r>
          </w:p>
        </w:tc>
        <w:tc>
          <w:tcPr>
            <w:tcW w:w="80" w:type="dxa"/>
            <w:vAlign w:val="bottom"/>
          </w:tcPr>
          <w:p>
            <w:pPr>
              <w:spacing w:after="0"/>
              <w:rPr>
                <w:sz w:val="14"/>
                <w:szCs w:val="14"/>
                <w:color w:val="auto"/>
              </w:rPr>
            </w:pPr>
          </w:p>
        </w:tc>
      </w:tr>
      <w:tr>
        <w:trPr>
          <w:trHeight w:val="170"/>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Average</w:t>
            </w:r>
          </w:p>
        </w:tc>
        <w:tc>
          <w:tcPr>
            <w:tcW w:w="1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Restricted</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Average</w:t>
            </w:r>
          </w:p>
        </w:tc>
      </w:tr>
      <w:tr>
        <w:trPr>
          <w:trHeight w:val="159"/>
        </w:trPr>
        <w:tc>
          <w:tcPr>
            <w:tcW w:w="4640" w:type="dxa"/>
            <w:vAlign w:val="bottom"/>
          </w:tcPr>
          <w:p>
            <w:pPr>
              <w:spacing w:after="0"/>
              <w:rPr>
                <w:sz w:val="13"/>
                <w:szCs w:val="13"/>
                <w:color w:val="auto"/>
              </w:rPr>
            </w:pPr>
          </w:p>
        </w:tc>
        <w:tc>
          <w:tcPr>
            <w:tcW w:w="1160" w:type="dxa"/>
            <w:vAlign w:val="bottom"/>
            <w:gridSpan w:val="2"/>
          </w:tcPr>
          <w:p>
            <w:pPr>
              <w:jc w:val="right"/>
              <w:ind w:right="540"/>
              <w:spacing w:after="0" w:line="159" w:lineRule="exact"/>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3"/>
                <w:szCs w:val="13"/>
                <w:color w:val="auto"/>
              </w:rPr>
            </w:pPr>
          </w:p>
        </w:tc>
        <w:tc>
          <w:tcPr>
            <w:tcW w:w="780" w:type="dxa"/>
            <w:vAlign w:val="bottom"/>
          </w:tcPr>
          <w:p>
            <w:pPr>
              <w:jc w:val="center"/>
              <w:ind w:right="58"/>
              <w:spacing w:after="0" w:line="159" w:lineRule="exact"/>
              <w:rPr>
                <w:sz w:val="20"/>
                <w:szCs w:val="20"/>
                <w:color w:val="auto"/>
              </w:rPr>
            </w:pPr>
            <w:r>
              <w:rPr>
                <w:rFonts w:ascii="Calibri" w:cs="Calibri" w:eastAsia="Calibri" w:hAnsi="Calibri"/>
                <w:sz w:val="14"/>
                <w:szCs w:val="14"/>
                <w:b w:val="1"/>
                <w:bCs w:val="1"/>
                <w:color w:val="auto"/>
              </w:rPr>
              <w:t>Exercise</w:t>
            </w:r>
          </w:p>
        </w:tc>
        <w:tc>
          <w:tcPr>
            <w:tcW w:w="180" w:type="dxa"/>
            <w:vAlign w:val="bottom"/>
          </w:tcPr>
          <w:p>
            <w:pPr>
              <w:spacing w:after="0"/>
              <w:rPr>
                <w:sz w:val="13"/>
                <w:szCs w:val="13"/>
                <w:color w:val="auto"/>
              </w:rPr>
            </w:pPr>
          </w:p>
        </w:tc>
        <w:tc>
          <w:tcPr>
            <w:tcW w:w="1120" w:type="dxa"/>
            <w:vAlign w:val="bottom"/>
            <w:gridSpan w:val="2"/>
          </w:tcPr>
          <w:p>
            <w:pPr>
              <w:jc w:val="center"/>
              <w:ind w:right="200"/>
              <w:spacing w:after="0" w:line="159" w:lineRule="exact"/>
              <w:rPr>
                <w:sz w:val="20"/>
                <w:szCs w:val="20"/>
                <w:color w:val="auto"/>
              </w:rPr>
            </w:pPr>
            <w:r>
              <w:rPr>
                <w:rFonts w:ascii="Calibri" w:cs="Calibri" w:eastAsia="Calibri" w:hAnsi="Calibri"/>
                <w:sz w:val="14"/>
                <w:szCs w:val="14"/>
                <w:b w:val="1"/>
                <w:bCs w:val="1"/>
                <w:color w:val="auto"/>
              </w:rPr>
              <w:t>Stock</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line="159" w:lineRule="exact"/>
              <w:rPr>
                <w:sz w:val="20"/>
                <w:szCs w:val="20"/>
                <w:color w:val="auto"/>
              </w:rPr>
            </w:pPr>
            <w:r>
              <w:rPr>
                <w:rFonts w:ascii="Calibri" w:cs="Calibri" w:eastAsia="Calibri" w:hAnsi="Calibri"/>
                <w:sz w:val="14"/>
                <w:szCs w:val="14"/>
                <w:b w:val="1"/>
                <w:bCs w:val="1"/>
                <w:color w:val="auto"/>
                <w:w w:val="99"/>
              </w:rPr>
              <w:t>Grant Date</w:t>
            </w:r>
          </w:p>
        </w:tc>
      </w:tr>
      <w:tr>
        <w:trPr>
          <w:trHeight w:val="212"/>
        </w:trPr>
        <w:tc>
          <w:tcPr>
            <w:tcW w:w="4640" w:type="dxa"/>
            <w:vAlign w:val="bottom"/>
          </w:tcPr>
          <w:p>
            <w:pPr>
              <w:spacing w:after="0"/>
              <w:rPr>
                <w:sz w:val="18"/>
                <w:szCs w:val="18"/>
                <w:color w:val="auto"/>
              </w:rPr>
            </w:pPr>
          </w:p>
        </w:tc>
        <w:tc>
          <w:tcPr>
            <w:tcW w:w="1160" w:type="dxa"/>
            <w:vAlign w:val="bottom"/>
            <w:gridSpan w:val="2"/>
          </w:tcPr>
          <w:p>
            <w:pPr>
              <w:jc w:val="right"/>
              <w:ind w:right="380"/>
              <w:spacing w:after="0" w:line="212" w:lineRule="exact"/>
              <w:rPr>
                <w:sz w:val="20"/>
                <w:szCs w:val="20"/>
                <w:color w:val="auto"/>
              </w:rPr>
            </w:pPr>
            <w:r>
              <w:rPr>
                <w:rFonts w:ascii="Calibri" w:cs="Calibri" w:eastAsia="Calibri" w:hAnsi="Calibri"/>
                <w:sz w:val="14"/>
                <w:szCs w:val="14"/>
                <w:b w:val="1"/>
                <w:bCs w:val="1"/>
                <w:color w:val="auto"/>
              </w:rPr>
              <w:t xml:space="preserve">Optons </w:t>
            </w:r>
            <w:r>
              <w:rPr>
                <w:rFonts w:ascii="Calibri" w:cs="Calibri" w:eastAsia="Calibri" w:hAnsi="Calibri"/>
                <w:sz w:val="19"/>
                <w:szCs w:val="19"/>
                <w:b w:val="1"/>
                <w:bCs w:val="1"/>
                <w:color w:val="auto"/>
                <w:vertAlign w:val="superscript"/>
              </w:rPr>
              <w:t>(1)</w:t>
            </w:r>
          </w:p>
        </w:tc>
        <w:tc>
          <w:tcPr>
            <w:tcW w:w="120" w:type="dxa"/>
            <w:vAlign w:val="bottom"/>
          </w:tcPr>
          <w:p>
            <w:pPr>
              <w:spacing w:after="0"/>
              <w:rPr>
                <w:sz w:val="18"/>
                <w:szCs w:val="18"/>
                <w:color w:val="auto"/>
              </w:rPr>
            </w:pPr>
          </w:p>
        </w:tc>
        <w:tc>
          <w:tcPr>
            <w:tcW w:w="780" w:type="dxa"/>
            <w:vAlign w:val="bottom"/>
          </w:tcPr>
          <w:p>
            <w:pPr>
              <w:jc w:val="center"/>
              <w:ind w:right="58"/>
              <w:spacing w:after="0"/>
              <w:rPr>
                <w:sz w:val="20"/>
                <w:szCs w:val="20"/>
                <w:color w:val="auto"/>
              </w:rPr>
            </w:pPr>
            <w:r>
              <w:rPr>
                <w:rFonts w:ascii="Calibri" w:cs="Calibri" w:eastAsia="Calibri" w:hAnsi="Calibri"/>
                <w:sz w:val="14"/>
                <w:szCs w:val="14"/>
                <w:b w:val="1"/>
                <w:bCs w:val="1"/>
                <w:color w:val="auto"/>
                <w:w w:val="97"/>
              </w:rPr>
              <w:t>Price</w:t>
            </w:r>
          </w:p>
        </w:tc>
        <w:tc>
          <w:tcPr>
            <w:tcW w:w="180" w:type="dxa"/>
            <w:vAlign w:val="bottom"/>
          </w:tcPr>
          <w:p>
            <w:pPr>
              <w:spacing w:after="0"/>
              <w:rPr>
                <w:sz w:val="18"/>
                <w:szCs w:val="18"/>
                <w:color w:val="auto"/>
              </w:rPr>
            </w:pPr>
          </w:p>
        </w:tc>
        <w:tc>
          <w:tcPr>
            <w:tcW w:w="1120" w:type="dxa"/>
            <w:vAlign w:val="bottom"/>
            <w:gridSpan w:val="2"/>
          </w:tcPr>
          <w:p>
            <w:pPr>
              <w:jc w:val="center"/>
              <w:ind w:right="180"/>
              <w:spacing w:after="0" w:line="212" w:lineRule="exact"/>
              <w:rPr>
                <w:sz w:val="20"/>
                <w:szCs w:val="20"/>
                <w:color w:val="auto"/>
              </w:rPr>
            </w:pPr>
            <w:r>
              <w:rPr>
                <w:rFonts w:ascii="Calibri" w:cs="Calibri" w:eastAsia="Calibri" w:hAnsi="Calibri"/>
                <w:sz w:val="14"/>
                <w:szCs w:val="14"/>
                <w:b w:val="1"/>
                <w:bCs w:val="1"/>
                <w:color w:val="auto"/>
                <w:w w:val="93"/>
              </w:rPr>
              <w:t>Units</w:t>
            </w:r>
            <w:r>
              <w:rPr>
                <w:rFonts w:ascii="Calibri" w:cs="Calibri" w:eastAsia="Calibri" w:hAnsi="Calibri"/>
                <w:sz w:val="19"/>
                <w:szCs w:val="19"/>
                <w:b w:val="1"/>
                <w:bCs w:val="1"/>
                <w:color w:val="auto"/>
                <w:w w:val="93"/>
                <w:vertAlign w:val="superscript"/>
              </w:rPr>
              <w:t>(4)</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Fair Value</w:t>
            </w:r>
          </w:p>
        </w:tc>
      </w:tr>
      <w:tr>
        <w:trPr>
          <w:trHeight w:val="166"/>
        </w:trPr>
        <w:tc>
          <w:tcPr>
            <w:tcW w:w="46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6" w:lineRule="exact"/>
              <w:rPr>
                <w:sz w:val="20"/>
                <w:szCs w:val="20"/>
                <w:color w:val="auto"/>
              </w:rPr>
            </w:pPr>
            <w:r>
              <w:rPr>
                <w:rFonts w:ascii="Calibri" w:cs="Calibri" w:eastAsia="Calibri" w:hAnsi="Calibri"/>
                <w:sz w:val="14"/>
                <w:szCs w:val="14"/>
                <w:b w:val="1"/>
                <w:bCs w:val="1"/>
                <w:color w:val="auto"/>
              </w:rPr>
              <w:t>(Shares in</w:t>
            </w:r>
          </w:p>
        </w:tc>
        <w:tc>
          <w:tcPr>
            <w:tcW w:w="180" w:type="dxa"/>
            <w:vAlign w:val="bottom"/>
          </w:tcPr>
          <w:p>
            <w:pPr>
              <w:spacing w:after="0"/>
              <w:rPr>
                <w:sz w:val="14"/>
                <w:szCs w:val="14"/>
                <w:color w:val="auto"/>
              </w:rPr>
            </w:pPr>
          </w:p>
        </w:tc>
        <w:tc>
          <w:tcPr>
            <w:tcW w:w="940" w:type="dxa"/>
            <w:vAlign w:val="bottom"/>
            <w:tcBorders>
              <w:top w:val="single" w:sz="8" w:color="auto"/>
            </w:tcBorders>
          </w:tcPr>
          <w:p>
            <w:pPr>
              <w:jc w:val="right"/>
              <w:ind w:right="345"/>
              <w:spacing w:after="0" w:line="166" w:lineRule="exact"/>
              <w:rPr>
                <w:sz w:val="20"/>
                <w:szCs w:val="20"/>
                <w:color w:val="auto"/>
              </w:rPr>
            </w:pPr>
            <w:r>
              <w:rPr>
                <w:rFonts w:ascii="Calibri" w:cs="Calibri" w:eastAsia="Calibri" w:hAnsi="Calibri"/>
                <w:sz w:val="14"/>
                <w:szCs w:val="14"/>
                <w:b w:val="1"/>
                <w:bCs w:val="1"/>
                <w:color w:val="auto"/>
                <w:w w:val="76"/>
              </w:rPr>
              <w:t>thousands)</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464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Outstanding at September 30, 2023</w:t>
            </w:r>
          </w:p>
        </w:tc>
        <w:tc>
          <w:tcPr>
            <w:tcW w:w="9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1,641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52.27</w:t>
            </w:r>
          </w:p>
        </w:tc>
        <w:tc>
          <w:tcPr>
            <w:tcW w:w="112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54.45</w:t>
            </w:r>
          </w:p>
        </w:tc>
        <w:tc>
          <w:tcPr>
            <w:tcW w:w="80" w:type="dxa"/>
            <w:vAlign w:val="bottom"/>
            <w:shd w:val="clear" w:color="auto" w:fill="CFF0FC"/>
          </w:tcPr>
          <w:p>
            <w:pPr>
              <w:spacing w:after="0"/>
              <w:rPr>
                <w:sz w:val="19"/>
                <w:szCs w:val="19"/>
                <w:color w:val="auto"/>
              </w:rPr>
            </w:pPr>
          </w:p>
        </w:tc>
      </w:tr>
      <w:tr>
        <w:trPr>
          <w:trHeight w:val="169"/>
        </w:trPr>
        <w:tc>
          <w:tcPr>
            <w:tcW w:w="4640" w:type="dxa"/>
            <w:vAlign w:val="bottom"/>
          </w:tcPr>
          <w:p>
            <w:pPr>
              <w:spacing w:after="0" w:line="169" w:lineRule="exact"/>
              <w:rPr>
                <w:sz w:val="20"/>
                <w:szCs w:val="20"/>
                <w:color w:val="auto"/>
              </w:rPr>
            </w:pPr>
            <w:r>
              <w:rPr>
                <w:rFonts w:ascii="Calibri" w:cs="Calibri" w:eastAsia="Calibri" w:hAnsi="Calibri"/>
                <w:sz w:val="18"/>
                <w:szCs w:val="18"/>
                <w:color w:val="auto"/>
              </w:rPr>
              <w:t>Granted</w:t>
            </w:r>
          </w:p>
        </w:tc>
        <w:tc>
          <w:tcPr>
            <w:tcW w:w="960" w:type="dxa"/>
            <w:vAlign w:val="bottom"/>
          </w:tcPr>
          <w:p>
            <w:pPr>
              <w:jc w:val="right"/>
              <w:spacing w:after="0" w:line="169" w:lineRule="exact"/>
              <w:rPr>
                <w:sz w:val="20"/>
                <w:szCs w:val="20"/>
                <w:color w:val="auto"/>
              </w:rPr>
            </w:pPr>
            <w:r>
              <w:rPr>
                <w:rFonts w:ascii="Calibri" w:cs="Calibri" w:eastAsia="Calibri" w:hAnsi="Calibri"/>
                <w:sz w:val="18"/>
                <w:szCs w:val="18"/>
                <w:color w:val="auto"/>
              </w:rPr>
              <w:t>174</w:t>
            </w:r>
          </w:p>
        </w:tc>
        <w:tc>
          <w:tcPr>
            <w:tcW w:w="20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169" w:lineRule="exact"/>
              <w:rPr>
                <w:sz w:val="20"/>
                <w:szCs w:val="20"/>
                <w:color w:val="auto"/>
              </w:rPr>
            </w:pPr>
            <w:r>
              <w:rPr>
                <w:rFonts w:ascii="Calibri" w:cs="Calibri" w:eastAsia="Calibri" w:hAnsi="Calibri"/>
                <w:sz w:val="18"/>
                <w:szCs w:val="18"/>
                <w:color w:val="auto"/>
              </w:rPr>
              <w:t>74.40</w:t>
            </w:r>
          </w:p>
        </w:tc>
        <w:tc>
          <w:tcPr>
            <w:tcW w:w="1120" w:type="dxa"/>
            <w:vAlign w:val="bottom"/>
            <w:gridSpan w:val="2"/>
          </w:tcPr>
          <w:p>
            <w:pPr>
              <w:jc w:val="right"/>
              <w:spacing w:after="0" w:line="169" w:lineRule="exact"/>
              <w:rPr>
                <w:sz w:val="20"/>
                <w:szCs w:val="20"/>
                <w:color w:val="auto"/>
              </w:rPr>
            </w:pPr>
            <w:r>
              <w:rPr>
                <w:rFonts w:ascii="Calibri" w:cs="Calibri" w:eastAsia="Calibri" w:hAnsi="Calibri"/>
                <w:sz w:val="18"/>
                <w:szCs w:val="18"/>
                <w:color w:val="auto"/>
              </w:rPr>
              <w:t>242</w:t>
            </w:r>
          </w:p>
        </w:tc>
        <w:tc>
          <w:tcPr>
            <w:tcW w:w="1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169" w:lineRule="exact"/>
              <w:rPr>
                <w:sz w:val="20"/>
                <w:szCs w:val="20"/>
                <w:color w:val="auto"/>
              </w:rPr>
            </w:pPr>
            <w:r>
              <w:rPr>
                <w:rFonts w:ascii="Calibri" w:cs="Calibri" w:eastAsia="Calibri" w:hAnsi="Calibri"/>
                <w:sz w:val="18"/>
                <w:szCs w:val="18"/>
                <w:color w:val="auto"/>
              </w:rPr>
              <w:t>75.98</w:t>
            </w:r>
          </w:p>
        </w:tc>
        <w:tc>
          <w:tcPr>
            <w:tcW w:w="80" w:type="dxa"/>
            <w:vAlign w:val="bottom"/>
          </w:tcPr>
          <w:p>
            <w:pPr>
              <w:spacing w:after="0"/>
              <w:rPr>
                <w:sz w:val="14"/>
                <w:szCs w:val="14"/>
                <w:color w:val="auto"/>
              </w:rPr>
            </w:pPr>
          </w:p>
        </w:tc>
      </w:tr>
      <w:tr>
        <w:trPr>
          <w:trHeight w:val="263"/>
        </w:trPr>
        <w:tc>
          <w:tcPr>
            <w:tcW w:w="4640" w:type="dxa"/>
            <w:vAlign w:val="bottom"/>
          </w:tcPr>
          <w:p>
            <w:pPr>
              <w:spacing w:after="0" w:line="263" w:lineRule="exact"/>
              <w:rPr>
                <w:sz w:val="20"/>
                <w:szCs w:val="20"/>
                <w:color w:val="auto"/>
              </w:rPr>
            </w:pPr>
            <w:r>
              <w:rPr>
                <w:rFonts w:ascii="Calibri" w:cs="Calibri" w:eastAsia="Calibri" w:hAnsi="Calibri"/>
                <w:sz w:val="18"/>
                <w:szCs w:val="18"/>
                <w:color w:val="auto"/>
              </w:rPr>
              <w:t>Performance-based adjustment</w:t>
            </w:r>
            <w:r>
              <w:rPr>
                <w:rFonts w:ascii="Calibri" w:cs="Calibri" w:eastAsia="Calibri" w:hAnsi="Calibri"/>
                <w:sz w:val="24"/>
                <w:szCs w:val="24"/>
                <w:color w:val="auto"/>
                <w:vertAlign w:val="superscript"/>
              </w:rPr>
              <w:t>(2)</w:t>
            </w:r>
          </w:p>
        </w:tc>
        <w:tc>
          <w:tcPr>
            <w:tcW w:w="116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8"/>
                <w:szCs w:val="18"/>
                <w:color w:val="auto"/>
              </w:rPr>
              <w:t>63</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67.27</w:t>
            </w:r>
          </w:p>
        </w:tc>
        <w:tc>
          <w:tcPr>
            <w:tcW w:w="80" w:type="dxa"/>
            <w:vAlign w:val="bottom"/>
          </w:tcPr>
          <w:p>
            <w:pPr>
              <w:spacing w:after="0"/>
              <w:rPr>
                <w:sz w:val="22"/>
                <w:szCs w:val="22"/>
                <w:color w:val="auto"/>
              </w:rPr>
            </w:pPr>
          </w:p>
        </w:tc>
      </w:tr>
      <w:tr>
        <w:trPr>
          <w:trHeight w:val="215"/>
        </w:trPr>
        <w:tc>
          <w:tcPr>
            <w:tcW w:w="4640" w:type="dxa"/>
            <w:vAlign w:val="bottom"/>
          </w:tcPr>
          <w:p>
            <w:pPr>
              <w:spacing w:after="0" w:line="215" w:lineRule="exact"/>
              <w:rPr>
                <w:sz w:val="20"/>
                <w:szCs w:val="20"/>
                <w:color w:val="auto"/>
              </w:rPr>
            </w:pPr>
            <w:r>
              <w:rPr>
                <w:rFonts w:ascii="Calibri" w:cs="Calibri" w:eastAsia="Calibri" w:hAnsi="Calibri"/>
                <w:sz w:val="18"/>
                <w:szCs w:val="18"/>
                <w:color w:val="auto"/>
              </w:rPr>
              <w:t>Exercised / Vested</w:t>
            </w:r>
          </w:p>
        </w:tc>
        <w:tc>
          <w:tcPr>
            <w:tcW w:w="11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(428 )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46.98</w:t>
            </w:r>
          </w:p>
        </w:tc>
        <w:tc>
          <w:tcPr>
            <w:tcW w:w="1300" w:type="dxa"/>
            <w:vAlign w:val="bottom"/>
            <w:gridSpan w:val="3"/>
          </w:tcPr>
          <w:p>
            <w:pPr>
              <w:jc w:val="right"/>
              <w:ind w:right="120"/>
              <w:spacing w:after="0" w:line="215" w:lineRule="exact"/>
              <w:rPr>
                <w:sz w:val="20"/>
                <w:szCs w:val="20"/>
                <w:color w:val="auto"/>
              </w:rPr>
            </w:pPr>
            <w:r>
              <w:rPr>
                <w:rFonts w:ascii="Calibri" w:cs="Calibri" w:eastAsia="Calibri" w:hAnsi="Calibri"/>
                <w:sz w:val="18"/>
                <w:szCs w:val="18"/>
                <w:color w:val="auto"/>
              </w:rPr>
              <w:t>(478 )</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42.32</w:t>
            </w:r>
          </w:p>
        </w:tc>
        <w:tc>
          <w:tcPr>
            <w:tcW w:w="8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Cancelled / Forfeited</w:t>
            </w:r>
          </w:p>
        </w:tc>
        <w:tc>
          <w:tcPr>
            <w:tcW w:w="11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(3 )</w:t>
            </w:r>
          </w:p>
        </w:tc>
        <w:tc>
          <w:tcPr>
            <w:tcW w:w="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74.40</w:t>
            </w:r>
          </w:p>
        </w:tc>
        <w:tc>
          <w:tcPr>
            <w:tcW w:w="1300" w:type="dxa"/>
            <w:vAlign w:val="bottom"/>
            <w:gridSpan w:val="3"/>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(42 )</w:t>
            </w:r>
          </w:p>
        </w:tc>
        <w:tc>
          <w:tcPr>
            <w:tcW w:w="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63.67</w:t>
            </w:r>
          </w:p>
        </w:tc>
        <w:tc>
          <w:tcPr>
            <w:tcW w:w="80" w:type="dxa"/>
            <w:vAlign w:val="bottom"/>
            <w:shd w:val="clear" w:color="auto" w:fill="CFF0FC"/>
          </w:tcPr>
          <w:p>
            <w:pPr>
              <w:spacing w:after="0"/>
              <w:rPr>
                <w:sz w:val="18"/>
                <w:szCs w:val="18"/>
                <w:color w:val="auto"/>
              </w:rPr>
            </w:pPr>
          </w:p>
        </w:tc>
      </w:tr>
      <w:tr>
        <w:trPr>
          <w:trHeight w:val="210"/>
        </w:trPr>
        <w:tc>
          <w:tcPr>
            <w:tcW w:w="4640" w:type="dxa"/>
            <w:vAlign w:val="bottom"/>
            <w:tcBorders>
              <w:top w:val="single" w:sz="8" w:color="CFF0FC"/>
            </w:tcBorders>
          </w:tcPr>
          <w:p>
            <w:pPr>
              <w:spacing w:after="0" w:line="210" w:lineRule="exact"/>
              <w:rPr>
                <w:sz w:val="20"/>
                <w:szCs w:val="20"/>
                <w:color w:val="auto"/>
              </w:rPr>
            </w:pPr>
            <w:r>
              <w:rPr>
                <w:rFonts w:ascii="Calibri" w:cs="Calibri" w:eastAsia="Calibri" w:hAnsi="Calibri"/>
                <w:sz w:val="17"/>
                <w:szCs w:val="17"/>
                <w:color w:val="auto"/>
              </w:rPr>
              <w:t>Outstanding at September 30, 2024</w:t>
            </w:r>
            <w:r>
              <w:rPr>
                <w:rFonts w:ascii="Calibri" w:cs="Calibri" w:eastAsia="Calibri" w:hAnsi="Calibri"/>
                <w:sz w:val="22"/>
                <w:szCs w:val="22"/>
                <w:color w:val="auto"/>
                <w:vertAlign w:val="superscript"/>
              </w:rPr>
              <w:t>(3)</w:t>
            </w:r>
          </w:p>
        </w:tc>
        <w:tc>
          <w:tcPr>
            <w:tcW w:w="9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1,384</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CFF0FC"/>
            </w:tcBorders>
          </w:tcPr>
          <w:p>
            <w:pPr>
              <w:jc w:val="right"/>
              <w:spacing w:after="0" w:line="210" w:lineRule="exact"/>
              <w:rPr>
                <w:sz w:val="20"/>
                <w:szCs w:val="20"/>
                <w:color w:val="auto"/>
              </w:rPr>
            </w:pPr>
            <w:r>
              <w:rPr>
                <w:rFonts w:ascii="Calibri" w:cs="Calibri" w:eastAsia="Calibri" w:hAnsi="Calibri"/>
                <w:sz w:val="18"/>
                <w:szCs w:val="18"/>
                <w:color w:val="auto"/>
              </w:rPr>
              <w:t>56.65</w:t>
            </w:r>
          </w:p>
        </w:tc>
        <w:tc>
          <w:tcPr>
            <w:tcW w:w="1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723</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CFF0FC"/>
            </w:tcBorders>
          </w:tcPr>
          <w:p>
            <w:pPr>
              <w:jc w:val="right"/>
              <w:spacing w:after="0" w:line="210" w:lineRule="exact"/>
              <w:rPr>
                <w:sz w:val="20"/>
                <w:szCs w:val="20"/>
                <w:color w:val="auto"/>
              </w:rPr>
            </w:pPr>
            <w:r>
              <w:rPr>
                <w:rFonts w:ascii="Calibri" w:cs="Calibri" w:eastAsia="Calibri" w:hAnsi="Calibri"/>
                <w:sz w:val="18"/>
                <w:szCs w:val="18"/>
                <w:color w:val="auto"/>
              </w:rPr>
              <w:t>70.25</w:t>
            </w:r>
          </w:p>
        </w:tc>
        <w:tc>
          <w:tcPr>
            <w:tcW w:w="80" w:type="dxa"/>
            <w:vAlign w:val="bottom"/>
            <w:tcBorders>
              <w:top w:val="single" w:sz="8" w:color="CFF0FC"/>
            </w:tcBorders>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640" w:type="dxa"/>
            <w:vAlign w:val="bottom"/>
            <w:shd w:val="clear" w:color="auto" w:fill="CFF0FC"/>
          </w:tcPr>
          <w:p>
            <w:pPr>
              <w:spacing w:after="0" w:line="196" w:lineRule="exact"/>
              <w:rPr>
                <w:sz w:val="20"/>
                <w:szCs w:val="20"/>
                <w:color w:val="auto"/>
              </w:rPr>
            </w:pPr>
            <w:r>
              <w:rPr>
                <w:rFonts w:ascii="Calibri" w:cs="Calibri" w:eastAsia="Calibri" w:hAnsi="Calibri"/>
                <w:sz w:val="18"/>
                <w:szCs w:val="18"/>
                <w:color w:val="auto"/>
              </w:rPr>
              <w:t>Exercisable at September 30, 2024</w:t>
            </w:r>
          </w:p>
        </w:tc>
        <w:tc>
          <w:tcPr>
            <w:tcW w:w="96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1,011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51.63</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-719455</wp:posOffset>
            </wp:positionV>
            <wp:extent cx="5700395"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-307975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-307975</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ind w:left="520" w:right="160" w:hanging="512"/>
        <w:spacing w:after="0" w:line="201" w:lineRule="auto"/>
        <w:tabs>
          <w:tab w:leader="none" w:pos="520" w:val="left"/>
        </w:tabs>
        <w:numPr>
          <w:ilvl w:val="0"/>
          <w:numId w:val="20"/>
        </w:numPr>
        <w:rPr>
          <w:rFonts w:ascii="Calibri" w:cs="Calibri" w:eastAsia="Calibri" w:hAnsi="Calibri"/>
          <w:sz w:val="24"/>
          <w:szCs w:val="24"/>
          <w:color w:val="auto"/>
          <w:vertAlign w:val="superscript"/>
        </w:rPr>
      </w:pPr>
      <w:r>
        <w:rPr>
          <w:rFonts w:ascii="Calibri" w:cs="Calibri" w:eastAsia="Calibri" w:hAnsi="Calibri"/>
          <w:sz w:val="18"/>
          <w:szCs w:val="18"/>
          <w:color w:val="auto"/>
        </w:rPr>
        <w:t>Unvested stock optons were approximately 373,000 and 469,000 at September 30, 2024 and 2023 and their weighted average grant date fair values were $70.24 and $57.92, respectvely.</w:t>
      </w:r>
    </w:p>
    <w:p>
      <w:pPr>
        <w:spacing w:after="0" w:line="43" w:lineRule="exact"/>
        <w:rPr>
          <w:rFonts w:ascii="Calibri" w:cs="Calibri" w:eastAsia="Calibri" w:hAnsi="Calibri"/>
          <w:sz w:val="24"/>
          <w:szCs w:val="24"/>
          <w:color w:val="auto"/>
          <w:vertAlign w:val="superscript"/>
        </w:rPr>
      </w:pPr>
    </w:p>
    <w:p>
      <w:pPr>
        <w:ind w:left="520" w:right="200" w:hanging="512"/>
        <w:spacing w:after="0" w:line="201" w:lineRule="auto"/>
        <w:tabs>
          <w:tab w:leader="none" w:pos="520" w:val="left"/>
        </w:tabs>
        <w:numPr>
          <w:ilvl w:val="0"/>
          <w:numId w:val="20"/>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the net incremental number of shares issuable upon vestng of performance-based restricted stock units based on the Company’s actual fnancial performance metrics for fscal 2024.</w:t>
      </w:r>
    </w:p>
    <w:p>
      <w:pPr>
        <w:spacing w:after="0" w:line="43" w:lineRule="exact"/>
        <w:rPr>
          <w:rFonts w:ascii="Calibri" w:cs="Calibri" w:eastAsia="Calibri" w:hAnsi="Calibri"/>
          <w:sz w:val="24"/>
          <w:szCs w:val="24"/>
          <w:color w:val="auto"/>
          <w:vertAlign w:val="superscript"/>
        </w:rPr>
      </w:pPr>
    </w:p>
    <w:p>
      <w:pPr>
        <w:ind w:left="520" w:right="260" w:hanging="512"/>
        <w:spacing w:after="0" w:line="201" w:lineRule="auto"/>
        <w:tabs>
          <w:tab w:leader="none" w:pos="520" w:val="left"/>
        </w:tabs>
        <w:numPr>
          <w:ilvl w:val="0"/>
          <w:numId w:val="20"/>
        </w:numPr>
        <w:rPr>
          <w:rFonts w:ascii="Calibri" w:cs="Calibri" w:eastAsia="Calibri" w:hAnsi="Calibri"/>
          <w:sz w:val="24"/>
          <w:szCs w:val="24"/>
          <w:color w:val="auto"/>
          <w:vertAlign w:val="superscript"/>
        </w:rPr>
      </w:pPr>
      <w:r>
        <w:rPr>
          <w:rFonts w:ascii="Calibri" w:cs="Calibri" w:eastAsia="Calibri" w:hAnsi="Calibri"/>
          <w:sz w:val="18"/>
          <w:szCs w:val="18"/>
          <w:color w:val="auto"/>
        </w:rPr>
        <w:t>Stock optons outstanding include optons vested and expected to vest in the future and have a weighted average remaining contractual life of 5.88 years.</w:t>
      </w:r>
    </w:p>
    <w:p>
      <w:pPr>
        <w:spacing w:after="0" w:line="29" w:lineRule="exact"/>
        <w:rPr>
          <w:rFonts w:ascii="Calibri" w:cs="Calibri" w:eastAsia="Calibri" w:hAnsi="Calibri"/>
          <w:sz w:val="24"/>
          <w:szCs w:val="24"/>
          <w:color w:val="auto"/>
          <w:vertAlign w:val="superscript"/>
        </w:rPr>
      </w:pPr>
    </w:p>
    <w:p>
      <w:pPr>
        <w:ind w:left="520" w:right="280" w:hanging="512"/>
        <w:spacing w:after="0" w:line="201" w:lineRule="auto"/>
        <w:tabs>
          <w:tab w:leader="none" w:pos="520" w:val="left"/>
        </w:tabs>
        <w:numPr>
          <w:ilvl w:val="0"/>
          <w:numId w:val="20"/>
        </w:numPr>
        <w:rPr>
          <w:rFonts w:ascii="Calibri" w:cs="Calibri" w:eastAsia="Calibri" w:hAnsi="Calibri"/>
          <w:sz w:val="24"/>
          <w:szCs w:val="24"/>
          <w:color w:val="auto"/>
          <w:vertAlign w:val="superscript"/>
        </w:rPr>
      </w:pPr>
      <w:r>
        <w:rPr>
          <w:rFonts w:ascii="Calibri" w:cs="Calibri" w:eastAsia="Calibri" w:hAnsi="Calibri"/>
          <w:sz w:val="18"/>
          <w:szCs w:val="18"/>
          <w:color w:val="auto"/>
        </w:rPr>
        <w:t>The number granted represents the number of shares issuable upon vestng of tme-based restricted stock units and performance-based restricted stock units, assuming the Company performs at the target performance level in each year of the three-year performance period.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6" w:name="page67"/>
    <w:bookmarkEnd w:id="66"/>
    <w:p>
      <w:pPr>
        <w:ind w:left="260"/>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6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of September 30, 2024, the aggregate intrinsic value for all optons outstanding and optons exercisable was $76 million. The intrinsic value of optons exercised during fscal 2024, 2023 and 2022 was $17 million, $2 million and $4 million, respectvely, and the Company received cash of $20 million, $4 million and $6 million, respectvely, from these exercises. The Company recognized a tax beneft of $2 million in fscal 2024 and immaterial tax benefts in fscal 2023 and 2022 from the exercise of stock optons which were included in (Provision) beneft for income taxes within the Consolidated Statements of Operatons.</w:t>
      </w:r>
    </w:p>
    <w:p>
      <w:pPr>
        <w:spacing w:after="0" w:line="85" w:lineRule="exact"/>
        <w:rPr>
          <w:sz w:val="20"/>
          <w:szCs w:val="20"/>
          <w:color w:val="auto"/>
        </w:rPr>
      </w:pPr>
    </w:p>
    <w:p>
      <w:pPr>
        <w:ind w:right="80" w:firstLine="509"/>
        <w:spacing w:after="0"/>
        <w:rPr>
          <w:sz w:val="20"/>
          <w:szCs w:val="20"/>
          <w:color w:val="auto"/>
        </w:rPr>
      </w:pPr>
      <w:r>
        <w:rPr>
          <w:rFonts w:ascii="Calibri" w:cs="Calibri" w:eastAsia="Calibri" w:hAnsi="Calibri"/>
          <w:sz w:val="18"/>
          <w:szCs w:val="18"/>
          <w:color w:val="auto"/>
        </w:rPr>
        <w:t>The Company uses the Black-Scholes opton-pricing model to estmate the fair value of the optons at the grant date. The weighted average grant date fair values of optons granted during fscal 2024, 2023 and 2022 was $27.42, $26.28, and $15.95 per opton, respectvely. The fair values on the grant date were calculated using the following weighted-average assumptons: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10"/>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0"/>
        </w:trPr>
        <w:tc>
          <w:tcPr>
            <w:tcW w:w="53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5320" w:type="dxa"/>
            <w:vAlign w:val="bottom"/>
          </w:tcPr>
          <w:p>
            <w:pPr>
              <w:spacing w:after="0" w:line="195" w:lineRule="exact"/>
              <w:rPr>
                <w:sz w:val="20"/>
                <w:szCs w:val="20"/>
                <w:color w:val="auto"/>
              </w:rPr>
            </w:pPr>
            <w:r>
              <w:rPr>
                <w:rFonts w:ascii="Calibri" w:cs="Calibri" w:eastAsia="Calibri" w:hAnsi="Calibri"/>
                <w:sz w:val="18"/>
                <w:szCs w:val="18"/>
                <w:color w:val="auto"/>
              </w:rPr>
              <w:t>Expected stock price volatlity</w:t>
            </w:r>
          </w:p>
        </w:tc>
        <w:tc>
          <w:tcPr>
            <w:tcW w:w="700" w:type="dxa"/>
            <w:vAlign w:val="bottom"/>
          </w:tcPr>
          <w:p>
            <w:pPr>
              <w:spacing w:after="0"/>
              <w:rPr>
                <w:sz w:val="18"/>
                <w:szCs w:val="18"/>
                <w:color w:val="auto"/>
              </w:rPr>
            </w:pPr>
          </w:p>
        </w:tc>
        <w:tc>
          <w:tcPr>
            <w:tcW w:w="580" w:type="dxa"/>
            <w:vAlign w:val="bottom"/>
            <w:gridSpan w:val="2"/>
          </w:tcPr>
          <w:p>
            <w:pPr>
              <w:jc w:val="right"/>
              <w:ind w:right="80"/>
              <w:spacing w:after="0" w:line="214" w:lineRule="exact"/>
              <w:rPr>
                <w:sz w:val="20"/>
                <w:szCs w:val="20"/>
                <w:color w:val="auto"/>
              </w:rPr>
            </w:pPr>
            <w:r>
              <w:rPr>
                <w:rFonts w:ascii="Calibri" w:cs="Calibri" w:eastAsia="Calibri" w:hAnsi="Calibri"/>
                <w:sz w:val="18"/>
                <w:szCs w:val="18"/>
                <w:color w:val="auto"/>
              </w:rPr>
              <w:t>39 %</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line="214" w:lineRule="exact"/>
              <w:rPr>
                <w:sz w:val="20"/>
                <w:szCs w:val="20"/>
                <w:color w:val="auto"/>
              </w:rPr>
            </w:pPr>
            <w:r>
              <w:rPr>
                <w:rFonts w:ascii="Calibri" w:cs="Calibri" w:eastAsia="Calibri" w:hAnsi="Calibri"/>
                <w:sz w:val="18"/>
                <w:szCs w:val="18"/>
                <w:color w:val="auto"/>
              </w:rPr>
              <w:t>38 %</w:t>
            </w:r>
          </w:p>
        </w:tc>
        <w:tc>
          <w:tcPr>
            <w:tcW w:w="240" w:type="dxa"/>
            <w:vAlign w:val="bottom"/>
          </w:tcPr>
          <w:p>
            <w:pPr>
              <w:spacing w:after="0"/>
              <w:rPr>
                <w:sz w:val="18"/>
                <w:szCs w:val="18"/>
                <w:color w:val="auto"/>
              </w:rPr>
            </w:pPr>
          </w:p>
        </w:tc>
        <w:tc>
          <w:tcPr>
            <w:tcW w:w="940" w:type="dxa"/>
            <w:vAlign w:val="bottom"/>
            <w:gridSpan w:val="3"/>
          </w:tcPr>
          <w:p>
            <w:pPr>
              <w:jc w:val="right"/>
              <w:spacing w:after="0" w:line="214" w:lineRule="exact"/>
              <w:rPr>
                <w:sz w:val="20"/>
                <w:szCs w:val="20"/>
                <w:color w:val="auto"/>
              </w:rPr>
            </w:pPr>
            <w:r>
              <w:rPr>
                <w:rFonts w:ascii="Calibri" w:cs="Calibri" w:eastAsia="Calibri" w:hAnsi="Calibri"/>
                <w:sz w:val="18"/>
                <w:szCs w:val="18"/>
                <w:color w:val="auto"/>
              </w:rPr>
              <w:t>35 %</w:t>
            </w:r>
          </w:p>
        </w:tc>
      </w:tr>
      <w:tr>
        <w:trPr>
          <w:trHeight w:val="216"/>
        </w:trPr>
        <w:tc>
          <w:tcPr>
            <w:tcW w:w="5320" w:type="dxa"/>
            <w:vAlign w:val="bottom"/>
          </w:tcPr>
          <w:p>
            <w:pPr>
              <w:spacing w:after="0" w:line="215" w:lineRule="exact"/>
              <w:rPr>
                <w:sz w:val="20"/>
                <w:szCs w:val="20"/>
                <w:color w:val="auto"/>
              </w:rPr>
            </w:pPr>
            <w:r>
              <w:rPr>
                <w:rFonts w:ascii="Calibri" w:cs="Calibri" w:eastAsia="Calibri" w:hAnsi="Calibri"/>
                <w:sz w:val="18"/>
                <w:szCs w:val="18"/>
                <w:color w:val="auto"/>
              </w:rPr>
              <w:t>Risk free interest rate</w:t>
            </w:r>
          </w:p>
        </w:tc>
        <w:tc>
          <w:tcPr>
            <w:tcW w:w="700" w:type="dxa"/>
            <w:vAlign w:val="bottom"/>
          </w:tcPr>
          <w:p>
            <w:pPr>
              <w:spacing w:after="0"/>
              <w:rPr>
                <w:sz w:val="18"/>
                <w:szCs w:val="18"/>
                <w:color w:val="auto"/>
              </w:rPr>
            </w:pPr>
          </w:p>
        </w:tc>
        <w:tc>
          <w:tcPr>
            <w:tcW w:w="5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4.8 %</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4.0 %</w:t>
            </w:r>
          </w:p>
        </w:tc>
        <w:tc>
          <w:tcPr>
            <w:tcW w:w="240" w:type="dxa"/>
            <w:vAlign w:val="bottom"/>
          </w:tcPr>
          <w:p>
            <w:pPr>
              <w:spacing w:after="0"/>
              <w:rPr>
                <w:sz w:val="18"/>
                <w:szCs w:val="18"/>
                <w:color w:val="auto"/>
              </w:rPr>
            </w:pPr>
          </w:p>
        </w:tc>
        <w:tc>
          <w:tcPr>
            <w:tcW w:w="9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1.4 %</w:t>
            </w:r>
          </w:p>
        </w:tc>
      </w:tr>
      <w:tr>
        <w:trPr>
          <w:trHeight w:val="217"/>
        </w:trPr>
        <w:tc>
          <w:tcPr>
            <w:tcW w:w="53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Expected life of optons (years)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320" w:type="dxa"/>
            <w:vAlign w:val="bottom"/>
          </w:tcPr>
          <w:p>
            <w:pPr>
              <w:spacing w:after="0" w:line="215" w:lineRule="exact"/>
              <w:rPr>
                <w:sz w:val="20"/>
                <w:szCs w:val="20"/>
                <w:color w:val="auto"/>
              </w:rPr>
            </w:pPr>
            <w:r>
              <w:rPr>
                <w:rFonts w:ascii="Calibri" w:cs="Calibri" w:eastAsia="Calibri" w:hAnsi="Calibri"/>
                <w:sz w:val="18"/>
                <w:szCs w:val="18"/>
                <w:color w:val="auto"/>
              </w:rPr>
              <w:t>Expected annual dividends per year</w:t>
            </w:r>
          </w:p>
        </w:tc>
        <w:tc>
          <w:tcPr>
            <w:tcW w:w="700" w:type="dxa"/>
            <w:vAlign w:val="bottom"/>
          </w:tcPr>
          <w:p>
            <w:pPr>
              <w:jc w:val="right"/>
              <w:ind w:right="519"/>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1.60</w:t>
            </w:r>
          </w:p>
        </w:tc>
        <w:tc>
          <w:tcPr>
            <w:tcW w:w="22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1.48</w:t>
            </w:r>
          </w:p>
        </w:tc>
        <w:tc>
          <w:tcPr>
            <w:tcW w:w="20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-547370</wp:posOffset>
            </wp:positionV>
            <wp:extent cx="5700395"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21" w:lineRule="exact"/>
        <w:rPr>
          <w:sz w:val="20"/>
          <w:szCs w:val="20"/>
          <w:color w:val="auto"/>
        </w:rPr>
      </w:pPr>
    </w:p>
    <w:p>
      <w:pPr>
        <w:ind w:right="100" w:firstLine="509"/>
        <w:spacing w:after="0" w:line="258" w:lineRule="auto"/>
        <w:rPr>
          <w:sz w:val="20"/>
          <w:szCs w:val="20"/>
          <w:color w:val="auto"/>
        </w:rPr>
      </w:pPr>
      <w:r>
        <w:rPr>
          <w:rFonts w:ascii="Calibri" w:cs="Calibri" w:eastAsia="Calibri" w:hAnsi="Calibri"/>
          <w:sz w:val="17"/>
          <w:szCs w:val="17"/>
          <w:color w:val="auto"/>
        </w:rPr>
        <w:t>The expected stock price volatlity assumpton was determined using the historical volatlity of the Company’s common stock over the expected life of the opton. The expected term refects the antcipated tme period between the measurement date and the exercise date or post-vestng cancellaton date.</w:t>
      </w:r>
    </w:p>
    <w:p>
      <w:pPr>
        <w:spacing w:after="0" w:line="6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Restricted Stock Units</w:t>
      </w:r>
    </w:p>
    <w:p>
      <w:pPr>
        <w:spacing w:after="0" w:line="82" w:lineRule="exact"/>
        <w:rPr>
          <w:sz w:val="20"/>
          <w:szCs w:val="20"/>
          <w:color w:val="auto"/>
        </w:rPr>
      </w:pPr>
    </w:p>
    <w:p>
      <w:pPr>
        <w:ind w:right="300" w:firstLine="509"/>
        <w:spacing w:after="0" w:line="239" w:lineRule="auto"/>
        <w:rPr>
          <w:sz w:val="20"/>
          <w:szCs w:val="20"/>
          <w:color w:val="auto"/>
        </w:rPr>
      </w:pPr>
      <w:r>
        <w:rPr>
          <w:rFonts w:ascii="Calibri" w:cs="Calibri" w:eastAsia="Calibri" w:hAnsi="Calibri"/>
          <w:sz w:val="18"/>
          <w:szCs w:val="18"/>
          <w:color w:val="auto"/>
        </w:rPr>
        <w:t>The value of restricted stock unit awards is the closing stock price at the date of the grant. The weighted average grant date fair values of restricted stock unit awards granted during fscal 2024, 2023 and 2022 was $75.98, $73.68 and $58.72, respectvely. The intrinsic value of restricted stock units (meaning the fair value of the units on the date of vestng) that vested during fscal 2024, 2023 and 2022 was $37 million, $20 million and $13 million, respectvely.</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Supplemental 401(k) Plan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Cabot’s Deferred Compensaton and Supplemental Retrement Plan (“SERP 401(k)”) provides benefts to highly compensated employees when the retrement plan limits established under the Internal Revenue Code prevent them from receiving all of the Company matching and retrement contributons that would otherwise be provided under the qualifed 401(k) plan. The SERP 401(k) is non-qualifed and unfunded. Contributons under the SERP 401(k) are treated as if invested in Cabot common stock. The majority of the distributons made under the SERP 401(k) are required to be paid with shares of Cabot common stock. The remaining distributons, which relate to certain grandfathered accounts, will be paid in cash based on the market price of Cabot common stock at the tme of distributon. The aggregate value of the accounts that will be paid out in stock, which is equivalent to approximately 117,000 and 113,000 shares of Cabot common stock as of September 30, 2024 and 2023, respectvely, is refected at historic cost in stockholders’ equity, and the aggregate value of the accounts that will be paid in cash, which was immaterial as of September 30, 2024 and 2023, was included in Other liabilites in the Consolidated Balance Sheets and marked-to-market quarterly.</w:t>
      </w:r>
    </w:p>
    <w:p>
      <w:pPr>
        <w:spacing w:after="0" w:line="8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O. Restructuring</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2024 Reorganizatons</w:t>
      </w:r>
    </w:p>
    <w:p>
      <w:pPr>
        <w:spacing w:after="0" w:line="6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During the frst quarter of fscal 2024, the Company initated restructuring actvites in both its Reinforcement Materials segment (“RM Plan”) and its Performance Chemicals segment (“PC Plan”). Under the RM Plan, the Company closed its reinforcing carbons unit at the facility in Tianjin, China that the Company acquired from Tokai Carbon Group in February 2022, consolidatng its reinforcing carbons operatons and reducing ongoing operatonal costs. Under the PC Plan, the Company has temporarily idled its aerogel manufacturing plant in Frankfurt, Germany and reorganized certain positons within the Performance Chemicals segment to reduce operatng costs. Although the Frankfurt facility is idled, the Company contnues its eforts to commercialize aerogel for use in thermal insulaton for electric vehicles. During fscal 2024, the Company recorded charges of $13 million primarily for severance related costs and accelerated depreciaton as part of these plans. The Company expects to record additonal restructuring charges of $1 million related to these plans through fscal 2025.</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7" w:name="page68"/>
    <w:bookmarkEnd w:id="67"/>
    <w:p>
      <w:pPr>
        <w:ind w:left="760"/>
        <w:spacing w:after="0"/>
        <w:rPr>
          <w:sz w:val="20"/>
          <w:szCs w:val="20"/>
          <w:color w:val="auto"/>
        </w:rPr>
      </w:pPr>
      <w:r>
        <w:rPr>
          <w:rFonts w:ascii="Calibri" w:cs="Calibri" w:eastAsia="Calibri" w:hAnsi="Calibri"/>
          <w:sz w:val="18"/>
          <w:szCs w:val="18"/>
          <w:color w:val="auto"/>
        </w:rPr>
        <w:t>Details of the 2024 Reorganizaton restructuring actvites and the related reserves for fscal 2024 are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Severance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9"/>
              </w:rPr>
              <w:t>and</w:t>
            </w:r>
          </w:p>
        </w:tc>
        <w:tc>
          <w:tcPr>
            <w:tcW w:w="1120" w:type="dxa"/>
            <w:vAlign w:val="bottom"/>
            <w:gridSpan w:val="3"/>
          </w:tcPr>
          <w:p>
            <w:pPr>
              <w:jc w:val="center"/>
              <w:ind w:right="148"/>
              <w:spacing w:after="0"/>
              <w:rPr>
                <w:sz w:val="20"/>
                <w:szCs w:val="20"/>
                <w:color w:val="auto"/>
              </w:rPr>
            </w:pPr>
            <w:r>
              <w:rPr>
                <w:rFonts w:ascii="Calibri" w:cs="Calibri" w:eastAsia="Calibri" w:hAnsi="Calibri"/>
                <w:sz w:val="14"/>
                <w:szCs w:val="14"/>
                <w:b w:val="1"/>
                <w:bCs w:val="1"/>
                <w:color w:val="auto"/>
              </w:rPr>
              <w:t>Accelerated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Employee</w:t>
            </w:r>
          </w:p>
        </w:tc>
        <w:tc>
          <w:tcPr>
            <w:tcW w:w="1120" w:type="dxa"/>
            <w:vAlign w:val="bottom"/>
            <w:gridSpan w:val="3"/>
          </w:tcPr>
          <w:p>
            <w:pPr>
              <w:jc w:val="center"/>
              <w:ind w:right="148"/>
              <w:spacing w:after="0"/>
              <w:rPr>
                <w:sz w:val="20"/>
                <w:szCs w:val="20"/>
                <w:color w:val="auto"/>
              </w:rPr>
            </w:pPr>
            <w:r>
              <w:rPr>
                <w:rFonts w:ascii="Calibri" w:cs="Calibri" w:eastAsia="Calibri" w:hAnsi="Calibri"/>
                <w:sz w:val="14"/>
                <w:szCs w:val="14"/>
                <w:b w:val="1"/>
                <w:bCs w:val="1"/>
                <w:color w:val="auto"/>
              </w:rPr>
              <w:t>Depreciatons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8"/>
              <w:spacing w:after="0"/>
              <w:rPr>
                <w:sz w:val="20"/>
                <w:szCs w:val="20"/>
                <w:color w:val="auto"/>
              </w:rPr>
            </w:pPr>
            <w:r>
              <w:rPr>
                <w:rFonts w:ascii="Calibri" w:cs="Calibri" w:eastAsia="Calibri" w:hAnsi="Calibri"/>
                <w:sz w:val="14"/>
                <w:szCs w:val="14"/>
                <w:b w:val="1"/>
                <w:bCs w:val="1"/>
                <w:color w:val="auto"/>
              </w:rPr>
              <w:t>Benefts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5"/>
              <w:spacing w:after="0"/>
              <w:rPr>
                <w:sz w:val="20"/>
                <w:szCs w:val="20"/>
                <w:color w:val="auto"/>
              </w:rPr>
            </w:pPr>
            <w:r>
              <w:rPr>
                <w:rFonts w:ascii="Calibri" w:cs="Calibri" w:eastAsia="Calibri" w:hAnsi="Calibri"/>
                <w:sz w:val="14"/>
                <w:szCs w:val="14"/>
                <w:b w:val="1"/>
                <w:bCs w:val="1"/>
                <w:color w:val="auto"/>
              </w:rPr>
              <w:t>on Assets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Calibri" w:cs="Calibri" w:eastAsia="Calibri" w:hAnsi="Calibri"/>
                <w:sz w:val="14"/>
                <w:szCs w:val="14"/>
                <w:b w:val="1"/>
                <w:bCs w:val="1"/>
                <w:color w:val="auto"/>
              </w:rPr>
              <w:t>Other</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Calibri" w:cs="Calibri" w:eastAsia="Calibri" w:hAnsi="Calibri"/>
                <w:sz w:val="14"/>
                <w:szCs w:val="14"/>
                <w:b w:val="1"/>
                <w:bCs w:val="1"/>
                <w:color w:val="auto"/>
              </w:rPr>
              <w:t>Total</w:t>
            </w:r>
          </w:p>
        </w:tc>
        <w:tc>
          <w:tcPr>
            <w:tcW w:w="80" w:type="dxa"/>
            <w:vAlign w:val="bottom"/>
          </w:tcPr>
          <w:p>
            <w:pPr>
              <w:spacing w:after="0"/>
              <w:rPr>
                <w:sz w:val="16"/>
                <w:szCs w:val="16"/>
                <w:color w:val="auto"/>
              </w:rPr>
            </w:pPr>
          </w:p>
        </w:tc>
      </w:tr>
      <w:tr>
        <w:trPr>
          <w:trHeight w:val="173"/>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5"/>
              <w:spacing w:after="0"/>
              <w:rPr>
                <w:sz w:val="20"/>
                <w:szCs w:val="20"/>
                <w:color w:val="auto"/>
              </w:rPr>
            </w:pPr>
            <w:r>
              <w:rPr>
                <w:rFonts w:ascii="Calibri" w:cs="Calibri" w:eastAsia="Calibri" w:hAnsi="Calibri"/>
                <w:sz w:val="14"/>
                <w:szCs w:val="14"/>
                <w:b w:val="1"/>
                <w:bCs w:val="1"/>
                <w:color w:val="auto"/>
              </w:rPr>
              <w:t>(In</w:t>
            </w:r>
          </w:p>
        </w:tc>
        <w:tc>
          <w:tcPr>
            <w:tcW w:w="4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75"/>
              </w:rPr>
              <w:t>millions)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9"/>
        </w:trPr>
        <w:tc>
          <w:tcPr>
            <w:tcW w:w="46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Reserve at September 30, 2023</w:t>
            </w: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shd w:val="clear" w:color="auto" w:fill="CFF0FC"/>
          </w:tcPr>
          <w:p>
            <w:pPr>
              <w:jc w:val="right"/>
              <w:ind w:right="220"/>
              <w:spacing w:after="0" w:line="217"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FF0FC"/>
          </w:tcPr>
          <w:p>
            <w:pPr>
              <w:jc w:val="right"/>
              <w:ind w:right="128"/>
              <w:spacing w:after="0" w:line="217"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840" w:type="dxa"/>
            <w:vAlign w:val="bottom"/>
            <w:gridSpan w:val="2"/>
            <w:shd w:val="clear" w:color="auto" w:fill="CFF0FC"/>
          </w:tcPr>
          <w:p>
            <w:pPr>
              <w:jc w:val="right"/>
              <w:ind w:right="200"/>
              <w:spacing w:after="0" w:line="217"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jc w:val="right"/>
              <w:ind w:right="10"/>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gridSpan w:val="2"/>
            <w:shd w:val="clear" w:color="auto" w:fill="CFF0FC"/>
          </w:tcPr>
          <w:p>
            <w:pPr>
              <w:jc w:val="right"/>
              <w:ind w:right="100"/>
              <w:spacing w:after="0" w:line="217" w:lineRule="exact"/>
              <w:rPr>
                <w:sz w:val="20"/>
                <w:szCs w:val="20"/>
                <w:color w:val="auto"/>
              </w:rPr>
            </w:pPr>
            <w:r>
              <w:rPr>
                <w:rFonts w:ascii="Calibri" w:cs="Calibri" w:eastAsia="Calibri" w:hAnsi="Calibri"/>
                <w:sz w:val="18"/>
                <w:szCs w:val="18"/>
                <w:color w:val="auto"/>
              </w:rPr>
              <w:t>—</w:t>
            </w:r>
          </w:p>
        </w:tc>
      </w:tr>
      <w:tr>
        <w:trPr>
          <w:trHeight w:val="215"/>
        </w:trPr>
        <w:tc>
          <w:tcPr>
            <w:tcW w:w="4680" w:type="dxa"/>
            <w:vAlign w:val="bottom"/>
          </w:tcPr>
          <w:p>
            <w:pPr>
              <w:ind w:left="180"/>
              <w:spacing w:after="0" w:line="215" w:lineRule="exact"/>
              <w:rPr>
                <w:sz w:val="20"/>
                <w:szCs w:val="20"/>
                <w:color w:val="auto"/>
              </w:rPr>
            </w:pPr>
            <w:r>
              <w:rPr>
                <w:rFonts w:ascii="Calibri" w:cs="Calibri" w:eastAsia="Calibri" w:hAnsi="Calibri"/>
                <w:sz w:val="18"/>
                <w:szCs w:val="18"/>
                <w:color w:val="auto"/>
              </w:rPr>
              <w:t>Charges</w:t>
            </w:r>
          </w:p>
        </w:tc>
        <w:tc>
          <w:tcPr>
            <w:tcW w:w="1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80" w:type="dxa"/>
            <w:vAlign w:val="bottom"/>
          </w:tcPr>
          <w:p>
            <w:pPr>
              <w:spacing w:after="0"/>
              <w:rPr>
                <w:sz w:val="18"/>
                <w:szCs w:val="18"/>
                <w:color w:val="auto"/>
              </w:rPr>
            </w:pPr>
          </w:p>
        </w:tc>
      </w:tr>
      <w:tr>
        <w:trPr>
          <w:trHeight w:val="217"/>
        </w:trPr>
        <w:tc>
          <w:tcPr>
            <w:tcW w:w="468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Costs charged against assets</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8"/>
              <w:spacing w:after="0" w:line="216" w:lineRule="exact"/>
              <w:rPr>
                <w:sz w:val="20"/>
                <w:szCs w:val="20"/>
                <w:color w:val="auto"/>
              </w:rPr>
            </w:pPr>
            <w:r>
              <w:rPr>
                <w:rFonts w:ascii="Calibri" w:cs="Calibri" w:eastAsia="Calibri" w:hAnsi="Calibri"/>
                <w:sz w:val="18"/>
                <w:szCs w:val="18"/>
                <w:color w:val="auto"/>
              </w:rPr>
              <w:t>(6 )</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(6 )</w:t>
            </w:r>
          </w:p>
        </w:tc>
      </w:tr>
      <w:tr>
        <w:trPr>
          <w:trHeight w:val="215"/>
        </w:trPr>
        <w:tc>
          <w:tcPr>
            <w:tcW w:w="4680" w:type="dxa"/>
            <w:vAlign w:val="bottom"/>
          </w:tcPr>
          <w:p>
            <w:pPr>
              <w:ind w:left="180"/>
              <w:spacing w:after="0" w:line="215" w:lineRule="exact"/>
              <w:rPr>
                <w:sz w:val="20"/>
                <w:szCs w:val="20"/>
                <w:color w:val="auto"/>
              </w:rPr>
            </w:pPr>
            <w:r>
              <w:rPr>
                <w:rFonts w:ascii="Calibri" w:cs="Calibri" w:eastAsia="Calibri" w:hAnsi="Calibri"/>
                <w:sz w:val="18"/>
                <w:szCs w:val="18"/>
                <w:color w:val="auto"/>
              </w:rPr>
              <w:t>Cash paid</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(5 )</w:t>
            </w:r>
          </w:p>
        </w:tc>
        <w:tc>
          <w:tcPr>
            <w:tcW w:w="140" w:type="dxa"/>
            <w:vAlign w:val="bottom"/>
          </w:tcPr>
          <w:p>
            <w:pPr>
              <w:spacing w:after="0"/>
              <w:rPr>
                <w:sz w:val="18"/>
                <w:szCs w:val="18"/>
                <w:color w:val="auto"/>
              </w:rPr>
            </w:pPr>
          </w:p>
        </w:tc>
        <w:tc>
          <w:tcPr>
            <w:tcW w:w="98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(6 )</w:t>
            </w:r>
          </w:p>
        </w:tc>
      </w:tr>
      <w:tr>
        <w:trPr>
          <w:trHeight w:val="250"/>
        </w:trPr>
        <w:tc>
          <w:tcPr>
            <w:tcW w:w="4680" w:type="dxa"/>
            <w:vAlign w:val="bottom"/>
            <w:tcBorders>
              <w:bottom w:val="single" w:sz="8" w:color="CFF0FC"/>
            </w:tcBorders>
            <w:shd w:val="clear" w:color="auto" w:fill="CFF0FC"/>
          </w:tcPr>
          <w:p>
            <w:pPr>
              <w:spacing w:after="0" w:line="210" w:lineRule="exact"/>
              <w:rPr>
                <w:sz w:val="20"/>
                <w:szCs w:val="20"/>
                <w:color w:val="auto"/>
              </w:rPr>
            </w:pPr>
            <w:r>
              <w:rPr>
                <w:rFonts w:ascii="Calibri" w:cs="Calibri" w:eastAsia="Calibri" w:hAnsi="Calibri"/>
                <w:sz w:val="18"/>
                <w:szCs w:val="18"/>
                <w:color w:val="auto"/>
              </w:rPr>
              <w:t>Reserve at September 30, 2024</w:t>
            </w:r>
          </w:p>
        </w:tc>
        <w:tc>
          <w:tcPr>
            <w:tcW w:w="1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596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514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Cabot’s restructuring reserves are refected in Accounts payable and accrued liabilites on the Company’s Consolidated Balance Sheets.</w:t>
      </w:r>
    </w:p>
    <w:p>
      <w:pPr>
        <w:spacing w:after="0" w:line="64"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Cabot’s restructuring actvites were recorded in the Consolidated Statements of Operatons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110"/>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5320" w:type="dxa"/>
            <w:vAlign w:val="bottom"/>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7"/>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5"/>
                <w:szCs w:val="15"/>
                <w:color w:val="auto"/>
              </w:rPr>
            </w:pPr>
          </w:p>
        </w:tc>
      </w:tr>
      <w:tr>
        <w:trPr>
          <w:trHeight w:val="169"/>
        </w:trPr>
        <w:tc>
          <w:tcPr>
            <w:tcW w:w="5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17"/>
              <w:spacing w:after="0" w:line="169"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32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Cost of sales</w:t>
            </w:r>
          </w:p>
        </w:tc>
        <w:tc>
          <w:tcPr>
            <w:tcW w:w="780" w:type="dxa"/>
            <w:vAlign w:val="bottom"/>
            <w:shd w:val="clear" w:color="auto" w:fill="CFF0FC"/>
          </w:tcPr>
          <w:p>
            <w:pPr>
              <w:jc w:val="right"/>
              <w:ind w:right="596"/>
              <w:spacing w:after="0" w:line="217" w:lineRule="exact"/>
              <w:rPr>
                <w:sz w:val="20"/>
                <w:szCs w:val="20"/>
                <w:color w:val="auto"/>
              </w:rPr>
            </w:pPr>
            <w:r>
              <w:rPr>
                <w:rFonts w:ascii="Calibri" w:cs="Calibri" w:eastAsia="Calibri" w:hAnsi="Calibri"/>
                <w:sz w:val="18"/>
                <w:szCs w:val="18"/>
                <w:color w:val="auto"/>
                <w:w w:val="87"/>
              </w:rPr>
              <w:t>$</w:t>
            </w:r>
          </w:p>
        </w:tc>
        <w:tc>
          <w:tcPr>
            <w:tcW w:w="2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12</w:t>
            </w:r>
          </w:p>
        </w:tc>
        <w:tc>
          <w:tcPr>
            <w:tcW w:w="34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4</w:t>
            </w:r>
          </w:p>
        </w:tc>
        <w:tc>
          <w:tcPr>
            <w:tcW w:w="440" w:type="dxa"/>
            <w:vAlign w:val="bottom"/>
            <w:gridSpan w:val="2"/>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FF0FC"/>
          </w:tcPr>
          <w:p>
            <w:pPr>
              <w:spacing w:after="0"/>
              <w:rPr>
                <w:sz w:val="19"/>
                <w:szCs w:val="19"/>
                <w:color w:val="auto"/>
              </w:rPr>
            </w:pPr>
          </w:p>
        </w:tc>
      </w:tr>
      <w:tr>
        <w:trPr>
          <w:trHeight w:val="215"/>
        </w:trPr>
        <w:tc>
          <w:tcPr>
            <w:tcW w:w="5320" w:type="dxa"/>
            <w:vAlign w:val="bottom"/>
          </w:tcPr>
          <w:p>
            <w:pPr>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ind w:left="180"/>
              <w:spacing w:after="0" w:line="210" w:lineRule="exact"/>
              <w:rPr>
                <w:sz w:val="20"/>
                <w:szCs w:val="20"/>
                <w:color w:val="auto"/>
              </w:rPr>
            </w:pPr>
            <w:r>
              <w:rPr>
                <w:rFonts w:ascii="Calibri" w:cs="Calibri" w:eastAsia="Calibri" w:hAnsi="Calibri"/>
                <w:sz w:val="18"/>
                <w:szCs w:val="18"/>
                <w:color w:val="auto"/>
              </w:rPr>
              <w:t>Total</w:t>
            </w:r>
          </w:p>
        </w:tc>
        <w:tc>
          <w:tcPr>
            <w:tcW w:w="780" w:type="dxa"/>
            <w:vAlign w:val="bottom"/>
            <w:tcBorders>
              <w:bottom w:val="single" w:sz="8" w:color="auto"/>
            </w:tcBorders>
            <w:shd w:val="clear" w:color="auto" w:fill="CFF0FC"/>
          </w:tcPr>
          <w:p>
            <w:pPr>
              <w:jc w:val="right"/>
              <w:ind w:right="596"/>
              <w:spacing w:after="0" w:line="210" w:lineRule="exact"/>
              <w:rPr>
                <w:sz w:val="20"/>
                <w:szCs w:val="20"/>
                <w:color w:val="auto"/>
              </w:rPr>
            </w:pPr>
            <w:r>
              <w:rPr>
                <w:rFonts w:ascii="Calibri" w:cs="Calibri" w:eastAsia="Calibri" w:hAnsi="Calibri"/>
                <w:sz w:val="18"/>
                <w:szCs w:val="18"/>
                <w:color w:val="auto"/>
                <w:w w:val="87"/>
              </w:rPr>
              <w:t>$</w:t>
            </w:r>
          </w:p>
        </w:tc>
        <w:tc>
          <w:tcPr>
            <w:tcW w:w="2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596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P. Accumulated Other Comprehensive Income (Loss)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each component of AOCI, net of tax, are as follows for fscal 2024 and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ind w:right="22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Currency</w:t>
            </w:r>
          </w:p>
        </w:tc>
        <w:tc>
          <w:tcPr>
            <w:tcW w:w="16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Translaton</w:t>
            </w:r>
          </w:p>
        </w:tc>
        <w:tc>
          <w:tcPr>
            <w:tcW w:w="16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Adjustment</w:t>
            </w:r>
          </w:p>
        </w:tc>
        <w:tc>
          <w:tcPr>
            <w:tcW w:w="16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Adjustment</w:t>
            </w:r>
          </w:p>
        </w:tc>
        <w:tc>
          <w:tcPr>
            <w:tcW w:w="300" w:type="dxa"/>
            <w:vAlign w:val="bottom"/>
          </w:tcPr>
          <w:p>
            <w:pPr>
              <w:spacing w:after="0"/>
              <w:rPr>
                <w:sz w:val="16"/>
                <w:szCs w:val="16"/>
                <w:color w:val="auto"/>
              </w:rPr>
            </w:pPr>
          </w:p>
        </w:tc>
        <w:tc>
          <w:tcPr>
            <w:tcW w:w="1120" w:type="dxa"/>
            <w:vAlign w:val="bottom"/>
            <w:gridSpan w:val="2"/>
          </w:tcPr>
          <w:p>
            <w:pPr>
              <w:jc w:val="right"/>
              <w:ind w:right="6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36"/>
              <w:spacing w:after="0"/>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Balance at September 30, 2022 atributable to</w:t>
            </w:r>
          </w:p>
        </w:tc>
        <w:tc>
          <w:tcPr>
            <w:tcW w:w="1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8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Cabot Corporaton</w:t>
            </w:r>
          </w:p>
        </w:tc>
        <w:tc>
          <w:tcPr>
            <w:tcW w:w="20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(429 )</w:t>
            </w:r>
          </w:p>
        </w:tc>
        <w:tc>
          <w:tcPr>
            <w:tcW w:w="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(10 )</w:t>
            </w:r>
          </w:p>
        </w:tc>
        <w:tc>
          <w:tcPr>
            <w:tcW w:w="30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(439 )</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Amounts reclassifed from AOCI</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(4 )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194"/>
        </w:trPr>
        <w:tc>
          <w:tcPr>
            <w:tcW w:w="4880" w:type="dxa"/>
            <w:vAlign w:val="bottom"/>
          </w:tcPr>
          <w:p>
            <w:pPr>
              <w:ind w:left="20"/>
              <w:spacing w:after="0" w:line="194" w:lineRule="exact"/>
              <w:rPr>
                <w:sz w:val="20"/>
                <w:szCs w:val="20"/>
                <w:color w:val="auto"/>
              </w:rPr>
            </w:pPr>
            <w:r>
              <w:rPr>
                <w:rFonts w:ascii="Calibri" w:cs="Calibri" w:eastAsia="Calibri" w:hAnsi="Calibri"/>
                <w:sz w:val="18"/>
                <w:szCs w:val="18"/>
                <w:color w:val="auto"/>
              </w:rPr>
              <w:t>Less: Other comprehensive income (loss) atributable to</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restart"/>
          </w:tcPr>
          <w:p>
            <w:pPr>
              <w:jc w:val="right"/>
              <w:ind w:right="260"/>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6"/>
                <w:szCs w:val="16"/>
                <w:color w:val="auto"/>
              </w:rPr>
            </w:pPr>
          </w:p>
        </w:tc>
        <w:tc>
          <w:tcPr>
            <w:tcW w:w="1120" w:type="dxa"/>
            <w:vAlign w:val="bottom"/>
            <w:gridSpan w:val="2"/>
            <w:vMerge w:val="restart"/>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880" w:type="dxa"/>
            <w:vAlign w:val="bottom"/>
            <w:shd w:val="clear" w:color="auto" w:fill="CFF0FC"/>
          </w:tcPr>
          <w:p>
            <w:pPr>
              <w:ind w:left="20"/>
              <w:spacing w:after="0" w:line="192" w:lineRule="exact"/>
              <w:rPr>
                <w:sz w:val="20"/>
                <w:szCs w:val="20"/>
                <w:color w:val="auto"/>
              </w:rPr>
            </w:pPr>
            <w:r>
              <w:rPr>
                <w:rFonts w:ascii="Calibri" w:cs="Calibri" w:eastAsia="Calibri" w:hAnsi="Calibri"/>
                <w:sz w:val="18"/>
                <w:szCs w:val="18"/>
                <w:color w:val="auto"/>
              </w:rPr>
              <w:t>Balance at September 30, 2023 atributable to</w:t>
            </w:r>
          </w:p>
        </w:tc>
        <w:tc>
          <w:tcPr>
            <w:tcW w:w="17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8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Cabot Corporaton</w:t>
            </w:r>
          </w:p>
        </w:tc>
        <w:tc>
          <w:tcPr>
            <w:tcW w:w="1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(353 )</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(9 )</w:t>
            </w:r>
          </w:p>
        </w:tc>
        <w:tc>
          <w:tcPr>
            <w:tcW w:w="3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(362 )</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(5 )</w:t>
            </w: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Amounts reclassifed from AOCI</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(2 )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(4 )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194"/>
        </w:trPr>
        <w:tc>
          <w:tcPr>
            <w:tcW w:w="4880" w:type="dxa"/>
            <w:vAlign w:val="bottom"/>
          </w:tcPr>
          <w:p>
            <w:pPr>
              <w:ind w:left="20"/>
              <w:spacing w:after="0" w:line="194" w:lineRule="exact"/>
              <w:rPr>
                <w:sz w:val="20"/>
                <w:szCs w:val="20"/>
                <w:color w:val="auto"/>
              </w:rPr>
            </w:pPr>
            <w:r>
              <w:rPr>
                <w:rFonts w:ascii="Calibri" w:cs="Calibri" w:eastAsia="Calibri" w:hAnsi="Calibri"/>
                <w:sz w:val="18"/>
                <w:szCs w:val="18"/>
                <w:color w:val="auto"/>
              </w:rPr>
              <w:t>Less: Other comprehensive income (loss) atributable to</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880" w:type="dxa"/>
            <w:vAlign w:val="bottom"/>
            <w:shd w:val="clear" w:color="auto" w:fill="CFF0FC"/>
          </w:tcPr>
          <w:p>
            <w:pPr>
              <w:ind w:left="20"/>
              <w:spacing w:after="0" w:line="192" w:lineRule="exact"/>
              <w:rPr>
                <w:sz w:val="20"/>
                <w:szCs w:val="20"/>
                <w:color w:val="auto"/>
              </w:rPr>
            </w:pPr>
            <w:r>
              <w:rPr>
                <w:rFonts w:ascii="Calibri" w:cs="Calibri" w:eastAsia="Calibri" w:hAnsi="Calibri"/>
                <w:sz w:val="18"/>
                <w:szCs w:val="18"/>
                <w:color w:val="auto"/>
              </w:rPr>
              <w:t>Balance at September 30, 2024 atributable to</w:t>
            </w:r>
          </w:p>
        </w:tc>
        <w:tc>
          <w:tcPr>
            <w:tcW w:w="200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138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(342 )</w:t>
            </w:r>
          </w:p>
        </w:tc>
        <w:tc>
          <w:tcPr>
            <w:tcW w:w="1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400" w:type="dxa"/>
            <w:vAlign w:val="bottom"/>
            <w:gridSpan w:val="2"/>
            <w:vMerge w:val="restart"/>
            <w:shd w:val="clear" w:color="auto" w:fill="CFF0FC"/>
          </w:tcPr>
          <w:p>
            <w:pPr>
              <w:jc w:val="right"/>
              <w:ind w:right="180"/>
              <w:spacing w:after="0"/>
              <w:rPr>
                <w:sz w:val="20"/>
                <w:szCs w:val="20"/>
                <w:color w:val="auto"/>
              </w:rPr>
            </w:pPr>
            <w:r>
              <w:rPr>
                <w:rFonts w:ascii="Calibri" w:cs="Calibri" w:eastAsia="Calibri" w:hAnsi="Calibri"/>
                <w:sz w:val="18"/>
                <w:szCs w:val="18"/>
                <w:color w:val="auto"/>
              </w:rPr>
              <w:t>(18 )</w:t>
            </w:r>
          </w:p>
        </w:tc>
        <w:tc>
          <w:tcPr>
            <w:tcW w:w="300" w:type="dxa"/>
            <w:vAlign w:val="bottom"/>
            <w:vMerge w:val="restart"/>
            <w:shd w:val="clear" w:color="auto" w:fill="CFF0FC"/>
          </w:tcPr>
          <w:p>
            <w:pPr>
              <w:jc w:val="right"/>
              <w:ind w:right="110"/>
              <w:spacing w:after="0"/>
              <w:rPr>
                <w:sz w:val="20"/>
                <w:szCs w:val="20"/>
                <w:color w:val="auto"/>
              </w:rPr>
            </w:pPr>
            <w:r>
              <w:rPr>
                <w:rFonts w:ascii="Calibri" w:cs="Calibri" w:eastAsia="Calibri" w:hAnsi="Calibri"/>
                <w:sz w:val="18"/>
                <w:szCs w:val="18"/>
                <w:color w:val="auto"/>
                <w:w w:val="87"/>
              </w:rPr>
              <w:t>$</w:t>
            </w:r>
          </w:p>
        </w:tc>
        <w:tc>
          <w:tcPr>
            <w:tcW w:w="112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(360 )</w:t>
            </w:r>
          </w:p>
        </w:tc>
        <w:tc>
          <w:tcPr>
            <w:tcW w:w="0" w:type="dxa"/>
            <w:vAlign w:val="bottom"/>
          </w:tcPr>
          <w:p>
            <w:pPr>
              <w:spacing w:after="0"/>
              <w:rPr>
                <w:sz w:val="1"/>
                <w:szCs w:val="1"/>
                <w:color w:val="auto"/>
              </w:rPr>
            </w:pPr>
          </w:p>
        </w:tc>
      </w:tr>
      <w:tr>
        <w:trPr>
          <w:trHeight w:val="238"/>
        </w:trPr>
        <w:tc>
          <w:tcPr>
            <w:tcW w:w="4880" w:type="dxa"/>
            <w:vAlign w:val="bottom"/>
            <w:shd w:val="clear" w:color="auto" w:fill="CFF0FC"/>
          </w:tcPr>
          <w:p>
            <w:pPr>
              <w:ind w:left="140"/>
              <w:spacing w:after="0" w:line="198" w:lineRule="exact"/>
              <w:rPr>
                <w:sz w:val="20"/>
                <w:szCs w:val="20"/>
                <w:color w:val="auto"/>
              </w:rPr>
            </w:pPr>
            <w:r>
              <w:rPr>
                <w:rFonts w:ascii="Calibri" w:cs="Calibri" w:eastAsia="Calibri" w:hAnsi="Calibri"/>
                <w:sz w:val="18"/>
                <w:szCs w:val="18"/>
                <w:color w:val="auto"/>
              </w:rPr>
              <w:t>Cabot Corporaton</w:t>
            </w:r>
          </w:p>
        </w:tc>
        <w:tc>
          <w:tcPr>
            <w:tcW w:w="2000" w:type="dxa"/>
            <w:vAlign w:val="bottom"/>
            <w:gridSpan w:val="2"/>
            <w:vMerge w:val="continue"/>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160" w:type="dxa"/>
            <w:vAlign w:val="bottom"/>
            <w:vMerge w:val="continue"/>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05"/>
        </w:trPr>
        <w:tc>
          <w:tcPr>
            <w:tcW w:w="4880" w:type="dxa"/>
            <w:vAlign w:val="bottom"/>
            <w:tcBorders>
              <w:top w:val="single" w:sz="8" w:color="CFF0FC"/>
            </w:tcBorders>
          </w:tcPr>
          <w:p>
            <w:pPr>
              <w:spacing w:after="0"/>
              <w:rPr>
                <w:sz w:val="24"/>
                <w:szCs w:val="24"/>
                <w:color w:val="auto"/>
              </w:rPr>
            </w:pPr>
          </w:p>
        </w:tc>
        <w:tc>
          <w:tcPr>
            <w:tcW w:w="1780" w:type="dxa"/>
            <w:vAlign w:val="bottom"/>
            <w:tcBorders>
              <w:top w:val="single" w:sz="8" w:color="CFF0FC"/>
            </w:tcBorders>
          </w:tcPr>
          <w:p>
            <w:pPr>
              <w:jc w:val="right"/>
              <w:ind w:right="850"/>
              <w:spacing w:after="0"/>
              <w:rPr>
                <w:sz w:val="20"/>
                <w:szCs w:val="20"/>
                <w:color w:val="auto"/>
              </w:rPr>
            </w:pPr>
            <w:r>
              <w:rPr>
                <w:rFonts w:ascii="Calibri" w:cs="Calibri" w:eastAsia="Calibri" w:hAnsi="Calibri"/>
                <w:sz w:val="18"/>
                <w:szCs w:val="18"/>
                <w:color w:val="auto"/>
              </w:rPr>
              <w:t>68</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48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-933450</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-916305</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-933450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-916305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68" w:name="page69"/>
    <w:bookmarkEnd w:id="68"/>
    <w:p>
      <w:pPr>
        <w:ind w:left="520"/>
        <w:spacing w:after="0"/>
        <w:rPr>
          <w:sz w:val="20"/>
          <w:szCs w:val="20"/>
          <w:color w:val="auto"/>
        </w:rPr>
      </w:pPr>
      <w:r>
        <w:rPr>
          <w:rFonts w:ascii="Calibri" w:cs="Calibri" w:eastAsia="Calibri" w:hAnsi="Calibri"/>
          <w:sz w:val="18"/>
          <w:szCs w:val="18"/>
          <w:color w:val="auto"/>
        </w:rPr>
        <w:t>The amounts reclassifed out of AOCI and into the Consolidated Statements of Operatons for fscal 2024, 2023 and 2022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Afected Line Item in the Consolidated</w:t>
            </w: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spacing w:after="0"/>
              <w:rPr>
                <w:sz w:val="20"/>
                <w:szCs w:val="20"/>
                <w:color w:val="auto"/>
              </w:rPr>
            </w:pPr>
            <w:r>
              <w:rPr>
                <w:rFonts w:ascii="Calibri" w:cs="Calibri" w:eastAsia="Calibri" w:hAnsi="Calibri"/>
                <w:sz w:val="14"/>
                <w:szCs w:val="14"/>
                <w:b w:val="1"/>
                <w:bCs w:val="1"/>
                <w:color w:val="auto"/>
              </w:rPr>
              <w:t>Years Ended September 30</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4780" w:type="dxa"/>
            <w:vAlign w:val="bottom"/>
          </w:tcPr>
          <w:p>
            <w:pPr>
              <w:spacing w:after="0"/>
              <w:rPr>
                <w:sz w:val="14"/>
                <w:szCs w:val="14"/>
                <w:color w:val="auto"/>
              </w:rPr>
            </w:pPr>
          </w:p>
        </w:tc>
        <w:tc>
          <w:tcPr>
            <w:tcW w:w="2620" w:type="dxa"/>
            <w:vAlign w:val="bottom"/>
            <w:gridSpan w:val="2"/>
          </w:tcPr>
          <w:p>
            <w:pPr>
              <w:jc w:val="center"/>
              <w:ind w:right="100"/>
              <w:spacing w:after="0" w:line="156" w:lineRule="exact"/>
              <w:rPr>
                <w:sz w:val="20"/>
                <w:szCs w:val="20"/>
                <w:color w:val="auto"/>
              </w:rPr>
            </w:pPr>
            <w:r>
              <w:rPr>
                <w:rFonts w:ascii="Calibri" w:cs="Calibri" w:eastAsia="Calibri" w:hAnsi="Calibri"/>
                <w:sz w:val="14"/>
                <w:szCs w:val="14"/>
                <w:b w:val="1"/>
                <w:bCs w:val="1"/>
                <w:color w:val="auto"/>
              </w:rPr>
              <w:t>Statements of Operatons</w:t>
            </w:r>
          </w:p>
        </w:tc>
        <w:tc>
          <w:tcPr>
            <w:tcW w:w="26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r>
      <w:tr>
        <w:trPr>
          <w:trHeight w:val="172"/>
        </w:trPr>
        <w:tc>
          <w:tcPr>
            <w:tcW w:w="478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34"/>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478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Derivatves: net investment hedges</w:t>
            </w:r>
          </w:p>
        </w:tc>
        <w:tc>
          <w:tcPr>
            <w:tcW w:w="2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4"/>
        </w:trPr>
        <w:tc>
          <w:tcPr>
            <w:tcW w:w="4780" w:type="dxa"/>
            <w:vAlign w:val="bottom"/>
          </w:tcPr>
          <w:p>
            <w:pPr>
              <w:ind w:left="120"/>
              <w:spacing w:after="0" w:line="194" w:lineRule="exact"/>
              <w:rPr>
                <w:sz w:val="20"/>
                <w:szCs w:val="20"/>
                <w:color w:val="auto"/>
              </w:rPr>
            </w:pPr>
            <w:r>
              <w:rPr>
                <w:rFonts w:ascii="Calibri" w:cs="Calibri" w:eastAsia="Calibri" w:hAnsi="Calibri"/>
                <w:sz w:val="18"/>
                <w:szCs w:val="18"/>
                <w:color w:val="auto"/>
              </w:rPr>
              <w:t>(Gains) losses reclassifed to interest</w:t>
            </w: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780" w:type="dxa"/>
            <w:vAlign w:val="bottom"/>
          </w:tcPr>
          <w:p>
            <w:pPr>
              <w:ind w:left="240"/>
              <w:spacing w:after="0" w:line="215" w:lineRule="exact"/>
              <w:rPr>
                <w:sz w:val="20"/>
                <w:szCs w:val="20"/>
                <w:color w:val="auto"/>
              </w:rPr>
            </w:pPr>
            <w:r>
              <w:rPr>
                <w:rFonts w:ascii="Calibri" w:cs="Calibri" w:eastAsia="Calibri" w:hAnsi="Calibri"/>
                <w:sz w:val="18"/>
                <w:szCs w:val="18"/>
                <w:color w:val="auto"/>
              </w:rPr>
              <w:t>expense</w:t>
            </w:r>
          </w:p>
        </w:tc>
        <w:tc>
          <w:tcPr>
            <w:tcW w:w="262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color w:val="auto"/>
                <w:w w:val="96"/>
              </w:rPr>
              <w:t>Interest expense</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(6 )</w:t>
            </w:r>
          </w:p>
        </w:tc>
      </w:tr>
      <w:tr>
        <w:trPr>
          <w:trHeight w:val="23"/>
        </w:trPr>
        <w:tc>
          <w:tcPr>
            <w:tcW w:w="4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4780" w:type="dxa"/>
            <w:vAlign w:val="bottom"/>
            <w:shd w:val="clear" w:color="auto" w:fill="CFF0FC"/>
          </w:tcPr>
          <w:p>
            <w:pPr>
              <w:ind w:left="120"/>
              <w:spacing w:after="0" w:line="194" w:lineRule="exact"/>
              <w:rPr>
                <w:sz w:val="20"/>
                <w:szCs w:val="20"/>
                <w:color w:val="auto"/>
              </w:rPr>
            </w:pPr>
            <w:r>
              <w:rPr>
                <w:rFonts w:ascii="Calibri" w:cs="Calibri" w:eastAsia="Calibri" w:hAnsi="Calibri"/>
                <w:sz w:val="18"/>
                <w:szCs w:val="18"/>
                <w:color w:val="auto"/>
              </w:rPr>
              <w:t>(Gains) losses excluded from efectveness</w:t>
            </w:r>
          </w:p>
        </w:tc>
        <w:tc>
          <w:tcPr>
            <w:tcW w:w="2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4780" w:type="dxa"/>
            <w:vAlign w:val="bottom"/>
            <w:tcBorders>
              <w:bottom w:val="single" w:sz="8" w:color="CFF0FC"/>
            </w:tcBorders>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testng and amortzed to interest expense</w:t>
            </w:r>
          </w:p>
        </w:tc>
        <w:tc>
          <w:tcPr>
            <w:tcW w:w="2620" w:type="dxa"/>
            <w:vAlign w:val="bottom"/>
            <w:tcBorders>
              <w:bottom w:val="single" w:sz="8" w:color="CFF0FC"/>
            </w:tcBorders>
            <w:gridSpan w:val="2"/>
            <w:shd w:val="clear" w:color="auto" w:fill="CFF0FC"/>
          </w:tcPr>
          <w:p>
            <w:pPr>
              <w:jc w:val="center"/>
              <w:ind w:right="120"/>
              <w:spacing w:after="0" w:line="215" w:lineRule="exact"/>
              <w:rPr>
                <w:sz w:val="20"/>
                <w:szCs w:val="20"/>
                <w:color w:val="auto"/>
              </w:rPr>
            </w:pPr>
            <w:r>
              <w:rPr>
                <w:rFonts w:ascii="Calibri" w:cs="Calibri" w:eastAsia="Calibri" w:hAnsi="Calibri"/>
                <w:sz w:val="18"/>
                <w:szCs w:val="18"/>
                <w:color w:val="auto"/>
                <w:w w:val="96"/>
              </w:rPr>
              <w:t>Interest expense</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4780" w:type="dxa"/>
            <w:vAlign w:val="bottom"/>
          </w:tcPr>
          <w:p>
            <w:pPr>
              <w:ind w:left="20"/>
              <w:spacing w:after="0" w:line="194" w:lineRule="exact"/>
              <w:rPr>
                <w:sz w:val="20"/>
                <w:szCs w:val="20"/>
                <w:color w:val="auto"/>
              </w:rPr>
            </w:pPr>
            <w:r>
              <w:rPr>
                <w:rFonts w:ascii="Calibri" w:cs="Calibri" w:eastAsia="Calibri" w:hAnsi="Calibri"/>
                <w:sz w:val="18"/>
                <w:szCs w:val="18"/>
                <w:color w:val="auto"/>
              </w:rPr>
              <w:t>Release of current translaton adjustment</w:t>
            </w:r>
          </w:p>
        </w:tc>
        <w:tc>
          <w:tcPr>
            <w:tcW w:w="2620" w:type="dxa"/>
            <w:vAlign w:val="bottom"/>
            <w:gridSpan w:val="2"/>
          </w:tcPr>
          <w:p>
            <w:pPr>
              <w:jc w:val="center"/>
              <w:ind w:right="140"/>
              <w:spacing w:after="0" w:line="194" w:lineRule="exact"/>
              <w:rPr>
                <w:sz w:val="20"/>
                <w:szCs w:val="20"/>
                <w:color w:val="auto"/>
              </w:rPr>
            </w:pPr>
            <w:r>
              <w:rPr>
                <w:rFonts w:ascii="Calibri" w:cs="Calibri" w:eastAsia="Calibri" w:hAnsi="Calibri"/>
                <w:sz w:val="18"/>
                <w:szCs w:val="18"/>
                <w:color w:val="auto"/>
                <w:w w:val="97"/>
              </w:rPr>
              <w:t>Loss on sale of business and asset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780" w:type="dxa"/>
            <w:vAlign w:val="bottom"/>
          </w:tcPr>
          <w:p>
            <w:pPr>
              <w:spacing w:after="0"/>
              <w:rPr>
                <w:sz w:val="18"/>
                <w:szCs w:val="18"/>
                <w:color w:val="auto"/>
              </w:rPr>
            </w:pPr>
          </w:p>
        </w:tc>
        <w:tc>
          <w:tcPr>
            <w:tcW w:w="262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color w:val="auto"/>
                <w:w w:val="97"/>
              </w:rPr>
              <w:t>impairment charge</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Pr>
          <w:p>
            <w:pPr>
              <w:spacing w:after="0"/>
              <w:rPr>
                <w:sz w:val="18"/>
                <w:szCs w:val="18"/>
                <w:color w:val="auto"/>
              </w:rPr>
            </w:pPr>
          </w:p>
        </w:tc>
      </w:tr>
      <w:tr>
        <w:trPr>
          <w:trHeight w:val="23"/>
        </w:trPr>
        <w:tc>
          <w:tcPr>
            <w:tcW w:w="4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478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Pension and other postretrement beneft</w:t>
            </w:r>
          </w:p>
        </w:tc>
        <w:tc>
          <w:tcPr>
            <w:tcW w:w="2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478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liability adjustment</w:t>
            </w:r>
          </w:p>
        </w:tc>
        <w:tc>
          <w:tcPr>
            <w:tcW w:w="25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4780" w:type="dxa"/>
            <w:vAlign w:val="bottom"/>
          </w:tcPr>
          <w:p>
            <w:pPr>
              <w:ind w:left="120"/>
              <w:spacing w:after="0" w:line="194" w:lineRule="exact"/>
              <w:rPr>
                <w:sz w:val="20"/>
                <w:szCs w:val="20"/>
                <w:color w:val="auto"/>
              </w:rPr>
            </w:pPr>
            <w:r>
              <w:rPr>
                <w:rFonts w:ascii="Calibri" w:cs="Calibri" w:eastAsia="Calibri" w:hAnsi="Calibri"/>
                <w:sz w:val="18"/>
                <w:szCs w:val="18"/>
                <w:color w:val="auto"/>
              </w:rPr>
              <w:t>Release of actuarial losses and prior service cost</w:t>
            </w:r>
          </w:p>
        </w:tc>
        <w:tc>
          <w:tcPr>
            <w:tcW w:w="2620" w:type="dxa"/>
            <w:vAlign w:val="bottom"/>
            <w:gridSpan w:val="2"/>
          </w:tcPr>
          <w:p>
            <w:pPr>
              <w:jc w:val="center"/>
              <w:ind w:right="140"/>
              <w:spacing w:after="0" w:line="194" w:lineRule="exact"/>
              <w:rPr>
                <w:sz w:val="20"/>
                <w:szCs w:val="20"/>
                <w:color w:val="auto"/>
              </w:rPr>
            </w:pPr>
            <w:r>
              <w:rPr>
                <w:rFonts w:ascii="Calibri" w:cs="Calibri" w:eastAsia="Calibri" w:hAnsi="Calibri"/>
                <w:sz w:val="18"/>
                <w:szCs w:val="18"/>
                <w:color w:val="auto"/>
                <w:w w:val="97"/>
              </w:rPr>
              <w:t>Loss on sale of business and asset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780" w:type="dxa"/>
            <w:vAlign w:val="bottom"/>
          </w:tcPr>
          <w:p>
            <w:pPr>
              <w:ind w:left="240"/>
              <w:spacing w:after="0" w:line="215" w:lineRule="exact"/>
              <w:rPr>
                <w:sz w:val="20"/>
                <w:szCs w:val="20"/>
                <w:color w:val="auto"/>
              </w:rPr>
            </w:pPr>
            <w:r>
              <w:rPr>
                <w:rFonts w:ascii="Calibri" w:cs="Calibri" w:eastAsia="Calibri" w:hAnsi="Calibri"/>
                <w:sz w:val="18"/>
                <w:szCs w:val="18"/>
                <w:color w:val="auto"/>
              </w:rPr>
              <w:t>(credits)</w:t>
            </w:r>
          </w:p>
        </w:tc>
        <w:tc>
          <w:tcPr>
            <w:tcW w:w="262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color w:val="auto"/>
                <w:w w:val="97"/>
              </w:rPr>
              <w:t>impairment charge</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r>
      <w:tr>
        <w:trPr>
          <w:trHeight w:val="23"/>
        </w:trPr>
        <w:tc>
          <w:tcPr>
            <w:tcW w:w="4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4780" w:type="dxa"/>
            <w:vAlign w:val="bottom"/>
            <w:shd w:val="clear" w:color="auto" w:fill="CFF0FC"/>
          </w:tcPr>
          <w:p>
            <w:pPr>
              <w:ind w:left="120"/>
              <w:spacing w:after="0" w:line="194" w:lineRule="exact"/>
              <w:rPr>
                <w:sz w:val="20"/>
                <w:szCs w:val="20"/>
                <w:color w:val="auto"/>
              </w:rPr>
            </w:pPr>
            <w:r>
              <w:rPr>
                <w:rFonts w:ascii="Calibri" w:cs="Calibri" w:eastAsia="Calibri" w:hAnsi="Calibri"/>
                <w:sz w:val="18"/>
                <w:szCs w:val="18"/>
                <w:color w:val="auto"/>
              </w:rPr>
              <w:t>Amortzaton of actuarial losses and prior service</w:t>
            </w:r>
          </w:p>
        </w:tc>
        <w:tc>
          <w:tcPr>
            <w:tcW w:w="2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4780" w:type="dxa"/>
            <w:vAlign w:val="bottom"/>
            <w:tcBorders>
              <w:bottom w:val="single" w:sz="8" w:color="CFF0FC"/>
            </w:tcBorders>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cost (credit)</w:t>
            </w:r>
          </w:p>
        </w:tc>
        <w:tc>
          <w:tcPr>
            <w:tcW w:w="2620" w:type="dxa"/>
            <w:vAlign w:val="bottom"/>
            <w:tcBorders>
              <w:bottom w:val="single" w:sz="8" w:color="CFF0FC"/>
            </w:tcBorders>
            <w:gridSpan w:val="2"/>
            <w:shd w:val="clear" w:color="auto" w:fill="CFF0FC"/>
          </w:tcPr>
          <w:p>
            <w:pPr>
              <w:jc w:val="center"/>
              <w:ind w:right="100"/>
              <w:spacing w:after="0" w:line="215" w:lineRule="exact"/>
              <w:rPr>
                <w:sz w:val="20"/>
                <w:szCs w:val="20"/>
                <w:color w:val="auto"/>
              </w:rPr>
            </w:pPr>
            <w:r>
              <w:rPr>
                <w:rFonts w:ascii="Calibri" w:cs="Calibri" w:eastAsia="Calibri" w:hAnsi="Calibri"/>
                <w:sz w:val="18"/>
                <w:szCs w:val="18"/>
                <w:color w:val="auto"/>
                <w:w w:val="97"/>
              </w:rPr>
              <w:t>Other income (expense)</w:t>
            </w:r>
          </w:p>
        </w:tc>
        <w:tc>
          <w:tcPr>
            <w:tcW w:w="2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780" w:type="dxa"/>
            <w:vAlign w:val="bottom"/>
          </w:tcPr>
          <w:p>
            <w:pPr>
              <w:ind w:left="120"/>
              <w:spacing w:after="0" w:line="215" w:lineRule="exact"/>
              <w:rPr>
                <w:sz w:val="20"/>
                <w:szCs w:val="20"/>
                <w:color w:val="auto"/>
              </w:rPr>
            </w:pPr>
            <w:r>
              <w:rPr>
                <w:rFonts w:ascii="Calibri" w:cs="Calibri" w:eastAsia="Calibri" w:hAnsi="Calibri"/>
                <w:sz w:val="18"/>
                <w:szCs w:val="18"/>
                <w:color w:val="auto"/>
              </w:rPr>
              <w:t>Setlement and curtailment loss (gain)</w:t>
            </w:r>
          </w:p>
        </w:tc>
        <w:tc>
          <w:tcPr>
            <w:tcW w:w="262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color w:val="auto"/>
                <w:w w:val="97"/>
              </w:rPr>
              <w:t>Other income (expense)</w:t>
            </w:r>
          </w:p>
        </w:tc>
        <w:tc>
          <w:tcPr>
            <w:tcW w:w="26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0"/>
        </w:trPr>
        <w:tc>
          <w:tcPr>
            <w:tcW w:w="4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before tax</w:t>
            </w:r>
          </w:p>
        </w:tc>
        <w:tc>
          <w:tcPr>
            <w:tcW w:w="2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110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(5 )</w:t>
            </w:r>
          </w:p>
        </w:tc>
        <w:tc>
          <w:tcPr>
            <w:tcW w:w="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(6 )</w:t>
            </w:r>
          </w:p>
        </w:tc>
        <w:tc>
          <w:tcPr>
            <w:tcW w:w="24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31</w:t>
            </w:r>
          </w:p>
        </w:tc>
        <w:tc>
          <w:tcPr>
            <w:tcW w:w="100" w:type="dxa"/>
            <w:vAlign w:val="bottom"/>
            <w:shd w:val="clear" w:color="auto" w:fill="CFF0FC"/>
          </w:tcPr>
          <w:p>
            <w:pPr>
              <w:spacing w:after="0"/>
              <w:rPr>
                <w:sz w:val="21"/>
                <w:szCs w:val="21"/>
                <w:color w:val="auto"/>
              </w:rPr>
            </w:pPr>
          </w:p>
        </w:tc>
      </w:tr>
      <w:tr>
        <w:trPr>
          <w:trHeight w:val="605"/>
        </w:trPr>
        <w:tc>
          <w:tcPr>
            <w:tcW w:w="4780" w:type="dxa"/>
            <w:vAlign w:val="bottom"/>
            <w:tcBorders>
              <w:top w:val="single" w:sz="8" w:color="CFF0FC"/>
            </w:tcBorders>
          </w:tcPr>
          <w:p>
            <w:pPr>
              <w:spacing w:after="0"/>
              <w:rPr>
                <w:sz w:val="24"/>
                <w:szCs w:val="24"/>
                <w:color w:val="auto"/>
              </w:rPr>
            </w:pPr>
          </w:p>
        </w:tc>
        <w:tc>
          <w:tcPr>
            <w:tcW w:w="2500" w:type="dxa"/>
            <w:vAlign w:val="bottom"/>
            <w:tcBorders>
              <w:top w:val="single" w:sz="8" w:color="CFF0FC"/>
            </w:tcBorders>
          </w:tcPr>
          <w:p>
            <w:pPr>
              <w:jc w:val="right"/>
              <w:ind w:right="1473"/>
              <w:spacing w:after="0"/>
              <w:rPr>
                <w:sz w:val="20"/>
                <w:szCs w:val="20"/>
                <w:color w:val="auto"/>
              </w:rPr>
            </w:pPr>
            <w:r>
              <w:rPr>
                <w:rFonts w:ascii="Calibri" w:cs="Calibri" w:eastAsia="Calibri" w:hAnsi="Calibri"/>
                <w:sz w:val="18"/>
                <w:szCs w:val="18"/>
                <w:color w:val="auto"/>
              </w:rPr>
              <w:t>69</w:t>
            </w: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86"/>
        </w:trPr>
        <w:tc>
          <w:tcPr>
            <w:tcW w:w="47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-933450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-916940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-916940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9" w:name="page70"/>
    <w:bookmarkEnd w:id="69"/>
    <w:p>
      <w:pPr>
        <w:spacing w:after="0"/>
        <w:rPr>
          <w:sz w:val="20"/>
          <w:szCs w:val="20"/>
          <w:color w:val="auto"/>
        </w:rPr>
      </w:pPr>
      <w:r>
        <w:rPr>
          <w:rFonts w:ascii="Calibri" w:cs="Calibri" w:eastAsia="Calibri" w:hAnsi="Calibri"/>
          <w:sz w:val="18"/>
          <w:szCs w:val="18"/>
          <w:b w:val="1"/>
          <w:bCs w:val="1"/>
          <w:color w:val="auto"/>
        </w:rPr>
        <w:t>Note Q. Earnings Per Share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tables summarize the components of the basic and diluted earnings per common share (“EPS”) computatons: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10"/>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5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5"/>
                <w:szCs w:val="15"/>
                <w:color w:val="auto"/>
              </w:rPr>
            </w:pPr>
          </w:p>
        </w:tc>
      </w:tr>
      <w:tr>
        <w:trPr>
          <w:trHeight w:val="169"/>
        </w:trPr>
        <w:tc>
          <w:tcPr>
            <w:tcW w:w="5320" w:type="dxa"/>
            <w:vAlign w:val="bottom"/>
          </w:tcPr>
          <w:p>
            <w:pPr>
              <w:spacing w:after="0"/>
              <w:rPr>
                <w:sz w:val="14"/>
                <w:szCs w:val="14"/>
                <w:color w:val="auto"/>
              </w:rPr>
            </w:pPr>
          </w:p>
        </w:tc>
        <w:tc>
          <w:tcPr>
            <w:tcW w:w="3660" w:type="dxa"/>
            <w:vAlign w:val="bottom"/>
            <w:gridSpan w:val="9"/>
          </w:tcPr>
          <w:p>
            <w:pPr>
              <w:ind w:left="620"/>
              <w:spacing w:after="0" w:line="169" w:lineRule="exact"/>
              <w:rPr>
                <w:sz w:val="20"/>
                <w:szCs w:val="20"/>
                <w:color w:val="auto"/>
              </w:rPr>
            </w:pPr>
            <w:r>
              <w:rPr>
                <w:rFonts w:ascii="Calibri" w:cs="Calibri" w:eastAsia="Calibri" w:hAnsi="Calibri"/>
                <w:sz w:val="14"/>
                <w:szCs w:val="14"/>
                <w:b w:val="1"/>
                <w:bCs w:val="1"/>
                <w:color w:val="auto"/>
              </w:rPr>
              <w:t>(In millions, except per share amounts)</w:t>
            </w:r>
          </w:p>
        </w:tc>
      </w:tr>
      <w:tr>
        <w:trPr>
          <w:trHeight w:val="219"/>
        </w:trPr>
        <w:tc>
          <w:tcPr>
            <w:tcW w:w="532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Basic EPS:</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32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720" w:type="dxa"/>
            <w:vAlign w:val="bottom"/>
          </w:tcPr>
          <w:p>
            <w:pPr>
              <w:jc w:val="right"/>
              <w:ind w:right="539"/>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380</w:t>
            </w:r>
          </w:p>
        </w:tc>
        <w:tc>
          <w:tcPr>
            <w:tcW w:w="46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445</w:t>
            </w:r>
          </w:p>
        </w:tc>
        <w:tc>
          <w:tcPr>
            <w:tcW w:w="4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209</w:t>
            </w:r>
          </w:p>
        </w:tc>
        <w:tc>
          <w:tcPr>
            <w:tcW w:w="80" w:type="dxa"/>
            <w:vAlign w:val="bottom"/>
          </w:tcPr>
          <w:p>
            <w:pPr>
              <w:spacing w:after="0"/>
              <w:rPr>
                <w:sz w:val="18"/>
                <w:szCs w:val="18"/>
                <w:color w:val="auto"/>
              </w:rPr>
            </w:pPr>
          </w:p>
        </w:tc>
      </w:tr>
      <w:tr>
        <w:trPr>
          <w:trHeight w:val="194"/>
        </w:trPr>
        <w:tc>
          <w:tcPr>
            <w:tcW w:w="5320" w:type="dxa"/>
            <w:vAlign w:val="bottom"/>
            <w:shd w:val="clear" w:color="auto" w:fill="CFF0FC"/>
          </w:tcPr>
          <w:p>
            <w:pPr>
              <w:ind w:left="180"/>
              <w:spacing w:after="0" w:line="194" w:lineRule="exact"/>
              <w:rPr>
                <w:sz w:val="20"/>
                <w:szCs w:val="20"/>
                <w:color w:val="auto"/>
              </w:rPr>
            </w:pPr>
            <w:r>
              <w:rPr>
                <w:rFonts w:ascii="Calibri" w:cs="Calibri" w:eastAsia="Calibri" w:hAnsi="Calibri"/>
                <w:sz w:val="18"/>
                <w:szCs w:val="18"/>
                <w:color w:val="auto"/>
              </w:rPr>
              <w:t>Less: Dividends and dividend equivalents to partcipatng</w:t>
            </w:r>
          </w:p>
        </w:tc>
        <w:tc>
          <w:tcPr>
            <w:tcW w:w="7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8"/>
        </w:trPr>
        <w:tc>
          <w:tcPr>
            <w:tcW w:w="53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69"/>
        </w:trPr>
        <w:tc>
          <w:tcPr>
            <w:tcW w:w="5320" w:type="dxa"/>
            <w:vAlign w:val="bottom"/>
          </w:tcPr>
          <w:p>
            <w:pPr>
              <w:ind w:left="180"/>
              <w:spacing w:after="0" w:line="169" w:lineRule="exact"/>
              <w:rPr>
                <w:sz w:val="20"/>
                <w:szCs w:val="20"/>
                <w:color w:val="auto"/>
              </w:rPr>
            </w:pPr>
            <w:r>
              <w:rPr>
                <w:rFonts w:ascii="Calibri" w:cs="Calibri" w:eastAsia="Calibri" w:hAnsi="Calibri"/>
                <w:sz w:val="18"/>
                <w:szCs w:val="18"/>
                <w:color w:val="auto"/>
              </w:rPr>
              <w:t>Less: Undistributed earnings allocated to partcipatng</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9"/>
        </w:trPr>
        <w:tc>
          <w:tcPr>
            <w:tcW w:w="5320" w:type="dxa"/>
            <w:vAlign w:val="bottom"/>
          </w:tcPr>
          <w:p>
            <w:pPr>
              <w:ind w:left="300"/>
              <w:spacing w:after="0" w:line="250" w:lineRule="exact"/>
              <w:rPr>
                <w:sz w:val="20"/>
                <w:szCs w:val="20"/>
                <w:color w:val="auto"/>
              </w:rPr>
            </w:pPr>
            <w:r>
              <w:rPr>
                <w:rFonts w:ascii="Calibri" w:cs="Calibri" w:eastAsia="Calibri" w:hAnsi="Calibri"/>
                <w:sz w:val="18"/>
                <w:szCs w:val="18"/>
                <w:color w:val="auto"/>
              </w:rPr>
              <w:t>securites</w:t>
            </w:r>
            <w:r>
              <w:rPr>
                <w:rFonts w:ascii="Calibri" w:cs="Calibri" w:eastAsia="Calibri" w:hAnsi="Calibri"/>
                <w:sz w:val="24"/>
                <w:szCs w:val="24"/>
                <w:color w:val="auto"/>
                <w:vertAlign w:val="superscript"/>
              </w:rPr>
              <w:t>(1)</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7</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21"/>
                <w:szCs w:val="21"/>
                <w:color w:val="auto"/>
              </w:rPr>
            </w:pPr>
          </w:p>
        </w:tc>
      </w:tr>
      <w:tr>
        <w:trPr>
          <w:trHeight w:val="249"/>
        </w:trPr>
        <w:tc>
          <w:tcPr>
            <w:tcW w:w="5320" w:type="dxa"/>
            <w:vAlign w:val="bottom"/>
            <w:tcBorders>
              <w:bottom w:val="single" w:sz="8" w:color="CFF0FC"/>
            </w:tcBorders>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Earnings (loss) allocated to common shareholders (numerator)</w:t>
            </w:r>
          </w:p>
        </w:tc>
        <w:tc>
          <w:tcPr>
            <w:tcW w:w="720" w:type="dxa"/>
            <w:vAlign w:val="bottom"/>
            <w:tcBorders>
              <w:bottom w:val="single" w:sz="8" w:color="auto"/>
            </w:tcBorders>
            <w:shd w:val="clear" w:color="auto" w:fill="CFF0FC"/>
          </w:tcPr>
          <w:p>
            <w:pPr>
              <w:jc w:val="right"/>
              <w:ind w:right="539"/>
              <w:spacing w:after="0" w:line="209"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374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437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596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p>
      <w:pPr>
        <w:spacing w:after="0" w:line="194" w:lineRule="exact"/>
        <w:rPr>
          <w:sz w:val="20"/>
          <w:szCs w:val="20"/>
          <w:color w:val="auto"/>
        </w:rPr>
      </w:pPr>
    </w:p>
    <w:p>
      <w:pPr>
        <w:ind w:left="1440" w:right="720" w:hanging="118"/>
        <w:spacing w:after="0" w:line="235" w:lineRule="auto"/>
        <w:rPr>
          <w:sz w:val="20"/>
          <w:szCs w:val="20"/>
          <w:color w:val="auto"/>
        </w:rPr>
      </w:pPr>
      <w:r>
        <w:rPr>
          <w:rFonts w:ascii="Calibri" w:cs="Calibri" w:eastAsia="Calibri" w:hAnsi="Calibri"/>
          <w:sz w:val="18"/>
          <w:szCs w:val="18"/>
          <w:color w:val="auto"/>
        </w:rPr>
        <w:t>Weighted average common shares and partcipatng securites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-258445</wp:posOffset>
            </wp:positionV>
            <wp:extent cx="5700395" cy="2743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320"/>
        <w:spacing w:after="0" w:line="218" w:lineRule="auto"/>
        <w:rPr>
          <w:sz w:val="20"/>
          <w:szCs w:val="20"/>
          <w:color w:val="auto"/>
        </w:rPr>
      </w:pPr>
      <w:r>
        <w:rPr>
          <w:rFonts w:ascii="Calibri" w:cs="Calibri" w:eastAsia="Calibri" w:hAnsi="Calibri"/>
          <w:sz w:val="18"/>
          <w:szCs w:val="18"/>
          <w:color w:val="auto"/>
        </w:rPr>
        <w:t>Less: Partcipatng securites</w:t>
      </w:r>
      <w:r>
        <w:rPr>
          <w:rFonts w:ascii="Calibri" w:cs="Calibri" w:eastAsia="Calibri" w:hAnsi="Calibri"/>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00395" cy="2743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320"/>
        <w:spacing w:after="0" w:line="196" w:lineRule="auto"/>
        <w:rPr>
          <w:sz w:val="20"/>
          <w:szCs w:val="20"/>
          <w:color w:val="auto"/>
        </w:rPr>
      </w:pPr>
      <w:r>
        <w:rPr>
          <w:rFonts w:ascii="Calibri" w:cs="Calibri" w:eastAsia="Calibri" w:hAnsi="Calibri"/>
          <w:sz w:val="18"/>
          <w:szCs w:val="18"/>
          <w:color w:val="auto"/>
        </w:rPr>
        <w:t>Adjusted weighted average common shares</w:t>
      </w:r>
    </w:p>
    <w:p>
      <w:pPr>
        <w:ind w:left="1440"/>
        <w:spacing w:after="0" w:line="236" w:lineRule="auto"/>
        <w:rPr>
          <w:sz w:val="20"/>
          <w:szCs w:val="20"/>
          <w:color w:val="auto"/>
        </w:rPr>
      </w:pPr>
      <w:r>
        <w:rPr>
          <w:rFonts w:ascii="Calibri" w:cs="Calibri" w:eastAsia="Calibri" w:hAnsi="Calibri"/>
          <w:sz w:val="18"/>
          <w:szCs w:val="18"/>
          <w:color w:val="auto"/>
        </w:rPr>
        <w:t>(denominator)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060" w:type="dxa"/>
            <w:vAlign w:val="bottom"/>
          </w:tcPr>
          <w:p>
            <w:pPr>
              <w:jc w:val="right"/>
              <w:spacing w:after="0"/>
              <w:rPr>
                <w:sz w:val="20"/>
                <w:szCs w:val="20"/>
                <w:color w:val="auto"/>
              </w:rPr>
            </w:pPr>
            <w:r>
              <w:rPr>
                <w:rFonts w:ascii="Calibri" w:cs="Calibri" w:eastAsia="Calibri" w:hAnsi="Calibri"/>
                <w:sz w:val="18"/>
                <w:szCs w:val="18"/>
                <w:color w:val="auto"/>
              </w:rPr>
              <w:t>56.0</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57.3</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57.4</w:t>
            </w:r>
          </w:p>
        </w:tc>
      </w:tr>
      <w:tr>
        <w:trPr>
          <w:trHeight w:val="216"/>
        </w:trPr>
        <w:tc>
          <w:tcPr>
            <w:tcW w:w="1060" w:type="dxa"/>
            <w:vAlign w:val="bottom"/>
          </w:tcPr>
          <w:p>
            <w:pPr>
              <w:jc w:val="right"/>
              <w:spacing w:after="0" w:line="216" w:lineRule="exact"/>
              <w:rPr>
                <w:sz w:val="20"/>
                <w:szCs w:val="20"/>
                <w:color w:val="auto"/>
              </w:rPr>
            </w:pPr>
            <w:r>
              <w:rPr>
                <w:rFonts w:ascii="Calibri" w:cs="Calibri" w:eastAsia="Calibri" w:hAnsi="Calibri"/>
                <w:sz w:val="18"/>
                <w:szCs w:val="18"/>
                <w:color w:val="auto"/>
              </w:rPr>
              <w:t>0.9</w:t>
            </w:r>
          </w:p>
        </w:tc>
        <w:tc>
          <w:tcPr>
            <w:tcW w:w="12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1.2</w:t>
            </w:r>
          </w:p>
        </w:tc>
        <w:tc>
          <w:tcPr>
            <w:tcW w:w="12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0.9</w:t>
            </w:r>
          </w:p>
        </w:tc>
      </w:tr>
      <w:tr>
        <w:trPr>
          <w:trHeight w:val="23"/>
        </w:trPr>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62"/>
        </w:trPr>
        <w:tc>
          <w:tcPr>
            <w:tcW w:w="1060" w:type="dxa"/>
            <w:vAlign w:val="bottom"/>
          </w:tcPr>
          <w:p>
            <w:pPr>
              <w:jc w:val="right"/>
              <w:spacing w:after="0"/>
              <w:rPr>
                <w:sz w:val="20"/>
                <w:szCs w:val="20"/>
                <w:color w:val="auto"/>
              </w:rPr>
            </w:pPr>
            <w:r>
              <w:rPr>
                <w:rFonts w:ascii="Calibri" w:cs="Calibri" w:eastAsia="Calibri" w:hAnsi="Calibri"/>
                <w:sz w:val="18"/>
                <w:szCs w:val="18"/>
                <w:color w:val="auto"/>
              </w:rPr>
              <w:t>55.1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56.1</w:t>
            </w:r>
          </w:p>
        </w:tc>
        <w:tc>
          <w:tcPr>
            <w:tcW w:w="1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56.5</w:t>
            </w:r>
          </w:p>
        </w:tc>
      </w:tr>
      <w:tr>
        <w:trPr>
          <w:trHeight w:val="23"/>
        </w:trPr>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720"/>
            <w:col w:w="4740"/>
          </w:cols>
          <w:pgMar w:left="320" w:top="1057" w:right="379" w:bottom="1440" w:gutter="0" w:footer="0" w:header="0"/>
          <w:type w:val="continuous"/>
        </w:sectPr>
      </w:pP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32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Per share amounts—basic:</w:t>
            </w: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32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6.79</w:t>
            </w:r>
          </w:p>
        </w:tc>
        <w:tc>
          <w:tcPr>
            <w:tcW w:w="64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7.79</w:t>
            </w:r>
          </w:p>
        </w:tc>
        <w:tc>
          <w:tcPr>
            <w:tcW w:w="60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3.65</w:t>
            </w:r>
          </w:p>
        </w:tc>
        <w:tc>
          <w:tcPr>
            <w:tcW w:w="80" w:type="dxa"/>
            <w:vAlign w:val="bottom"/>
          </w:tcPr>
          <w:p>
            <w:pPr>
              <w:spacing w:after="0"/>
              <w:rPr>
                <w:sz w:val="18"/>
                <w:szCs w:val="18"/>
                <w:color w:val="auto"/>
              </w:rPr>
            </w:pPr>
          </w:p>
        </w:tc>
      </w:tr>
      <w:tr>
        <w:trPr>
          <w:trHeight w:val="217"/>
        </w:trPr>
        <w:tc>
          <w:tcPr>
            <w:tcW w:w="5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5320" w:type="dxa"/>
            <w:vAlign w:val="bottom"/>
          </w:tcPr>
          <w:p>
            <w:pPr>
              <w:spacing w:after="0" w:line="215" w:lineRule="exact"/>
              <w:rPr>
                <w:sz w:val="20"/>
                <w:szCs w:val="20"/>
                <w:color w:val="auto"/>
              </w:rPr>
            </w:pPr>
            <w:r>
              <w:rPr>
                <w:rFonts w:ascii="Calibri" w:cs="Calibri" w:eastAsia="Calibri" w:hAnsi="Calibri"/>
                <w:sz w:val="18"/>
                <w:szCs w:val="18"/>
                <w:b w:val="1"/>
                <w:bCs w:val="1"/>
                <w:color w:val="auto"/>
              </w:rPr>
              <w:t>Diluted EPS: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53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Earnings (loss) allocated to common shareholders</w:t>
            </w:r>
          </w:p>
        </w:tc>
        <w:tc>
          <w:tcPr>
            <w:tcW w:w="420" w:type="dxa"/>
            <w:vAlign w:val="bottom"/>
            <w:shd w:val="clear" w:color="auto" w:fill="CFF0FC"/>
          </w:tcPr>
          <w:p>
            <w:pPr>
              <w:jc w:val="right"/>
              <w:ind w:right="230"/>
              <w:spacing w:after="0" w:line="216"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374</w:t>
            </w:r>
          </w:p>
        </w:tc>
        <w:tc>
          <w:tcPr>
            <w:tcW w:w="640" w:type="dxa"/>
            <w:vAlign w:val="bottom"/>
            <w:gridSpan w:val="2"/>
            <w:shd w:val="clear" w:color="auto" w:fill="CFF0FC"/>
          </w:tcPr>
          <w:p>
            <w:pPr>
              <w:jc w:val="right"/>
              <w:ind w:right="320"/>
              <w:spacing w:after="0" w:line="216"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437</w:t>
            </w:r>
          </w:p>
        </w:tc>
        <w:tc>
          <w:tcPr>
            <w:tcW w:w="600" w:type="dxa"/>
            <w:vAlign w:val="bottom"/>
            <w:gridSpan w:val="2"/>
            <w:shd w:val="clear" w:color="auto" w:fill="CFF0FC"/>
          </w:tcPr>
          <w:p>
            <w:pPr>
              <w:jc w:val="right"/>
              <w:ind w:right="300"/>
              <w:spacing w:after="0" w:line="216"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206</w:t>
            </w:r>
          </w:p>
        </w:tc>
        <w:tc>
          <w:tcPr>
            <w:tcW w:w="80" w:type="dxa"/>
            <w:vAlign w:val="bottom"/>
            <w:shd w:val="clear" w:color="auto" w:fill="CFF0FC"/>
          </w:tcPr>
          <w:p>
            <w:pPr>
              <w:spacing w:after="0"/>
              <w:rPr>
                <w:sz w:val="18"/>
                <w:szCs w:val="18"/>
                <w:color w:val="auto"/>
              </w:rPr>
            </w:pPr>
          </w:p>
        </w:tc>
      </w:tr>
      <w:tr>
        <w:trPr>
          <w:trHeight w:val="215"/>
        </w:trPr>
        <w:tc>
          <w:tcPr>
            <w:tcW w:w="5320" w:type="dxa"/>
            <w:vAlign w:val="bottom"/>
          </w:tcPr>
          <w:p>
            <w:pPr>
              <w:ind w:left="180"/>
              <w:spacing w:after="0" w:line="215" w:lineRule="exact"/>
              <w:rPr>
                <w:sz w:val="20"/>
                <w:szCs w:val="20"/>
                <w:color w:val="auto"/>
              </w:rPr>
            </w:pPr>
            <w:r>
              <w:rPr>
                <w:rFonts w:ascii="Calibri" w:cs="Calibri" w:eastAsia="Calibri" w:hAnsi="Calibri"/>
                <w:sz w:val="18"/>
                <w:szCs w:val="18"/>
                <w:color w:val="auto"/>
              </w:rPr>
              <w:t>Plus: Earnings allocated to partcipatng securites</w:t>
            </w:r>
          </w:p>
        </w:tc>
        <w:tc>
          <w:tcPr>
            <w:tcW w:w="4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80" w:type="dxa"/>
            <w:vAlign w:val="bottom"/>
          </w:tcPr>
          <w:p>
            <w:pPr>
              <w:spacing w:after="0"/>
              <w:rPr>
                <w:sz w:val="18"/>
                <w:szCs w:val="18"/>
                <w:color w:val="auto"/>
              </w:rPr>
            </w:pPr>
          </w:p>
        </w:tc>
      </w:tr>
      <w:tr>
        <w:trPr>
          <w:trHeight w:val="170"/>
        </w:trPr>
        <w:tc>
          <w:tcPr>
            <w:tcW w:w="5320" w:type="dxa"/>
            <w:vAlign w:val="bottom"/>
            <w:shd w:val="clear" w:color="auto" w:fill="CFF0FC"/>
          </w:tcPr>
          <w:p>
            <w:pPr>
              <w:ind w:left="180"/>
              <w:spacing w:after="0" w:line="170" w:lineRule="exact"/>
              <w:rPr>
                <w:sz w:val="20"/>
                <w:szCs w:val="20"/>
                <w:color w:val="auto"/>
              </w:rPr>
            </w:pPr>
            <w:r>
              <w:rPr>
                <w:rFonts w:ascii="Calibri" w:cs="Calibri" w:eastAsia="Calibri" w:hAnsi="Calibri"/>
                <w:sz w:val="18"/>
                <w:szCs w:val="18"/>
                <w:color w:val="auto"/>
              </w:rPr>
              <w:t>Less: Adjusted earnings allocated to partcipatng</w:t>
            </w:r>
          </w:p>
        </w:tc>
        <w:tc>
          <w:tcPr>
            <w:tcW w:w="4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49"/>
        </w:trPr>
        <w:tc>
          <w:tcPr>
            <w:tcW w:w="5320" w:type="dxa"/>
            <w:vAlign w:val="bottom"/>
            <w:tcBorders>
              <w:bottom w:val="single" w:sz="8" w:color="CFF0FC"/>
            </w:tcBorders>
            <w:shd w:val="clear" w:color="auto" w:fill="CFF0FC"/>
          </w:tcPr>
          <w:p>
            <w:pPr>
              <w:ind w:left="300"/>
              <w:spacing w:after="0" w:line="250" w:lineRule="exact"/>
              <w:rPr>
                <w:sz w:val="20"/>
                <w:szCs w:val="20"/>
                <w:color w:val="auto"/>
              </w:rPr>
            </w:pPr>
            <w:r>
              <w:rPr>
                <w:rFonts w:ascii="Calibri" w:cs="Calibri" w:eastAsia="Calibri" w:hAnsi="Calibri"/>
                <w:sz w:val="18"/>
                <w:szCs w:val="18"/>
                <w:color w:val="auto"/>
              </w:rPr>
              <w:t>securites</w:t>
            </w:r>
            <w:r>
              <w:rPr>
                <w:rFonts w:ascii="Calibri" w:cs="Calibri" w:eastAsia="Calibri" w:hAnsi="Calibri"/>
                <w:sz w:val="24"/>
                <w:szCs w:val="24"/>
                <w:color w:val="auto"/>
                <w:vertAlign w:val="superscript"/>
              </w:rPr>
              <w:t>(2)</w:t>
            </w:r>
          </w:p>
        </w:tc>
        <w:tc>
          <w:tcPr>
            <w:tcW w:w="4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8</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09"/>
        </w:trPr>
        <w:tc>
          <w:tcPr>
            <w:tcW w:w="5320" w:type="dxa"/>
            <w:vAlign w:val="bottom"/>
          </w:tcPr>
          <w:p>
            <w:pPr>
              <w:ind w:left="180"/>
              <w:spacing w:after="0" w:line="209" w:lineRule="exact"/>
              <w:rPr>
                <w:sz w:val="20"/>
                <w:szCs w:val="20"/>
                <w:color w:val="auto"/>
              </w:rPr>
            </w:pPr>
            <w:r>
              <w:rPr>
                <w:rFonts w:ascii="Calibri" w:cs="Calibri" w:eastAsia="Calibri" w:hAnsi="Calibri"/>
                <w:sz w:val="18"/>
                <w:szCs w:val="18"/>
                <w:color w:val="auto"/>
              </w:rPr>
              <w:t>Earnings (loss) available to common shares (numerator)</w:t>
            </w:r>
          </w:p>
        </w:tc>
        <w:tc>
          <w:tcPr>
            <w:tcW w:w="420" w:type="dxa"/>
            <w:vAlign w:val="bottom"/>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09" w:lineRule="exact"/>
              <w:rPr>
                <w:sz w:val="20"/>
                <w:szCs w:val="20"/>
                <w:color w:val="auto"/>
              </w:rPr>
            </w:pPr>
            <w:r>
              <w:rPr>
                <w:rFonts w:ascii="Calibri" w:cs="Calibri" w:eastAsia="Calibri" w:hAnsi="Calibri"/>
                <w:sz w:val="18"/>
                <w:szCs w:val="18"/>
                <w:color w:val="auto"/>
              </w:rPr>
              <w:t>374</w:t>
            </w:r>
          </w:p>
        </w:tc>
        <w:tc>
          <w:tcPr>
            <w:tcW w:w="640" w:type="dxa"/>
            <w:vAlign w:val="bottom"/>
            <w:gridSpan w:val="2"/>
          </w:tcPr>
          <w:p>
            <w:pPr>
              <w:jc w:val="right"/>
              <w:ind w:right="320"/>
              <w:spacing w:after="0" w:line="209"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09" w:lineRule="exact"/>
              <w:rPr>
                <w:sz w:val="20"/>
                <w:szCs w:val="20"/>
                <w:color w:val="auto"/>
              </w:rPr>
            </w:pPr>
            <w:r>
              <w:rPr>
                <w:rFonts w:ascii="Calibri" w:cs="Calibri" w:eastAsia="Calibri" w:hAnsi="Calibri"/>
                <w:sz w:val="18"/>
                <w:szCs w:val="18"/>
                <w:color w:val="auto"/>
              </w:rPr>
              <w:t>437</w:t>
            </w:r>
          </w:p>
        </w:tc>
        <w:tc>
          <w:tcPr>
            <w:tcW w:w="600" w:type="dxa"/>
            <w:vAlign w:val="bottom"/>
            <w:gridSpan w:val="2"/>
          </w:tcPr>
          <w:p>
            <w:pPr>
              <w:jc w:val="right"/>
              <w:ind w:right="300"/>
              <w:spacing w:after="0" w:line="209"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09" w:lineRule="exact"/>
              <w:rPr>
                <w:sz w:val="20"/>
                <w:szCs w:val="20"/>
                <w:color w:val="auto"/>
              </w:rPr>
            </w:pPr>
            <w:r>
              <w:rPr>
                <w:rFonts w:ascii="Calibri" w:cs="Calibri" w:eastAsia="Calibri" w:hAnsi="Calibri"/>
                <w:sz w:val="18"/>
                <w:szCs w:val="18"/>
                <w:color w:val="auto"/>
              </w:rPr>
              <w:t>206</w:t>
            </w:r>
          </w:p>
        </w:tc>
        <w:tc>
          <w:tcPr>
            <w:tcW w:w="80" w:type="dxa"/>
            <w:vAlign w:val="bottom"/>
          </w:tcPr>
          <w:p>
            <w:pPr>
              <w:spacing w:after="0"/>
              <w:rPr>
                <w:sz w:val="18"/>
                <w:szCs w:val="18"/>
                <w:color w:val="auto"/>
              </w:rPr>
            </w:pPr>
          </w:p>
        </w:tc>
      </w:tr>
      <w:tr>
        <w:trPr>
          <w:trHeight w:val="210"/>
        </w:trPr>
        <w:tc>
          <w:tcPr>
            <w:tcW w:w="53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-290830</wp:posOffset>
            </wp:positionV>
            <wp:extent cx="596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-290830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-290830</wp:posOffset>
            </wp:positionV>
            <wp:extent cx="514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p>
      <w:pPr>
        <w:ind w:left="1320"/>
        <w:spacing w:after="0" w:line="222" w:lineRule="auto"/>
        <w:rPr>
          <w:sz w:val="20"/>
          <w:szCs w:val="20"/>
          <w:color w:val="auto"/>
        </w:rPr>
      </w:pPr>
      <w:r>
        <w:rPr>
          <w:rFonts w:ascii="Calibri" w:cs="Calibri" w:eastAsia="Calibri" w:hAnsi="Calibri"/>
          <w:sz w:val="17"/>
          <w:szCs w:val="17"/>
          <w:color w:val="auto"/>
        </w:rPr>
        <w:t>Adjusted weighted average common shares outstanding</w:t>
      </w:r>
    </w:p>
    <w:p>
      <w:pPr>
        <w:ind w:left="1320"/>
        <w:spacing w:after="0" w:line="236" w:lineRule="auto"/>
        <w:rPr>
          <w:sz w:val="20"/>
          <w:szCs w:val="20"/>
          <w:color w:val="auto"/>
        </w:rPr>
      </w:pPr>
      <w:r>
        <w:rPr>
          <w:rFonts w:ascii="Calibri" w:cs="Calibri" w:eastAsia="Calibri" w:hAnsi="Calibri"/>
          <w:sz w:val="18"/>
          <w:szCs w:val="18"/>
          <w:color w:val="auto"/>
        </w:rPr>
        <w:t>Efect of dilutve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line="218" w:lineRule="auto"/>
        <w:rPr>
          <w:sz w:val="20"/>
          <w:szCs w:val="20"/>
          <w:color w:val="auto"/>
        </w:rPr>
      </w:pPr>
      <w:r>
        <w:rPr>
          <w:rFonts w:ascii="Calibri" w:cs="Calibri" w:eastAsia="Calibri" w:hAnsi="Calibri"/>
          <w:sz w:val="18"/>
          <w:szCs w:val="18"/>
          <w:color w:val="auto"/>
        </w:rPr>
        <w:t>Common shares issuable</w:t>
      </w:r>
      <w:r>
        <w:rPr>
          <w:rFonts w:ascii="Calibri" w:cs="Calibri" w:eastAsia="Calibri" w:hAnsi="Calibri"/>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00395" cy="274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320"/>
        <w:spacing w:after="0" w:line="196" w:lineRule="auto"/>
        <w:rPr>
          <w:sz w:val="20"/>
          <w:szCs w:val="20"/>
          <w:color w:val="auto"/>
        </w:rPr>
      </w:pPr>
      <w:r>
        <w:rPr>
          <w:rFonts w:ascii="Calibri" w:cs="Calibri" w:eastAsia="Calibri" w:hAnsi="Calibri"/>
          <w:sz w:val="18"/>
          <w:szCs w:val="18"/>
          <w:color w:val="auto"/>
        </w:rPr>
        <w:t>Adjusted weighted average common shares</w:t>
      </w:r>
    </w:p>
    <w:p>
      <w:pPr>
        <w:ind w:left="1440"/>
        <w:spacing w:after="0" w:line="236" w:lineRule="auto"/>
        <w:rPr>
          <w:sz w:val="20"/>
          <w:szCs w:val="20"/>
          <w:color w:val="auto"/>
        </w:rPr>
      </w:pPr>
      <w:r>
        <w:rPr>
          <w:rFonts w:ascii="Calibri" w:cs="Calibri" w:eastAsia="Calibri" w:hAnsi="Calibri"/>
          <w:sz w:val="18"/>
          <w:szCs w:val="18"/>
          <w:color w:val="auto"/>
        </w:rPr>
        <w:t>(denominator)</w:t>
      </w:r>
    </w:p>
    <w:p>
      <w:pPr>
        <w:spacing w:after="0" w:line="20" w:lineRule="exact"/>
        <w:rPr>
          <w:sz w:val="20"/>
          <w:szCs w:val="20"/>
          <w:color w:val="auto"/>
        </w:rPr>
      </w:pPr>
      <w:r>
        <w:rPr>
          <w:sz w:val="20"/>
          <w:szCs w:val="20"/>
          <w:color w:val="auto"/>
        </w:rPr>
        <w:br w:type="column"/>
      </w:r>
    </w:p>
    <w:p>
      <w:pPr>
        <w:spacing w:after="0" w:line="210" w:lineRule="auto"/>
        <w:tabs>
          <w:tab w:leader="none" w:pos="1260" w:val="left"/>
          <w:tab w:leader="none" w:pos="2480" w:val="left"/>
        </w:tabs>
        <w:rPr>
          <w:sz w:val="20"/>
          <w:szCs w:val="20"/>
          <w:color w:val="auto"/>
        </w:rPr>
      </w:pPr>
      <w:r>
        <w:rPr>
          <w:rFonts w:ascii="Calibri" w:cs="Calibri" w:eastAsia="Calibri" w:hAnsi="Calibri"/>
          <w:sz w:val="18"/>
          <w:szCs w:val="18"/>
          <w:color w:val="auto"/>
        </w:rPr>
        <w:t>55.1</w:t>
      </w:r>
      <w:r>
        <w:rPr>
          <w:sz w:val="20"/>
          <w:szCs w:val="20"/>
          <w:color w:val="auto"/>
        </w:rPr>
        <w:tab/>
      </w:r>
      <w:r>
        <w:rPr>
          <w:rFonts w:ascii="Calibri" w:cs="Calibri" w:eastAsia="Calibri" w:hAnsi="Calibri"/>
          <w:sz w:val="18"/>
          <w:szCs w:val="18"/>
          <w:color w:val="auto"/>
        </w:rPr>
        <w:t>56.1</w:t>
      </w:r>
      <w:r>
        <w:rPr>
          <w:sz w:val="20"/>
          <w:szCs w:val="20"/>
          <w:color w:val="auto"/>
        </w:rPr>
        <w:tab/>
      </w:r>
      <w:r>
        <w:rPr>
          <w:rFonts w:ascii="Calibri" w:cs="Calibri" w:eastAsia="Calibri" w:hAnsi="Calibri"/>
          <w:sz w:val="18"/>
          <w:szCs w:val="18"/>
          <w:color w:val="auto"/>
        </w:rPr>
        <w:t>56.5</w:t>
      </w:r>
    </w:p>
    <w:p>
      <w:pPr>
        <w:spacing w:after="0" w:line="213" w:lineRule="exact"/>
        <w:rPr>
          <w:sz w:val="20"/>
          <w:szCs w:val="20"/>
          <w:color w:val="auto"/>
        </w:rPr>
      </w:pPr>
    </w:p>
    <w:p>
      <w:pPr>
        <w:ind w:left="80"/>
        <w:spacing w:after="0"/>
        <w:tabs>
          <w:tab w:leader="none" w:pos="1340" w:val="left"/>
          <w:tab w:leader="none" w:pos="2580" w:val="left"/>
        </w:tabs>
        <w:rPr>
          <w:sz w:val="20"/>
          <w:szCs w:val="20"/>
          <w:color w:val="auto"/>
        </w:rPr>
      </w:pPr>
      <w:r>
        <w:rPr>
          <w:rFonts w:ascii="Calibri" w:cs="Calibri" w:eastAsia="Calibri" w:hAnsi="Calibri"/>
          <w:sz w:val="18"/>
          <w:szCs w:val="18"/>
          <w:color w:val="auto"/>
        </w:rPr>
        <w:t>0.6</w:t>
      </w:r>
      <w:r>
        <w:rPr>
          <w:sz w:val="20"/>
          <w:szCs w:val="20"/>
          <w:color w:val="auto"/>
        </w:rPr>
        <w:tab/>
      </w:r>
      <w:r>
        <w:rPr>
          <w:rFonts w:ascii="Calibri" w:cs="Calibri" w:eastAsia="Calibri" w:hAnsi="Calibri"/>
          <w:sz w:val="18"/>
          <w:szCs w:val="18"/>
          <w:color w:val="auto"/>
        </w:rPr>
        <w:t>0.4</w:t>
      </w:r>
      <w:r>
        <w:rPr>
          <w:sz w:val="20"/>
          <w:szCs w:val="20"/>
          <w:color w:val="auto"/>
        </w:rPr>
        <w:tab/>
      </w:r>
      <w:r>
        <w:rPr>
          <w:rFonts w:ascii="Calibri" w:cs="Calibri" w:eastAsia="Calibri" w:hAnsi="Calibri"/>
          <w:sz w:val="17"/>
          <w:szCs w:val="17"/>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14605</wp:posOffset>
            </wp:positionV>
            <wp:extent cx="22713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spacing w:after="0"/>
        <w:tabs>
          <w:tab w:leader="none" w:pos="1260" w:val="left"/>
          <w:tab w:leader="none" w:pos="2480" w:val="left"/>
        </w:tabs>
        <w:rPr>
          <w:sz w:val="20"/>
          <w:szCs w:val="20"/>
          <w:color w:val="auto"/>
        </w:rPr>
      </w:pPr>
      <w:r>
        <w:rPr>
          <w:rFonts w:ascii="Calibri" w:cs="Calibri" w:eastAsia="Calibri" w:hAnsi="Calibri"/>
          <w:sz w:val="18"/>
          <w:szCs w:val="18"/>
          <w:color w:val="auto"/>
        </w:rPr>
        <w:t>55.7</w:t>
      </w:r>
      <w:r>
        <w:rPr>
          <w:sz w:val="20"/>
          <w:szCs w:val="20"/>
          <w:color w:val="auto"/>
        </w:rPr>
        <w:tab/>
      </w:r>
      <w:r>
        <w:rPr>
          <w:rFonts w:ascii="Calibri" w:cs="Calibri" w:eastAsia="Calibri" w:hAnsi="Calibri"/>
          <w:sz w:val="18"/>
          <w:szCs w:val="18"/>
          <w:color w:val="auto"/>
        </w:rPr>
        <w:t>56.5</w:t>
      </w:r>
      <w:r>
        <w:rPr>
          <w:sz w:val="20"/>
          <w:szCs w:val="20"/>
          <w:color w:val="auto"/>
        </w:rPr>
        <w:tab/>
      </w:r>
      <w:r>
        <w:rPr>
          <w:rFonts w:ascii="Calibri" w:cs="Calibri" w:eastAsia="Calibri" w:hAnsi="Calibri"/>
          <w:sz w:val="18"/>
          <w:szCs w:val="18"/>
          <w:color w:val="auto"/>
        </w:rPr>
        <w:t>56.9</w:t>
      </w:r>
    </w:p>
    <w:p>
      <w:pPr>
        <w:spacing w:after="0" w:line="240" w:lineRule="exact"/>
        <w:rPr>
          <w:sz w:val="20"/>
          <w:szCs w:val="20"/>
          <w:color w:val="auto"/>
        </w:rPr>
      </w:pPr>
    </w:p>
    <w:p>
      <w:pPr>
        <w:sectPr>
          <w:pgSz w:w="11900" w:h="16838" w:orient="portrait"/>
          <w:cols w:equalWidth="0" w:num="2">
            <w:col w:w="6480" w:space="720"/>
            <w:col w:w="4000"/>
          </w:cols>
          <w:pgMar w:left="320" w:top="1057" w:right="379" w:bottom="1440" w:gutter="0" w:footer="0" w:header="0"/>
          <w:type w:val="continuous"/>
        </w:sectPr>
      </w:pPr>
    </w:p>
    <w:p>
      <w:pPr>
        <w:spacing w:after="0" w:line="13" w:lineRule="exact"/>
        <w:rPr>
          <w:sz w:val="20"/>
          <w:szCs w:val="20"/>
          <w:color w:val="auto"/>
        </w:rPr>
      </w:pPr>
    </w:p>
    <w:tbl>
      <w:tblPr>
        <w:tblLayout w:type="fixed"/>
        <w:tblInd w:w="1320" w:type="dxa"/>
        <w:tblCellMar>
          <w:top w:w="0" w:type="dxa"/>
          <w:left w:w="0" w:type="dxa"/>
          <w:bottom w:w="0" w:type="dxa"/>
          <w:right w:w="0" w:type="dxa"/>
        </w:tblCellMar>
      </w:tblPr>
      <w:tr>
        <w:trPr>
          <w:trHeight w:val="220"/>
        </w:trPr>
        <w:tc>
          <w:tcPr>
            <w:tcW w:w="4420" w:type="dxa"/>
            <w:vAlign w:val="bottom"/>
          </w:tcPr>
          <w:p>
            <w:pPr>
              <w:spacing w:after="0"/>
              <w:rPr>
                <w:sz w:val="20"/>
                <w:szCs w:val="20"/>
                <w:color w:val="auto"/>
              </w:rPr>
            </w:pPr>
            <w:r>
              <w:rPr>
                <w:rFonts w:ascii="Calibri" w:cs="Calibri" w:eastAsia="Calibri" w:hAnsi="Calibri"/>
                <w:sz w:val="18"/>
                <w:szCs w:val="18"/>
                <w:color w:val="auto"/>
              </w:rPr>
              <w:t>Per share amounts—diluted:</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4420" w:type="dxa"/>
            <w:vAlign w:val="bottom"/>
          </w:tcPr>
          <w:p>
            <w:pPr>
              <w:spacing w:after="0" w:line="216" w:lineRule="exact"/>
              <w:rPr>
                <w:sz w:val="20"/>
                <w:szCs w:val="20"/>
                <w:color w:val="auto"/>
              </w:rPr>
            </w:pPr>
            <w:r>
              <w:rPr>
                <w:rFonts w:ascii="Calibri" w:cs="Calibri" w:eastAsia="Calibri" w:hAnsi="Calibri"/>
                <w:sz w:val="18"/>
                <w:szCs w:val="18"/>
                <w:color w:val="auto"/>
              </w:rPr>
              <w:t>Net income (loss) atributable to Cabot Corporaton</w:t>
            </w:r>
          </w:p>
        </w:tc>
        <w:tc>
          <w:tcPr>
            <w:tcW w:w="1140" w:type="dxa"/>
            <w:vAlign w:val="bottom"/>
          </w:tcPr>
          <w:p>
            <w:pPr>
              <w:jc w:val="right"/>
              <w:ind w:right="230"/>
              <w:spacing w:after="0" w:line="216"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6.72</w:t>
            </w:r>
          </w:p>
        </w:tc>
        <w:tc>
          <w:tcPr>
            <w:tcW w:w="540" w:type="dxa"/>
            <w:vAlign w:val="bottom"/>
          </w:tcPr>
          <w:p>
            <w:pPr>
              <w:jc w:val="right"/>
              <w:ind w:right="230"/>
              <w:spacing w:after="0" w:line="216"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ind w:right="10"/>
              <w:spacing w:after="0" w:line="216" w:lineRule="exact"/>
              <w:rPr>
                <w:sz w:val="20"/>
                <w:szCs w:val="20"/>
                <w:color w:val="auto"/>
              </w:rPr>
            </w:pPr>
            <w:r>
              <w:rPr>
                <w:rFonts w:ascii="Calibri" w:cs="Calibri" w:eastAsia="Calibri" w:hAnsi="Calibri"/>
                <w:sz w:val="18"/>
                <w:szCs w:val="18"/>
                <w:color w:val="auto"/>
              </w:rPr>
              <w:t>7.73</w:t>
            </w:r>
          </w:p>
        </w:tc>
        <w:tc>
          <w:tcPr>
            <w:tcW w:w="50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6" w:lineRule="exact"/>
              <w:rPr>
                <w:sz w:val="20"/>
                <w:szCs w:val="20"/>
                <w:color w:val="auto"/>
              </w:rPr>
            </w:pPr>
            <w:r>
              <w:rPr>
                <w:rFonts w:ascii="Calibri" w:cs="Calibri" w:eastAsia="Calibri" w:hAnsi="Calibri"/>
                <w:sz w:val="18"/>
                <w:szCs w:val="18"/>
                <w:color w:val="auto"/>
              </w:rPr>
              <w:t>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-259080</wp:posOffset>
            </wp:positionV>
            <wp:extent cx="5700395"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11912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7" w:lineRule="exact"/>
        <w:rPr>
          <w:sz w:val="20"/>
          <w:szCs w:val="20"/>
          <w:color w:val="auto"/>
        </w:rPr>
      </w:pPr>
    </w:p>
    <w:p>
      <w:pPr>
        <w:ind w:left="580" w:hanging="518"/>
        <w:spacing w:after="0" w:line="225" w:lineRule="auto"/>
        <w:tabs>
          <w:tab w:leader="none" w:pos="580" w:val="left"/>
        </w:tabs>
        <w:numPr>
          <w:ilvl w:val="0"/>
          <w:numId w:val="21"/>
        </w:numPr>
        <w:rPr>
          <w:rFonts w:ascii="Calibri" w:cs="Calibri" w:eastAsia="Calibri" w:hAnsi="Calibri"/>
          <w:sz w:val="24"/>
          <w:szCs w:val="24"/>
          <w:color w:val="auto"/>
          <w:vertAlign w:val="superscript"/>
        </w:rPr>
      </w:pPr>
      <w:r>
        <w:rPr>
          <w:rFonts w:ascii="Calibri" w:cs="Calibri" w:eastAsia="Calibri" w:hAnsi="Calibri"/>
          <w:sz w:val="18"/>
          <w:szCs w:val="18"/>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70" w:name="page71"/>
    <w:bookmarkEnd w:id="70"/>
    <w:p>
      <w:pPr>
        <w:ind w:left="560" w:right="180"/>
        <w:spacing w:after="0" w:line="235" w:lineRule="auto"/>
        <w:rPr>
          <w:sz w:val="20"/>
          <w:szCs w:val="20"/>
          <w:color w:val="auto"/>
        </w:rPr>
      </w:pPr>
      <w:r>
        <w:rPr>
          <w:rFonts w:ascii="Calibri" w:cs="Calibri" w:eastAsia="Calibri" w:hAnsi="Calibri"/>
          <w:sz w:val="18"/>
          <w:szCs w:val="18"/>
          <w:color w:val="auto"/>
        </w:rPr>
        <w:t>Undistributed earnings are the earnings which remain afer dividends declared during the period are assumed to be distributed to the common and partcipatng shareholders. Undistributed earnings are allocated to common and partcipatng shareholders on the same basis as dividend distributons. The calculaton of undistributed earnings is as follows:</w:t>
      </w:r>
    </w:p>
    <w:p>
      <w:pPr>
        <w:spacing w:after="0" w:line="91"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10"/>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14"/>
              <w:spacing w:after="0" w:line="169"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Calculaton of undistributed earnings:</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720" w:type="dxa"/>
            <w:vAlign w:val="bottom"/>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380</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445</w:t>
            </w:r>
          </w:p>
        </w:tc>
        <w:tc>
          <w:tcPr>
            <w:tcW w:w="4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Less: Dividends declared on common stock</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20" w:type="dxa"/>
            <w:vAlign w:val="bottom"/>
          </w:tcPr>
          <w:p>
            <w:pPr>
              <w:ind w:left="180"/>
              <w:spacing w:after="0" w:line="194" w:lineRule="exact"/>
              <w:rPr>
                <w:sz w:val="20"/>
                <w:szCs w:val="20"/>
                <w:color w:val="auto"/>
              </w:rPr>
            </w:pPr>
            <w:r>
              <w:rPr>
                <w:rFonts w:ascii="Calibri" w:cs="Calibri" w:eastAsia="Calibri" w:hAnsi="Calibri"/>
                <w:sz w:val="18"/>
                <w:szCs w:val="18"/>
                <w:color w:val="auto"/>
              </w:rPr>
              <w:t>Less: Dividends and dividend equivalents to partcipatng</w:t>
            </w:r>
          </w:p>
        </w:tc>
        <w:tc>
          <w:tcPr>
            <w:tcW w:w="72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20" w:type="dxa"/>
            <w:vAlign w:val="bottom"/>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Undistributed earnings (loss)</w:t>
            </w:r>
          </w:p>
        </w:tc>
        <w:tc>
          <w:tcPr>
            <w:tcW w:w="720" w:type="dxa"/>
            <w:vAlign w:val="bottom"/>
            <w:shd w:val="clear" w:color="auto" w:fill="CFF0FC"/>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287</w:t>
            </w:r>
          </w:p>
        </w:tc>
        <w:tc>
          <w:tcPr>
            <w:tcW w:w="3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357</w:t>
            </w:r>
          </w:p>
        </w:tc>
        <w:tc>
          <w:tcPr>
            <w:tcW w:w="440" w:type="dxa"/>
            <w:vAlign w:val="bottom"/>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b w:val="1"/>
                <w:bCs w:val="1"/>
                <w:color w:val="auto"/>
              </w:rPr>
              <w:t>Allocaton of undistributed earnings:</w:t>
            </w:r>
          </w:p>
        </w:tc>
        <w:tc>
          <w:tcPr>
            <w:tcW w:w="7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320" w:type="dxa"/>
            <w:vAlign w:val="bottom"/>
            <w:shd w:val="clear" w:color="auto" w:fill="CFF0FC"/>
          </w:tcPr>
          <w:p>
            <w:pPr>
              <w:ind w:left="180"/>
              <w:spacing w:after="0" w:line="194" w:lineRule="exact"/>
              <w:rPr>
                <w:sz w:val="20"/>
                <w:szCs w:val="20"/>
                <w:color w:val="auto"/>
              </w:rPr>
            </w:pPr>
            <w:r>
              <w:rPr>
                <w:rFonts w:ascii="Calibri" w:cs="Calibri" w:eastAsia="Calibri" w:hAnsi="Calibri"/>
                <w:sz w:val="18"/>
                <w:szCs w:val="18"/>
                <w:color w:val="auto"/>
              </w:rPr>
              <w:t>Undistributed earnings (loss) allocated to common</w:t>
            </w:r>
          </w:p>
        </w:tc>
        <w:tc>
          <w:tcPr>
            <w:tcW w:w="7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shareholders</w:t>
            </w:r>
          </w:p>
        </w:tc>
        <w:tc>
          <w:tcPr>
            <w:tcW w:w="720" w:type="dxa"/>
            <w:vAlign w:val="bottom"/>
            <w:tcBorders>
              <w:bottom w:val="single" w:sz="8" w:color="CFF0FC"/>
            </w:tcBorders>
            <w:shd w:val="clear" w:color="auto" w:fill="CFF0FC"/>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282</w:t>
            </w:r>
          </w:p>
        </w:tc>
        <w:tc>
          <w:tcPr>
            <w:tcW w:w="3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350</w:t>
            </w:r>
          </w:p>
        </w:tc>
        <w:tc>
          <w:tcPr>
            <w:tcW w:w="44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20" w:type="dxa"/>
            <w:vAlign w:val="bottom"/>
          </w:tcPr>
          <w:p>
            <w:pPr>
              <w:ind w:left="180"/>
              <w:spacing w:after="0" w:line="194" w:lineRule="exact"/>
              <w:rPr>
                <w:sz w:val="20"/>
                <w:szCs w:val="20"/>
                <w:color w:val="auto"/>
              </w:rPr>
            </w:pPr>
            <w:r>
              <w:rPr>
                <w:rFonts w:ascii="Calibri" w:cs="Calibri" w:eastAsia="Calibri" w:hAnsi="Calibri"/>
                <w:sz w:val="18"/>
                <w:szCs w:val="18"/>
                <w:color w:val="auto"/>
              </w:rPr>
              <w:t>Undistributed earnings allocated to partcipatng</w:t>
            </w:r>
          </w:p>
        </w:tc>
        <w:tc>
          <w:tcPr>
            <w:tcW w:w="72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3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Undistributed earnings (loss)</w:t>
            </w:r>
          </w:p>
        </w:tc>
        <w:tc>
          <w:tcPr>
            <w:tcW w:w="720" w:type="dxa"/>
            <w:vAlign w:val="bottom"/>
            <w:tcBorders>
              <w:bottom w:val="single" w:sz="8" w:color="auto"/>
            </w:tcBorders>
            <w:shd w:val="clear" w:color="auto" w:fill="CFF0FC"/>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287</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357</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124</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-873760</wp:posOffset>
            </wp:positionV>
            <wp:extent cx="596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-856615</wp:posOffset>
            </wp:positionV>
            <wp:extent cx="596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-873760</wp:posOffset>
            </wp:positionV>
            <wp:extent cx="514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-856615</wp:posOffset>
            </wp:positionV>
            <wp:extent cx="514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-856615</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3" w:lineRule="exact"/>
        <w:rPr>
          <w:sz w:val="20"/>
          <w:szCs w:val="20"/>
          <w:color w:val="auto"/>
        </w:rPr>
      </w:pPr>
    </w:p>
    <w:p>
      <w:pPr>
        <w:ind w:left="580" w:right="120" w:hanging="559"/>
        <w:spacing w:after="0" w:line="201" w:lineRule="auto"/>
        <w:tabs>
          <w:tab w:leader="none" w:pos="580" w:val="left"/>
        </w:tabs>
        <w:numPr>
          <w:ilvl w:val="0"/>
          <w:numId w:val="22"/>
        </w:numPr>
        <w:rPr>
          <w:rFonts w:ascii="Calibri" w:cs="Calibri" w:eastAsia="Calibri" w:hAnsi="Calibri"/>
          <w:sz w:val="24"/>
          <w:szCs w:val="24"/>
          <w:color w:val="auto"/>
          <w:vertAlign w:val="superscript"/>
        </w:rPr>
      </w:pPr>
      <w:r>
        <w:rPr>
          <w:rFonts w:ascii="Calibri" w:cs="Calibri" w:eastAsia="Calibri" w:hAnsi="Calibri"/>
          <w:sz w:val="18"/>
          <w:szCs w:val="18"/>
          <w:color w:val="auto"/>
        </w:rPr>
        <w:t>Undistributed earnings (loss) are adjusted for the assumed conversion of dilutve securites, which are described in (3) below, to common shares and then reallocated to partcipatng securites.</w:t>
      </w:r>
    </w:p>
    <w:p>
      <w:pPr>
        <w:spacing w:after="0" w:line="43" w:lineRule="exact"/>
        <w:rPr>
          <w:rFonts w:ascii="Calibri" w:cs="Calibri" w:eastAsia="Calibri" w:hAnsi="Calibri"/>
          <w:sz w:val="24"/>
          <w:szCs w:val="24"/>
          <w:color w:val="auto"/>
          <w:vertAlign w:val="superscript"/>
        </w:rPr>
      </w:pPr>
    </w:p>
    <w:p>
      <w:pPr>
        <w:ind w:left="580" w:right="20" w:hanging="559"/>
        <w:spacing w:after="0" w:line="211" w:lineRule="auto"/>
        <w:tabs>
          <w:tab w:leader="none" w:pos="580" w:val="left"/>
        </w:tabs>
        <w:numPr>
          <w:ilvl w:val="0"/>
          <w:numId w:val="22"/>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incremental shares of common stock from the assumed exercise of stock optons issued under Cabot’s equity incentve plans. For fscal 2024, 2023 and 2022, 152,917, 138,966 and 214,180 incremental shares of common stock, respectvely, were excluded from the calculaton of diluted earnings per share because the inclusion of these shares would have been antdilutve.</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R. Income Taxes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Income from operatons before income taxes and equity in net earnings of afliated companies was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24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Domestc</w:t>
            </w:r>
          </w:p>
        </w:tc>
        <w:tc>
          <w:tcPr>
            <w:tcW w:w="1800" w:type="dxa"/>
            <w:vAlign w:val="bottom"/>
            <w:gridSpan w:val="2"/>
            <w:shd w:val="clear" w:color="auto" w:fill="CFF0FC"/>
          </w:tcPr>
          <w:p>
            <w:pPr>
              <w:jc w:val="right"/>
              <w:ind w:right="542"/>
              <w:spacing w:after="0" w:line="217"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65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88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(20 )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40" w:type="dxa"/>
            <w:vAlign w:val="bottom"/>
          </w:tcPr>
          <w:p>
            <w:pPr>
              <w:spacing w:after="0" w:line="215" w:lineRule="exact"/>
              <w:rPr>
                <w:sz w:val="20"/>
                <w:szCs w:val="20"/>
                <w:color w:val="auto"/>
              </w:rPr>
            </w:pPr>
            <w:r>
              <w:rPr>
                <w:rFonts w:ascii="Calibri" w:cs="Calibri" w:eastAsia="Calibri" w:hAnsi="Calibri"/>
                <w:sz w:val="18"/>
                <w:szCs w:val="18"/>
                <w:color w:val="auto"/>
              </w:rPr>
              <w:t>Foreign</w:t>
            </w:r>
          </w:p>
        </w:tc>
        <w:tc>
          <w:tcPr>
            <w:tcW w:w="10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240" w:type="dxa"/>
            <w:vAlign w:val="bottom"/>
            <w:shd w:val="clear" w:color="auto" w:fill="CFF0FC"/>
          </w:tcPr>
          <w:p>
            <w:pPr>
              <w:spacing w:after="0" w:line="187" w:lineRule="exact"/>
              <w:rPr>
                <w:sz w:val="20"/>
                <w:szCs w:val="20"/>
                <w:color w:val="auto"/>
              </w:rPr>
            </w:pPr>
            <w:r>
              <w:rPr>
                <w:rFonts w:ascii="Calibri" w:cs="Calibri" w:eastAsia="Calibri" w:hAnsi="Calibri"/>
                <w:sz w:val="18"/>
                <w:szCs w:val="18"/>
                <w:color w:val="auto"/>
              </w:rPr>
              <w:t>Income from operatons before income taxes and</w:t>
            </w:r>
          </w:p>
        </w:tc>
        <w:tc>
          <w:tcPr>
            <w:tcW w:w="1080" w:type="dxa"/>
            <w:vAlign w:val="bottom"/>
            <w:vMerge w:val="restart"/>
            <w:shd w:val="clear" w:color="auto" w:fill="CFF0FC"/>
          </w:tcPr>
          <w:p>
            <w:pPr>
              <w:spacing w:after="0"/>
              <w:rPr>
                <w:sz w:val="16"/>
                <w:szCs w:val="16"/>
                <w:color w:val="auto"/>
              </w:rPr>
            </w:pPr>
          </w:p>
        </w:tc>
        <w:tc>
          <w:tcPr>
            <w:tcW w:w="720" w:type="dxa"/>
            <w:vAlign w:val="bottom"/>
            <w:vMerge w:val="restart"/>
            <w:shd w:val="clear" w:color="auto" w:fill="CFF0FC"/>
          </w:tcPr>
          <w:p>
            <w:pPr>
              <w:jc w:val="right"/>
              <w:ind w:right="542"/>
              <w:spacing w:after="0"/>
              <w:rPr>
                <w:sz w:val="20"/>
                <w:szCs w:val="20"/>
                <w:color w:val="auto"/>
              </w:rPr>
            </w:pPr>
            <w:r>
              <w:rPr>
                <w:rFonts w:ascii="Calibri" w:cs="Calibri" w:eastAsia="Calibri" w:hAnsi="Calibri"/>
                <w:sz w:val="18"/>
                <w:szCs w:val="18"/>
                <w:color w:val="auto"/>
                <w:w w:val="87"/>
              </w:rPr>
              <w:t>$</w:t>
            </w:r>
          </w:p>
        </w:tc>
        <w:tc>
          <w:tcPr>
            <w:tcW w:w="3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529</w:t>
            </w:r>
          </w:p>
        </w:tc>
        <w:tc>
          <w:tcPr>
            <w:tcW w:w="2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9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451</w:t>
            </w:r>
          </w:p>
        </w:tc>
        <w:tc>
          <w:tcPr>
            <w:tcW w:w="20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Calibri" w:cs="Calibri" w:eastAsia="Calibri" w:hAnsi="Calibri"/>
                <w:sz w:val="18"/>
                <w:szCs w:val="18"/>
                <w:color w:val="auto"/>
                <w:w w:val="87"/>
              </w:rPr>
              <w:t>$</w:t>
            </w:r>
          </w:p>
        </w:tc>
        <w:tc>
          <w:tcPr>
            <w:tcW w:w="8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335</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240" w:type="dxa"/>
            <w:vAlign w:val="bottom"/>
            <w:tcBorders>
              <w:bottom w:val="single" w:sz="8" w:color="CFF0FC"/>
            </w:tcBorders>
            <w:shd w:val="clear" w:color="auto" w:fill="CFF0FC"/>
          </w:tcPr>
          <w:p>
            <w:pPr>
              <w:ind w:left="120"/>
              <w:spacing w:after="0" w:line="198" w:lineRule="exact"/>
              <w:rPr>
                <w:sz w:val="20"/>
                <w:szCs w:val="20"/>
                <w:color w:val="auto"/>
              </w:rPr>
            </w:pPr>
            <w:r>
              <w:rPr>
                <w:rFonts w:ascii="Calibri" w:cs="Calibri" w:eastAsia="Calibri" w:hAnsi="Calibri"/>
                <w:sz w:val="18"/>
                <w:szCs w:val="18"/>
                <w:color w:val="auto"/>
              </w:rPr>
              <w:t>equity in earnings of afliated companies</w:t>
            </w:r>
          </w:p>
        </w:tc>
        <w:tc>
          <w:tcPr>
            <w:tcW w:w="1080" w:type="dxa"/>
            <w:vAlign w:val="bottom"/>
            <w:tcBorders>
              <w:bottom w:val="single" w:sz="8" w:color="CFF0FC"/>
            </w:tcBorders>
            <w:vMerge w:val="continue"/>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380" w:type="dxa"/>
            <w:vAlign w:val="bottom"/>
            <w:gridSpan w:val="2"/>
          </w:tcPr>
          <w:p>
            <w:pPr>
              <w:ind w:left="520"/>
              <w:spacing w:after="0"/>
              <w:rPr>
                <w:sz w:val="20"/>
                <w:szCs w:val="20"/>
                <w:color w:val="auto"/>
              </w:rPr>
            </w:pPr>
            <w:r>
              <w:rPr>
                <w:rFonts w:ascii="Calibri" w:cs="Calibri" w:eastAsia="Calibri" w:hAnsi="Calibri"/>
                <w:sz w:val="18"/>
                <w:szCs w:val="18"/>
                <w:color w:val="auto"/>
              </w:rPr>
              <w:t>Tax provision (beneft) for income taxes consisted of the following:</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24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U.S. federal and state:</w:t>
            </w: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40" w:type="dxa"/>
            <w:vAlign w:val="bottom"/>
          </w:tcPr>
          <w:p>
            <w:pPr>
              <w:ind w:left="180"/>
              <w:spacing w:after="0" w:line="215" w:lineRule="exact"/>
              <w:rPr>
                <w:sz w:val="20"/>
                <w:szCs w:val="20"/>
                <w:color w:val="auto"/>
              </w:rPr>
            </w:pPr>
            <w:r>
              <w:rPr>
                <w:rFonts w:ascii="Calibri" w:cs="Calibri" w:eastAsia="Calibri" w:hAnsi="Calibri"/>
                <w:sz w:val="18"/>
                <w:szCs w:val="18"/>
                <w:color w:val="auto"/>
              </w:rPr>
              <w:t>Current</w:t>
            </w:r>
          </w:p>
        </w:tc>
        <w:tc>
          <w:tcPr>
            <w:tcW w:w="1800" w:type="dxa"/>
            <w:vAlign w:val="bottom"/>
            <w:gridSpan w:val="2"/>
          </w:tcPr>
          <w:p>
            <w:pPr>
              <w:jc w:val="right"/>
              <w:ind w:right="542"/>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2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0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Deferred</w:t>
            </w:r>
          </w:p>
        </w:tc>
        <w:tc>
          <w:tcPr>
            <w:tcW w:w="10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(31 )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(156 )</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240" w:type="dxa"/>
            <w:vAlign w:val="bottom"/>
          </w:tcPr>
          <w:p>
            <w:pPr>
              <w:ind w:left="360"/>
              <w:spacing w:after="0" w:line="209" w:lineRule="exact"/>
              <w:rPr>
                <w:sz w:val="20"/>
                <w:szCs w:val="20"/>
                <w:color w:val="auto"/>
              </w:rPr>
            </w:pPr>
            <w:r>
              <w:rPr>
                <w:rFonts w:ascii="Calibri" w:cs="Calibri" w:eastAsia="Calibri" w:hAnsi="Calibri"/>
                <w:sz w:val="18"/>
                <w:szCs w:val="18"/>
                <w:color w:val="auto"/>
              </w:rPr>
              <w:t>Total</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(17 )</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(151 )</w:t>
            </w:r>
          </w:p>
        </w:tc>
        <w:tc>
          <w:tcPr>
            <w:tcW w:w="24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4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Foreign:</w:t>
            </w:r>
          </w:p>
        </w:tc>
        <w:tc>
          <w:tcPr>
            <w:tcW w:w="108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40" w:type="dxa"/>
            <w:vAlign w:val="bottom"/>
          </w:tcPr>
          <w:p>
            <w:pPr>
              <w:ind w:left="180"/>
              <w:spacing w:after="0" w:line="215" w:lineRule="exact"/>
              <w:rPr>
                <w:sz w:val="20"/>
                <w:szCs w:val="20"/>
                <w:color w:val="auto"/>
              </w:rPr>
            </w:pPr>
            <w:r>
              <w:rPr>
                <w:rFonts w:ascii="Calibri" w:cs="Calibri" w:eastAsia="Calibri" w:hAnsi="Calibri"/>
                <w:sz w:val="18"/>
                <w:szCs w:val="18"/>
                <w:color w:val="auto"/>
              </w:rPr>
              <w:t>Current</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135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Deferred</w:t>
            </w:r>
          </w:p>
        </w:tc>
        <w:tc>
          <w:tcPr>
            <w:tcW w:w="10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(6 )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(42 )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40" w:type="dxa"/>
            <w:vAlign w:val="bottom"/>
            <w:tcBorders>
              <w:top w:val="single" w:sz="8" w:color="CFF0FC"/>
            </w:tcBorders>
          </w:tcPr>
          <w:p>
            <w:pPr>
              <w:ind w:left="360"/>
              <w:spacing w:after="0" w:line="209" w:lineRule="exact"/>
              <w:rPr>
                <w:sz w:val="20"/>
                <w:szCs w:val="20"/>
                <w:color w:val="auto"/>
              </w:rPr>
            </w:pPr>
            <w:r>
              <w:rPr>
                <w:rFonts w:ascii="Calibri" w:cs="Calibri" w:eastAsia="Calibri" w:hAnsi="Calibri"/>
                <w:sz w:val="18"/>
                <w:szCs w:val="18"/>
                <w:color w:val="auto"/>
              </w:rPr>
              <w:t>Total</w:t>
            </w:r>
          </w:p>
        </w:tc>
        <w:tc>
          <w:tcPr>
            <w:tcW w:w="1080" w:type="dxa"/>
            <w:vAlign w:val="bottom"/>
            <w:tcBorders>
              <w:top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128</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123</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93</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240" w:type="dxa"/>
            <w:vAlign w:val="bottom"/>
            <w:shd w:val="clear" w:color="auto" w:fill="CFF0FC"/>
          </w:tcPr>
          <w:p>
            <w:pPr>
              <w:ind w:left="540"/>
              <w:spacing w:after="0" w:line="210" w:lineRule="exact"/>
              <w:rPr>
                <w:sz w:val="20"/>
                <w:szCs w:val="20"/>
                <w:color w:val="auto"/>
              </w:rPr>
            </w:pPr>
            <w:r>
              <w:rPr>
                <w:rFonts w:ascii="Calibri" w:cs="Calibri" w:eastAsia="Calibri" w:hAnsi="Calibri"/>
                <w:sz w:val="18"/>
                <w:szCs w:val="18"/>
                <w:color w:val="auto"/>
              </w:rPr>
              <w:t>Provision (beneft) for income taxes</w:t>
            </w:r>
          </w:p>
        </w:tc>
        <w:tc>
          <w:tcPr>
            <w:tcW w:w="1800" w:type="dxa"/>
            <w:vAlign w:val="bottom"/>
            <w:gridSpan w:val="2"/>
            <w:shd w:val="clear" w:color="auto" w:fill="CFF0FC"/>
          </w:tcPr>
          <w:p>
            <w:pPr>
              <w:jc w:val="right"/>
              <w:ind w:right="542"/>
              <w:spacing w:after="0" w:line="210"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FF0FC"/>
          </w:tcPr>
          <w:p>
            <w:pPr>
              <w:jc w:val="right"/>
              <w:ind w:right="120"/>
              <w:spacing w:after="0" w:line="210" w:lineRule="exact"/>
              <w:rPr>
                <w:sz w:val="20"/>
                <w:szCs w:val="20"/>
                <w:color w:val="auto"/>
              </w:rPr>
            </w:pPr>
            <w:r>
              <w:rPr>
                <w:rFonts w:ascii="Calibri" w:cs="Calibri" w:eastAsia="Calibri" w:hAnsi="Calibri"/>
                <w:sz w:val="18"/>
                <w:szCs w:val="18"/>
                <w:color w:val="auto"/>
              </w:rPr>
              <w:t>(28 )</w:t>
            </w:r>
          </w:p>
        </w:tc>
        <w:tc>
          <w:tcPr>
            <w:tcW w:w="24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5"/>
        </w:trPr>
        <w:tc>
          <w:tcPr>
            <w:tcW w:w="1140" w:type="dxa"/>
            <w:vAlign w:val="bottom"/>
          </w:tcPr>
          <w:p>
            <w:pPr>
              <w:spacing w:after="0"/>
              <w:rPr>
                <w:sz w:val="24"/>
                <w:szCs w:val="24"/>
                <w:color w:val="auto"/>
              </w:rPr>
            </w:pPr>
          </w:p>
        </w:tc>
        <w:tc>
          <w:tcPr>
            <w:tcW w:w="424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jc w:val="right"/>
              <w:ind w:right="650"/>
              <w:spacing w:after="0"/>
              <w:rPr>
                <w:sz w:val="20"/>
                <w:szCs w:val="20"/>
                <w:color w:val="auto"/>
              </w:rPr>
            </w:pPr>
            <w:r>
              <w:rPr>
                <w:rFonts w:ascii="Calibri" w:cs="Calibri" w:eastAsia="Calibri" w:hAnsi="Calibri"/>
                <w:sz w:val="18"/>
                <w:szCs w:val="18"/>
                <w:color w:val="auto"/>
              </w:rPr>
              <w:t>71</w:t>
            </w: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1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-2896870</wp:posOffset>
            </wp:positionV>
            <wp:extent cx="596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-2879725</wp:posOffset>
            </wp:positionV>
            <wp:extent cx="596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-2896870</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-2879725</wp:posOffset>
            </wp:positionV>
            <wp:extent cx="514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-2896870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-2879725</wp:posOffset>
            </wp:positionV>
            <wp:extent cx="51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-1790700</wp:posOffset>
            </wp:positionV>
            <wp:extent cx="596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-1790700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-1790700</wp:posOffset>
            </wp:positionV>
            <wp:extent cx="51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-1224915</wp:posOffset>
            </wp:positionV>
            <wp:extent cx="596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-1224915</wp:posOffset>
            </wp:positionV>
            <wp:extent cx="51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-1224915</wp:posOffset>
            </wp:positionV>
            <wp:extent cx="51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-933450</wp:posOffset>
            </wp:positionV>
            <wp:extent cx="596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-916940</wp:posOffset>
            </wp:positionV>
            <wp:extent cx="596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-933450</wp:posOffset>
            </wp:positionV>
            <wp:extent cx="514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-916940</wp:posOffset>
            </wp:positionV>
            <wp:extent cx="514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-916940</wp:posOffset>
            </wp:positionV>
            <wp:extent cx="514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1" w:name="page72"/>
    <w:bookmarkEnd w:id="71"/>
    <w:p>
      <w:pPr>
        <w:ind w:left="520"/>
        <w:spacing w:after="0"/>
        <w:rPr>
          <w:sz w:val="20"/>
          <w:szCs w:val="20"/>
          <w:color w:val="auto"/>
        </w:rPr>
      </w:pPr>
      <w:r>
        <w:rPr>
          <w:rFonts w:ascii="Calibri" w:cs="Calibri" w:eastAsia="Calibri" w:hAnsi="Calibri"/>
          <w:sz w:val="18"/>
          <w:szCs w:val="18"/>
          <w:color w:val="auto"/>
        </w:rPr>
        <w:t>The provision (</w:t>
      </w:r>
      <w:r>
        <w:rPr>
          <w:rFonts w:ascii="Calibri" w:cs="Calibri" w:eastAsia="Calibri" w:hAnsi="Calibri"/>
          <w:sz w:val="18"/>
          <w:szCs w:val="18"/>
          <w:color w:val="212529"/>
        </w:rPr>
        <w:t>beneft</w:t>
      </w:r>
      <w:r>
        <w:rPr>
          <w:rFonts w:ascii="Calibri" w:cs="Calibri" w:eastAsia="Calibri" w:hAnsi="Calibri"/>
          <w:sz w:val="18"/>
          <w:szCs w:val="18"/>
          <w:color w:val="auto"/>
        </w:rPr>
        <w:t>) for income taxes difered from the provision for income taxes as calculated using the U.S. statutory rate as follows:</w:t>
      </w:r>
    </w:p>
    <w:p>
      <w:pPr>
        <w:spacing w:after="0" w:line="89"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7"/>
          </w:tcPr>
          <w:p>
            <w:pPr>
              <w:jc w:val="right"/>
              <w:ind w:right="120"/>
              <w:spacing w:after="0"/>
              <w:rPr>
                <w:sz w:val="20"/>
                <w:szCs w:val="20"/>
                <w:color w:val="auto"/>
              </w:rPr>
            </w:pPr>
            <w:r>
              <w:rPr>
                <w:rFonts w:ascii="Calibri" w:cs="Calibri" w:eastAsia="Calibri" w:hAnsi="Calibri"/>
                <w:sz w:val="14"/>
                <w:szCs w:val="14"/>
                <w:b w:val="1"/>
                <w:bCs w:val="1"/>
                <w:color w:val="auto"/>
              </w:rPr>
              <w:t>Years Ended 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55"/>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ind w:right="168"/>
              <w:spacing w:after="0" w:line="169" w:lineRule="exact"/>
              <w:rPr>
                <w:sz w:val="20"/>
                <w:szCs w:val="20"/>
                <w:color w:val="auto"/>
              </w:rPr>
            </w:pPr>
            <w:r>
              <w:rPr>
                <w:rFonts w:ascii="Calibri" w:cs="Calibri" w:eastAsia="Calibri" w:hAnsi="Calibri"/>
                <w:sz w:val="14"/>
                <w:szCs w:val="14"/>
                <w:b w:val="1"/>
                <w:bCs w:val="1"/>
                <w:color w:val="auto"/>
              </w:rPr>
              <w:t>(In millions)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80" w:type="dxa"/>
            <w:vAlign w:val="bottom"/>
            <w:tcBorders>
              <w:right w:val="single" w:sz="8" w:color="CFF0FC"/>
            </w:tcBorders>
          </w:tcPr>
          <w:p>
            <w:pPr>
              <w:spacing w:after="0"/>
              <w:rPr>
                <w:sz w:val="19"/>
                <w:szCs w:val="19"/>
                <w:color w:val="auto"/>
              </w:rPr>
            </w:pPr>
          </w:p>
        </w:tc>
        <w:tc>
          <w:tcPr>
            <w:tcW w:w="52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Computed tax expense at the federal statutory rate</w:t>
            </w:r>
          </w:p>
        </w:tc>
        <w:tc>
          <w:tcPr>
            <w:tcW w:w="720" w:type="dxa"/>
            <w:vAlign w:val="bottom"/>
            <w:shd w:val="clear" w:color="auto" w:fill="CFF0FC"/>
          </w:tcPr>
          <w:p>
            <w:pPr>
              <w:jc w:val="right"/>
              <w:ind w:right="536"/>
              <w:spacing w:after="0" w:line="217" w:lineRule="exact"/>
              <w:rPr>
                <w:sz w:val="20"/>
                <w:szCs w:val="20"/>
                <w:color w:val="auto"/>
              </w:rPr>
            </w:pPr>
            <w:r>
              <w:rPr>
                <w:rFonts w:ascii="Calibri" w:cs="Calibri" w:eastAsia="Calibri" w:hAnsi="Calibri"/>
                <w:sz w:val="18"/>
                <w:szCs w:val="18"/>
                <w:color w:val="auto"/>
                <w:w w:val="87"/>
              </w:rPr>
              <w:t>$</w:t>
            </w:r>
          </w:p>
        </w:tc>
        <w:tc>
          <w:tcPr>
            <w:tcW w:w="340" w:type="dxa"/>
            <w:vAlign w:val="bottom"/>
            <w:gridSpan w:val="3"/>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111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5"/>
              <w:spacing w:after="0" w:line="217" w:lineRule="exact"/>
              <w:rPr>
                <w:sz w:val="20"/>
                <w:szCs w:val="20"/>
                <w:color w:val="auto"/>
              </w:rPr>
            </w:pPr>
            <w:r>
              <w:rPr>
                <w:rFonts w:ascii="Calibri" w:cs="Calibri" w:eastAsia="Calibri" w:hAnsi="Calibri"/>
                <w:sz w:val="18"/>
                <w:szCs w:val="18"/>
                <w:color w:val="auto"/>
                <w:w w:val="87"/>
              </w:rPr>
              <w:t>$</w:t>
            </w:r>
          </w:p>
        </w:tc>
        <w:tc>
          <w:tcPr>
            <w:tcW w:w="280" w:type="dxa"/>
            <w:vAlign w:val="bottom"/>
            <w:tcBorders>
              <w:right w:val="single" w:sz="8" w:color="CFF0FC"/>
            </w:tcBorders>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95</w:t>
            </w:r>
          </w:p>
        </w:tc>
        <w:tc>
          <w:tcPr>
            <w:tcW w:w="320" w:type="dxa"/>
            <w:vAlign w:val="bottom"/>
            <w:gridSpan w:val="2"/>
            <w:shd w:val="clear" w:color="auto" w:fill="CFF0FC"/>
          </w:tcPr>
          <w:p>
            <w:pPr>
              <w:jc w:val="right"/>
              <w:ind w:right="60"/>
              <w:spacing w:after="0" w:line="217"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70</w:t>
            </w:r>
          </w:p>
        </w:tc>
        <w:tc>
          <w:tcPr>
            <w:tcW w:w="8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8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Calibri" w:cs="Calibri" w:eastAsia="Calibri" w:hAnsi="Calibri"/>
                <w:sz w:val="18"/>
                <w:szCs w:val="18"/>
                <w:color w:val="auto"/>
              </w:rPr>
              <w:t>Foreign impact of taxaton at diferent rates, repatriaton,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60"/>
              <w:spacing w:after="0" w:line="215" w:lineRule="exact"/>
              <w:rPr>
                <w:sz w:val="20"/>
                <w:szCs w:val="20"/>
                <w:color w:val="auto"/>
              </w:rPr>
            </w:pPr>
            <w:r>
              <w:rPr>
                <w:rFonts w:ascii="Calibri" w:cs="Calibri" w:eastAsia="Calibri" w:hAnsi="Calibri"/>
                <w:sz w:val="18"/>
                <w:szCs w:val="18"/>
                <w:color w:val="auto"/>
              </w:rPr>
              <w:t>valuaton allowance, and other</w:t>
            </w:r>
          </w:p>
        </w:tc>
        <w:tc>
          <w:tcPr>
            <w:tcW w:w="720" w:type="dxa"/>
            <w:vAlign w:val="bottom"/>
          </w:tcPr>
          <w:p>
            <w:pPr>
              <w:spacing w:after="0"/>
              <w:rPr>
                <w:sz w:val="18"/>
                <w:szCs w:val="18"/>
                <w:color w:val="auto"/>
              </w:rPr>
            </w:pPr>
          </w:p>
        </w:tc>
        <w:tc>
          <w:tcPr>
            <w:tcW w:w="3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Borders>
              <w:right w:val="single" w:sz="8" w:color="CFF0FC"/>
            </w:tcBorders>
          </w:tcPr>
          <w:p>
            <w:pPr>
              <w:spacing w:after="0"/>
              <w:rPr>
                <w:sz w:val="18"/>
                <w:szCs w:val="18"/>
                <w:color w:val="auto"/>
              </w:rPr>
            </w:pPr>
          </w:p>
        </w:tc>
        <w:tc>
          <w:tcPr>
            <w:tcW w:w="52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Global Intangible Low Taxed Income (GILTI)</w:t>
            </w:r>
          </w:p>
        </w:tc>
        <w:tc>
          <w:tcPr>
            <w:tcW w:w="720" w:type="dxa"/>
            <w:vAlign w:val="bottom"/>
            <w:shd w:val="clear" w:color="auto" w:fill="CFF0FC"/>
          </w:tcPr>
          <w:p>
            <w:pPr>
              <w:spacing w:after="0"/>
              <w:rPr>
                <w:sz w:val="18"/>
                <w:szCs w:val="18"/>
                <w:color w:val="auto"/>
              </w:rPr>
            </w:pPr>
          </w:p>
        </w:tc>
        <w:tc>
          <w:tcPr>
            <w:tcW w:w="560" w:type="dxa"/>
            <w:vAlign w:val="bottom"/>
            <w:gridSpan w:val="4"/>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(3 )</w:t>
            </w:r>
          </w:p>
        </w:tc>
        <w:tc>
          <w:tcPr>
            <w:tcW w:w="820" w:type="dxa"/>
            <w:vAlign w:val="bottom"/>
            <w:shd w:val="clear" w:color="auto" w:fill="CFF0FC"/>
          </w:tcPr>
          <w:p>
            <w:pPr>
              <w:spacing w:after="0"/>
              <w:rPr>
                <w:sz w:val="18"/>
                <w:szCs w:val="18"/>
                <w:color w:val="auto"/>
              </w:rPr>
            </w:pPr>
          </w:p>
        </w:tc>
        <w:tc>
          <w:tcPr>
            <w:tcW w:w="280" w:type="dxa"/>
            <w:vAlign w:val="bottom"/>
            <w:tcBorders>
              <w:right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w:t>
            </w:r>
          </w:p>
        </w:tc>
        <w:tc>
          <w:tcPr>
            <w:tcW w:w="8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spacing w:after="0" w:line="215" w:lineRule="exact"/>
              <w:rPr>
                <w:sz w:val="20"/>
                <w:szCs w:val="20"/>
                <w:color w:val="auto"/>
              </w:rPr>
            </w:pPr>
            <w:r>
              <w:rPr>
                <w:rFonts w:ascii="Calibri" w:cs="Calibri" w:eastAsia="Calibri" w:hAnsi="Calibri"/>
                <w:sz w:val="18"/>
                <w:szCs w:val="18"/>
                <w:color w:val="auto"/>
              </w:rPr>
              <w:t>Purifcaton Solutons business divestture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spacing w:after="0"/>
              <w:rPr>
                <w:sz w:val="18"/>
                <w:szCs w:val="18"/>
                <w:color w:val="auto"/>
              </w:rPr>
            </w:pPr>
          </w:p>
        </w:tc>
        <w:tc>
          <w:tcPr>
            <w:tcW w:w="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(179 )</w:t>
            </w:r>
          </w:p>
        </w:tc>
        <w:tc>
          <w:tcPr>
            <w:tcW w:w="0" w:type="dxa"/>
            <w:vAlign w:val="bottom"/>
          </w:tcPr>
          <w:p>
            <w:pPr>
              <w:spacing w:after="0"/>
              <w:rPr>
                <w:sz w:val="1"/>
                <w:szCs w:val="1"/>
                <w:color w:val="auto"/>
              </w:rPr>
            </w:pPr>
          </w:p>
        </w:tc>
      </w:tr>
      <w:tr>
        <w:trPr>
          <w:trHeight w:val="194"/>
        </w:trPr>
        <w:tc>
          <w:tcPr>
            <w:tcW w:w="680" w:type="dxa"/>
            <w:vAlign w:val="bottom"/>
            <w:tcBorders>
              <w:right w:val="single" w:sz="8" w:color="CFF0FC"/>
            </w:tcBorders>
          </w:tcPr>
          <w:p>
            <w:pPr>
              <w:spacing w:after="0"/>
              <w:rPr>
                <w:sz w:val="16"/>
                <w:szCs w:val="16"/>
                <w:color w:val="auto"/>
              </w:rPr>
            </w:pPr>
          </w:p>
        </w:tc>
        <w:tc>
          <w:tcPr>
            <w:tcW w:w="5260" w:type="dxa"/>
            <w:vAlign w:val="bottom"/>
            <w:shd w:val="clear" w:color="auto" w:fill="CFF0FC"/>
          </w:tcPr>
          <w:p>
            <w:pPr>
              <w:spacing w:after="0" w:line="194" w:lineRule="exact"/>
              <w:rPr>
                <w:sz w:val="20"/>
                <w:szCs w:val="20"/>
                <w:color w:val="auto"/>
              </w:rPr>
            </w:pPr>
            <w:r>
              <w:rPr>
                <w:rFonts w:ascii="Calibri" w:cs="Calibri" w:eastAsia="Calibri" w:hAnsi="Calibri"/>
                <w:sz w:val="18"/>
                <w:szCs w:val="18"/>
                <w:color w:val="auto"/>
              </w:rPr>
              <w:t>Impact of increase (decrease) in valuaton allowance on</w:t>
            </w: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0" w:type="dxa"/>
            <w:vAlign w:val="bottom"/>
            <w:tcBorders>
              <w:right w:val="single" w:sz="8" w:color="CFF0FC"/>
            </w:tcBorders>
          </w:tcPr>
          <w:p>
            <w:pPr>
              <w:spacing w:after="0"/>
              <w:rPr>
                <w:sz w:val="18"/>
                <w:szCs w:val="18"/>
                <w:color w:val="auto"/>
              </w:rPr>
            </w:pPr>
          </w:p>
        </w:tc>
        <w:tc>
          <w:tcPr>
            <w:tcW w:w="5260" w:type="dxa"/>
            <w:vAlign w:val="bottom"/>
            <w:tcBorders>
              <w:bottom w:val="single" w:sz="8" w:color="CFF0FC"/>
            </w:tcBorders>
            <w:shd w:val="clear" w:color="auto" w:fill="CFF0FC"/>
          </w:tcPr>
          <w:p>
            <w:pPr>
              <w:ind w:left="60"/>
              <w:spacing w:after="0" w:line="215" w:lineRule="exact"/>
              <w:rPr>
                <w:sz w:val="20"/>
                <w:szCs w:val="20"/>
                <w:color w:val="auto"/>
              </w:rPr>
            </w:pPr>
            <w:r>
              <w:rPr>
                <w:rFonts w:ascii="Calibri" w:cs="Calibri" w:eastAsia="Calibri" w:hAnsi="Calibri"/>
                <w:sz w:val="18"/>
                <w:szCs w:val="18"/>
                <w:color w:val="auto"/>
              </w:rPr>
              <w:t>U.S. deferred taxes</w:t>
            </w:r>
          </w:p>
        </w:tc>
        <w:tc>
          <w:tcPr>
            <w:tcW w:w="7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gridSpan w:val="4"/>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(13 )</w:t>
            </w:r>
          </w:p>
        </w:tc>
        <w:tc>
          <w:tcPr>
            <w:tcW w:w="1260" w:type="dxa"/>
            <w:vAlign w:val="bottom"/>
            <w:tcBorders>
              <w:bottom w:val="single" w:sz="8" w:color="CFF0FC"/>
            </w:tcBorders>
            <w:gridSpan w:val="4"/>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(156 )</w:t>
            </w: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160</w:t>
            </w:r>
          </w:p>
        </w:tc>
        <w:tc>
          <w:tcPr>
            <w:tcW w:w="80" w:type="dxa"/>
            <w:vAlign w:val="bottom"/>
            <w:tcBorders>
              <w:left w:val="single" w:sz="8" w:color="CFF0FC"/>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Calibri" w:cs="Calibri" w:eastAsia="Calibri" w:hAnsi="Calibri"/>
                <w:sz w:val="18"/>
                <w:szCs w:val="18"/>
                <w:color w:val="auto"/>
              </w:rPr>
              <w:t>U.S. and state benefts from research and experimentaton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60"/>
              <w:spacing w:after="0" w:line="215" w:lineRule="exact"/>
              <w:rPr>
                <w:sz w:val="20"/>
                <w:szCs w:val="20"/>
                <w:color w:val="auto"/>
              </w:rPr>
            </w:pPr>
            <w:r>
              <w:rPr>
                <w:rFonts w:ascii="Calibri" w:cs="Calibri" w:eastAsia="Calibri" w:hAnsi="Calibri"/>
                <w:sz w:val="18"/>
                <w:szCs w:val="18"/>
                <w:color w:val="auto"/>
              </w:rPr>
              <w:t>actvites</w:t>
            </w:r>
          </w:p>
        </w:tc>
        <w:tc>
          <w:tcPr>
            <w:tcW w:w="720" w:type="dxa"/>
            <w:vAlign w:val="bottom"/>
          </w:tcPr>
          <w:p>
            <w:pPr>
              <w:spacing w:after="0"/>
              <w:rPr>
                <w:sz w:val="18"/>
                <w:szCs w:val="18"/>
                <w:color w:val="auto"/>
              </w:rPr>
            </w:pPr>
          </w:p>
        </w:tc>
        <w:tc>
          <w:tcPr>
            <w:tcW w:w="560" w:type="dxa"/>
            <w:vAlign w:val="bottom"/>
            <w:gridSpan w:val="4"/>
          </w:tcPr>
          <w:p>
            <w:pPr>
              <w:jc w:val="right"/>
              <w:ind w:right="160"/>
              <w:spacing w:after="0" w:line="215" w:lineRule="exact"/>
              <w:rPr>
                <w:sz w:val="20"/>
                <w:szCs w:val="20"/>
                <w:color w:val="auto"/>
              </w:rPr>
            </w:pPr>
            <w:r>
              <w:rPr>
                <w:rFonts w:ascii="Calibri" w:cs="Calibri" w:eastAsia="Calibri" w:hAnsi="Calibri"/>
                <w:sz w:val="18"/>
                <w:szCs w:val="18"/>
                <w:color w:val="auto"/>
              </w:rPr>
              <w:t>(3 )</w:t>
            </w:r>
          </w:p>
        </w:tc>
        <w:tc>
          <w:tcPr>
            <w:tcW w:w="820" w:type="dxa"/>
            <w:vAlign w:val="bottom"/>
          </w:tcPr>
          <w:p>
            <w:pPr>
              <w:spacing w:after="0"/>
              <w:rPr>
                <w:sz w:val="18"/>
                <w:szCs w:val="18"/>
                <w:color w:val="auto"/>
              </w:rPr>
            </w:pPr>
          </w:p>
        </w:tc>
        <w:tc>
          <w:tcPr>
            <w:tcW w:w="440" w:type="dxa"/>
            <w:vAlign w:val="bottom"/>
            <w:gridSpan w:val="3"/>
          </w:tcPr>
          <w:p>
            <w:pPr>
              <w:jc w:val="right"/>
              <w:ind w:right="30"/>
              <w:spacing w:after="0" w:line="215" w:lineRule="exact"/>
              <w:rPr>
                <w:sz w:val="20"/>
                <w:szCs w:val="20"/>
                <w:color w:val="auto"/>
              </w:rPr>
            </w:pPr>
            <w:r>
              <w:rPr>
                <w:rFonts w:ascii="Calibri" w:cs="Calibri" w:eastAsia="Calibri" w:hAnsi="Calibri"/>
                <w:sz w:val="18"/>
                <w:szCs w:val="18"/>
                <w:color w:val="auto"/>
              </w:rPr>
              <w:t>(2 )</w:t>
            </w:r>
          </w:p>
        </w:tc>
        <w:tc>
          <w:tcPr>
            <w:tcW w:w="160" w:type="dxa"/>
            <w:vAlign w:val="bottom"/>
          </w:tcPr>
          <w:p>
            <w:pPr>
              <w:spacing w:after="0"/>
              <w:rPr>
                <w:sz w:val="18"/>
                <w:szCs w:val="18"/>
                <w:color w:val="auto"/>
              </w:rPr>
            </w:pPr>
          </w:p>
        </w:tc>
        <w:tc>
          <w:tcPr>
            <w:tcW w:w="96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3"/>
        </w:trPr>
        <w:tc>
          <w:tcPr>
            <w:tcW w:w="6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Borders>
              <w:right w:val="single" w:sz="8" w:color="CFF0FC"/>
            </w:tcBorders>
          </w:tcPr>
          <w:p>
            <w:pPr>
              <w:spacing w:after="0"/>
              <w:rPr>
                <w:sz w:val="18"/>
                <w:szCs w:val="18"/>
                <w:color w:val="auto"/>
              </w:rPr>
            </w:pPr>
          </w:p>
        </w:tc>
        <w:tc>
          <w:tcPr>
            <w:tcW w:w="52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Provision (setlement) of unrecognized tax benefts</w:t>
            </w:r>
          </w:p>
        </w:tc>
        <w:tc>
          <w:tcPr>
            <w:tcW w:w="72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tcBorders>
              <w:right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spacing w:after="0" w:line="215" w:lineRule="exact"/>
              <w:rPr>
                <w:sz w:val="20"/>
                <w:szCs w:val="20"/>
                <w:color w:val="auto"/>
              </w:rPr>
            </w:pPr>
            <w:r>
              <w:rPr>
                <w:rFonts w:ascii="Calibri" w:cs="Calibri" w:eastAsia="Calibri" w:hAnsi="Calibri"/>
                <w:sz w:val="18"/>
                <w:szCs w:val="18"/>
                <w:color w:val="auto"/>
              </w:rPr>
              <w:t>Permanent diferences, net</w:t>
            </w:r>
          </w:p>
        </w:tc>
        <w:tc>
          <w:tcPr>
            <w:tcW w:w="720" w:type="dxa"/>
            <w:vAlign w:val="bottom"/>
          </w:tcPr>
          <w:p>
            <w:pPr>
              <w:spacing w:after="0"/>
              <w:rPr>
                <w:sz w:val="18"/>
                <w:szCs w:val="18"/>
                <w:color w:val="auto"/>
              </w:rPr>
            </w:pPr>
          </w:p>
        </w:tc>
        <w:tc>
          <w:tcPr>
            <w:tcW w:w="560" w:type="dxa"/>
            <w:vAlign w:val="bottom"/>
            <w:gridSpan w:val="4"/>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820" w:type="dxa"/>
            <w:vAlign w:val="bottom"/>
          </w:tcPr>
          <w:p>
            <w:pPr>
              <w:spacing w:after="0"/>
              <w:rPr>
                <w:sz w:val="18"/>
                <w:szCs w:val="18"/>
                <w:color w:val="auto"/>
              </w:rPr>
            </w:pPr>
          </w:p>
        </w:tc>
        <w:tc>
          <w:tcPr>
            <w:tcW w:w="440" w:type="dxa"/>
            <w:vAlign w:val="bottom"/>
            <w:gridSpan w:val="3"/>
          </w:tcPr>
          <w:p>
            <w:pPr>
              <w:jc w:val="right"/>
              <w:ind w:right="30"/>
              <w:spacing w:after="0" w:line="215" w:lineRule="exact"/>
              <w:rPr>
                <w:sz w:val="20"/>
                <w:szCs w:val="20"/>
                <w:color w:val="auto"/>
              </w:rPr>
            </w:pPr>
            <w:r>
              <w:rPr>
                <w:rFonts w:ascii="Calibri" w:cs="Calibri" w:eastAsia="Calibri" w:hAnsi="Calibri"/>
                <w:sz w:val="18"/>
                <w:szCs w:val="18"/>
                <w:color w:val="auto"/>
              </w:rPr>
              <w:t>(4 )</w:t>
            </w: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CFF0FC"/>
            </w:tcBorders>
          </w:tcPr>
          <w:p>
            <w:pPr>
              <w:spacing w:after="0"/>
              <w:rPr>
                <w:sz w:val="18"/>
                <w:szCs w:val="18"/>
                <w:color w:val="auto"/>
              </w:rPr>
            </w:pPr>
          </w:p>
        </w:tc>
        <w:tc>
          <w:tcPr>
            <w:tcW w:w="526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State taxes, net of federal efect</w:t>
            </w:r>
          </w:p>
        </w:tc>
        <w:tc>
          <w:tcPr>
            <w:tcW w:w="720" w:type="dxa"/>
            <w:vAlign w:val="bottom"/>
            <w:shd w:val="clear" w:color="auto" w:fill="CFF0FC"/>
          </w:tcPr>
          <w:p>
            <w:pPr>
              <w:spacing w:after="0"/>
              <w:rPr>
                <w:sz w:val="18"/>
                <w:szCs w:val="18"/>
                <w:color w:val="auto"/>
              </w:rPr>
            </w:pPr>
          </w:p>
        </w:tc>
        <w:tc>
          <w:tcPr>
            <w:tcW w:w="560" w:type="dxa"/>
            <w:vAlign w:val="bottom"/>
            <w:gridSpan w:val="4"/>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(2 )</w:t>
            </w:r>
          </w:p>
        </w:tc>
        <w:tc>
          <w:tcPr>
            <w:tcW w:w="82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(8 )</w:t>
            </w: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(19 )</w:t>
            </w:r>
          </w:p>
        </w:tc>
        <w:tc>
          <w:tcPr>
            <w:tcW w:w="0" w:type="dxa"/>
            <w:vAlign w:val="bottom"/>
          </w:tcPr>
          <w:p>
            <w:pPr>
              <w:spacing w:after="0"/>
              <w:rPr>
                <w:sz w:val="1"/>
                <w:szCs w:val="1"/>
                <w:color w:val="auto"/>
              </w:rPr>
            </w:pPr>
          </w:p>
        </w:tc>
      </w:tr>
      <w:tr>
        <w:trPr>
          <w:trHeight w:val="20"/>
        </w:trPr>
        <w:tc>
          <w:tcPr>
            <w:tcW w:w="680" w:type="dxa"/>
            <w:vAlign w:val="bottom"/>
            <w:tcBorders>
              <w:right w:val="single" w:sz="8" w:color="CFF0FC"/>
            </w:tcBorders>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5260" w:type="dxa"/>
            <w:vAlign w:val="bottom"/>
          </w:tcPr>
          <w:p>
            <w:pPr>
              <w:ind w:left="120"/>
              <w:spacing w:after="0" w:line="210" w:lineRule="exact"/>
              <w:rPr>
                <w:sz w:val="20"/>
                <w:szCs w:val="20"/>
                <w:color w:val="auto"/>
              </w:rPr>
            </w:pPr>
            <w:r>
              <w:rPr>
                <w:rFonts w:ascii="Calibri" w:cs="Calibri" w:eastAsia="Calibri" w:hAnsi="Calibri"/>
                <w:sz w:val="18"/>
                <w:szCs w:val="18"/>
                <w:color w:val="auto"/>
              </w:rPr>
              <w:t>Provision (beneft) for income taxes</w:t>
            </w:r>
          </w:p>
        </w:tc>
        <w:tc>
          <w:tcPr>
            <w:tcW w:w="720" w:type="dxa"/>
            <w:vAlign w:val="bottom"/>
          </w:tcPr>
          <w:p>
            <w:pPr>
              <w:jc w:val="right"/>
              <w:ind w:right="536"/>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gridSpan w:val="3"/>
          </w:tcPr>
          <w:p>
            <w:pPr>
              <w:jc w:val="right"/>
              <w:spacing w:after="0" w:line="210" w:lineRule="exact"/>
              <w:rPr>
                <w:sz w:val="20"/>
                <w:szCs w:val="20"/>
                <w:color w:val="auto"/>
              </w:rPr>
            </w:pPr>
            <w:r>
              <w:rPr>
                <w:rFonts w:ascii="Calibri" w:cs="Calibri" w:eastAsia="Calibri" w:hAnsi="Calibri"/>
                <w:sz w:val="18"/>
                <w:szCs w:val="18"/>
                <w:color w:val="auto"/>
              </w:rPr>
              <w:t>111</w:t>
            </w:r>
          </w:p>
        </w:tc>
        <w:tc>
          <w:tcPr>
            <w:tcW w:w="220" w:type="dxa"/>
            <w:vAlign w:val="bottom"/>
          </w:tcPr>
          <w:p>
            <w:pPr>
              <w:spacing w:after="0"/>
              <w:rPr>
                <w:sz w:val="18"/>
                <w:szCs w:val="18"/>
                <w:color w:val="auto"/>
              </w:rPr>
            </w:pPr>
          </w:p>
        </w:tc>
        <w:tc>
          <w:tcPr>
            <w:tcW w:w="820" w:type="dxa"/>
            <w:vAlign w:val="bottom"/>
          </w:tcPr>
          <w:p>
            <w:pPr>
              <w:jc w:val="right"/>
              <w:ind w:right="635"/>
              <w:spacing w:after="0" w:line="210" w:lineRule="exact"/>
              <w:rPr>
                <w:sz w:val="20"/>
                <w:szCs w:val="20"/>
                <w:color w:val="auto"/>
              </w:rPr>
            </w:pPr>
            <w:r>
              <w:rPr>
                <w:rFonts w:ascii="Calibri" w:cs="Calibri" w:eastAsia="Calibri" w:hAnsi="Calibri"/>
                <w:sz w:val="18"/>
                <w:szCs w:val="18"/>
                <w:color w:val="auto"/>
                <w:w w:val="87"/>
              </w:rPr>
              <w:t>$</w:t>
            </w:r>
          </w:p>
        </w:tc>
        <w:tc>
          <w:tcPr>
            <w:tcW w:w="600" w:type="dxa"/>
            <w:vAlign w:val="bottom"/>
            <w:gridSpan w:val="4"/>
          </w:tcPr>
          <w:p>
            <w:pPr>
              <w:jc w:val="right"/>
              <w:ind w:right="60"/>
              <w:spacing w:after="0" w:line="210" w:lineRule="exact"/>
              <w:rPr>
                <w:sz w:val="20"/>
                <w:szCs w:val="20"/>
                <w:color w:val="auto"/>
              </w:rPr>
            </w:pPr>
            <w:r>
              <w:rPr>
                <w:rFonts w:ascii="Calibri" w:cs="Calibri" w:eastAsia="Calibri" w:hAnsi="Calibri"/>
                <w:sz w:val="18"/>
                <w:szCs w:val="18"/>
                <w:color w:val="auto"/>
              </w:rPr>
              <w:t>(28 )  $</w:t>
            </w:r>
          </w:p>
        </w:tc>
        <w:tc>
          <w:tcPr>
            <w:tcW w:w="820" w:type="dxa"/>
            <w:vAlign w:val="bottom"/>
          </w:tcPr>
          <w:p>
            <w:pPr>
              <w:jc w:val="right"/>
              <w:spacing w:after="0" w:line="210" w:lineRule="exact"/>
              <w:rPr>
                <w:sz w:val="20"/>
                <w:szCs w:val="20"/>
                <w:color w:val="auto"/>
              </w:rPr>
            </w:pPr>
            <w:r>
              <w:rPr>
                <w:rFonts w:ascii="Calibri" w:cs="Calibri" w:eastAsia="Calibri" w:hAnsi="Calibri"/>
                <w:sz w:val="18"/>
                <w:szCs w:val="18"/>
                <w:color w:val="auto"/>
              </w:rPr>
              <w:t>102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Calibri" w:cs="Calibri" w:eastAsia="Calibri" w:hAnsi="Calibri"/>
                <w:sz w:val="18"/>
                <w:szCs w:val="18"/>
                <w:color w:val="auto"/>
              </w:rPr>
              <w:t>Signifcant components of deferred income taxes were as follows: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9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5"/>
          </w:tcPr>
          <w:p>
            <w:pPr>
              <w:jc w:val="right"/>
              <w:ind w:right="100"/>
              <w:spacing w:after="0"/>
              <w:rPr>
                <w:sz w:val="20"/>
                <w:szCs w:val="20"/>
                <w:color w:val="auto"/>
              </w:rPr>
            </w:pPr>
            <w:r>
              <w:rPr>
                <w:rFonts w:ascii="Calibri" w:cs="Calibri" w:eastAsia="Calibri" w:hAnsi="Calibri"/>
                <w:sz w:val="14"/>
                <w:szCs w:val="14"/>
                <w:b w:val="1"/>
                <w:bCs w:val="1"/>
                <w:color w:val="auto"/>
              </w:rPr>
              <w:t>September 30</w:t>
            </w:r>
          </w:p>
        </w:tc>
        <w:tc>
          <w:tcPr>
            <w:tcW w:w="8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2"/>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5"/>
              <w:spacing w:after="0" w:line="169" w:lineRule="exact"/>
              <w:rPr>
                <w:sz w:val="20"/>
                <w:szCs w:val="20"/>
                <w:color w:val="auto"/>
              </w:rPr>
            </w:pPr>
            <w:r>
              <w:rPr>
                <w:rFonts w:ascii="Calibri" w:cs="Calibri" w:eastAsia="Calibri" w:hAnsi="Calibri"/>
                <w:sz w:val="14"/>
                <w:szCs w:val="14"/>
                <w:b w:val="1"/>
                <w:bCs w:val="1"/>
                <w:color w:val="auto"/>
              </w:rPr>
              <w:t>(In</w:t>
            </w:r>
          </w:p>
        </w:tc>
        <w:tc>
          <w:tcPr>
            <w:tcW w:w="600" w:type="dxa"/>
            <w:vAlign w:val="bottom"/>
            <w:gridSpan w:val="4"/>
          </w:tcPr>
          <w:p>
            <w:pPr>
              <w:jc w:val="right"/>
              <w:ind w:right="160"/>
              <w:spacing w:after="0" w:line="169" w:lineRule="exact"/>
              <w:rPr>
                <w:sz w:val="20"/>
                <w:szCs w:val="20"/>
                <w:color w:val="auto"/>
              </w:rPr>
            </w:pPr>
            <w:r>
              <w:rPr>
                <w:rFonts w:ascii="Calibri" w:cs="Calibri" w:eastAsia="Calibri" w:hAnsi="Calibri"/>
                <w:sz w:val="14"/>
                <w:szCs w:val="14"/>
                <w:b w:val="1"/>
                <w:bCs w:val="1"/>
                <w:color w:val="auto"/>
                <w:w w:val="83"/>
              </w:rPr>
              <w:t>millions)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52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Deferred tax assets: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tcBorders>
              <w:lef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Deferred expenses</w:t>
            </w:r>
          </w:p>
        </w:tc>
        <w:tc>
          <w:tcPr>
            <w:tcW w:w="720" w:type="dxa"/>
            <w:vAlign w:val="bottom"/>
          </w:tcPr>
          <w:p>
            <w:pPr>
              <w:spacing w:after="0"/>
              <w:rPr>
                <w:sz w:val="18"/>
                <w:szCs w:val="18"/>
                <w:color w:val="auto"/>
              </w:rPr>
            </w:pPr>
          </w:p>
        </w:tc>
        <w:tc>
          <w:tcPr>
            <w:tcW w:w="340" w:type="dxa"/>
            <w:vAlign w:val="bottom"/>
            <w:gridSpan w:val="3"/>
          </w:tcPr>
          <w:p>
            <w:pPr>
              <w:jc w:val="right"/>
              <w:ind w:right="39"/>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40</w:t>
            </w:r>
          </w:p>
        </w:tc>
        <w:tc>
          <w:tcPr>
            <w:tcW w:w="440" w:type="dxa"/>
            <w:vAlign w:val="bottom"/>
            <w:gridSpan w:val="3"/>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Intangible assets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47</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w:t>
            </w:r>
          </w:p>
        </w:tc>
        <w:tc>
          <w:tcPr>
            <w:tcW w:w="80" w:type="dxa"/>
            <w:vAlign w:val="bottom"/>
            <w:tcBorders>
              <w:lef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Inventory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Operatng lease liability</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w:t>
            </w:r>
          </w:p>
        </w:tc>
        <w:tc>
          <w:tcPr>
            <w:tcW w:w="80" w:type="dxa"/>
            <w:vAlign w:val="bottom"/>
            <w:tcBorders>
              <w:lef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U.S. federal interest expense carryforward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w:t>
            </w:r>
          </w:p>
        </w:tc>
        <w:tc>
          <w:tcPr>
            <w:tcW w:w="80" w:type="dxa"/>
            <w:vAlign w:val="bottom"/>
            <w:tcBorders>
              <w:lef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Pension and other benefts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Net operatng loss carryforwards ("NOLs")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261</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244</w:t>
            </w:r>
          </w:p>
        </w:tc>
        <w:tc>
          <w:tcPr>
            <w:tcW w:w="80" w:type="dxa"/>
            <w:vAlign w:val="bottom"/>
            <w:tcBorders>
              <w:lef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Capital loss carryforwards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Foreign tax credit carryforwards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68</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68</w:t>
            </w:r>
          </w:p>
        </w:tc>
        <w:tc>
          <w:tcPr>
            <w:tcW w:w="80" w:type="dxa"/>
            <w:vAlign w:val="bottom"/>
            <w:tcBorders>
              <w:lef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R&amp;D credit carryforwards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Other business credit carryforwards</w:t>
            </w:r>
          </w:p>
        </w:tc>
        <w:tc>
          <w:tcPr>
            <w:tcW w:w="7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w:t>
            </w:r>
          </w:p>
        </w:tc>
        <w:tc>
          <w:tcPr>
            <w:tcW w:w="80" w:type="dxa"/>
            <w:vAlign w:val="bottom"/>
            <w:tcBorders>
              <w:left w:val="single" w:sz="8" w:color="CFF0FC"/>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5260" w:type="dxa"/>
            <w:vAlign w:val="bottom"/>
          </w:tcPr>
          <w:p>
            <w:pPr>
              <w:ind w:left="360"/>
              <w:spacing w:after="0" w:line="209" w:lineRule="exact"/>
              <w:rPr>
                <w:sz w:val="20"/>
                <w:szCs w:val="20"/>
                <w:color w:val="auto"/>
              </w:rPr>
            </w:pPr>
            <w:r>
              <w:rPr>
                <w:rFonts w:ascii="Calibri" w:cs="Calibri" w:eastAsia="Calibri" w:hAnsi="Calibri"/>
                <w:sz w:val="18"/>
                <w:szCs w:val="18"/>
                <w:color w:val="auto"/>
              </w:rPr>
              <w:t>Subtotal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765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712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Valuaton allowance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(494 )</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(498 )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5260" w:type="dxa"/>
            <w:vAlign w:val="bottom"/>
          </w:tcPr>
          <w:p>
            <w:pPr>
              <w:ind w:left="360"/>
              <w:spacing w:after="0" w:line="210" w:lineRule="exact"/>
              <w:rPr>
                <w:sz w:val="20"/>
                <w:szCs w:val="20"/>
                <w:color w:val="auto"/>
              </w:rPr>
            </w:pPr>
            <w:r>
              <w:rPr>
                <w:rFonts w:ascii="Calibri" w:cs="Calibri" w:eastAsia="Calibri" w:hAnsi="Calibri"/>
                <w:sz w:val="18"/>
                <w:szCs w:val="18"/>
                <w:color w:val="auto"/>
              </w:rPr>
              <w:t>Total deferred tax assets</w:t>
            </w:r>
          </w:p>
        </w:tc>
        <w:tc>
          <w:tcPr>
            <w:tcW w:w="720" w:type="dxa"/>
            <w:vAlign w:val="bottom"/>
          </w:tcPr>
          <w:p>
            <w:pPr>
              <w:spacing w:after="0"/>
              <w:rPr>
                <w:sz w:val="18"/>
                <w:szCs w:val="18"/>
                <w:color w:val="auto"/>
              </w:rPr>
            </w:pPr>
          </w:p>
        </w:tc>
        <w:tc>
          <w:tcPr>
            <w:tcW w:w="340" w:type="dxa"/>
            <w:vAlign w:val="bottom"/>
            <w:gridSpan w:val="3"/>
          </w:tcPr>
          <w:p>
            <w:pPr>
              <w:jc w:val="right"/>
              <w:ind w:right="39"/>
              <w:spacing w:after="0" w:line="210"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line="210" w:lineRule="exact"/>
              <w:rPr>
                <w:sz w:val="20"/>
                <w:szCs w:val="20"/>
                <w:color w:val="auto"/>
              </w:rPr>
            </w:pPr>
            <w:r>
              <w:rPr>
                <w:rFonts w:ascii="Calibri" w:cs="Calibri" w:eastAsia="Calibri" w:hAnsi="Calibri"/>
                <w:sz w:val="18"/>
                <w:szCs w:val="18"/>
                <w:color w:val="auto"/>
              </w:rPr>
              <w:t>271</w:t>
            </w:r>
          </w:p>
        </w:tc>
        <w:tc>
          <w:tcPr>
            <w:tcW w:w="440" w:type="dxa"/>
            <w:vAlign w:val="bottom"/>
            <w:gridSpan w:val="3"/>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line="210" w:lineRule="exact"/>
              <w:rPr>
                <w:sz w:val="20"/>
                <w:szCs w:val="20"/>
                <w:color w:val="auto"/>
              </w:rPr>
            </w:pPr>
            <w:r>
              <w:rPr>
                <w:rFonts w:ascii="Calibri" w:cs="Calibri" w:eastAsia="Calibri" w:hAnsi="Calibri"/>
                <w:sz w:val="18"/>
                <w:szCs w:val="18"/>
                <w:color w:val="auto"/>
              </w:rPr>
              <w:t>214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right"/>
              <w:ind w:right="60"/>
              <w:spacing w:after="0"/>
              <w:rPr>
                <w:sz w:val="20"/>
                <w:szCs w:val="20"/>
                <w:color w:val="auto"/>
              </w:rPr>
            </w:pPr>
            <w:r>
              <w:rPr>
                <w:rFonts w:ascii="Calibri" w:cs="Calibri" w:eastAsia="Calibri" w:hAnsi="Calibri"/>
                <w:sz w:val="14"/>
                <w:szCs w:val="14"/>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2"/>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52"/>
              <w:spacing w:after="0" w:line="169" w:lineRule="exact"/>
              <w:rPr>
                <w:sz w:val="20"/>
                <w:szCs w:val="20"/>
                <w:color w:val="auto"/>
              </w:rPr>
            </w:pPr>
            <w:r>
              <w:rPr>
                <w:rFonts w:ascii="Calibri" w:cs="Calibri" w:eastAsia="Calibri" w:hAnsi="Calibri"/>
                <w:sz w:val="14"/>
                <w:szCs w:val="14"/>
                <w:b w:val="1"/>
                <w:bCs w:val="1"/>
                <w:color w:val="auto"/>
              </w:rPr>
              <w:t>(In</w:t>
            </w:r>
          </w:p>
        </w:tc>
        <w:tc>
          <w:tcPr>
            <w:tcW w:w="520" w:type="dxa"/>
            <w:vAlign w:val="bottom"/>
            <w:gridSpan w:val="3"/>
          </w:tcPr>
          <w:p>
            <w:pPr>
              <w:jc w:val="right"/>
              <w:ind w:right="120"/>
              <w:spacing w:after="0" w:line="169" w:lineRule="exact"/>
              <w:rPr>
                <w:sz w:val="20"/>
                <w:szCs w:val="20"/>
                <w:color w:val="auto"/>
              </w:rPr>
            </w:pPr>
            <w:r>
              <w:rPr>
                <w:rFonts w:ascii="Calibri" w:cs="Calibri" w:eastAsia="Calibri" w:hAnsi="Calibri"/>
                <w:sz w:val="14"/>
                <w:szCs w:val="14"/>
                <w:b w:val="1"/>
                <w:bCs w:val="1"/>
                <w:color w:val="auto"/>
                <w:w w:val="75"/>
              </w:rPr>
              <w:t>millions)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52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Deferred tax liabilites: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tcBorders>
              <w:lef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Property, plant and equipment</w:t>
            </w:r>
          </w:p>
        </w:tc>
        <w:tc>
          <w:tcPr>
            <w:tcW w:w="720" w:type="dxa"/>
            <w:vAlign w:val="bottom"/>
          </w:tcPr>
          <w:p>
            <w:pPr>
              <w:spacing w:after="0"/>
              <w:rPr>
                <w:sz w:val="18"/>
                <w:szCs w:val="18"/>
                <w:color w:val="auto"/>
              </w:rPr>
            </w:pPr>
          </w:p>
        </w:tc>
        <w:tc>
          <w:tcPr>
            <w:tcW w:w="3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00" w:type="dxa"/>
            <w:vAlign w:val="bottom"/>
            <w:gridSpan w:val="3"/>
          </w:tcPr>
          <w:p>
            <w:pPr>
              <w:jc w:val="right"/>
              <w:ind w:right="68"/>
              <w:spacing w:after="0" w:line="215" w:lineRule="exact"/>
              <w:rPr>
                <w:sz w:val="20"/>
                <w:szCs w:val="20"/>
                <w:color w:val="auto"/>
              </w:rPr>
            </w:pPr>
            <w:r>
              <w:rPr>
                <w:rFonts w:ascii="Calibri" w:cs="Calibri" w:eastAsia="Calibri" w:hAnsi="Calibri"/>
                <w:sz w:val="18"/>
                <w:szCs w:val="18"/>
                <w:color w:val="auto"/>
              </w:rPr>
              <w:t>(58 )</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Right of use asset</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3"/>
            <w:shd w:val="clear" w:color="auto" w:fill="CFF0FC"/>
          </w:tcPr>
          <w:p>
            <w:pPr>
              <w:jc w:val="right"/>
              <w:ind w:right="68"/>
              <w:spacing w:after="0" w:line="216" w:lineRule="exact"/>
              <w:rPr>
                <w:sz w:val="20"/>
                <w:szCs w:val="20"/>
                <w:color w:val="auto"/>
              </w:rPr>
            </w:pPr>
            <w:r>
              <w:rPr>
                <w:rFonts w:ascii="Calibri" w:cs="Calibri" w:eastAsia="Calibri" w:hAnsi="Calibri"/>
                <w:sz w:val="18"/>
                <w:szCs w:val="18"/>
                <w:color w:val="auto"/>
              </w:rPr>
              <w:t>(23 )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Unremited earnings of non-U.S. subsidiaries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68"/>
              <w:spacing w:after="0" w:line="215" w:lineRule="exact"/>
              <w:rPr>
                <w:sz w:val="20"/>
                <w:szCs w:val="20"/>
                <w:color w:val="auto"/>
              </w:rPr>
            </w:pPr>
            <w:r>
              <w:rPr>
                <w:rFonts w:ascii="Calibri" w:cs="Calibri" w:eastAsia="Calibri" w:hAnsi="Calibri"/>
                <w:sz w:val="18"/>
                <w:szCs w:val="18"/>
                <w:color w:val="auto"/>
              </w:rPr>
              <w:t>(16 )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 w:type="dxa"/>
            <w:vAlign w:val="bottom"/>
          </w:tcPr>
          <w:p>
            <w:pPr>
              <w:spacing w:after="0"/>
              <w:rPr>
                <w:sz w:val="20"/>
                <w:szCs w:val="20"/>
                <w:color w:val="auto"/>
              </w:rPr>
            </w:pPr>
          </w:p>
        </w:tc>
        <w:tc>
          <w:tcPr>
            <w:tcW w:w="526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deferred tax liabilites</w:t>
            </w:r>
          </w:p>
        </w:tc>
        <w:tc>
          <w:tcPr>
            <w:tcW w:w="7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spacing w:after="0"/>
              <w:rPr>
                <w:sz w:val="20"/>
                <w:szCs w:val="20"/>
                <w:color w:val="auto"/>
              </w:rPr>
            </w:pPr>
          </w:p>
        </w:tc>
        <w:tc>
          <w:tcPr>
            <w:tcW w:w="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22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3"/>
            <w:shd w:val="clear" w:color="auto" w:fill="CFF0FC"/>
          </w:tcPr>
          <w:p>
            <w:pPr>
              <w:jc w:val="right"/>
              <w:ind w:right="68"/>
              <w:spacing w:after="0" w:line="210" w:lineRule="exact"/>
              <w:rPr>
                <w:sz w:val="20"/>
                <w:szCs w:val="20"/>
                <w:color w:val="auto"/>
              </w:rPr>
            </w:pPr>
            <w:r>
              <w:rPr>
                <w:rFonts w:ascii="Calibri" w:cs="Calibri" w:eastAsia="Calibri" w:hAnsi="Calibri"/>
                <w:sz w:val="18"/>
                <w:szCs w:val="18"/>
                <w:color w:val="auto"/>
              </w:rPr>
              <w:t>(97 )</w:t>
            </w:r>
          </w:p>
        </w:tc>
        <w:tc>
          <w:tcPr>
            <w:tcW w:w="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(84 )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-4173855</wp:posOffset>
            </wp:positionV>
            <wp:extent cx="596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-4173855</wp:posOffset>
            </wp:positionV>
            <wp:extent cx="514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-4173855</wp:posOffset>
            </wp:positionV>
            <wp:extent cx="514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-1576705</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-1576705</wp:posOffset>
            </wp:positionV>
            <wp:extent cx="514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-1293495</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-1293495</wp:posOffset>
            </wp:positionV>
            <wp:extent cx="514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03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514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49" w:lineRule="exact"/>
        <w:rPr>
          <w:sz w:val="20"/>
          <w:szCs w:val="20"/>
          <w:color w:val="auto"/>
        </w:rPr>
      </w:pPr>
    </w:p>
    <w:p>
      <w:pPr>
        <w:ind w:firstLine="469"/>
        <w:spacing w:after="0" w:line="235" w:lineRule="auto"/>
        <w:rPr>
          <w:sz w:val="20"/>
          <w:szCs w:val="20"/>
          <w:color w:val="auto"/>
        </w:rPr>
      </w:pPr>
      <w:r>
        <w:rPr>
          <w:rFonts w:ascii="Calibri" w:cs="Calibri" w:eastAsia="Calibri" w:hAnsi="Calibri"/>
          <w:sz w:val="18"/>
          <w:szCs w:val="18"/>
          <w:color w:val="212529"/>
        </w:rPr>
        <w:t>The Company assesses the available positve and negatve evidence to estmate whether sufcient future taxable income will be generated to permit utlizaton of the existng deferred tax assets. When performing this assessment, the Company looks to the potental future reversal of existng taxable temporary diferences, taxable income in carryback years and the feasibility of tax planning strategies and estmated future taxable income. Failure to achieve operatng income targets resultng in a cumulatve loss may change the Company’s assessment regarding the realizaton of Cabot’s deferred tax assets, resultng in valuaton allowances being recorded against some or all of the Company’s deferred tax assets. The need for a valuaton allowance can also be afected by changes to tax laws, changes to statutory tax rates and changes to future taxable income estmates. A valuaton allowance</w:t>
      </w:r>
    </w:p>
    <w:p>
      <w:pPr>
        <w:spacing w:after="0" w:line="21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72" w:name="page73"/>
    <w:bookmarkEnd w:id="72"/>
    <w:p>
      <w:pPr>
        <w:ind w:right="40"/>
        <w:spacing w:after="0" w:line="235" w:lineRule="auto"/>
        <w:rPr>
          <w:sz w:val="20"/>
          <w:szCs w:val="20"/>
          <w:color w:val="auto"/>
        </w:rPr>
      </w:pPr>
      <w:r>
        <w:rPr>
          <w:rFonts w:ascii="Calibri" w:cs="Calibri" w:eastAsia="Calibri" w:hAnsi="Calibri"/>
          <w:sz w:val="18"/>
          <w:szCs w:val="18"/>
          <w:color w:val="212529"/>
        </w:rPr>
        <w:t xml:space="preserve">represents management’s best estmate of the non-realizable porton of the deferred tax assets. Any adjustments in a valuaton allowance would result in an adjustment to </w:t>
      </w:r>
      <w:r>
        <w:rPr>
          <w:rFonts w:ascii="Calibri" w:cs="Calibri" w:eastAsia="Calibri" w:hAnsi="Calibri"/>
          <w:sz w:val="18"/>
          <w:szCs w:val="18"/>
          <w:color w:val="000000"/>
        </w:rPr>
        <w:t>Provision (beneft) for income taxes in the Consolidated Statement of Operatons</w:t>
      </w:r>
      <w:r>
        <w:rPr>
          <w:rFonts w:ascii="Calibri" w:cs="Calibri" w:eastAsia="Calibri" w:hAnsi="Calibri"/>
          <w:sz w:val="18"/>
          <w:szCs w:val="18"/>
          <w:color w:val="212529"/>
        </w:rPr>
        <w:t>.</w:t>
      </w:r>
    </w:p>
    <w:p>
      <w:pPr>
        <w:spacing w:after="0" w:line="83" w:lineRule="exact"/>
        <w:rPr>
          <w:sz w:val="20"/>
          <w:szCs w:val="20"/>
          <w:color w:val="auto"/>
        </w:rPr>
      </w:pPr>
    </w:p>
    <w:p>
      <w:pPr>
        <w:ind w:firstLine="469"/>
        <w:spacing w:after="0" w:line="235" w:lineRule="auto"/>
        <w:rPr>
          <w:sz w:val="20"/>
          <w:szCs w:val="20"/>
          <w:color w:val="auto"/>
        </w:rPr>
      </w:pPr>
      <w:r>
        <w:rPr>
          <w:rFonts w:ascii="Calibri" w:cs="Calibri" w:eastAsia="Calibri" w:hAnsi="Calibri"/>
          <w:sz w:val="18"/>
          <w:szCs w:val="18"/>
          <w:color w:val="212529"/>
        </w:rPr>
        <w:t>Since 2020, the Company has maintained a valuaton allowance against its net U.S. deferred tax assets. On a quarterly basis, the Company evaluates all positve and negatve evidence to determine if a valuaton allowance is required. In analyzing all available evidence as of September 30, 2024 and 2023, the Company determined that there is sufcient positve evidence outweighing the negatve evidence to conclude that it is more likely than not that a porton of the U.S. deferred tax assets are realizable. As a result, the Company reversed a porton of the valuaton allowance that was recorded against U.S. net deferred tax assets. This reversal resulted in a non-cash income tax beneft of $24 million and $152 million in fscal 2024 and 2023, respectvely. The Company contnues to maintain a valuaton allowance in the U.S. against capital losses, interest expense limitaton carryforwards, certain foreign tax credits, certain R&amp;D tax credits, and all state deferred tax assets that the Company does not expect to realize.</w:t>
      </w:r>
    </w:p>
    <w:p>
      <w:pPr>
        <w:spacing w:after="0" w:line="87" w:lineRule="exact"/>
        <w:rPr>
          <w:sz w:val="20"/>
          <w:szCs w:val="20"/>
          <w:color w:val="auto"/>
        </w:rPr>
      </w:pPr>
    </w:p>
    <w:p>
      <w:pPr>
        <w:ind w:right="40" w:firstLine="469"/>
        <w:spacing w:after="0" w:line="235" w:lineRule="auto"/>
        <w:rPr>
          <w:sz w:val="20"/>
          <w:szCs w:val="20"/>
          <w:color w:val="auto"/>
        </w:rPr>
      </w:pPr>
      <w:r>
        <w:rPr>
          <w:rFonts w:ascii="Calibri" w:cs="Calibri" w:eastAsia="Calibri" w:hAnsi="Calibri"/>
          <w:sz w:val="18"/>
          <w:szCs w:val="18"/>
          <w:color w:val="212529"/>
        </w:rPr>
        <w:t>The valuaton allowance decreased by $4 million from $498 million in fscal 2023 compared to $494 million in fscal 2024, primarily due to the reversal of a porton of the valuaton allowance on U.S. foreign tax credits and R&amp;D tax credits, which was partally ofset by an increase in valuaton allowance on current year actvity of U.S. deferred tax assets.</w:t>
      </w:r>
    </w:p>
    <w:p>
      <w:pPr>
        <w:spacing w:after="0" w:line="84" w:lineRule="exact"/>
        <w:rPr>
          <w:sz w:val="20"/>
          <w:szCs w:val="20"/>
          <w:color w:val="auto"/>
        </w:rPr>
      </w:pPr>
    </w:p>
    <w:p>
      <w:pPr>
        <w:ind w:right="260" w:firstLine="469"/>
        <w:spacing w:after="0" w:line="235" w:lineRule="auto"/>
        <w:rPr>
          <w:sz w:val="20"/>
          <w:szCs w:val="20"/>
          <w:color w:val="auto"/>
        </w:rPr>
      </w:pPr>
      <w:r>
        <w:rPr>
          <w:rFonts w:ascii="Calibri" w:cs="Calibri" w:eastAsia="Calibri" w:hAnsi="Calibri"/>
          <w:sz w:val="18"/>
          <w:szCs w:val="18"/>
          <w:color w:val="212529"/>
        </w:rPr>
        <w:t>Afer the valuaton allowance, approximately $35 million of foreign NOLs and less than $1 million of other tax credit carryforwards remained at September 30, 2024. The benefts of these carryforwards are dependent upon taxable income during the carryforward period in the jurisdictons in which they arose.</w:t>
      </w:r>
    </w:p>
    <w:p>
      <w:pPr>
        <w:spacing w:after="0" w:line="219" w:lineRule="exact"/>
        <w:rPr>
          <w:sz w:val="20"/>
          <w:szCs w:val="20"/>
          <w:color w:val="auto"/>
        </w:rPr>
      </w:pPr>
    </w:p>
    <w:p>
      <w:pPr>
        <w:ind w:right="740" w:firstLine="469"/>
        <w:spacing w:after="0" w:line="235" w:lineRule="auto"/>
        <w:rPr>
          <w:sz w:val="20"/>
          <w:szCs w:val="20"/>
          <w:color w:val="auto"/>
        </w:rPr>
      </w:pPr>
      <w:r>
        <w:rPr>
          <w:rFonts w:ascii="Calibri" w:cs="Calibri" w:eastAsia="Calibri" w:hAnsi="Calibri"/>
          <w:sz w:val="18"/>
          <w:szCs w:val="18"/>
          <w:color w:val="auto"/>
        </w:rPr>
        <w:t>The following table provides detail surrounding the expiraton dates of NOLs, capital loss and other tax credit carryforwards before valuaton allowances:</w:t>
      </w:r>
    </w:p>
    <w:p>
      <w:pPr>
        <w:spacing w:after="0" w:line="9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78"/>
              <w:spacing w:after="0"/>
              <w:rPr>
                <w:sz w:val="20"/>
                <w:szCs w:val="20"/>
                <w:color w:val="auto"/>
              </w:rPr>
            </w:pPr>
            <w:r>
              <w:rPr>
                <w:rFonts w:ascii="Calibri" w:cs="Calibri" w:eastAsia="Calibri" w:hAnsi="Calibri"/>
                <w:sz w:val="14"/>
                <w:szCs w:val="14"/>
                <w:b w:val="1"/>
                <w:bCs w:val="1"/>
                <w:color w:val="auto"/>
              </w:rPr>
              <w:t>NOLs/Capital</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5280" w:type="dxa"/>
            <w:vAlign w:val="bottom"/>
            <w:tcBorders>
              <w:bottom w:val="single" w:sz="8" w:color="auto"/>
            </w:tcBorders>
          </w:tcPr>
          <w:p>
            <w:pPr>
              <w:ind w:left="1840"/>
              <w:spacing w:after="0"/>
              <w:rPr>
                <w:sz w:val="20"/>
                <w:szCs w:val="20"/>
                <w:color w:val="auto"/>
              </w:rPr>
            </w:pPr>
            <w:r>
              <w:rPr>
                <w:rFonts w:ascii="Calibri" w:cs="Calibri" w:eastAsia="Calibri" w:hAnsi="Calibri"/>
                <w:sz w:val="14"/>
                <w:szCs w:val="14"/>
                <w:b w:val="1"/>
                <w:bCs w:val="1"/>
                <w:color w:val="auto"/>
              </w:rPr>
              <w:t>Years Ending September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8"/>
              <w:spacing w:after="0"/>
              <w:rPr>
                <w:sz w:val="20"/>
                <w:szCs w:val="20"/>
                <w:color w:val="auto"/>
              </w:rPr>
            </w:pPr>
            <w:r>
              <w:rPr>
                <w:rFonts w:ascii="Calibri" w:cs="Calibri" w:eastAsia="Calibri" w:hAnsi="Calibri"/>
                <w:sz w:val="14"/>
                <w:szCs w:val="14"/>
                <w:b w:val="1"/>
                <w:bCs w:val="1"/>
                <w:color w:val="auto"/>
              </w:rPr>
              <w:t>Losses</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4"/>
              <w:spacing w:after="0"/>
              <w:rPr>
                <w:sz w:val="20"/>
                <w:szCs w:val="20"/>
                <w:color w:val="auto"/>
              </w:rPr>
            </w:pPr>
            <w:r>
              <w:rPr>
                <w:rFonts w:ascii="Calibri" w:cs="Calibri" w:eastAsia="Calibri" w:hAnsi="Calibri"/>
                <w:sz w:val="14"/>
                <w:szCs w:val="14"/>
                <w:b w:val="1"/>
                <w:bCs w:val="1"/>
                <w:color w:val="auto"/>
              </w:rPr>
              <w:t>Credits</w:t>
            </w:r>
          </w:p>
        </w:tc>
        <w:tc>
          <w:tcPr>
            <w:tcW w:w="80" w:type="dxa"/>
            <w:vAlign w:val="bottom"/>
          </w:tcPr>
          <w:p>
            <w:pPr>
              <w:spacing w:after="0"/>
              <w:rPr>
                <w:sz w:val="16"/>
                <w:szCs w:val="16"/>
                <w:color w:val="auto"/>
              </w:rPr>
            </w:pPr>
          </w:p>
        </w:tc>
      </w:tr>
      <w:tr>
        <w:trPr>
          <w:trHeight w:val="173"/>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8"/>
              <w:spacing w:after="0"/>
              <w:rPr>
                <w:sz w:val="20"/>
                <w:szCs w:val="20"/>
                <w:color w:val="auto"/>
              </w:rPr>
            </w:pPr>
            <w:r>
              <w:rPr>
                <w:rFonts w:ascii="Calibri" w:cs="Calibri" w:eastAsia="Calibri" w:hAnsi="Calibri"/>
                <w:sz w:val="14"/>
                <w:szCs w:val="14"/>
                <w:b w:val="1"/>
                <w:bCs w:val="1"/>
                <w:color w:val="auto"/>
              </w:rPr>
              <w:t>(In</w:t>
            </w:r>
          </w:p>
        </w:tc>
        <w:tc>
          <w:tcPr>
            <w:tcW w:w="50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w w:val="87"/>
              </w:rPr>
              <w:t>millions)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9"/>
        </w:trPr>
        <w:tc>
          <w:tcPr>
            <w:tcW w:w="5280" w:type="dxa"/>
            <w:vAlign w:val="bottom"/>
            <w:shd w:val="clear" w:color="auto" w:fill="CFF0FC"/>
          </w:tcPr>
          <w:p>
            <w:pPr>
              <w:ind w:left="180"/>
              <w:spacing w:after="0" w:line="217" w:lineRule="exact"/>
              <w:rPr>
                <w:sz w:val="20"/>
                <w:szCs w:val="20"/>
                <w:color w:val="auto"/>
              </w:rPr>
            </w:pPr>
            <w:r>
              <w:rPr>
                <w:rFonts w:ascii="Calibri" w:cs="Calibri" w:eastAsia="Calibri" w:hAnsi="Calibri"/>
                <w:sz w:val="18"/>
                <w:szCs w:val="18"/>
                <w:color w:val="auto"/>
              </w:rPr>
              <w:t>2025 - 2031</w:t>
            </w:r>
          </w:p>
        </w:tc>
        <w:tc>
          <w:tcPr>
            <w:tcW w:w="26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1,070</w:t>
            </w:r>
          </w:p>
        </w:tc>
        <w:tc>
          <w:tcPr>
            <w:tcW w:w="500" w:type="dxa"/>
            <w:vAlign w:val="bottom"/>
            <w:gridSpan w:val="2"/>
            <w:shd w:val="clear" w:color="auto" w:fill="CFF0FC"/>
          </w:tcPr>
          <w:p>
            <w:pPr>
              <w:jc w:val="right"/>
              <w:ind w:right="200"/>
              <w:spacing w:after="0" w:line="217"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86</w:t>
            </w:r>
          </w:p>
        </w:tc>
        <w:tc>
          <w:tcPr>
            <w:tcW w:w="80" w:type="dxa"/>
            <w:vAlign w:val="bottom"/>
            <w:shd w:val="clear" w:color="auto" w:fill="CFF0FC"/>
          </w:tcPr>
          <w:p>
            <w:pPr>
              <w:spacing w:after="0"/>
              <w:rPr>
                <w:sz w:val="19"/>
                <w:szCs w:val="19"/>
                <w:color w:val="auto"/>
              </w:rPr>
            </w:pPr>
          </w:p>
        </w:tc>
      </w:tr>
      <w:tr>
        <w:trPr>
          <w:trHeight w:val="215"/>
        </w:trPr>
        <w:tc>
          <w:tcPr>
            <w:tcW w:w="5280" w:type="dxa"/>
            <w:vAlign w:val="bottom"/>
          </w:tcPr>
          <w:p>
            <w:pPr>
              <w:ind w:left="180"/>
              <w:spacing w:after="0" w:line="215" w:lineRule="exact"/>
              <w:rPr>
                <w:sz w:val="20"/>
                <w:szCs w:val="20"/>
                <w:color w:val="auto"/>
              </w:rPr>
            </w:pPr>
            <w:r>
              <w:rPr>
                <w:rFonts w:ascii="Calibri" w:cs="Calibri" w:eastAsia="Calibri" w:hAnsi="Calibri"/>
                <w:sz w:val="18"/>
                <w:szCs w:val="18"/>
                <w:color w:val="auto"/>
              </w:rPr>
              <w:t>2032 and thereafer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56</w:t>
            </w:r>
          </w:p>
        </w:tc>
        <w:tc>
          <w:tcPr>
            <w:tcW w:w="8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Indefnite carryforwards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847</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360"/>
              <w:spacing w:after="0" w:line="210" w:lineRule="exact"/>
              <w:rPr>
                <w:sz w:val="20"/>
                <w:szCs w:val="20"/>
                <w:color w:val="auto"/>
              </w:rPr>
            </w:pPr>
            <w:r>
              <w:rPr>
                <w:rFonts w:ascii="Calibri" w:cs="Calibri" w:eastAsia="Calibri" w:hAnsi="Calibri"/>
                <w:sz w:val="18"/>
                <w:szCs w:val="18"/>
                <w:color w:val="auto"/>
              </w:rPr>
              <w:t>Total</w:t>
            </w:r>
          </w:p>
        </w:tc>
        <w:tc>
          <w:tcPr>
            <w:tcW w:w="260" w:type="dxa"/>
            <w:vAlign w:val="bottom"/>
            <w:gridSpan w:val="2"/>
          </w:tcPr>
          <w:p>
            <w:pPr>
              <w:jc w:val="right"/>
              <w:ind w:right="2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2,204</w:t>
            </w:r>
          </w:p>
        </w:tc>
        <w:tc>
          <w:tcPr>
            <w:tcW w:w="5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0" w:lineRule="exact"/>
              <w:rPr>
                <w:sz w:val="20"/>
                <w:szCs w:val="20"/>
                <w:color w:val="auto"/>
              </w:rPr>
            </w:pPr>
            <w:r>
              <w:rPr>
                <w:rFonts w:ascii="Calibri" w:cs="Calibri" w:eastAsia="Calibri" w:hAnsi="Calibri"/>
                <w:sz w:val="18"/>
                <w:szCs w:val="18"/>
                <w:color w:val="auto"/>
              </w:rPr>
              <w:t>144</w:t>
            </w:r>
          </w:p>
        </w:tc>
        <w:tc>
          <w:tcPr>
            <w:tcW w:w="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 w:lineRule="exact"/>
        <w:rPr>
          <w:sz w:val="20"/>
          <w:szCs w:val="20"/>
          <w:color w:val="auto"/>
        </w:rPr>
      </w:pPr>
    </w:p>
    <w:p>
      <w:pPr>
        <w:ind w:firstLine="469"/>
        <w:spacing w:after="0" w:line="235" w:lineRule="auto"/>
        <w:rPr>
          <w:sz w:val="20"/>
          <w:szCs w:val="20"/>
          <w:color w:val="auto"/>
        </w:rPr>
      </w:pPr>
      <w:r>
        <w:rPr>
          <w:rFonts w:ascii="Calibri" w:cs="Calibri" w:eastAsia="Calibri" w:hAnsi="Calibri"/>
          <w:sz w:val="18"/>
          <w:szCs w:val="18"/>
          <w:color w:val="212529"/>
        </w:rPr>
        <w:t>As of September 30, 2024, provisions have not been made for non-U.S. withholding taxes or other applicable taxes on $1.7 billion of undistributed earnings of non-U.S. subsidiaries, as these earnings are considered indefnitely reinvested. It is not practcable to calculate the unrecognized deferred tax liability on undistributed earnings. Cabot contnually reviews the fnancial positon and forecasted cash fows of its U.S. consolidated group and foreign subsidiaries in order to reafrm the Company’s intent and ability to contnue to indefnitely reinvest earnings of its foreign subsidiaries or whether such earnings will need to be repatriated in the foreseeable future. Such review encompasses operatonal needs and future capital investments. From tme to tme, however, the Company’s intentons relatve to specifc indefnitely reinvested amounts change because of certain unique circumstances. These earnings could become subject to non-U.S. withholding taxes and other applicable taxes if they were remited to the U.S.</w:t>
      </w:r>
    </w:p>
    <w:p>
      <w:pPr>
        <w:spacing w:after="0" w:line="82"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A reconciliaton of the beginning and ending amount of unrecognized tax benefts for fscal 2024, 2023 and 2022 is as follows: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spacing w:after="0"/>
              <w:rPr>
                <w:sz w:val="20"/>
                <w:szCs w:val="20"/>
                <w:color w:val="auto"/>
              </w:rPr>
            </w:pPr>
            <w:r>
              <w:rPr>
                <w:rFonts w:ascii="Calibri" w:cs="Calibri" w:eastAsia="Calibri" w:hAnsi="Calibri"/>
                <w:sz w:val="14"/>
                <w:szCs w:val="14"/>
                <w:b w:val="1"/>
                <w:bCs w:val="1"/>
                <w:color w:val="auto"/>
              </w:rPr>
              <w:t>Years Ended September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58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Calibri" w:cs="Calibri" w:eastAsia="Calibri" w:hAnsi="Calibri"/>
                <w:sz w:val="14"/>
                <w:szCs w:val="14"/>
                <w:b w:val="1"/>
                <w:bCs w:val="1"/>
                <w:color w:val="auto"/>
              </w:rPr>
              <w:t>2023</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172"/>
        </w:trPr>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2"/>
              <w:spacing w:after="0"/>
              <w:rPr>
                <w:sz w:val="20"/>
                <w:szCs w:val="20"/>
                <w:color w:val="auto"/>
              </w:rPr>
            </w:pPr>
            <w:r>
              <w:rPr>
                <w:rFonts w:ascii="Calibri" w:cs="Calibri" w:eastAsia="Calibri" w:hAnsi="Calibri"/>
                <w:sz w:val="14"/>
                <w:szCs w:val="14"/>
                <w:b w:val="1"/>
                <w:bCs w:val="1"/>
                <w:color w:val="auto"/>
              </w:rPr>
              <w:t>(In millions)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8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Balance at beginning of the year</w:t>
            </w:r>
          </w:p>
        </w:tc>
        <w:tc>
          <w:tcPr>
            <w:tcW w:w="640" w:type="dxa"/>
            <w:vAlign w:val="bottom"/>
            <w:shd w:val="clear" w:color="auto" w:fill="CFF0FC"/>
          </w:tcPr>
          <w:p>
            <w:pPr>
              <w:jc w:val="right"/>
              <w:ind w:right="456"/>
              <w:spacing w:after="0" w:line="217" w:lineRule="exact"/>
              <w:rPr>
                <w:sz w:val="20"/>
                <w:szCs w:val="20"/>
                <w:color w:val="auto"/>
              </w:rPr>
            </w:pPr>
            <w:r>
              <w:rPr>
                <w:rFonts w:ascii="Calibri" w:cs="Calibri" w:eastAsia="Calibri" w:hAnsi="Calibri"/>
                <w:sz w:val="18"/>
                <w:szCs w:val="18"/>
                <w:color w:val="auto"/>
                <w:w w:val="87"/>
              </w:rPr>
              <w:t>$</w:t>
            </w:r>
          </w:p>
        </w:tc>
        <w:tc>
          <w:tcPr>
            <w:tcW w:w="2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line="217"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159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line="217"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21</w:t>
            </w:r>
          </w:p>
        </w:tc>
        <w:tc>
          <w:tcPr>
            <w:tcW w:w="80" w:type="dxa"/>
            <w:vAlign w:val="bottom"/>
            <w:shd w:val="clear" w:color="auto" w:fill="CFF0FC"/>
          </w:tcPr>
          <w:p>
            <w:pPr>
              <w:spacing w:after="0"/>
              <w:rPr>
                <w:sz w:val="19"/>
                <w:szCs w:val="19"/>
                <w:color w:val="auto"/>
              </w:rPr>
            </w:pPr>
          </w:p>
        </w:tc>
      </w:tr>
      <w:tr>
        <w:trPr>
          <w:trHeight w:val="194"/>
        </w:trPr>
        <w:tc>
          <w:tcPr>
            <w:tcW w:w="5880" w:type="dxa"/>
            <w:vAlign w:val="bottom"/>
          </w:tcPr>
          <w:p>
            <w:pPr>
              <w:ind w:left="180"/>
              <w:spacing w:after="0" w:line="194" w:lineRule="exact"/>
              <w:rPr>
                <w:sz w:val="20"/>
                <w:szCs w:val="20"/>
                <w:color w:val="auto"/>
              </w:rPr>
            </w:pPr>
            <w:r>
              <w:rPr>
                <w:rFonts w:ascii="Calibri" w:cs="Calibri" w:eastAsia="Calibri" w:hAnsi="Calibri"/>
                <w:sz w:val="18"/>
                <w:szCs w:val="18"/>
                <w:color w:val="auto"/>
              </w:rPr>
              <w:t>Additons based on tax positons related to the current</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880" w:type="dxa"/>
            <w:vAlign w:val="bottom"/>
          </w:tcPr>
          <w:p>
            <w:pPr>
              <w:ind w:left="300"/>
              <w:spacing w:after="0" w:line="215" w:lineRule="exact"/>
              <w:rPr>
                <w:sz w:val="20"/>
                <w:szCs w:val="20"/>
                <w:color w:val="auto"/>
              </w:rPr>
            </w:pPr>
            <w:r>
              <w:rPr>
                <w:rFonts w:ascii="Calibri" w:cs="Calibri" w:eastAsia="Calibri" w:hAnsi="Calibri"/>
                <w:sz w:val="18"/>
                <w:szCs w:val="18"/>
                <w:color w:val="auto"/>
              </w:rPr>
              <w:t>year</w:t>
            </w:r>
          </w:p>
        </w:tc>
        <w:tc>
          <w:tcPr>
            <w:tcW w:w="640" w:type="dxa"/>
            <w:vAlign w:val="bottom"/>
          </w:tcPr>
          <w:p>
            <w:pPr>
              <w:spacing w:after="0"/>
              <w:rPr>
                <w:sz w:val="18"/>
                <w:szCs w:val="18"/>
                <w:color w:val="auto"/>
              </w:rPr>
            </w:pPr>
          </w:p>
        </w:tc>
        <w:tc>
          <w:tcPr>
            <w:tcW w:w="2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138</w:t>
            </w:r>
          </w:p>
        </w:tc>
        <w:tc>
          <w:tcPr>
            <w:tcW w:w="80" w:type="dxa"/>
            <w:vAlign w:val="bottom"/>
          </w:tcPr>
          <w:p>
            <w:pPr>
              <w:spacing w:after="0"/>
              <w:rPr>
                <w:sz w:val="18"/>
                <w:szCs w:val="18"/>
                <w:color w:val="auto"/>
              </w:rPr>
            </w:pPr>
          </w:p>
        </w:tc>
      </w:tr>
      <w:tr>
        <w:trPr>
          <w:trHeight w:val="23"/>
        </w:trPr>
        <w:tc>
          <w:tcPr>
            <w:tcW w:w="5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80" w:type="dxa"/>
            <w:vAlign w:val="bottom"/>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Additons for tax positons of prior years</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shd w:val="clear" w:color="auto" w:fill="CFF0FC"/>
          </w:tcPr>
          <w:p>
            <w:pPr>
              <w:spacing w:after="0"/>
              <w:rPr>
                <w:sz w:val="18"/>
                <w:szCs w:val="18"/>
                <w:color w:val="auto"/>
              </w:rPr>
            </w:pPr>
          </w:p>
        </w:tc>
      </w:tr>
      <w:tr>
        <w:trPr>
          <w:trHeight w:val="215"/>
        </w:trPr>
        <w:tc>
          <w:tcPr>
            <w:tcW w:w="5880" w:type="dxa"/>
            <w:vAlign w:val="bottom"/>
          </w:tcPr>
          <w:p>
            <w:pPr>
              <w:ind w:left="180"/>
              <w:spacing w:after="0" w:line="215" w:lineRule="exact"/>
              <w:rPr>
                <w:sz w:val="20"/>
                <w:szCs w:val="20"/>
                <w:color w:val="auto"/>
              </w:rPr>
            </w:pPr>
            <w:r>
              <w:rPr>
                <w:rFonts w:ascii="Calibri" w:cs="Calibri" w:eastAsia="Calibri" w:hAnsi="Calibri"/>
                <w:sz w:val="18"/>
                <w:szCs w:val="18"/>
                <w:color w:val="auto"/>
              </w:rPr>
              <w:t>Reductons of tax positons of prior years</w:t>
            </w:r>
          </w:p>
        </w:tc>
        <w:tc>
          <w:tcPr>
            <w:tcW w:w="640" w:type="dxa"/>
            <w:vAlign w:val="bottom"/>
          </w:tcPr>
          <w:p>
            <w:pPr>
              <w:spacing w:after="0"/>
              <w:rPr>
                <w:sz w:val="18"/>
                <w:szCs w:val="18"/>
                <w:color w:val="auto"/>
              </w:rPr>
            </w:pP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(137 )</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(1 )</w:t>
            </w:r>
          </w:p>
        </w:tc>
      </w:tr>
      <w:tr>
        <w:trPr>
          <w:trHeight w:val="217"/>
        </w:trPr>
        <w:tc>
          <w:tcPr>
            <w:tcW w:w="588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Reductons related to setlements</w:t>
            </w:r>
          </w:p>
        </w:tc>
        <w:tc>
          <w:tcPr>
            <w:tcW w:w="6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(1 )</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(2 )</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5880" w:type="dxa"/>
            <w:vAlign w:val="bottom"/>
          </w:tcPr>
          <w:p>
            <w:pPr>
              <w:ind w:left="180"/>
              <w:spacing w:after="0" w:line="215" w:lineRule="exact"/>
              <w:rPr>
                <w:sz w:val="20"/>
                <w:szCs w:val="20"/>
                <w:color w:val="auto"/>
              </w:rPr>
            </w:pPr>
            <w:r>
              <w:rPr>
                <w:rFonts w:ascii="Calibri" w:cs="Calibri" w:eastAsia="Calibri" w:hAnsi="Calibri"/>
                <w:sz w:val="18"/>
                <w:szCs w:val="18"/>
                <w:color w:val="auto"/>
              </w:rPr>
              <w:t>Reductons from lapse of statute of limitatons</w:t>
            </w:r>
          </w:p>
        </w:tc>
        <w:tc>
          <w:tcPr>
            <w:tcW w:w="640" w:type="dxa"/>
            <w:vAlign w:val="bottom"/>
          </w:tcPr>
          <w:p>
            <w:pPr>
              <w:spacing w:after="0"/>
              <w:rPr>
                <w:sz w:val="18"/>
                <w:szCs w:val="18"/>
                <w:color w:val="auto"/>
              </w:rPr>
            </w:pPr>
          </w:p>
        </w:tc>
        <w:tc>
          <w:tcPr>
            <w:tcW w:w="4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(1 )</w:t>
            </w:r>
          </w:p>
        </w:tc>
      </w:tr>
      <w:tr>
        <w:trPr>
          <w:trHeight w:val="250"/>
        </w:trPr>
        <w:tc>
          <w:tcPr>
            <w:tcW w:w="5880" w:type="dxa"/>
            <w:vAlign w:val="bottom"/>
            <w:tcBorders>
              <w:bottom w:val="single" w:sz="8" w:color="CFF0FC"/>
            </w:tcBorders>
            <w:shd w:val="clear" w:color="auto" w:fill="CFF0FC"/>
          </w:tcPr>
          <w:p>
            <w:pPr>
              <w:spacing w:after="0" w:line="210" w:lineRule="exact"/>
              <w:rPr>
                <w:sz w:val="20"/>
                <w:szCs w:val="20"/>
                <w:color w:val="auto"/>
              </w:rPr>
            </w:pPr>
            <w:r>
              <w:rPr>
                <w:rFonts w:ascii="Calibri" w:cs="Calibri" w:eastAsia="Calibri" w:hAnsi="Calibri"/>
                <w:sz w:val="18"/>
                <w:szCs w:val="18"/>
                <w:color w:val="auto"/>
              </w:rPr>
              <w:t>Balance at end of the year</w:t>
            </w:r>
          </w:p>
        </w:tc>
        <w:tc>
          <w:tcPr>
            <w:tcW w:w="640" w:type="dxa"/>
            <w:vAlign w:val="bottom"/>
            <w:tcBorders>
              <w:top w:val="single" w:sz="8" w:color="auto"/>
              <w:bottom w:val="single" w:sz="8" w:color="auto"/>
            </w:tcBorders>
            <w:shd w:val="clear" w:color="auto" w:fill="CFF0FC"/>
          </w:tcPr>
          <w:p>
            <w:pPr>
              <w:jc w:val="right"/>
              <w:ind w:right="456"/>
              <w:spacing w:after="0" w:line="210" w:lineRule="exact"/>
              <w:rPr>
                <w:sz w:val="20"/>
                <w:szCs w:val="20"/>
                <w:color w:val="auto"/>
              </w:rPr>
            </w:pPr>
            <w:r>
              <w:rPr>
                <w:rFonts w:ascii="Calibri" w:cs="Calibri" w:eastAsia="Calibri" w:hAnsi="Calibri"/>
                <w:sz w:val="18"/>
                <w:szCs w:val="18"/>
                <w:color w:val="auto"/>
                <w:w w:val="87"/>
              </w:rPr>
              <w:t>$</w:t>
            </w:r>
          </w:p>
        </w:tc>
        <w:tc>
          <w:tcPr>
            <w:tcW w:w="2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6"/>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20</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159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596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96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5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40" w:firstLine="469"/>
        <w:spacing w:after="0" w:line="235" w:lineRule="auto"/>
        <w:rPr>
          <w:sz w:val="20"/>
          <w:szCs w:val="20"/>
          <w:color w:val="auto"/>
        </w:rPr>
      </w:pPr>
      <w:r>
        <w:rPr>
          <w:rFonts w:ascii="Calibri" w:cs="Calibri" w:eastAsia="Calibri" w:hAnsi="Calibri"/>
          <w:sz w:val="18"/>
          <w:szCs w:val="18"/>
          <w:color w:val="212529"/>
        </w:rPr>
        <w:t>Cabot has fled its tax returns in accordance with the tax laws in each jurisdicton and recognizes tax benefts for uncertain tax positons when the positon would more likely than not be sustained based on its technical merits and recognizes measurement adjustments when needed. As of September 30, 2024, the total amount of unrecognized tax benefts was $22 million, of which $9 million was recorded in Other liabilites in the Consolidated Balance Sheet and $13 million was ofset against deferred tax assets.</w:t>
      </w:r>
    </w:p>
    <w:p>
      <w:pPr>
        <w:spacing w:after="0" w:line="21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73" w:name="page74"/>
    <w:bookmarkEnd w:id="73"/>
    <w:p>
      <w:pPr>
        <w:ind w:right="100"/>
        <w:spacing w:after="0" w:line="235" w:lineRule="auto"/>
        <w:rPr>
          <w:sz w:val="20"/>
          <w:szCs w:val="20"/>
          <w:color w:val="auto"/>
        </w:rPr>
      </w:pPr>
      <w:r>
        <w:rPr>
          <w:rFonts w:ascii="Calibri" w:cs="Calibri" w:eastAsia="Calibri" w:hAnsi="Calibri"/>
          <w:sz w:val="18"/>
          <w:szCs w:val="18"/>
          <w:color w:val="212529"/>
        </w:rPr>
        <w:t>As of September 30, 2023, the total amount of unrecognized tax benefts was $20 million, of which $6 million was recorded in Other liabilites in the Consolidated Balance Sheet and $14 million was ofset against deferred tax assets. In 2022, the Company reported an uncertain tax positon of $137 million related to the inital antcipated fling positon on the character of a porton of the tax loss from the Purifcaton Solutons business divestture. Upon completon of the U.S. Consolidated tax return in 2023, the Company reversed the $137 million unrecognized tax beneft which refects the fnal positon taken on the fled tax return. In additon, accruals of $10 million and $5 million were recorded for penaltes and interest, as of September 30, 2024 and 2023, respectvely. Total penaltes and interest recorded in the Provision (beneft) for income taxes in the Consolidated Statements of Operatons was $5 million in fscal 2024 and $2 million in both fscal 2023 and 2022. If the unrecognized tax benefts were recognized as of September 30, 2024, there would be $22 million favorable impact on the Company’s tax provision before consideraton of the impact of the potental need for valuaton allowances.</w:t>
      </w:r>
    </w:p>
    <w:p>
      <w:pPr>
        <w:spacing w:after="0" w:line="29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Cabot and certain subsidiaries are under audit in a number of jurisdictons. In additon, certain statutes of limitatons are scheduled to expire in the near future. It is reasonably possible that a further change in the unrecognized tax benefts may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84" w:lineRule="exact"/>
        <w:rPr>
          <w:sz w:val="20"/>
          <w:szCs w:val="20"/>
          <w:color w:val="auto"/>
        </w:rPr>
      </w:pPr>
    </w:p>
    <w:p>
      <w:pPr>
        <w:ind w:right="100" w:firstLine="469"/>
        <w:spacing w:after="0" w:line="235" w:lineRule="auto"/>
        <w:rPr>
          <w:sz w:val="20"/>
          <w:szCs w:val="20"/>
          <w:color w:val="auto"/>
        </w:rPr>
      </w:pPr>
      <w:r>
        <w:rPr>
          <w:rFonts w:ascii="Calibri" w:cs="Calibri" w:eastAsia="Calibri" w:hAnsi="Calibri"/>
          <w:sz w:val="18"/>
          <w:szCs w:val="18"/>
          <w:color w:val="auto"/>
        </w:rPr>
        <w:t>Cabot is subject to taxaton in the United States and various states and foreign jurisdictons. The 2021 through 2023 tax years generally remain subject to examinaton by the IRS and various tax years from 2018 through 2023 remain subject to examinaton by the respectve state tax authorites. In foreign jurisdictons, various tax years from 2006 through 2023 remain subject to examinaton by their respectve tax authorites.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S. Leases</w:t>
      </w:r>
    </w:p>
    <w:p>
      <w:pPr>
        <w:spacing w:after="0" w:line="82" w:lineRule="exact"/>
        <w:rPr>
          <w:sz w:val="20"/>
          <w:szCs w:val="20"/>
          <w:color w:val="auto"/>
        </w:rPr>
      </w:pPr>
    </w:p>
    <w:p>
      <w:pPr>
        <w:jc w:val="both"/>
        <w:ind w:right="600" w:firstLine="469"/>
        <w:spacing w:after="0" w:line="258" w:lineRule="auto"/>
        <w:rPr>
          <w:sz w:val="20"/>
          <w:szCs w:val="20"/>
          <w:color w:val="auto"/>
        </w:rPr>
      </w:pPr>
      <w:r>
        <w:rPr>
          <w:rFonts w:ascii="Calibri" w:cs="Calibri" w:eastAsia="Calibri" w:hAnsi="Calibri"/>
          <w:sz w:val="17"/>
          <w:szCs w:val="17"/>
          <w:color w:val="212529"/>
        </w:rPr>
        <w:t>The Company determines if an arrangement is a lease at incepton. The Company considers a contract to be or to contain a lease if the contract conveys the right to control the use of identfed property, plant or equipment (an identfed asset) for a period of tme in exchange for consideraton.</w:t>
      </w:r>
    </w:p>
    <w:p>
      <w:pPr>
        <w:spacing w:after="0" w:line="67" w:lineRule="exact"/>
        <w:rPr>
          <w:sz w:val="20"/>
          <w:szCs w:val="20"/>
          <w:color w:val="auto"/>
        </w:rPr>
      </w:pPr>
    </w:p>
    <w:p>
      <w:pPr>
        <w:ind w:right="240" w:firstLine="464"/>
        <w:spacing w:after="0" w:line="235" w:lineRule="auto"/>
        <w:rPr>
          <w:sz w:val="20"/>
          <w:szCs w:val="20"/>
          <w:color w:val="auto"/>
        </w:rPr>
      </w:pPr>
      <w:r>
        <w:rPr>
          <w:rFonts w:ascii="Calibri" w:cs="Calibri" w:eastAsia="Calibri" w:hAnsi="Calibri"/>
          <w:sz w:val="18"/>
          <w:szCs w:val="18"/>
          <w:color w:val="212529"/>
        </w:rPr>
        <w:t>A lease liability is recorded at commencement for the net present value of future lease payments over the lease term. The discount rate used is generally the Company’s estmated incremental borrowing rate based on credit-adjusted and term-specifc discount rates, using a third-party yield curve. A right of use (“ROU”) asset is recorded and recognized at commencement at the lease liability amount, adjusted for lease prepayments, inital direct costs incurred and lease incentves received. The Company’s lease terms include optons to extend or terminate the lease when it is reasonably certain that the Company will exercise that opton.</w:t>
      </w:r>
    </w:p>
    <w:p>
      <w:pPr>
        <w:spacing w:after="0" w:line="85" w:lineRule="exact"/>
        <w:rPr>
          <w:sz w:val="20"/>
          <w:szCs w:val="20"/>
          <w:color w:val="auto"/>
        </w:rPr>
      </w:pPr>
    </w:p>
    <w:p>
      <w:pPr>
        <w:ind w:right="80" w:firstLine="464"/>
        <w:spacing w:after="0" w:line="235" w:lineRule="auto"/>
        <w:rPr>
          <w:sz w:val="20"/>
          <w:szCs w:val="20"/>
          <w:color w:val="auto"/>
        </w:rPr>
      </w:pPr>
      <w:r>
        <w:rPr>
          <w:rFonts w:ascii="Calibri" w:cs="Calibri" w:eastAsia="Calibri" w:hAnsi="Calibri"/>
          <w:sz w:val="18"/>
          <w:szCs w:val="18"/>
          <w:color w:val="212529"/>
        </w:rPr>
        <w:t>In the normal course of its business, the Company enters into various leases as the lessee, primarily related to certain transportaton vehicles, warehouse facilites, ofce space, and machinery and equipment. These leases have remaining lease terms between one and ffeen years, some of which may include optons to extend the leases for up to ffeen years or optons to terminate the leases. The Company’s land leases have remaining lease terms up to seventy-eight years.</w:t>
      </w:r>
    </w:p>
    <w:p>
      <w:pPr>
        <w:spacing w:after="0" w:line="84" w:lineRule="exact"/>
        <w:rPr>
          <w:sz w:val="20"/>
          <w:szCs w:val="20"/>
          <w:color w:val="auto"/>
        </w:rPr>
      </w:pPr>
    </w:p>
    <w:p>
      <w:pPr>
        <w:ind w:right="180" w:firstLine="397"/>
        <w:spacing w:after="0" w:line="235" w:lineRule="auto"/>
        <w:rPr>
          <w:sz w:val="20"/>
          <w:szCs w:val="20"/>
          <w:color w:val="auto"/>
        </w:rPr>
      </w:pPr>
      <w:r>
        <w:rPr>
          <w:rFonts w:ascii="Calibri" w:cs="Calibri" w:eastAsia="Calibri" w:hAnsi="Calibri"/>
          <w:sz w:val="18"/>
          <w:szCs w:val="18"/>
          <w:color w:val="212529"/>
        </w:rPr>
        <w:t>The Company has elected not to recognize short-term leases on the balance sheet for all underlying asset classes. Short-term leases are leases that, at the commencement date, have a lease term of twelve months or less and do not include a purchase opton that the Company is reasonably certain to exercise. Short-term leases are expensed on a straight-line basis over the lease term.</w:t>
      </w:r>
    </w:p>
    <w:p>
      <w:pPr>
        <w:spacing w:after="0" w:line="79"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The components of the Company’s lease costs were as follows:</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50"/>
              <w:spacing w:after="0"/>
              <w:rPr>
                <w:sz w:val="20"/>
                <w:szCs w:val="20"/>
                <w:color w:val="auto"/>
              </w:rPr>
            </w:pPr>
            <w:r>
              <w:rPr>
                <w:rFonts w:ascii="Calibri" w:cs="Calibri" w:eastAsia="Calibri" w:hAnsi="Calibri"/>
                <w:sz w:val="14"/>
                <w:szCs w:val="14"/>
                <w:b w:val="1"/>
                <w:bCs w:val="1"/>
                <w:color w:val="auto"/>
              </w:rPr>
              <w:t>Years Ended 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47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7"/>
              <w:spacing w:after="0"/>
              <w:rPr>
                <w:sz w:val="20"/>
                <w:szCs w:val="20"/>
                <w:color w:val="auto"/>
              </w:rPr>
            </w:pPr>
            <w:r>
              <w:rPr>
                <w:rFonts w:ascii="Calibri" w:cs="Calibri" w:eastAsia="Calibri" w:hAnsi="Calibri"/>
                <w:sz w:val="14"/>
                <w:szCs w:val="14"/>
                <w:b w:val="1"/>
                <w:bCs w:val="1"/>
                <w:color w:val="auto"/>
              </w:rPr>
              <w:t>2023</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5"/>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5"/>
                <w:szCs w:val="15"/>
                <w:color w:val="auto"/>
              </w:rPr>
            </w:pPr>
          </w:p>
        </w:tc>
      </w:tr>
      <w:tr>
        <w:trPr>
          <w:trHeight w:val="169"/>
        </w:trPr>
        <w:tc>
          <w:tcPr>
            <w:tcW w:w="4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57"/>
              <w:spacing w:after="0" w:line="169" w:lineRule="exact"/>
              <w:rPr>
                <w:sz w:val="20"/>
                <w:szCs w:val="20"/>
                <w:color w:val="auto"/>
              </w:rPr>
            </w:pPr>
            <w:r>
              <w:rPr>
                <w:rFonts w:ascii="Calibri" w:cs="Calibri" w:eastAsia="Calibri" w:hAnsi="Calibri"/>
                <w:sz w:val="14"/>
                <w:szCs w:val="14"/>
                <w:b w:val="1"/>
                <w:bCs w:val="1"/>
                <w:color w:val="auto"/>
              </w:rPr>
              <w:t>(In millions)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47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Operatng lease cost</w:t>
            </w:r>
          </w:p>
        </w:tc>
        <w:tc>
          <w:tcPr>
            <w:tcW w:w="700" w:type="dxa"/>
            <w:vAlign w:val="bottom"/>
            <w:shd w:val="clear" w:color="auto" w:fill="CFF0FC"/>
          </w:tcPr>
          <w:p>
            <w:pPr>
              <w:jc w:val="right"/>
              <w:ind w:right="516"/>
              <w:spacing w:after="0" w:line="217" w:lineRule="exact"/>
              <w:rPr>
                <w:sz w:val="20"/>
                <w:szCs w:val="20"/>
                <w:color w:val="auto"/>
              </w:rPr>
            </w:pPr>
            <w:r>
              <w:rPr>
                <w:rFonts w:ascii="Calibri" w:cs="Calibri" w:eastAsia="Calibri" w:hAnsi="Calibri"/>
                <w:sz w:val="18"/>
                <w:szCs w:val="18"/>
                <w:color w:val="auto"/>
                <w:w w:val="87"/>
              </w:rPr>
              <w:t>$</w:t>
            </w:r>
          </w:p>
        </w:tc>
        <w:tc>
          <w:tcPr>
            <w:tcW w:w="2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25</w:t>
            </w:r>
          </w:p>
        </w:tc>
        <w:tc>
          <w:tcPr>
            <w:tcW w:w="38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26</w:t>
            </w:r>
          </w:p>
        </w:tc>
        <w:tc>
          <w:tcPr>
            <w:tcW w:w="440" w:type="dxa"/>
            <w:vAlign w:val="bottom"/>
            <w:gridSpan w:val="2"/>
            <w:shd w:val="clear" w:color="auto" w:fill="CFF0FC"/>
          </w:tcPr>
          <w:p>
            <w:pPr>
              <w:jc w:val="right"/>
              <w:ind w:right="70"/>
              <w:spacing w:after="0" w:line="217"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23</w:t>
            </w:r>
          </w:p>
        </w:tc>
        <w:tc>
          <w:tcPr>
            <w:tcW w:w="80" w:type="dxa"/>
            <w:vAlign w:val="bottom"/>
            <w:shd w:val="clear" w:color="auto" w:fill="CFF0FC"/>
          </w:tcPr>
          <w:p>
            <w:pPr>
              <w:spacing w:after="0"/>
              <w:rPr>
                <w:sz w:val="19"/>
                <w:szCs w:val="19"/>
                <w:color w:val="auto"/>
              </w:rPr>
            </w:pPr>
          </w:p>
        </w:tc>
      </w:tr>
      <w:tr>
        <w:trPr>
          <w:trHeight w:val="225"/>
        </w:trPr>
        <w:tc>
          <w:tcPr>
            <w:tcW w:w="4780" w:type="dxa"/>
            <w:vAlign w:val="bottom"/>
          </w:tcPr>
          <w:p>
            <w:pPr>
              <w:spacing w:after="0"/>
              <w:rPr>
                <w:sz w:val="20"/>
                <w:szCs w:val="20"/>
                <w:color w:val="auto"/>
              </w:rPr>
            </w:pPr>
            <w:r>
              <w:rPr>
                <w:rFonts w:ascii="Calibri" w:cs="Calibri" w:eastAsia="Calibri" w:hAnsi="Calibri"/>
                <w:sz w:val="18"/>
                <w:szCs w:val="18"/>
                <w:color w:val="auto"/>
              </w:rPr>
              <w:t>Finance lease cost</w:t>
            </w: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9"/>
                <w:szCs w:val="19"/>
                <w:color w:val="auto"/>
              </w:rPr>
            </w:pPr>
          </w:p>
        </w:tc>
      </w:tr>
      <w:tr>
        <w:trPr>
          <w:trHeight w:val="254"/>
        </w:trPr>
        <w:tc>
          <w:tcPr>
            <w:tcW w:w="4780" w:type="dxa"/>
            <w:vAlign w:val="bottom"/>
            <w:tcBorders>
              <w:bottom w:val="single" w:sz="8" w:color="CFF0FC"/>
            </w:tcBorders>
            <w:shd w:val="clear" w:color="auto" w:fill="CFF0FC"/>
          </w:tcPr>
          <w:p>
            <w:pPr>
              <w:spacing w:after="0" w:line="214" w:lineRule="exact"/>
              <w:rPr>
                <w:sz w:val="20"/>
                <w:szCs w:val="20"/>
                <w:color w:val="auto"/>
              </w:rPr>
            </w:pPr>
            <w:r>
              <w:rPr>
                <w:rFonts w:ascii="Calibri" w:cs="Calibri" w:eastAsia="Calibri" w:hAnsi="Calibri"/>
                <w:sz w:val="18"/>
                <w:szCs w:val="18"/>
                <w:color w:val="auto"/>
              </w:rPr>
              <w:t>Total lease cost</w:t>
            </w:r>
          </w:p>
        </w:tc>
        <w:tc>
          <w:tcPr>
            <w:tcW w:w="700" w:type="dxa"/>
            <w:vAlign w:val="bottom"/>
            <w:tcBorders>
              <w:bottom w:val="single" w:sz="8" w:color="auto"/>
            </w:tcBorders>
            <w:shd w:val="clear" w:color="auto" w:fill="CFF0FC"/>
          </w:tcPr>
          <w:p>
            <w:pPr>
              <w:jc w:val="right"/>
              <w:ind w:right="516"/>
              <w:spacing w:after="0" w:line="214"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30</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32</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line="214"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29</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-24765</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5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jc w:val="both"/>
        <w:ind w:firstLine="469"/>
        <w:spacing w:after="0"/>
        <w:rPr>
          <w:sz w:val="20"/>
          <w:szCs w:val="20"/>
          <w:color w:val="auto"/>
        </w:rPr>
      </w:pPr>
      <w:r>
        <w:rPr>
          <w:rFonts w:ascii="Calibri" w:cs="Calibri" w:eastAsia="Calibri" w:hAnsi="Calibri"/>
          <w:sz w:val="18"/>
          <w:szCs w:val="18"/>
          <w:color w:val="212529"/>
        </w:rPr>
        <w:t>Included within operatng lease costs are short-term lease costs, which were $7 million in both fscal 2024 and 2023 and $5 million in fscal 2022. Some lease arrangements require variable payments that are dependent on usage, output, or index-based adjustments. Variable lease costs were $2 million in both fscal 2024 and 2023 and $1 million in fscal 2022.</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4" w:name="page75"/>
    <w:bookmarkEnd w:id="74"/>
    <w:p>
      <w:pPr>
        <w:ind w:left="480"/>
        <w:spacing w:after="0"/>
        <w:rPr>
          <w:sz w:val="20"/>
          <w:szCs w:val="20"/>
          <w:color w:val="auto"/>
        </w:rPr>
      </w:pPr>
      <w:r>
        <w:rPr>
          <w:rFonts w:ascii="Calibri" w:cs="Calibri" w:eastAsia="Calibri" w:hAnsi="Calibri"/>
          <w:sz w:val="18"/>
          <w:szCs w:val="18"/>
          <w:color w:val="212529"/>
        </w:rPr>
        <w:t>Supplemental cash fow informaton related to the Company’s leases was as follows:</w:t>
      </w:r>
    </w:p>
    <w:p>
      <w:pPr>
        <w:spacing w:after="0" w:line="35"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180"/>
              <w:spacing w:after="0"/>
              <w:rPr>
                <w:sz w:val="20"/>
                <w:szCs w:val="20"/>
                <w:color w:val="auto"/>
              </w:rPr>
            </w:pPr>
            <w:r>
              <w:rPr>
                <w:rFonts w:ascii="Calibri" w:cs="Calibri" w:eastAsia="Calibri" w:hAnsi="Calibri"/>
                <w:sz w:val="14"/>
                <w:szCs w:val="14"/>
                <w:b w:val="1"/>
                <w:bCs w:val="1"/>
                <w:color w:val="auto"/>
              </w:rPr>
              <w:t>Years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8"/>
              <w:spacing w:after="0"/>
              <w:rPr>
                <w:sz w:val="20"/>
                <w:szCs w:val="20"/>
                <w:color w:val="auto"/>
              </w:rPr>
            </w:pPr>
            <w:r>
              <w:rPr>
                <w:rFonts w:ascii="Calibri" w:cs="Calibri" w:eastAsia="Calibri" w:hAnsi="Calibri"/>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172"/>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right"/>
              <w:ind w:right="192"/>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980" w:type="dxa"/>
            <w:vAlign w:val="bottom"/>
            <w:gridSpan w:val="4"/>
            <w:shd w:val="clear" w:color="auto" w:fill="CFF0FC"/>
          </w:tcPr>
          <w:p>
            <w:pPr>
              <w:spacing w:after="0" w:line="217" w:lineRule="exact"/>
              <w:rPr>
                <w:sz w:val="20"/>
                <w:szCs w:val="20"/>
                <w:color w:val="auto"/>
              </w:rPr>
            </w:pPr>
            <w:r>
              <w:rPr>
                <w:rFonts w:ascii="Calibri" w:cs="Calibri" w:eastAsia="Calibri" w:hAnsi="Calibri"/>
                <w:sz w:val="18"/>
                <w:szCs w:val="18"/>
                <w:color w:val="auto"/>
              </w:rPr>
              <w:t>Cash paid for amounts included in the measurement of lease liabilites: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5980" w:type="dxa"/>
            <w:vAlign w:val="bottom"/>
            <w:gridSpan w:val="4"/>
          </w:tcPr>
          <w:p>
            <w:pPr>
              <w:ind w:left="180"/>
              <w:spacing w:after="0"/>
              <w:rPr>
                <w:sz w:val="20"/>
                <w:szCs w:val="20"/>
                <w:color w:val="auto"/>
              </w:rPr>
            </w:pPr>
            <w:r>
              <w:rPr>
                <w:rFonts w:ascii="Calibri" w:cs="Calibri" w:eastAsia="Calibri" w:hAnsi="Calibri"/>
                <w:sz w:val="18"/>
                <w:szCs w:val="18"/>
                <w:color w:val="auto"/>
              </w:rPr>
              <w:t>Operatng cash fows from operatng leases</w:t>
            </w:r>
          </w:p>
        </w:tc>
        <w:tc>
          <w:tcPr>
            <w:tcW w:w="14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56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rPr>
                <w:sz w:val="20"/>
                <w:szCs w:val="20"/>
                <w:color w:val="auto"/>
              </w:rPr>
            </w:pPr>
            <w:r>
              <w:rPr>
                <w:rFonts w:ascii="Calibri" w:cs="Calibri" w:eastAsia="Calibri" w:hAnsi="Calibri"/>
                <w:sz w:val="18"/>
                <w:szCs w:val="18"/>
                <w:color w:val="auto"/>
              </w:rPr>
              <w:t>17</w:t>
            </w:r>
          </w:p>
        </w:tc>
        <w:tc>
          <w:tcPr>
            <w:tcW w:w="80" w:type="dxa"/>
            <w:vAlign w:val="bottom"/>
          </w:tcPr>
          <w:p>
            <w:pPr>
              <w:spacing w:after="0"/>
              <w:rPr>
                <w:sz w:val="19"/>
                <w:szCs w:val="19"/>
                <w:color w:val="auto"/>
              </w:rPr>
            </w:pPr>
          </w:p>
        </w:tc>
      </w:tr>
      <w:tr>
        <w:trPr>
          <w:trHeight w:val="23"/>
        </w:trPr>
        <w:tc>
          <w:tcPr>
            <w:tcW w:w="2440" w:type="dxa"/>
            <w:vAlign w:val="bottom"/>
            <w:gridSpan w:val="2"/>
          </w:tcPr>
          <w:p>
            <w:pPr>
              <w:spacing w:after="0"/>
              <w:rPr>
                <w:sz w:val="2"/>
                <w:szCs w:val="2"/>
                <w:color w:val="auto"/>
              </w:rPr>
            </w:pPr>
          </w:p>
        </w:tc>
        <w:tc>
          <w:tcPr>
            <w:tcW w:w="3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980" w:type="dxa"/>
            <w:vAlign w:val="bottom"/>
            <w:gridSpan w:val="4"/>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Operatng cash fows from fnance leases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shd w:val="clear" w:color="auto" w:fill="CFF0FC"/>
          </w:tcPr>
          <w:p>
            <w:pPr>
              <w:spacing w:after="0"/>
              <w:rPr>
                <w:sz w:val="18"/>
                <w:szCs w:val="18"/>
                <w:color w:val="auto"/>
              </w:rPr>
            </w:pPr>
          </w:p>
        </w:tc>
      </w:tr>
      <w:tr>
        <w:trPr>
          <w:trHeight w:val="219"/>
        </w:trPr>
        <w:tc>
          <w:tcPr>
            <w:tcW w:w="5980" w:type="dxa"/>
            <w:vAlign w:val="bottom"/>
            <w:gridSpan w:val="4"/>
          </w:tcPr>
          <w:p>
            <w:pPr>
              <w:ind w:left="180"/>
              <w:spacing w:after="0"/>
              <w:rPr>
                <w:sz w:val="20"/>
                <w:szCs w:val="20"/>
                <w:color w:val="auto"/>
              </w:rPr>
            </w:pPr>
            <w:r>
              <w:rPr>
                <w:rFonts w:ascii="Calibri" w:cs="Calibri" w:eastAsia="Calibri" w:hAnsi="Calibri"/>
                <w:sz w:val="18"/>
                <w:szCs w:val="18"/>
                <w:color w:val="auto"/>
              </w:rPr>
              <w:t>Financing cash fows from fnance leases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80" w:type="dxa"/>
            <w:vAlign w:val="bottom"/>
          </w:tcPr>
          <w:p>
            <w:pPr>
              <w:spacing w:after="0"/>
              <w:rPr>
                <w:sz w:val="19"/>
                <w:szCs w:val="19"/>
                <w:color w:val="auto"/>
              </w:rPr>
            </w:pPr>
          </w:p>
        </w:tc>
      </w:tr>
      <w:tr>
        <w:trPr>
          <w:trHeight w:val="23"/>
        </w:trPr>
        <w:tc>
          <w:tcPr>
            <w:tcW w:w="2440" w:type="dxa"/>
            <w:vAlign w:val="bottom"/>
            <w:gridSpan w:val="2"/>
          </w:tcPr>
          <w:p>
            <w:pPr>
              <w:spacing w:after="0"/>
              <w:rPr>
                <w:sz w:val="2"/>
                <w:szCs w:val="2"/>
                <w:color w:val="auto"/>
              </w:rPr>
            </w:pPr>
          </w:p>
        </w:tc>
        <w:tc>
          <w:tcPr>
            <w:tcW w:w="3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4"/>
        </w:trPr>
        <w:tc>
          <w:tcPr>
            <w:tcW w:w="5980" w:type="dxa"/>
            <w:vAlign w:val="bottom"/>
            <w:gridSpan w:val="4"/>
            <w:shd w:val="clear" w:color="auto" w:fill="CFF0FC"/>
          </w:tcPr>
          <w:p>
            <w:pPr>
              <w:spacing w:after="0" w:line="194" w:lineRule="exact"/>
              <w:rPr>
                <w:sz w:val="20"/>
                <w:szCs w:val="20"/>
                <w:color w:val="auto"/>
              </w:rPr>
            </w:pPr>
            <w:r>
              <w:rPr>
                <w:rFonts w:ascii="Calibri" w:cs="Calibri" w:eastAsia="Calibri" w:hAnsi="Calibri"/>
                <w:sz w:val="18"/>
                <w:szCs w:val="18"/>
                <w:color w:val="auto"/>
              </w:rPr>
              <w:t>Right-of-use assets obtained in exchange for new operatng lease</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8"/>
        </w:trPr>
        <w:tc>
          <w:tcPr>
            <w:tcW w:w="22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liabilites</w:t>
            </w:r>
          </w:p>
        </w:tc>
        <w:tc>
          <w:tcPr>
            <w:tcW w:w="180" w:type="dxa"/>
            <w:vAlign w:val="bottom"/>
            <w:tcBorders>
              <w:bottom w:val="single" w:sz="8" w:color="CFF0FC"/>
            </w:tcBorders>
            <w:shd w:val="clear" w:color="auto" w:fill="CFF0FC"/>
          </w:tcPr>
          <w:p>
            <w:pPr>
              <w:spacing w:after="0"/>
              <w:rPr>
                <w:sz w:val="18"/>
                <w:szCs w:val="18"/>
                <w:color w:val="auto"/>
              </w:rPr>
            </w:pPr>
          </w:p>
        </w:tc>
        <w:tc>
          <w:tcPr>
            <w:tcW w:w="35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5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94"/>
        </w:trPr>
        <w:tc>
          <w:tcPr>
            <w:tcW w:w="5980" w:type="dxa"/>
            <w:vAlign w:val="bottom"/>
            <w:gridSpan w:val="4"/>
          </w:tcPr>
          <w:p>
            <w:pPr>
              <w:spacing w:after="0" w:line="194" w:lineRule="exact"/>
              <w:rPr>
                <w:sz w:val="20"/>
                <w:szCs w:val="20"/>
                <w:color w:val="auto"/>
              </w:rPr>
            </w:pPr>
            <w:r>
              <w:rPr>
                <w:rFonts w:ascii="Calibri" w:cs="Calibri" w:eastAsia="Calibri" w:hAnsi="Calibri"/>
                <w:sz w:val="18"/>
                <w:szCs w:val="18"/>
                <w:color w:val="auto"/>
              </w:rPr>
              <w:t>Right-of-use assets obtained in exchange for new fnance lease</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2260" w:type="dxa"/>
            <w:vAlign w:val="bottom"/>
          </w:tcPr>
          <w:p>
            <w:pPr>
              <w:ind w:left="120"/>
              <w:spacing w:after="0" w:line="215" w:lineRule="exact"/>
              <w:rPr>
                <w:sz w:val="20"/>
                <w:szCs w:val="20"/>
                <w:color w:val="auto"/>
              </w:rPr>
            </w:pPr>
            <w:r>
              <w:rPr>
                <w:rFonts w:ascii="Calibri" w:cs="Calibri" w:eastAsia="Calibri" w:hAnsi="Calibri"/>
                <w:sz w:val="18"/>
                <w:szCs w:val="18"/>
                <w:color w:val="auto"/>
              </w:rPr>
              <w:t>liabilites</w:t>
            </w:r>
          </w:p>
        </w:tc>
        <w:tc>
          <w:tcPr>
            <w:tcW w:w="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r>
      <w:tr>
        <w:trPr>
          <w:trHeight w:val="581"/>
        </w:trPr>
        <w:tc>
          <w:tcPr>
            <w:tcW w:w="7180" w:type="dxa"/>
            <w:vAlign w:val="bottom"/>
            <w:gridSpan w:val="6"/>
          </w:tcPr>
          <w:p>
            <w:pPr>
              <w:ind w:left="60"/>
              <w:spacing w:after="0"/>
              <w:rPr>
                <w:sz w:val="20"/>
                <w:szCs w:val="20"/>
                <w:color w:val="auto"/>
              </w:rPr>
            </w:pPr>
            <w:r>
              <w:rPr>
                <w:rFonts w:ascii="Calibri" w:cs="Calibri" w:eastAsia="Calibri" w:hAnsi="Calibri"/>
                <w:sz w:val="18"/>
                <w:szCs w:val="18"/>
                <w:color w:val="212529"/>
              </w:rPr>
              <w:t>Supplemental balance sheet informaton related to the Company’s leases was as follows: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3"/>
        </w:trPr>
        <w:tc>
          <w:tcPr>
            <w:tcW w:w="2260" w:type="dxa"/>
            <w:vAlign w:val="bottom"/>
            <w:tcBorders>
              <w:bottom w:val="single" w:sz="8" w:color="auto"/>
            </w:tcBorders>
          </w:tcPr>
          <w:p>
            <w:pPr>
              <w:ind w:left="780"/>
              <w:spacing w:after="0"/>
              <w:rPr>
                <w:sz w:val="20"/>
                <w:szCs w:val="20"/>
                <w:color w:val="auto"/>
              </w:rPr>
            </w:pPr>
            <w:r>
              <w:rPr>
                <w:rFonts w:ascii="Calibri" w:cs="Calibri" w:eastAsia="Calibri" w:hAnsi="Calibri"/>
                <w:sz w:val="14"/>
                <w:szCs w:val="14"/>
                <w:b w:val="1"/>
                <w:bCs w:val="1"/>
                <w:color w:val="auto"/>
              </w:rPr>
              <w:t>Descripton</w:t>
            </w:r>
          </w:p>
        </w:tc>
        <w:tc>
          <w:tcPr>
            <w:tcW w:w="180" w:type="dxa"/>
            <w:vAlign w:val="bottom"/>
          </w:tcPr>
          <w:p>
            <w:pPr>
              <w:spacing w:after="0"/>
              <w:rPr>
                <w:sz w:val="16"/>
                <w:szCs w:val="16"/>
                <w:color w:val="auto"/>
              </w:rPr>
            </w:pPr>
          </w:p>
        </w:tc>
        <w:tc>
          <w:tcPr>
            <w:tcW w:w="3500" w:type="dxa"/>
            <w:vAlign w:val="bottom"/>
            <w:tcBorders>
              <w:bottom w:val="single" w:sz="8" w:color="auto"/>
            </w:tcBorders>
          </w:tcPr>
          <w:p>
            <w:pPr>
              <w:ind w:left="920"/>
              <w:spacing w:after="0"/>
              <w:rPr>
                <w:sz w:val="20"/>
                <w:szCs w:val="20"/>
                <w:color w:val="auto"/>
              </w:rPr>
            </w:pPr>
            <w:r>
              <w:rPr>
                <w:rFonts w:ascii="Calibri" w:cs="Calibri" w:eastAsia="Calibri" w:hAnsi="Calibri"/>
                <w:sz w:val="14"/>
                <w:szCs w:val="14"/>
                <w:b w:val="1"/>
                <w:bCs w:val="1"/>
                <w:color w:val="auto"/>
              </w:rPr>
              <w:t>Balance Sheet Classifcaton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Calibri" w:cs="Calibri" w:eastAsia="Calibri" w:hAnsi="Calibri"/>
                <w:sz w:val="14"/>
                <w:szCs w:val="14"/>
                <w:b w:val="1"/>
                <w:bCs w:val="1"/>
                <w:color w:val="auto"/>
              </w:rPr>
              <w:t>September 30, 2024</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Borders>
              <w:bottom w:val="single" w:sz="8" w:color="auto"/>
            </w:tcBorders>
            <w:gridSpan w:val="4"/>
          </w:tcPr>
          <w:p>
            <w:pPr>
              <w:jc w:val="right"/>
              <w:ind w:right="311"/>
              <w:spacing w:after="0"/>
              <w:rPr>
                <w:sz w:val="20"/>
                <w:szCs w:val="20"/>
                <w:color w:val="auto"/>
              </w:rPr>
            </w:pPr>
            <w:r>
              <w:rPr>
                <w:rFonts w:ascii="Calibri" w:cs="Calibri" w:eastAsia="Calibri" w:hAnsi="Calibri"/>
                <w:sz w:val="14"/>
                <w:szCs w:val="14"/>
                <w:b w:val="1"/>
                <w:bCs w:val="1"/>
                <w:color w:val="auto"/>
              </w:rPr>
              <w:t>September 30, 2023</w:t>
            </w:r>
          </w:p>
        </w:tc>
        <w:tc>
          <w:tcPr>
            <w:tcW w:w="80" w:type="dxa"/>
            <w:vAlign w:val="bottom"/>
          </w:tcPr>
          <w:p>
            <w:pPr>
              <w:spacing w:after="0"/>
              <w:rPr>
                <w:sz w:val="16"/>
                <w:szCs w:val="16"/>
                <w:color w:val="auto"/>
              </w:rPr>
            </w:pPr>
          </w:p>
        </w:tc>
      </w:tr>
      <w:tr>
        <w:trPr>
          <w:trHeight w:val="173"/>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b w:val="1"/>
                <w:bCs w:val="1"/>
                <w:color w:val="auto"/>
              </w:rPr>
              <w:t>(In</w:t>
            </w:r>
          </w:p>
        </w:tc>
        <w:tc>
          <w:tcPr>
            <w:tcW w:w="900" w:type="dxa"/>
            <w:vAlign w:val="bottom"/>
            <w:gridSpan w:val="3"/>
          </w:tcPr>
          <w:p>
            <w:pPr>
              <w:spacing w:after="0"/>
              <w:rPr>
                <w:sz w:val="20"/>
                <w:szCs w:val="20"/>
                <w:color w:val="auto"/>
              </w:rPr>
            </w:pPr>
            <w:r>
              <w:rPr>
                <w:rFonts w:ascii="Calibri" w:cs="Calibri" w:eastAsia="Calibri" w:hAnsi="Calibri"/>
                <w:sz w:val="14"/>
                <w:szCs w:val="14"/>
                <w:b w:val="1"/>
                <w:bCs w:val="1"/>
                <w:color w:val="auto"/>
              </w:rPr>
              <w:t>millions)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9"/>
        </w:trPr>
        <w:tc>
          <w:tcPr>
            <w:tcW w:w="22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Lease ROU assets:</w:t>
            </w:r>
          </w:p>
        </w:tc>
        <w:tc>
          <w:tcPr>
            <w:tcW w:w="18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2260" w:type="dxa"/>
            <w:vAlign w:val="bottom"/>
          </w:tcPr>
          <w:p>
            <w:pPr>
              <w:ind w:left="180"/>
              <w:spacing w:after="0" w:line="215" w:lineRule="exact"/>
              <w:rPr>
                <w:sz w:val="20"/>
                <w:szCs w:val="20"/>
                <w:color w:val="auto"/>
              </w:rPr>
            </w:pPr>
            <w:r>
              <w:rPr>
                <w:rFonts w:ascii="Calibri" w:cs="Calibri" w:eastAsia="Calibri" w:hAnsi="Calibri"/>
                <w:sz w:val="18"/>
                <w:szCs w:val="18"/>
                <w:color w:val="auto"/>
              </w:rPr>
              <w:t>Operatng</w:t>
            </w:r>
          </w:p>
        </w:tc>
        <w:tc>
          <w:tcPr>
            <w:tcW w:w="180" w:type="dxa"/>
            <w:vAlign w:val="bottom"/>
          </w:tcPr>
          <w:p>
            <w:pPr>
              <w:spacing w:after="0"/>
              <w:rPr>
                <w:sz w:val="18"/>
                <w:szCs w:val="18"/>
                <w:color w:val="auto"/>
              </w:rPr>
            </w:pPr>
          </w:p>
        </w:tc>
        <w:tc>
          <w:tcPr>
            <w:tcW w:w="3540" w:type="dxa"/>
            <w:vAlign w:val="bottom"/>
            <w:gridSpan w:val="2"/>
          </w:tcPr>
          <w:p>
            <w:pPr>
              <w:spacing w:after="0" w:line="215" w:lineRule="exact"/>
              <w:rPr>
                <w:sz w:val="20"/>
                <w:szCs w:val="20"/>
                <w:color w:val="auto"/>
              </w:rPr>
            </w:pPr>
            <w:r>
              <w:rPr>
                <w:rFonts w:ascii="Calibri" w:cs="Calibri" w:eastAsia="Calibri" w:hAnsi="Calibri"/>
                <w:sz w:val="18"/>
                <w:szCs w:val="18"/>
                <w:color w:val="auto"/>
              </w:rPr>
              <w:t>Other assets</w:t>
            </w:r>
          </w:p>
        </w:tc>
        <w:tc>
          <w:tcPr>
            <w:tcW w:w="140" w:type="dxa"/>
            <w:vAlign w:val="bottom"/>
          </w:tcPr>
          <w:p>
            <w:pPr>
              <w:spacing w:after="0"/>
              <w:rPr>
                <w:sz w:val="18"/>
                <w:szCs w:val="18"/>
                <w:color w:val="auto"/>
              </w:rPr>
            </w:pPr>
          </w:p>
        </w:tc>
        <w:tc>
          <w:tcPr>
            <w:tcW w:w="1060" w:type="dxa"/>
            <w:vAlign w:val="bottom"/>
          </w:tcPr>
          <w:p>
            <w:pPr>
              <w:jc w:val="right"/>
              <w:ind w:right="873"/>
              <w:spacing w:after="0" w:line="215" w:lineRule="exact"/>
              <w:rPr>
                <w:sz w:val="20"/>
                <w:szCs w:val="20"/>
                <w:color w:val="auto"/>
              </w:rPr>
            </w:pPr>
            <w:r>
              <w:rPr>
                <w:rFonts w:ascii="Calibri" w:cs="Calibri" w:eastAsia="Calibri" w:hAnsi="Calibri"/>
                <w:sz w:val="18"/>
                <w:szCs w:val="18"/>
                <w:color w:val="auto"/>
                <w:w w:val="87"/>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104</w:t>
            </w:r>
          </w:p>
        </w:tc>
        <w:tc>
          <w:tcPr>
            <w:tcW w:w="260" w:type="dxa"/>
            <w:vAlign w:val="bottom"/>
          </w:tcPr>
          <w:p>
            <w:pPr>
              <w:spacing w:after="0"/>
              <w:rPr>
                <w:sz w:val="18"/>
                <w:szCs w:val="18"/>
                <w:color w:val="auto"/>
              </w:rPr>
            </w:pPr>
          </w:p>
        </w:tc>
        <w:tc>
          <w:tcPr>
            <w:tcW w:w="420" w:type="dxa"/>
            <w:vAlign w:val="bottom"/>
          </w:tcPr>
          <w:p>
            <w:pPr>
              <w:jc w:val="right"/>
              <w:ind w:right="232"/>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101</w:t>
            </w:r>
          </w:p>
        </w:tc>
        <w:tc>
          <w:tcPr>
            <w:tcW w:w="80" w:type="dxa"/>
            <w:vAlign w:val="bottom"/>
          </w:tcPr>
          <w:p>
            <w:pPr>
              <w:spacing w:after="0"/>
              <w:rPr>
                <w:sz w:val="18"/>
                <w:szCs w:val="18"/>
                <w:color w:val="auto"/>
              </w:rPr>
            </w:pPr>
          </w:p>
        </w:tc>
      </w:tr>
      <w:tr>
        <w:trPr>
          <w:trHeight w:val="216"/>
        </w:trPr>
        <w:tc>
          <w:tcPr>
            <w:tcW w:w="226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Finance</w:t>
            </w:r>
          </w:p>
        </w:tc>
        <w:tc>
          <w:tcPr>
            <w:tcW w:w="180" w:type="dxa"/>
            <w:vAlign w:val="bottom"/>
            <w:tcBorders>
              <w:bottom w:val="single" w:sz="8" w:color="CFF0FC"/>
            </w:tcBorders>
            <w:shd w:val="clear" w:color="auto" w:fill="CFF0FC"/>
          </w:tcPr>
          <w:p>
            <w:pPr>
              <w:spacing w:after="0"/>
              <w:rPr>
                <w:sz w:val="18"/>
                <w:szCs w:val="18"/>
                <w:color w:val="auto"/>
              </w:rPr>
            </w:pPr>
          </w:p>
        </w:tc>
        <w:tc>
          <w:tcPr>
            <w:tcW w:w="3540" w:type="dxa"/>
            <w:vAlign w:val="bottom"/>
            <w:tcBorders>
              <w:bottom w:val="single" w:sz="8" w:color="CFF0FC"/>
            </w:tcBorders>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Net property, plant and equipment</w:t>
            </w: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260" w:type="dxa"/>
            <w:vAlign w:val="bottom"/>
          </w:tcPr>
          <w:p>
            <w:pPr>
              <w:spacing w:after="0" w:line="210" w:lineRule="exact"/>
              <w:rPr>
                <w:sz w:val="20"/>
                <w:szCs w:val="20"/>
                <w:color w:val="auto"/>
              </w:rPr>
            </w:pPr>
            <w:r>
              <w:rPr>
                <w:rFonts w:ascii="Calibri" w:cs="Calibri" w:eastAsia="Calibri" w:hAnsi="Calibri"/>
                <w:sz w:val="18"/>
                <w:szCs w:val="18"/>
                <w:color w:val="auto"/>
              </w:rPr>
              <w:t>Total lease ROU assets</w:t>
            </w:r>
          </w:p>
        </w:tc>
        <w:tc>
          <w:tcPr>
            <w:tcW w:w="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ind w:right="873"/>
              <w:spacing w:after="0" w:line="210" w:lineRule="exact"/>
              <w:rPr>
                <w:sz w:val="20"/>
                <w:szCs w:val="20"/>
                <w:color w:val="auto"/>
              </w:rPr>
            </w:pPr>
            <w:r>
              <w:rPr>
                <w:rFonts w:ascii="Calibri" w:cs="Calibri" w:eastAsia="Calibri" w:hAnsi="Calibri"/>
                <w:sz w:val="18"/>
                <w:szCs w:val="18"/>
                <w:color w:val="auto"/>
                <w:w w:val="87"/>
              </w:rPr>
              <w:t>$</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141</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line="210"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140</w:t>
            </w:r>
          </w:p>
        </w:tc>
        <w:tc>
          <w:tcPr>
            <w:tcW w:w="8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5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2260" w:type="dxa"/>
            <w:vAlign w:val="bottom"/>
          </w:tcPr>
          <w:p>
            <w:pPr>
              <w:spacing w:after="0" w:line="215" w:lineRule="exact"/>
              <w:rPr>
                <w:sz w:val="20"/>
                <w:szCs w:val="20"/>
                <w:color w:val="auto"/>
              </w:rPr>
            </w:pPr>
            <w:r>
              <w:rPr>
                <w:rFonts w:ascii="Calibri" w:cs="Calibri" w:eastAsia="Calibri" w:hAnsi="Calibri"/>
                <w:sz w:val="18"/>
                <w:szCs w:val="18"/>
                <w:color w:val="auto"/>
              </w:rPr>
              <w:t>Lease liabilites:</w:t>
            </w:r>
          </w:p>
        </w:tc>
        <w:tc>
          <w:tcPr>
            <w:tcW w:w="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226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Current:</w:t>
            </w:r>
          </w:p>
        </w:tc>
        <w:tc>
          <w:tcPr>
            <w:tcW w:w="18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2260" w:type="dxa"/>
            <w:vAlign w:val="bottom"/>
          </w:tcPr>
          <w:p>
            <w:pPr>
              <w:ind w:left="180"/>
              <w:spacing w:after="0" w:line="215" w:lineRule="exact"/>
              <w:rPr>
                <w:sz w:val="20"/>
                <w:szCs w:val="20"/>
                <w:color w:val="auto"/>
              </w:rPr>
            </w:pPr>
            <w:r>
              <w:rPr>
                <w:rFonts w:ascii="Calibri" w:cs="Calibri" w:eastAsia="Calibri" w:hAnsi="Calibri"/>
                <w:sz w:val="18"/>
                <w:szCs w:val="18"/>
                <w:color w:val="auto"/>
              </w:rPr>
              <w:t>Operatng</w:t>
            </w:r>
          </w:p>
        </w:tc>
        <w:tc>
          <w:tcPr>
            <w:tcW w:w="180" w:type="dxa"/>
            <w:vAlign w:val="bottom"/>
          </w:tcPr>
          <w:p>
            <w:pPr>
              <w:spacing w:after="0"/>
              <w:rPr>
                <w:sz w:val="18"/>
                <w:szCs w:val="18"/>
                <w:color w:val="auto"/>
              </w:rPr>
            </w:pPr>
          </w:p>
        </w:tc>
        <w:tc>
          <w:tcPr>
            <w:tcW w:w="3540" w:type="dxa"/>
            <w:vAlign w:val="bottom"/>
            <w:gridSpan w:val="2"/>
          </w:tcPr>
          <w:p>
            <w:pPr>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140" w:type="dxa"/>
            <w:vAlign w:val="bottom"/>
          </w:tcPr>
          <w:p>
            <w:pPr>
              <w:spacing w:after="0"/>
              <w:rPr>
                <w:sz w:val="18"/>
                <w:szCs w:val="18"/>
                <w:color w:val="auto"/>
              </w:rPr>
            </w:pPr>
          </w:p>
        </w:tc>
        <w:tc>
          <w:tcPr>
            <w:tcW w:w="1060" w:type="dxa"/>
            <w:vAlign w:val="bottom"/>
          </w:tcPr>
          <w:p>
            <w:pPr>
              <w:jc w:val="right"/>
              <w:ind w:right="873"/>
              <w:spacing w:after="0" w:line="215" w:lineRule="exact"/>
              <w:rPr>
                <w:sz w:val="20"/>
                <w:szCs w:val="20"/>
                <w:color w:val="auto"/>
              </w:rPr>
            </w:pPr>
            <w:r>
              <w:rPr>
                <w:rFonts w:ascii="Calibri" w:cs="Calibri" w:eastAsia="Calibri" w:hAnsi="Calibri"/>
                <w:sz w:val="18"/>
                <w:szCs w:val="18"/>
                <w:color w:val="auto"/>
                <w:w w:val="87"/>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60" w:type="dxa"/>
            <w:vAlign w:val="bottom"/>
          </w:tcPr>
          <w:p>
            <w:pPr>
              <w:spacing w:after="0"/>
              <w:rPr>
                <w:sz w:val="18"/>
                <w:szCs w:val="18"/>
                <w:color w:val="auto"/>
              </w:rPr>
            </w:pPr>
          </w:p>
        </w:tc>
        <w:tc>
          <w:tcPr>
            <w:tcW w:w="420" w:type="dxa"/>
            <w:vAlign w:val="bottom"/>
          </w:tcPr>
          <w:p>
            <w:pPr>
              <w:jc w:val="right"/>
              <w:ind w:right="232"/>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80" w:type="dxa"/>
            <w:vAlign w:val="bottom"/>
          </w:tcPr>
          <w:p>
            <w:pPr>
              <w:spacing w:after="0"/>
              <w:rPr>
                <w:sz w:val="18"/>
                <w:szCs w:val="18"/>
                <w:color w:val="auto"/>
              </w:rPr>
            </w:pPr>
          </w:p>
        </w:tc>
      </w:tr>
      <w:tr>
        <w:trPr>
          <w:trHeight w:val="217"/>
        </w:trPr>
        <w:tc>
          <w:tcPr>
            <w:tcW w:w="2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Finance</w:t>
            </w:r>
          </w:p>
        </w:tc>
        <w:tc>
          <w:tcPr>
            <w:tcW w:w="180" w:type="dxa"/>
            <w:vAlign w:val="bottom"/>
            <w:shd w:val="clear" w:color="auto" w:fill="CFF0FC"/>
          </w:tcPr>
          <w:p>
            <w:pPr>
              <w:spacing w:after="0"/>
              <w:rPr>
                <w:sz w:val="18"/>
                <w:szCs w:val="18"/>
                <w:color w:val="auto"/>
              </w:rPr>
            </w:pPr>
          </w:p>
        </w:tc>
        <w:tc>
          <w:tcPr>
            <w:tcW w:w="3540" w:type="dxa"/>
            <w:vAlign w:val="bottom"/>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Current porton of long-term debt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w:t>
            </w:r>
          </w:p>
        </w:tc>
        <w:tc>
          <w:tcPr>
            <w:tcW w:w="80" w:type="dxa"/>
            <w:vAlign w:val="bottom"/>
            <w:shd w:val="clear" w:color="auto" w:fill="CFF0FC"/>
          </w:tcPr>
          <w:p>
            <w:pPr>
              <w:spacing w:after="0"/>
              <w:rPr>
                <w:sz w:val="18"/>
                <w:szCs w:val="18"/>
                <w:color w:val="auto"/>
              </w:rPr>
            </w:pPr>
          </w:p>
        </w:tc>
      </w:tr>
      <w:tr>
        <w:trPr>
          <w:trHeight w:val="215"/>
        </w:trPr>
        <w:tc>
          <w:tcPr>
            <w:tcW w:w="2260" w:type="dxa"/>
            <w:vAlign w:val="bottom"/>
          </w:tcPr>
          <w:p>
            <w:pPr>
              <w:spacing w:after="0" w:line="215" w:lineRule="exact"/>
              <w:rPr>
                <w:sz w:val="20"/>
                <w:szCs w:val="20"/>
                <w:color w:val="auto"/>
              </w:rPr>
            </w:pPr>
            <w:r>
              <w:rPr>
                <w:rFonts w:ascii="Calibri" w:cs="Calibri" w:eastAsia="Calibri" w:hAnsi="Calibri"/>
                <w:sz w:val="18"/>
                <w:szCs w:val="18"/>
                <w:color w:val="auto"/>
              </w:rPr>
              <w:t>Long-term:</w:t>
            </w:r>
          </w:p>
        </w:tc>
        <w:tc>
          <w:tcPr>
            <w:tcW w:w="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22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Operatng</w:t>
            </w:r>
          </w:p>
        </w:tc>
        <w:tc>
          <w:tcPr>
            <w:tcW w:w="180" w:type="dxa"/>
            <w:vAlign w:val="bottom"/>
            <w:shd w:val="clear" w:color="auto" w:fill="CFF0FC"/>
          </w:tcPr>
          <w:p>
            <w:pPr>
              <w:spacing w:after="0"/>
              <w:rPr>
                <w:sz w:val="18"/>
                <w:szCs w:val="18"/>
                <w:color w:val="auto"/>
              </w:rPr>
            </w:pPr>
          </w:p>
        </w:tc>
        <w:tc>
          <w:tcPr>
            <w:tcW w:w="3540" w:type="dxa"/>
            <w:vAlign w:val="bottom"/>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Other liabilites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84</w:t>
            </w:r>
          </w:p>
        </w:tc>
        <w:tc>
          <w:tcPr>
            <w:tcW w:w="80" w:type="dxa"/>
            <w:vAlign w:val="bottom"/>
            <w:shd w:val="clear" w:color="auto" w:fill="CFF0FC"/>
          </w:tcPr>
          <w:p>
            <w:pPr>
              <w:spacing w:after="0"/>
              <w:rPr>
                <w:sz w:val="18"/>
                <w:szCs w:val="18"/>
                <w:color w:val="auto"/>
              </w:rPr>
            </w:pPr>
          </w:p>
        </w:tc>
      </w:tr>
      <w:tr>
        <w:trPr>
          <w:trHeight w:val="215"/>
        </w:trPr>
        <w:tc>
          <w:tcPr>
            <w:tcW w:w="2260" w:type="dxa"/>
            <w:vAlign w:val="bottom"/>
          </w:tcPr>
          <w:p>
            <w:pPr>
              <w:ind w:left="180"/>
              <w:spacing w:after="0" w:line="215" w:lineRule="exact"/>
              <w:rPr>
                <w:sz w:val="20"/>
                <w:szCs w:val="20"/>
                <w:color w:val="auto"/>
              </w:rPr>
            </w:pPr>
            <w:r>
              <w:rPr>
                <w:rFonts w:ascii="Calibri" w:cs="Calibri" w:eastAsia="Calibri" w:hAnsi="Calibri"/>
                <w:sz w:val="18"/>
                <w:szCs w:val="18"/>
                <w:color w:val="auto"/>
              </w:rPr>
              <w:t>Finance</w:t>
            </w:r>
          </w:p>
        </w:tc>
        <w:tc>
          <w:tcPr>
            <w:tcW w:w="180" w:type="dxa"/>
            <w:vAlign w:val="bottom"/>
          </w:tcPr>
          <w:p>
            <w:pPr>
              <w:spacing w:after="0"/>
              <w:rPr>
                <w:sz w:val="18"/>
                <w:szCs w:val="18"/>
                <w:color w:val="auto"/>
              </w:rPr>
            </w:pPr>
          </w:p>
        </w:tc>
        <w:tc>
          <w:tcPr>
            <w:tcW w:w="3540" w:type="dxa"/>
            <w:vAlign w:val="bottom"/>
            <w:gridSpan w:val="2"/>
          </w:tcPr>
          <w:p>
            <w:pPr>
              <w:spacing w:after="0" w:line="215" w:lineRule="exact"/>
              <w:rPr>
                <w:sz w:val="20"/>
                <w:szCs w:val="20"/>
                <w:color w:val="auto"/>
              </w:rPr>
            </w:pPr>
            <w:r>
              <w:rPr>
                <w:rFonts w:ascii="Calibri" w:cs="Calibri" w:eastAsia="Calibri" w:hAnsi="Calibri"/>
                <w:sz w:val="18"/>
                <w:szCs w:val="18"/>
                <w:color w:val="auto"/>
              </w:rPr>
              <w:t>Long-term debt</w:t>
            </w:r>
          </w:p>
        </w:tc>
        <w:tc>
          <w:tcPr>
            <w:tcW w:w="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w:t>
            </w:r>
          </w:p>
        </w:tc>
        <w:tc>
          <w:tcPr>
            <w:tcW w:w="80" w:type="dxa"/>
            <w:vAlign w:val="bottom"/>
          </w:tcPr>
          <w:p>
            <w:pPr>
              <w:spacing w:after="0"/>
              <w:rPr>
                <w:sz w:val="18"/>
                <w:szCs w:val="18"/>
                <w:color w:val="auto"/>
              </w:rPr>
            </w:pPr>
          </w:p>
        </w:tc>
      </w:tr>
      <w:tr>
        <w:trPr>
          <w:trHeight w:val="250"/>
        </w:trPr>
        <w:tc>
          <w:tcPr>
            <w:tcW w:w="2260" w:type="dxa"/>
            <w:vAlign w:val="bottom"/>
            <w:tcBorders>
              <w:bottom w:val="single" w:sz="8" w:color="CFF0FC"/>
            </w:tcBorders>
            <w:shd w:val="clear" w:color="auto" w:fill="CFF0FC"/>
          </w:tcPr>
          <w:p>
            <w:pPr>
              <w:spacing w:after="0" w:line="210" w:lineRule="exact"/>
              <w:rPr>
                <w:sz w:val="20"/>
                <w:szCs w:val="20"/>
                <w:color w:val="auto"/>
              </w:rPr>
            </w:pPr>
            <w:r>
              <w:rPr>
                <w:rFonts w:ascii="Calibri" w:cs="Calibri" w:eastAsia="Calibri" w:hAnsi="Calibri"/>
                <w:sz w:val="18"/>
                <w:szCs w:val="18"/>
                <w:color w:val="auto"/>
              </w:rPr>
              <w:t>Total lease liabilites</w:t>
            </w:r>
          </w:p>
        </w:tc>
        <w:tc>
          <w:tcPr>
            <w:tcW w:w="180" w:type="dxa"/>
            <w:vAlign w:val="bottom"/>
            <w:tcBorders>
              <w:bottom w:val="single" w:sz="8" w:color="CFF0FC"/>
            </w:tcBorders>
            <w:shd w:val="clear" w:color="auto" w:fill="CFF0FC"/>
          </w:tcPr>
          <w:p>
            <w:pPr>
              <w:spacing w:after="0"/>
              <w:rPr>
                <w:sz w:val="21"/>
                <w:szCs w:val="21"/>
                <w:color w:val="auto"/>
              </w:rPr>
            </w:pPr>
          </w:p>
        </w:tc>
        <w:tc>
          <w:tcPr>
            <w:tcW w:w="35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3"/>
              <w:spacing w:after="0" w:line="210" w:lineRule="exact"/>
              <w:rPr>
                <w:sz w:val="20"/>
                <w:szCs w:val="20"/>
                <w:color w:val="auto"/>
              </w:rPr>
            </w:pPr>
            <w:r>
              <w:rPr>
                <w:rFonts w:ascii="Calibri" w:cs="Calibri" w:eastAsia="Calibri" w:hAnsi="Calibri"/>
                <w:sz w:val="18"/>
                <w:szCs w:val="18"/>
                <w:color w:val="auto"/>
                <w:w w:val="87"/>
              </w:rPr>
              <w:t>$</w:t>
            </w:r>
          </w:p>
        </w:tc>
        <w:tc>
          <w:tcPr>
            <w:tcW w:w="2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129</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2"/>
              <w:spacing w:after="0" w:line="210"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-1439545</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-1439545</wp:posOffset>
            </wp:positionV>
            <wp:extent cx="596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6" w:lineRule="exact"/>
        <w:rPr>
          <w:sz w:val="20"/>
          <w:szCs w:val="20"/>
          <w:color w:val="auto"/>
        </w:rPr>
      </w:pPr>
    </w:p>
    <w:p>
      <w:pPr>
        <w:ind w:left="480"/>
        <w:spacing w:after="0"/>
        <w:rPr>
          <w:sz w:val="20"/>
          <w:szCs w:val="20"/>
          <w:color w:val="auto"/>
        </w:rPr>
      </w:pPr>
      <w:r>
        <w:rPr>
          <w:rFonts w:ascii="Calibri" w:cs="Calibri" w:eastAsia="Calibri" w:hAnsi="Calibri"/>
          <w:sz w:val="18"/>
          <w:szCs w:val="18"/>
          <w:color w:val="212529"/>
        </w:rPr>
        <w:t>The following table presents the weighted-average remaining lease term and discount rates for the Company’s leases:</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84"/>
        </w:trPr>
        <w:tc>
          <w:tcPr>
            <w:tcW w:w="4500" w:type="dxa"/>
            <w:vAlign w:val="bottom"/>
          </w:tcPr>
          <w:p>
            <w:pPr>
              <w:ind w:left="1900"/>
              <w:spacing w:after="0"/>
              <w:rPr>
                <w:sz w:val="20"/>
                <w:szCs w:val="20"/>
                <w:color w:val="auto"/>
              </w:rPr>
            </w:pPr>
            <w:r>
              <w:rPr>
                <w:rFonts w:ascii="Calibri" w:cs="Calibri" w:eastAsia="Calibri" w:hAnsi="Calibri"/>
                <w:sz w:val="14"/>
                <w:szCs w:val="14"/>
                <w:b w:val="1"/>
                <w:bCs w:val="1"/>
                <w:color w:val="auto"/>
              </w:rPr>
              <w:t>Descripton</w:t>
            </w:r>
          </w:p>
        </w:tc>
        <w:tc>
          <w:tcPr>
            <w:tcW w:w="140" w:type="dxa"/>
            <w:vAlign w:val="bottom"/>
          </w:tcPr>
          <w:p>
            <w:pPr>
              <w:spacing w:after="0"/>
              <w:rPr>
                <w:sz w:val="16"/>
                <w:szCs w:val="16"/>
                <w:color w:val="auto"/>
              </w:rPr>
            </w:pPr>
          </w:p>
        </w:tc>
        <w:tc>
          <w:tcPr>
            <w:tcW w:w="1920" w:type="dxa"/>
            <w:vAlign w:val="bottom"/>
            <w:gridSpan w:val="2"/>
          </w:tcPr>
          <w:p>
            <w:pPr>
              <w:jc w:val="right"/>
              <w:ind w:right="480"/>
              <w:spacing w:after="0"/>
              <w:rPr>
                <w:sz w:val="20"/>
                <w:szCs w:val="20"/>
                <w:color w:val="auto"/>
              </w:rPr>
            </w:pPr>
            <w:r>
              <w:rPr>
                <w:rFonts w:ascii="Calibri" w:cs="Calibri" w:eastAsia="Calibri" w:hAnsi="Calibri"/>
                <w:sz w:val="14"/>
                <w:szCs w:val="14"/>
                <w:b w:val="1"/>
                <w:bCs w:val="1"/>
                <w:color w:val="auto"/>
              </w:rPr>
              <w:t>September 30, 2024</w:t>
            </w:r>
          </w:p>
        </w:tc>
        <w:tc>
          <w:tcPr>
            <w:tcW w:w="1800" w:type="dxa"/>
            <w:vAlign w:val="bottom"/>
            <w:gridSpan w:val="3"/>
          </w:tcPr>
          <w:p>
            <w:pPr>
              <w:jc w:val="right"/>
              <w:ind w:right="380"/>
              <w:spacing w:after="0"/>
              <w:rPr>
                <w:sz w:val="20"/>
                <w:szCs w:val="20"/>
                <w:color w:val="auto"/>
              </w:rPr>
            </w:pPr>
            <w:r>
              <w:rPr>
                <w:rFonts w:ascii="Calibri" w:cs="Calibri" w:eastAsia="Calibri" w:hAnsi="Calibri"/>
                <w:sz w:val="14"/>
                <w:szCs w:val="14"/>
                <w:b w:val="1"/>
                <w:bCs w:val="1"/>
                <w:color w:val="auto"/>
              </w:rPr>
              <w:t>September 30, 2023</w:t>
            </w:r>
          </w:p>
        </w:tc>
      </w:tr>
      <w:tr>
        <w:trPr>
          <w:trHeight w:val="216"/>
        </w:trPr>
        <w:tc>
          <w:tcPr>
            <w:tcW w:w="4500" w:type="dxa"/>
            <w:vAlign w:val="bottom"/>
            <w:tcBorders>
              <w:top w:val="single" w:sz="8" w:color="auto"/>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Weighted-average remaining lease term (years):</w:t>
            </w:r>
          </w:p>
        </w:tc>
        <w:tc>
          <w:tcPr>
            <w:tcW w:w="1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4500" w:type="dxa"/>
            <w:vAlign w:val="bottom"/>
          </w:tcPr>
          <w:p>
            <w:pPr>
              <w:ind w:left="180"/>
              <w:spacing w:after="0" w:line="215" w:lineRule="exact"/>
              <w:rPr>
                <w:sz w:val="20"/>
                <w:szCs w:val="20"/>
                <w:color w:val="auto"/>
              </w:rPr>
            </w:pPr>
            <w:r>
              <w:rPr>
                <w:rFonts w:ascii="Calibri" w:cs="Calibri" w:eastAsia="Calibri" w:hAnsi="Calibri"/>
                <w:sz w:val="18"/>
                <w:szCs w:val="18"/>
                <w:color w:val="auto"/>
              </w:rPr>
              <w:t>Operatng leases</w:t>
            </w:r>
          </w:p>
        </w:tc>
        <w:tc>
          <w:tcPr>
            <w:tcW w:w="18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21</w:t>
            </w:r>
          </w:p>
        </w:tc>
        <w:tc>
          <w:tcPr>
            <w:tcW w:w="22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45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Finance leases</w:t>
            </w:r>
          </w:p>
        </w:tc>
        <w:tc>
          <w:tcPr>
            <w:tcW w:w="18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4500" w:type="dxa"/>
            <w:vAlign w:val="bottom"/>
          </w:tcPr>
          <w:p>
            <w:pPr>
              <w:spacing w:after="0" w:line="215" w:lineRule="exact"/>
              <w:rPr>
                <w:sz w:val="20"/>
                <w:szCs w:val="20"/>
                <w:color w:val="auto"/>
              </w:rPr>
            </w:pPr>
            <w:r>
              <w:rPr>
                <w:rFonts w:ascii="Calibri" w:cs="Calibri" w:eastAsia="Calibri" w:hAnsi="Calibri"/>
                <w:sz w:val="18"/>
                <w:szCs w:val="18"/>
                <w:color w:val="auto"/>
              </w:rPr>
              <w:t>Weighted-average discount rate:</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4500" w:type="dxa"/>
            <w:vAlign w:val="bottom"/>
          </w:tcPr>
          <w:p>
            <w:pPr>
              <w:ind w:left="180"/>
              <w:spacing w:after="0" w:line="215" w:lineRule="exact"/>
              <w:rPr>
                <w:sz w:val="20"/>
                <w:szCs w:val="20"/>
                <w:color w:val="auto"/>
              </w:rPr>
            </w:pPr>
            <w:r>
              <w:rPr>
                <w:rFonts w:ascii="Calibri" w:cs="Calibri" w:eastAsia="Calibri" w:hAnsi="Calibri"/>
                <w:sz w:val="18"/>
                <w:szCs w:val="18"/>
                <w:color w:val="auto"/>
              </w:rPr>
              <w:t>Operatng leases</w:t>
            </w:r>
          </w:p>
        </w:tc>
        <w:tc>
          <w:tcPr>
            <w:tcW w:w="206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3.11 %</w:t>
            </w: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3.28 %</w:t>
            </w:r>
          </w:p>
        </w:tc>
      </w:tr>
      <w:tr>
        <w:trPr>
          <w:trHeight w:val="215"/>
        </w:trPr>
        <w:tc>
          <w:tcPr>
            <w:tcW w:w="4500" w:type="dxa"/>
            <w:vAlign w:val="bottom"/>
          </w:tcPr>
          <w:p>
            <w:pPr>
              <w:ind w:left="180"/>
              <w:spacing w:after="0" w:line="215" w:lineRule="exact"/>
              <w:rPr>
                <w:sz w:val="20"/>
                <w:szCs w:val="20"/>
                <w:color w:val="auto"/>
              </w:rPr>
            </w:pPr>
            <w:r>
              <w:rPr>
                <w:rFonts w:ascii="Calibri" w:cs="Calibri" w:eastAsia="Calibri" w:hAnsi="Calibri"/>
                <w:sz w:val="18"/>
                <w:szCs w:val="18"/>
                <w:color w:val="auto"/>
              </w:rPr>
              <w:t>Finance leases</w:t>
            </w:r>
          </w:p>
        </w:tc>
        <w:tc>
          <w:tcPr>
            <w:tcW w:w="206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5.09 %</w:t>
            </w: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-271780</wp:posOffset>
            </wp:positionV>
            <wp:extent cx="5271770"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71770" cy="137160"/>
                    </a:xfrm>
                    <a:prstGeom prst="rect">
                      <a:avLst/>
                    </a:prstGeom>
                    <a:noFill/>
                  </pic:spPr>
                </pic:pic>
              </a:graphicData>
            </a:graphic>
          </wp:anchor>
        </w:drawing>
      </w:r>
    </w:p>
    <w:p>
      <w:pPr>
        <w:spacing w:after="0" w:line="3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Future minimum lease payments under non-cancelable operatng and fnance leases as of September 30, 2024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3620" w:type="dxa"/>
            <w:vAlign w:val="bottom"/>
            <w:tcBorders>
              <w:bottom w:val="single" w:sz="8" w:color="auto"/>
            </w:tcBorders>
          </w:tcPr>
          <w:p>
            <w:pPr>
              <w:ind w:left="1560"/>
              <w:spacing w:after="0"/>
              <w:rPr>
                <w:sz w:val="20"/>
                <w:szCs w:val="20"/>
                <w:color w:val="auto"/>
              </w:rPr>
            </w:pPr>
            <w:r>
              <w:rPr>
                <w:rFonts w:ascii="Calibri" w:cs="Calibri" w:eastAsia="Calibri" w:hAnsi="Calibri"/>
                <w:sz w:val="14"/>
                <w:szCs w:val="14"/>
                <w:b w:val="1"/>
                <w:bCs w:val="1"/>
                <w:color w:val="auto"/>
              </w:rPr>
              <w:t>Years Ending September 30</w:t>
            </w:r>
          </w:p>
        </w:tc>
        <w:tc>
          <w:tcPr>
            <w:tcW w:w="1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3"/>
              <w:spacing w:after="0"/>
              <w:rPr>
                <w:sz w:val="20"/>
                <w:szCs w:val="20"/>
                <w:color w:val="auto"/>
              </w:rPr>
            </w:pPr>
            <w:r>
              <w:rPr>
                <w:rFonts w:ascii="Calibri" w:cs="Calibri" w:eastAsia="Calibri" w:hAnsi="Calibri"/>
                <w:sz w:val="14"/>
                <w:szCs w:val="14"/>
                <w:b w:val="1"/>
                <w:bCs w:val="1"/>
                <w:color w:val="auto"/>
              </w:rPr>
              <w:t>Operatng leases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Calibri" w:cs="Calibri" w:eastAsia="Calibri" w:hAnsi="Calibri"/>
                <w:sz w:val="14"/>
                <w:szCs w:val="14"/>
                <w:b w:val="1"/>
                <w:bCs w:val="1"/>
                <w:color w:val="auto"/>
              </w:rPr>
              <w:t>Finance leases</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3"/>
        </w:trPr>
        <w:tc>
          <w:tcPr>
            <w:tcW w:w="14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alibri" w:cs="Calibri" w:eastAsia="Calibri" w:hAnsi="Calibri"/>
                <w:sz w:val="14"/>
                <w:szCs w:val="14"/>
                <w:b w:val="1"/>
                <w:bCs w:val="1"/>
                <w:color w:val="auto"/>
              </w:rPr>
              <w:t>(In</w:t>
            </w:r>
          </w:p>
        </w:tc>
        <w:tc>
          <w:tcPr>
            <w:tcW w:w="520" w:type="dxa"/>
            <w:vAlign w:val="bottom"/>
            <w:gridSpan w:val="3"/>
          </w:tcPr>
          <w:p>
            <w:pPr>
              <w:jc w:val="right"/>
              <w:ind w:right="60"/>
              <w:spacing w:after="0"/>
              <w:rPr>
                <w:sz w:val="20"/>
                <w:szCs w:val="20"/>
                <w:color w:val="auto"/>
              </w:rPr>
            </w:pPr>
            <w:r>
              <w:rPr>
                <w:rFonts w:ascii="Calibri" w:cs="Calibri" w:eastAsia="Calibri" w:hAnsi="Calibri"/>
                <w:sz w:val="14"/>
                <w:szCs w:val="14"/>
                <w:b w:val="1"/>
                <w:bCs w:val="1"/>
                <w:color w:val="auto"/>
                <w:w w:val="87"/>
              </w:rPr>
              <w:t>millions)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1480" w:type="dxa"/>
            <w:vAlign w:val="bottom"/>
          </w:tcPr>
          <w:p>
            <w:pPr>
              <w:spacing w:after="0"/>
              <w:rPr>
                <w:sz w:val="19"/>
                <w:szCs w:val="19"/>
                <w:color w:val="auto"/>
              </w:rPr>
            </w:pPr>
          </w:p>
        </w:tc>
        <w:tc>
          <w:tcPr>
            <w:tcW w:w="362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2025</w:t>
            </w:r>
          </w:p>
        </w:tc>
        <w:tc>
          <w:tcPr>
            <w:tcW w:w="1500" w:type="dxa"/>
            <w:vAlign w:val="bottom"/>
            <w:gridSpan w:val="3"/>
            <w:shd w:val="clear" w:color="auto" w:fill="CFF0FC"/>
          </w:tcPr>
          <w:p>
            <w:pPr>
              <w:jc w:val="right"/>
              <w:ind w:right="80"/>
              <w:spacing w:after="0" w:line="217"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17</w:t>
            </w:r>
          </w:p>
        </w:tc>
        <w:tc>
          <w:tcPr>
            <w:tcW w:w="520" w:type="dxa"/>
            <w:vAlign w:val="bottom"/>
            <w:gridSpan w:val="3"/>
            <w:shd w:val="clear" w:color="auto" w:fill="CFF0FC"/>
          </w:tcPr>
          <w:p>
            <w:pPr>
              <w:jc w:val="right"/>
              <w:ind w:right="180"/>
              <w:spacing w:after="0" w:line="217"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5</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r>
      <w:tr>
        <w:trPr>
          <w:trHeight w:val="215"/>
        </w:trPr>
        <w:tc>
          <w:tcPr>
            <w:tcW w:w="1480" w:type="dxa"/>
            <w:vAlign w:val="bottom"/>
          </w:tcPr>
          <w:p>
            <w:pPr>
              <w:spacing w:after="0"/>
              <w:rPr>
                <w:sz w:val="18"/>
                <w:szCs w:val="18"/>
                <w:color w:val="auto"/>
              </w:rPr>
            </w:pP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2026</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7"/>
        </w:trPr>
        <w:tc>
          <w:tcPr>
            <w:tcW w:w="1480" w:type="dxa"/>
            <w:vAlign w:val="bottom"/>
          </w:tcPr>
          <w:p>
            <w:pPr>
              <w:spacing w:after="0"/>
              <w:rPr>
                <w:sz w:val="18"/>
                <w:szCs w:val="18"/>
                <w:color w:val="auto"/>
              </w:rPr>
            </w:pPr>
          </w:p>
        </w:tc>
        <w:tc>
          <w:tcPr>
            <w:tcW w:w="36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2027</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80" w:type="dxa"/>
            <w:vAlign w:val="bottom"/>
            <w:shd w:val="clear" w:color="auto" w:fill="CFF0FC"/>
          </w:tcPr>
          <w:p>
            <w:pPr>
              <w:spacing w:after="0"/>
              <w:rPr>
                <w:sz w:val="18"/>
                <w:szCs w:val="18"/>
                <w:color w:val="auto"/>
              </w:rPr>
            </w:pPr>
          </w:p>
        </w:tc>
        <w:tc>
          <w:tcPr>
            <w:tcW w:w="1460" w:type="dxa"/>
            <w:vAlign w:val="bottom"/>
          </w:tcPr>
          <w:p>
            <w:pPr>
              <w:spacing w:after="0"/>
              <w:rPr>
                <w:sz w:val="18"/>
                <w:szCs w:val="18"/>
                <w:color w:val="auto"/>
              </w:rPr>
            </w:pPr>
          </w:p>
        </w:tc>
      </w:tr>
      <w:tr>
        <w:trPr>
          <w:trHeight w:val="215"/>
        </w:trPr>
        <w:tc>
          <w:tcPr>
            <w:tcW w:w="1480" w:type="dxa"/>
            <w:vAlign w:val="bottom"/>
          </w:tcPr>
          <w:p>
            <w:pPr>
              <w:spacing w:after="0"/>
              <w:rPr>
                <w:sz w:val="18"/>
                <w:szCs w:val="18"/>
                <w:color w:val="auto"/>
              </w:rPr>
            </w:pP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2028</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7"/>
        </w:trPr>
        <w:tc>
          <w:tcPr>
            <w:tcW w:w="1480" w:type="dxa"/>
            <w:vAlign w:val="bottom"/>
          </w:tcPr>
          <w:p>
            <w:pPr>
              <w:spacing w:after="0"/>
              <w:rPr>
                <w:sz w:val="18"/>
                <w:szCs w:val="18"/>
                <w:color w:val="auto"/>
              </w:rPr>
            </w:pPr>
          </w:p>
        </w:tc>
        <w:tc>
          <w:tcPr>
            <w:tcW w:w="36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2029</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80" w:type="dxa"/>
            <w:vAlign w:val="bottom"/>
            <w:shd w:val="clear" w:color="auto" w:fill="CFF0FC"/>
          </w:tcPr>
          <w:p>
            <w:pPr>
              <w:spacing w:after="0"/>
              <w:rPr>
                <w:sz w:val="18"/>
                <w:szCs w:val="18"/>
                <w:color w:val="auto"/>
              </w:rPr>
            </w:pPr>
          </w:p>
        </w:tc>
        <w:tc>
          <w:tcPr>
            <w:tcW w:w="1460" w:type="dxa"/>
            <w:vAlign w:val="bottom"/>
          </w:tcPr>
          <w:p>
            <w:pPr>
              <w:spacing w:after="0"/>
              <w:rPr>
                <w:sz w:val="18"/>
                <w:szCs w:val="18"/>
                <w:color w:val="auto"/>
              </w:rPr>
            </w:pPr>
          </w:p>
        </w:tc>
      </w:tr>
      <w:tr>
        <w:trPr>
          <w:trHeight w:val="215"/>
        </w:trPr>
        <w:tc>
          <w:tcPr>
            <w:tcW w:w="1480" w:type="dxa"/>
            <w:vAlign w:val="bottom"/>
          </w:tcPr>
          <w:p>
            <w:pPr>
              <w:spacing w:after="0"/>
              <w:rPr>
                <w:sz w:val="18"/>
                <w:szCs w:val="18"/>
                <w:color w:val="auto"/>
              </w:rPr>
            </w:pP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2030 and thereafer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1480" w:type="dxa"/>
            <w:vAlign w:val="bottom"/>
          </w:tcPr>
          <w:p>
            <w:pPr>
              <w:spacing w:after="0"/>
              <w:rPr>
                <w:sz w:val="18"/>
                <w:szCs w:val="18"/>
                <w:color w:val="auto"/>
              </w:rPr>
            </w:pPr>
          </w:p>
        </w:tc>
        <w:tc>
          <w:tcPr>
            <w:tcW w:w="362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Total lease payments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w:t>
            </w:r>
          </w:p>
        </w:tc>
        <w:tc>
          <w:tcPr>
            <w:tcW w:w="80" w:type="dxa"/>
            <w:vAlign w:val="bottom"/>
            <w:shd w:val="clear" w:color="auto" w:fill="CFF0FC"/>
          </w:tcPr>
          <w:p>
            <w:pPr>
              <w:spacing w:after="0"/>
              <w:rPr>
                <w:sz w:val="18"/>
                <w:szCs w:val="18"/>
                <w:color w:val="auto"/>
              </w:rPr>
            </w:pPr>
          </w:p>
        </w:tc>
        <w:tc>
          <w:tcPr>
            <w:tcW w:w="1460" w:type="dxa"/>
            <w:vAlign w:val="bottom"/>
          </w:tcPr>
          <w:p>
            <w:pPr>
              <w:spacing w:after="0"/>
              <w:rPr>
                <w:sz w:val="18"/>
                <w:szCs w:val="18"/>
                <w:color w:val="auto"/>
              </w:rPr>
            </w:pPr>
          </w:p>
        </w:tc>
      </w:tr>
      <w:tr>
        <w:trPr>
          <w:trHeight w:val="215"/>
        </w:trPr>
        <w:tc>
          <w:tcPr>
            <w:tcW w:w="1480" w:type="dxa"/>
            <w:vAlign w:val="bottom"/>
          </w:tcPr>
          <w:p>
            <w:pPr>
              <w:spacing w:after="0"/>
              <w:rPr>
                <w:sz w:val="18"/>
                <w:szCs w:val="18"/>
                <w:color w:val="auto"/>
              </w:rPr>
            </w:pP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Less: imputed interest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1480" w:type="dxa"/>
            <w:vAlign w:val="bottom"/>
          </w:tcPr>
          <w:p>
            <w:pPr>
              <w:spacing w:after="0"/>
              <w:rPr>
                <w:sz w:val="21"/>
                <w:szCs w:val="21"/>
                <w:color w:val="auto"/>
              </w:rPr>
            </w:pPr>
          </w:p>
        </w:tc>
        <w:tc>
          <w:tcPr>
            <w:tcW w:w="362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Total</w:t>
            </w:r>
          </w:p>
        </w:tc>
        <w:tc>
          <w:tcPr>
            <w:tcW w:w="1500" w:type="dxa"/>
            <w:vAlign w:val="bottom"/>
            <w:gridSpan w:val="3"/>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102</w:t>
            </w:r>
          </w:p>
        </w:tc>
        <w:tc>
          <w:tcPr>
            <w:tcW w:w="520" w:type="dxa"/>
            <w:vAlign w:val="bottom"/>
            <w:gridSpan w:val="3"/>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27</w:t>
            </w: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r>
      <w:tr>
        <w:trPr>
          <w:trHeight w:val="605"/>
        </w:trPr>
        <w:tc>
          <w:tcPr>
            <w:tcW w:w="1480" w:type="dxa"/>
            <w:vAlign w:val="bottom"/>
          </w:tcPr>
          <w:p>
            <w:pPr>
              <w:spacing w:after="0"/>
              <w:rPr>
                <w:sz w:val="24"/>
                <w:szCs w:val="24"/>
                <w:color w:val="auto"/>
              </w:rPr>
            </w:pPr>
          </w:p>
        </w:tc>
        <w:tc>
          <w:tcPr>
            <w:tcW w:w="36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430"/>
              <w:spacing w:after="0"/>
              <w:rPr>
                <w:sz w:val="20"/>
                <w:szCs w:val="20"/>
                <w:color w:val="auto"/>
              </w:rPr>
            </w:pPr>
            <w:r>
              <w:rPr>
                <w:rFonts w:ascii="Calibri" w:cs="Calibri" w:eastAsia="Calibri" w:hAnsi="Calibri"/>
                <w:sz w:val="18"/>
                <w:szCs w:val="18"/>
                <w:color w:val="auto"/>
              </w:rPr>
              <w:t>75</w:t>
            </w:r>
          </w:p>
        </w:tc>
        <w:tc>
          <w:tcPr>
            <w:tcW w:w="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60" w:type="dxa"/>
            <w:vAlign w:val="bottom"/>
          </w:tcPr>
          <w:p>
            <w:pPr>
              <w:spacing w:after="0"/>
              <w:rPr>
                <w:sz w:val="24"/>
                <w:szCs w:val="24"/>
                <w:color w:val="auto"/>
              </w:rPr>
            </w:pPr>
          </w:p>
        </w:tc>
      </w:tr>
      <w:tr>
        <w:trPr>
          <w:trHeight w:val="786"/>
        </w:trPr>
        <w:tc>
          <w:tcPr>
            <w:tcW w:w="14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-933450</wp:posOffset>
            </wp:positionV>
            <wp:extent cx="514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-916305</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-933450</wp:posOffset>
            </wp:positionV>
            <wp:extent cx="514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-916305</wp:posOffset>
            </wp:positionV>
            <wp:extent cx="51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5" w:name="page76"/>
    <w:bookmarkEnd w:id="75"/>
    <w:p>
      <w:pPr>
        <w:spacing w:after="0"/>
        <w:rPr>
          <w:sz w:val="20"/>
          <w:szCs w:val="20"/>
          <w:color w:val="auto"/>
        </w:rPr>
      </w:pPr>
      <w:r>
        <w:rPr>
          <w:rFonts w:ascii="Calibri" w:cs="Calibri" w:eastAsia="Calibri" w:hAnsi="Calibri"/>
          <w:sz w:val="18"/>
          <w:szCs w:val="18"/>
          <w:b w:val="1"/>
          <w:bCs w:val="1"/>
          <w:color w:val="auto"/>
        </w:rPr>
        <w:t>Note T. Commitments and Contngencies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Other Long-Term Commitments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Cabot has entered into long-term purchase agreements primarily for the purchase of raw materials. Under certain of these agreements, the quantty of material being purchased is fxed, but the price paid changes as market prices change. Raw materials purchased under these agreements were $280 million, $370 million and $512 million during fscal 2024, 2023 and 2022, respectvely. Included in those raw materials purchased are purchases from noncontrolling shareholders of consolidated subsidiaries of $138 million, $192 million and $235 million during fscal 2024, 2023 and 2022, respectvely. Accounts payable and accrued liabilites owed to noncontrolling shareholders as of September 30, 2024 and 2023, were $12 million and $11 million, respectvely.</w:t>
      </w:r>
    </w:p>
    <w:p>
      <w:pPr>
        <w:spacing w:after="0" w:line="86"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For these purchase commitments, the amounts included in the table below are based on market prices as of September 30, 2024 which may difer from actual market prices at the tme of purchase.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Calibri" w:cs="Calibri" w:eastAsia="Calibri" w:hAnsi="Calibri"/>
                <w:sz w:val="14"/>
                <w:szCs w:val="14"/>
                <w:b w:val="1"/>
                <w:bCs w:val="1"/>
                <w:color w:val="auto"/>
              </w:rPr>
              <w:t>Payments Due by Fiscal Year</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4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Calibri" w:cs="Calibri" w:eastAsia="Calibri" w:hAnsi="Calibri"/>
                <w:sz w:val="14"/>
                <w:szCs w:val="14"/>
                <w:b w:val="1"/>
                <w:bCs w:val="1"/>
                <w:color w:val="auto"/>
              </w:rPr>
              <w:t>2025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Calibri" w:cs="Calibri" w:eastAsia="Calibri" w:hAnsi="Calibri"/>
                <w:sz w:val="14"/>
                <w:szCs w:val="14"/>
                <w:b w:val="1"/>
                <w:bCs w:val="1"/>
                <w:color w:val="auto"/>
              </w:rPr>
              <w:t>2026</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Calibri" w:cs="Calibri" w:eastAsia="Calibri" w:hAnsi="Calibri"/>
                <w:sz w:val="14"/>
                <w:szCs w:val="14"/>
                <w:b w:val="1"/>
                <w:bCs w:val="1"/>
                <w:color w:val="auto"/>
              </w:rPr>
              <w:t>2027</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Calibri" w:cs="Calibri" w:eastAsia="Calibri" w:hAnsi="Calibri"/>
                <w:sz w:val="14"/>
                <w:szCs w:val="14"/>
                <w:b w:val="1"/>
                <w:bCs w:val="1"/>
                <w:color w:val="auto"/>
              </w:rPr>
              <w:t>2028</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5"/>
              <w:spacing w:after="0"/>
              <w:rPr>
                <w:sz w:val="20"/>
                <w:szCs w:val="20"/>
                <w:color w:val="auto"/>
              </w:rPr>
            </w:pPr>
            <w:r>
              <w:rPr>
                <w:rFonts w:ascii="Calibri" w:cs="Calibri" w:eastAsia="Calibri" w:hAnsi="Calibri"/>
                <w:sz w:val="14"/>
                <w:szCs w:val="14"/>
                <w:b w:val="1"/>
                <w:bCs w:val="1"/>
                <w:color w:val="auto"/>
              </w:rPr>
              <w:t>2029</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Thereafer</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428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Reinforcement Materials</w:t>
            </w:r>
          </w:p>
        </w:tc>
        <w:tc>
          <w:tcPr>
            <w:tcW w:w="1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210</w:t>
            </w:r>
          </w:p>
        </w:tc>
        <w:tc>
          <w:tcPr>
            <w:tcW w:w="42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174</w:t>
            </w:r>
          </w:p>
        </w:tc>
        <w:tc>
          <w:tcPr>
            <w:tcW w:w="44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148</w:t>
            </w:r>
          </w:p>
        </w:tc>
        <w:tc>
          <w:tcPr>
            <w:tcW w:w="420" w:type="dxa"/>
            <w:vAlign w:val="bottom"/>
            <w:gridSpan w:val="2"/>
            <w:shd w:val="clear" w:color="auto" w:fill="CFF0FC"/>
          </w:tcPr>
          <w:p>
            <w:pPr>
              <w:ind w:left="260"/>
              <w:spacing w:after="0" w:line="217"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111</w:t>
            </w:r>
          </w:p>
        </w:tc>
        <w:tc>
          <w:tcPr>
            <w:tcW w:w="440" w:type="dxa"/>
            <w:vAlign w:val="bottom"/>
            <w:gridSpan w:val="2"/>
            <w:shd w:val="clear" w:color="auto" w:fill="CFF0FC"/>
          </w:tcPr>
          <w:p>
            <w:pPr>
              <w:jc w:val="right"/>
              <w:ind w:right="30"/>
              <w:spacing w:after="0" w:line="217"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99</w:t>
            </w:r>
          </w:p>
        </w:tc>
        <w:tc>
          <w:tcPr>
            <w:tcW w:w="440" w:type="dxa"/>
            <w:vAlign w:val="bottom"/>
            <w:gridSpan w:val="2"/>
            <w:shd w:val="clear" w:color="auto" w:fill="CFF0FC"/>
          </w:tcPr>
          <w:p>
            <w:pPr>
              <w:jc w:val="right"/>
              <w:ind w:right="39"/>
              <w:spacing w:after="0" w:line="217"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1,142</w:t>
            </w:r>
          </w:p>
        </w:tc>
        <w:tc>
          <w:tcPr>
            <w:tcW w:w="40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1,884</w:t>
            </w:r>
          </w:p>
        </w:tc>
        <w:tc>
          <w:tcPr>
            <w:tcW w:w="100" w:type="dxa"/>
            <w:vAlign w:val="bottom"/>
            <w:shd w:val="clear" w:color="auto" w:fill="CFF0FC"/>
          </w:tcPr>
          <w:p>
            <w:pPr>
              <w:spacing w:after="0"/>
              <w:rPr>
                <w:sz w:val="19"/>
                <w:szCs w:val="19"/>
                <w:color w:val="auto"/>
              </w:rPr>
            </w:pPr>
          </w:p>
        </w:tc>
      </w:tr>
      <w:tr>
        <w:trPr>
          <w:trHeight w:val="224"/>
        </w:trPr>
        <w:tc>
          <w:tcPr>
            <w:tcW w:w="4280" w:type="dxa"/>
            <w:vAlign w:val="bottom"/>
          </w:tcPr>
          <w:p>
            <w:pPr>
              <w:ind w:left="20"/>
              <w:spacing w:after="0"/>
              <w:rPr>
                <w:sz w:val="20"/>
                <w:szCs w:val="20"/>
                <w:color w:val="auto"/>
              </w:rPr>
            </w:pPr>
            <w:r>
              <w:rPr>
                <w:rFonts w:ascii="Calibri" w:cs="Calibri" w:eastAsia="Calibri" w:hAnsi="Calibri"/>
                <w:sz w:val="18"/>
                <w:szCs w:val="18"/>
                <w:color w:val="auto"/>
              </w:rPr>
              <w:t>Performance Chemicals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358</w:t>
            </w:r>
          </w:p>
        </w:tc>
        <w:tc>
          <w:tcPr>
            <w:tcW w:w="100" w:type="dxa"/>
            <w:vAlign w:val="bottom"/>
          </w:tcPr>
          <w:p>
            <w:pPr>
              <w:spacing w:after="0"/>
              <w:rPr>
                <w:sz w:val="19"/>
                <w:szCs w:val="19"/>
                <w:color w:val="auto"/>
              </w:rPr>
            </w:pPr>
          </w:p>
        </w:tc>
      </w:tr>
      <w:tr>
        <w:trPr>
          <w:trHeight w:val="255"/>
        </w:trPr>
        <w:tc>
          <w:tcPr>
            <w:tcW w:w="4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w:t>
            </w: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251</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210</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116</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9"/>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1,349</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2,242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jc w:val="both"/>
        <w:ind w:right="20" w:firstLine="255"/>
        <w:spacing w:after="0" w:line="235" w:lineRule="auto"/>
        <w:rPr>
          <w:sz w:val="20"/>
          <w:szCs w:val="20"/>
          <w:color w:val="auto"/>
        </w:rPr>
      </w:pPr>
      <w:r>
        <w:rPr>
          <w:rFonts w:ascii="Calibri" w:cs="Calibri" w:eastAsia="Calibri" w:hAnsi="Calibri"/>
          <w:sz w:val="18"/>
          <w:szCs w:val="18"/>
          <w:color w:val="auto"/>
        </w:rPr>
        <w:t>The Company has also entered into long-term purchase agreements primarily for services related to informaton technology, which are not included in the table above, that totaled $31 million as of September 30, 2024, the majority of which is expected to be paid within the next 5 years.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Guarantee Agreements</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Cabot has provided certain indemnites pursuant to which it may be required to make payments to an indemnifed party in connecton with certain transactons and agreements. In connecton with certain acquisitons and divesttures, Cabot has provided routne indemnites with respect to such maters as environmental, tax, insurance, product and employee liabilites. In connecton with various other agreements, including service and supply agreements with customers, Cabot has provided indemnites for certain contngencies and routne warrantes. Cabot is unable to estmate the maximum potental liability for these types of indemnites as a maximum obligaton is not explicitly stated in most cases and the amounts, if any, are dependent upon the outcome of future contngent events, the nature and likelihood of which cannot be reasonably estmated. The duraton of the indemnites vary, and in many cases are indefnite. Cabot has not recorded any liability for these indemnites in the consolidated fnancial statements, except as otherwise disclosed.</w:t>
      </w:r>
    </w:p>
    <w:p>
      <w:pPr>
        <w:spacing w:after="0" w:line="6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Self-Insurance and Retenton for Certain Contngencies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is partally self-insured for certain third-party liabilites globally, as well as workers’ compensaton and employee medical benefts in the United States. The third-party and workers’ compensaton liabilites are managed through a wholly-owned insurance captve and the related liabilites are included in the consolidated fnancial statements. The employee medical obligatons are managed by a third-party provider and the related liabilites are included in the consolidated fnancial statements. To limit Cabot’s potental liabilites for these risks, however, the Company purchases insurance from third partes that provides stop-loss protecton. The self-insured liability in fscal 2024 for third-party liabilites was $500,000 per accident for auto, $2 million per occurrence for all other, $1 million per accident for U.S. workers’ compensaton, and the retenton for medical costs in the United States is at most $275,000 per person per annum.</w:t>
      </w:r>
    </w:p>
    <w:p>
      <w:pPr>
        <w:spacing w:after="0" w:line="8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Cabot is a defendant, or potentally responsible party, in various lawsuits and environmental proceedings wherein substantal amounts are claimed or at issue.</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Environmental Maters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both September 30, 2024 and 2023, Cabot had $5 million reserved for environmental maters, which is included in Accounts payable and accrued liabilites and Other liabilites in the Consolidated Balance sheets. These environmental maters mainly relate to former operatons. The Company’s reserves for environmental maters represent Cabot’s best estmates of the probable costs to be incurred at those sites where costs are reasonably estmable based on the Company’s analysis of the extent of clean up required, alternatve clean-up methods available, abilites of other responsible partes to contribute and its interpretaton of laws and regulatons applicable to each site. Cabot reviews the adequacy of the reserves as circumstances change at individual sites and adjusts the reserves as appropriate. Almost all of Cabot’s environmental issues relate to sites that are mature and have been investgated and studied and, in many cases, are subject to agreed upon remediaton plans. However, depending on the results of future testng, changes in risk assessment practces, remediaton techniques and regulatory requirements, newly discovered</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6" w:name="page77"/>
    <w:bookmarkEnd w:id="76"/>
    <w:p>
      <w:pPr>
        <w:ind w:right="20"/>
        <w:spacing w:after="0" w:line="235" w:lineRule="auto"/>
        <w:rPr>
          <w:sz w:val="20"/>
          <w:szCs w:val="20"/>
          <w:color w:val="auto"/>
        </w:rPr>
      </w:pPr>
      <w:r>
        <w:rPr>
          <w:rFonts w:ascii="Calibri" w:cs="Calibri" w:eastAsia="Calibri" w:hAnsi="Calibri"/>
          <w:sz w:val="18"/>
          <w:szCs w:val="18"/>
          <w:color w:val="auto"/>
        </w:rPr>
        <w:t>conditons, and other factors, it is reasonably possible that the Company could incur additonal costs in excess of environmental reserves currently recorded. Management estmates, based on the latest available informaton, that any such future environmental remediaton costs that are reasonably possible to be in excess of amounts already recorded would be immaterial to the Company’s consolidated fnancial statements.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Charges for environmental expense were $1 million in each of fscal 2024, 2023 and 2022, and are included in Cost of sales in the Consolidated Statements of Operatons. Cash payments related to these environmental maters were $1 million in both fscal 2024 and 2023 and $2 million in fscal 2022. The Company antcipates that expenditures related to these environmental maters will be made over a number of years.</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operaton and maintenance component of the reserve for environmental maters was $4 million and $3 million at September 30, 2024 and 2023, respectvely.</w:t>
      </w:r>
    </w:p>
    <w:p>
      <w:pPr>
        <w:spacing w:after="0" w:line="83"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In November 2013, Cabot entered into a Consent Decree with the EPA and the Louisiana Department of Environmental Quality (“LDEQ”) regarding Cabot’s three carbon black manufacturing facilites in the U.S. This setlement is related to EPA’s natonal enforcement initatve focused on the U.S. carbon black manufacturing sector alleging non-compliance with certain regulatory and permitng requirements under The Clean Air Act, including the New Source Review (“NSR”) constructon permitng requirements. Pursuant to this setlement, Cabot has installed technology controls for the reducton of sulfur dioxide and nitrogen oxide emissions at two of its plants and is in the process of installing these controls at the third plant. Cabot is currently in discussions with the EPA and LDEQ to extend its compliance date at the third plant to mid-2025 based upon force majeure events primarily related to the COVID-19 pandemic.</w:t>
      </w:r>
    </w:p>
    <w:p>
      <w:pPr>
        <w:spacing w:after="0" w:line="7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Respirator Liabilites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w:t>
      </w:r>
    </w:p>
    <w:p>
      <w:pPr>
        <w:spacing w:after="0" w:line="8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Generally, these respirator liabilites involve claims for personal injury, including asbestosis, silicosis and coal worker’s pneumoconiosis (“CWP”), allegedly resultng from the use of respirators that are alleged to have been negligently designed and/or labeled. At no tme did this respiratory product line represent a signifcant porton of the respirator market.</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subsidiary transferred the business to Aearo Technologies (“Aearo”) in July 1995. Cabot agreed to have the subsidiary retain certain liabilites associated with exposure to asbestos and silica while using respirators prior to the 1995 transacton so long as Aearo paid, and contnues to pay, Cabot an annual fee of $400,000. Aearo can discontnue payment of the fee at any tme, in which case it will assume the responsibility for and indemnify Cabot against those liabilites which Cabot’s subsidiary had agreed to retain. The Company antcipates that it will contnue to receive payment of the $400,000 fee from Aearo and thereby retain these liabilites for the foreseeable future. Cabot has no liability in connecton with any products manufactured by Aearo afer 1995. Because of the difculty in determining when a partcular respirator was manufactured, Aearo and Cabot have applied the retenton of liabilites under the 1995 agreement to claims arising out of the alleged use of respirators involving exposure to asbestos, silica or silica products prior to January 1, 1997. On July 26, 2022, Aearo voluntarily fled for Chapter 11 bankruptcy protecton with the stated goal of establishing a trust, funded by Aearo and its parent 3M, to satsfy respirator and other unrelated claims related to earplug products determined to be enttled to compensaton. On June 9, 2023, the court dismissed Aearo’s bankruptcy case based on motons fled by various creditors in the case. Aearo appealed the decision but did not seek to stay the dismissal, which made the dismissal efectve immediately and ended the automatc bankruptcy stay. In August 2023, Aearo entered into a setlement agreement to resolve the unrelated earplug product claims. Upon joint moton of the partes, Aearo’s appeal was dismissed on July 11, 2024, thereby formally ending its bankruptcy case.</w:t>
      </w:r>
    </w:p>
    <w:p>
      <w:pPr>
        <w:spacing w:after="0" w:line="92"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In additon to Cabot’s subsidiary and as described above, other partes are responsible for signifcant portons of the costs of respirator liabilites, leaving Cabot’s subsidiary with a porton of the liability in only some of the pending cases. These partes include Aearo, AO, AO’s insurers, another former owner and its insurers and a third-party manufacturer of respirators formerly sold under the AO brand and its insurers (collectvely, with the Company’s subsidiary, the “Payor Group”).</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has contributed to the Payor Group’s defense and setlement costs with respect to a percentage of pending claims depending on several factors, including the period of alleged product use. In order to quantfy Cabot’s estmated share of liability for pending and future respirator liability claims, Cabot has periodically engaged, through counsel, the assistance of Gnarus Advisors, LLC (“Gnarus”), a consultng frm in the feld of tort liability valuaton. Cabot last engaged Gnarus during fscal year 2023.</w:t>
      </w:r>
    </w:p>
    <w:p>
      <w:pPr>
        <w:spacing w:after="0" w:line="21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77" w:name="page78"/>
    <w:bookmarkEnd w:id="77"/>
    <w:p>
      <w:pPr>
        <w:ind w:firstLine="509"/>
        <w:spacing w:after="0" w:line="235" w:lineRule="auto"/>
        <w:rPr>
          <w:sz w:val="20"/>
          <w:szCs w:val="20"/>
          <w:color w:val="auto"/>
        </w:rPr>
      </w:pPr>
      <w:r>
        <w:rPr>
          <w:rFonts w:ascii="Calibri" w:cs="Calibri" w:eastAsia="Calibri" w:hAnsi="Calibri"/>
          <w:sz w:val="18"/>
          <w:szCs w:val="18"/>
          <w:color w:val="auto"/>
        </w:rPr>
        <w:t>The methodology used to estmate the liability addresses the complexites surrounding Cabot’s potental liability by making assumptons about Cabot’s likely exposure based on various factors, including the Payor Group’s historical experience with these claims, the number of future claims and the cost to resolve pending and future claims. Using those and other assumptons, the Company estmates the costs that would be incurred in defending and resolving both currently pending and future claims.</w:t>
      </w:r>
    </w:p>
    <w:p>
      <w:pPr>
        <w:spacing w:after="0" w:line="84" w:lineRule="exact"/>
        <w:rPr>
          <w:sz w:val="20"/>
          <w:szCs w:val="20"/>
          <w:color w:val="auto"/>
        </w:rPr>
      </w:pPr>
    </w:p>
    <w:p>
      <w:pPr>
        <w:ind w:right="60" w:firstLine="549"/>
        <w:spacing w:after="0" w:line="235" w:lineRule="auto"/>
        <w:rPr>
          <w:sz w:val="20"/>
          <w:szCs w:val="20"/>
          <w:color w:val="auto"/>
        </w:rPr>
      </w:pPr>
      <w:r>
        <w:rPr>
          <w:rFonts w:ascii="Calibri" w:cs="Calibri" w:eastAsia="Calibri" w:hAnsi="Calibri"/>
          <w:sz w:val="18"/>
          <w:szCs w:val="18"/>
          <w:color w:val="auto"/>
        </w:rPr>
        <w:t>As of September 30, 2024 and 2023, the Company had $35 million and $38 million, respectvely, reserved for its estmated share of liability for pending and future respirator claims, the majority of which the Company expects to incur over the next ten years. The reserve is included in Other liabilites and Accounts payable and accrued liabilites on the Consolidated Balance Sheets. In fscal 2024, 2023 and 2022, the Company recorded a charge of nil, $8 million and $6 million, respectvely, related to the respirator liability which was included in Selling and administratve expense in the Consolidated Statements of Operatons.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made payments related to its respirator liability of $3 million, $9 million and $11 million in fscal 2024, 2023 and 2022, respectvely.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the Company’s assessment of the viability of these claims, (vi) trial and appellate outcomes, (vii) changes in the law and procedure applicable to these claims, (viii) the fnancial viability of the partes that contribute to the payment of respirator claims ,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 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8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Other Maters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U. Supplier Financing Programs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maintains supply chain fnance agreements with third-party fnancial insttutons. These agreements allow the Company’s partcipatng suppliers to sell their receivables to such third-party fnancial insttutons to receive payment earlier than the negotated commercial terms between the supplier and the Company. Such sales are at the sole discreton of the supplier, and on terms and conditons that are negotated between the supplier and the respectve fnancial insttuton. The terms and conditons of the supplier invoice, including payment terms and amounts due, are not impacted by a supplier’s partcipaton in the program. Pursuant to the supply chain fnance agreements, the Company has agreed to pay fnancial insttutons on the original due date of the applicable invoice. There are no guarantees associated with these programs. The Company's outstanding payment obligatons to fnancial insttutons related to supplier fnancing programs were $16 million and $17 million on September 30, 2024 and 2023, respectvely, and are included within Accounts payable and accrued liabilites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8" w:name="page79"/>
    <w:bookmarkEnd w:id="78"/>
    <w:p>
      <w:pPr>
        <w:spacing w:after="0"/>
        <w:rPr>
          <w:sz w:val="20"/>
          <w:szCs w:val="20"/>
          <w:color w:val="auto"/>
        </w:rPr>
      </w:pPr>
      <w:r>
        <w:rPr>
          <w:rFonts w:ascii="Calibri" w:cs="Calibri" w:eastAsia="Calibri" w:hAnsi="Calibri"/>
          <w:sz w:val="18"/>
          <w:szCs w:val="18"/>
          <w:b w:val="1"/>
          <w:bCs w:val="1"/>
          <w:color w:val="auto"/>
        </w:rPr>
        <w:t>Note V. Financial Informaton by Segment &amp; Geographic Area</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Segment Informaton</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Company identfes a business as an operatng segment if: i) it engages in business actvites from which it may earn revenues and incur expenses;</w:t>
      </w:r>
    </w:p>
    <w:p>
      <w:pPr>
        <w:spacing w:after="0" w:line="8" w:lineRule="exact"/>
        <w:rPr>
          <w:sz w:val="20"/>
          <w:szCs w:val="20"/>
          <w:color w:val="auto"/>
        </w:rPr>
      </w:pPr>
    </w:p>
    <w:p>
      <w:pPr>
        <w:ind w:right="60" w:firstLine="8"/>
        <w:spacing w:after="0" w:line="235" w:lineRule="auto"/>
        <w:tabs>
          <w:tab w:leader="none" w:pos="17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Company has determined that all of its businesses are operatng segments.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87"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The Company’s former Purifcaton Solutons business was a separate reportable segment prior to divestture in the second quarter of fscal 2022.</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Income (loss) from operatons before income taxes (“Segment EBIT”) is presented for each reportable segment in the fnancial informaton by the reportable segment table below on the line enttled Income (loss) from operatons before taxes. Segment EBIT excludes certain items, meaning items management does not consider representatve of on-going operatng segment results. In additon, Segment EBIT includes Equity in earnings of afliated companies, net of tax, royaltes, Net income (loss) atributable to noncontrolling interests, net of tax, and discountng charges for certain Notes receivable, but excludes Interest expense, foreign currency transacton gains and losses, interest income, dividend income, unearned revenue, general unallocated expense and unallocated corporate costs. Segment assets exclude cash, short-term investments, cost investments, income taxes receivable, deferred taxes and headquarters’ assets, which are included in unallocated and other. Expenditures for additons to long-lived assets include total equity and other investments (including available-for-sale securites) and property, plant and equipment.</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Reinforcement Materials</w:t>
      </w:r>
    </w:p>
    <w:p>
      <w:pPr>
        <w:spacing w:after="0" w:line="82" w:lineRule="exact"/>
        <w:rPr>
          <w:sz w:val="20"/>
          <w:szCs w:val="20"/>
          <w:color w:val="auto"/>
        </w:rPr>
      </w:pPr>
    </w:p>
    <w:p>
      <w:pPr>
        <w:jc w:val="both"/>
        <w:ind w:right="420" w:firstLine="509"/>
        <w:spacing w:after="0" w:line="254" w:lineRule="auto"/>
        <w:rPr>
          <w:sz w:val="20"/>
          <w:szCs w:val="20"/>
          <w:color w:val="auto"/>
        </w:rPr>
      </w:pPr>
      <w:r>
        <w:rPr>
          <w:rFonts w:ascii="Calibri" w:cs="Calibri" w:eastAsia="Calibri" w:hAnsi="Calibri"/>
          <w:sz w:val="17"/>
          <w:szCs w:val="17"/>
          <w:color w:val="auto"/>
        </w:rPr>
        <w:t>Carbon black is a form of elemental carbon that is manufactured in a highly controlled process to produce partcles and aggregates of varied size, structure and surface chemistry, resultng in many diferent performance characteristcs for a wide variety of applicatons. Reinforcing carbons (a class of carbon blacks manufactured by Cabot) are used to enhance the physical propertes of the systems and applicatons in which they are incorporated.</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Company’s reinforcing carbons products are used in tres and industrial products. Reinforcing carbons have traditonally been used in the tre industry as a rubber reinforcing agent to increase tread durability and are also used as a performance additve to reduce rolling resistance and improve tracton. In industrial products such as hoses, belts, extruded profles and molded goods, reinforcing carbons are used to improve the physical performance of the product, including the product’s physical strength, fuid resistance, conductvity and resistvity.</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additon to its reinforcing carbons products, the Company manufactures engineered elastomer composites (“E2C®”) solutons that are composites of reinforcing carbons and rubber made using the Company’s patented elastomer composites manufacturing process. These composites improve abrasion/wear resistance, reduce fatgue of rubber parts and reduce rolling resistance compared to reinforcing carbons/rubber compounds made entrely by conventonal rubber mix methods enabling rubber product manufacturers to reduce the need to make performance trade-ofs.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Performance Chemicals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Performance Chemicals segment aggregates the specialty carbons, specialty compounds, fumed metal oxides, batery materials, inkjet colorants and aerogel product lines. In Performance Chemicals, the Company designs, manufactures and sells materials that deliver performance in a broad range of customer applicatons across the automotve, constructon, infrastructure, inkjet printng, electronics and consumer products sectors, and applicatons related to generaton, transmission and storage of energy. The Company’s focus areas for growth include conductve additves and other materials for batery applicatons, and inkjet dispersions for post print corrugated packaging applicatons.</w:t>
      </w:r>
    </w:p>
    <w:p>
      <w:pPr>
        <w:spacing w:after="0" w:line="166"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Company’s specialty carbons are used to impart color, provide rheology control, enhance conductvity and statc charge control, provide UV protecton, enhance mechanical propertes and provide formulaton fexibility through surface treatment. These specialty carbon products are used in a wide variety of applicatons, such as inks, coatngs, cables, plastcs, adhesives, toners, bateries and displays.</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79" w:name="page80"/>
    <w:bookmarkEnd w:id="79"/>
    <w:p>
      <w:pPr>
        <w:ind w:right="300" w:firstLine="509"/>
        <w:spacing w:after="0" w:line="235" w:lineRule="auto"/>
        <w:rPr>
          <w:sz w:val="20"/>
          <w:szCs w:val="20"/>
          <w:color w:val="auto"/>
        </w:rPr>
      </w:pPr>
      <w:r>
        <w:rPr>
          <w:rFonts w:ascii="Calibri" w:cs="Calibri" w:eastAsia="Calibri" w:hAnsi="Calibri"/>
          <w:sz w:val="18"/>
          <w:szCs w:val="18"/>
          <w:color w:val="auto"/>
        </w:rPr>
        <w:t>Cabot’s masterbatch and conductve compound products, which Cabot refers to as “specialty compounds”, are formulatons derived from specialty carbons mixed with polymers and other additves. These products are generally used by plastc resin producers and converters in applicatons for the automotve, industrial, packaging, infrastructure, agricultural, consumer products, and electronics industries. As an alternatve to directly mixing specialty carbon blacks, these formulatons ofer greater ease of handling and help customers achieve their desired levels of dispersion and color and manage the additon of small doses of additves. In additon, Cabot’s electrically conductve compound products generally are used to help ensure uniform conductve performance and reduce risks associated with electrostatc discharge in plastcs applicatons.</w:t>
      </w:r>
    </w:p>
    <w:p>
      <w:pPr>
        <w:spacing w:after="0" w:line="86" w:lineRule="exact"/>
        <w:rPr>
          <w:sz w:val="20"/>
          <w:szCs w:val="20"/>
          <w:color w:val="auto"/>
        </w:rPr>
      </w:pPr>
    </w:p>
    <w:p>
      <w:pPr>
        <w:ind w:right="40" w:firstLine="549"/>
        <w:spacing w:after="0" w:line="235" w:lineRule="auto"/>
        <w:rPr>
          <w:sz w:val="20"/>
          <w:szCs w:val="20"/>
          <w:color w:val="auto"/>
        </w:rPr>
      </w:pPr>
      <w:r>
        <w:rPr>
          <w:rFonts w:ascii="Calibri" w:cs="Calibri" w:eastAsia="Calibri" w:hAnsi="Calibri"/>
          <w:sz w:val="18"/>
          <w:szCs w:val="18"/>
          <w:color w:val="auto"/>
        </w:rPr>
        <w:t>The Company’s batery materials products include its conductve additves and fumed alumina, which are used principally in advanced lead acid and lithium-ion bateries used in electric vehicles. The Company’s conductve additves consist of conductve carbons, carbon nanotubes and carbon nano structures, and blends of these materials, each of which ofers diferent levels of conductvity and formulaton fexibility for batery manufacturers to address performance (energy density, fast charging), cost and safety. In lithium-ion bateries, the Company’s conductve additves are used in both cathode and anode applicatons to increase energy density by providing a conductve network between actve materials. Fumed alumina is used to reduce cathode material and electrolyte decompositon and improve capacity retenton leading to longer cycle life.</w:t>
      </w:r>
    </w:p>
    <w:p>
      <w:pPr>
        <w:spacing w:after="0" w:line="86"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Fumed silica is an ultra-fne, high-purity partcle used as a reinforcing, thickening, abrasive, thixotropic, suspending or ant-caking agent in a wide variety of products for the automotve, constructon, microelectronics, bateries, and consumer products industries. These products include adhesives, sealants, cosmetcs, bateries, inks, toners, silicone elastomers, coatngs, polishing slurries and pharmaceutcals. In additon to its batery applicaton, fumed alumina, also an ultra-fne, high-purity partcle, is used as an abrasive, absorbent or barrier agent in a variety of products, such as inkjet media, lightng, coatngs, cosmetcs and polishing slurries.</w:t>
      </w:r>
    </w:p>
    <w:p>
      <w:pPr>
        <w:spacing w:after="0" w:line="85" w:lineRule="exact"/>
        <w:rPr>
          <w:sz w:val="20"/>
          <w:szCs w:val="20"/>
          <w:color w:val="auto"/>
        </w:rPr>
      </w:pPr>
    </w:p>
    <w:p>
      <w:pPr>
        <w:ind w:right="420" w:firstLine="509"/>
        <w:spacing w:after="0" w:line="252" w:lineRule="auto"/>
        <w:rPr>
          <w:sz w:val="20"/>
          <w:szCs w:val="20"/>
          <w:color w:val="auto"/>
        </w:rPr>
      </w:pPr>
      <w:r>
        <w:rPr>
          <w:rFonts w:ascii="Calibri" w:cs="Calibri" w:eastAsia="Calibri" w:hAnsi="Calibri"/>
          <w:sz w:val="17"/>
          <w:szCs w:val="17"/>
          <w:color w:val="auto"/>
        </w:rPr>
        <w:t>Aerogel is a hydrophobic, silica-based partcle with a high surface area that is used in a variety of thermal insulaton and specialty chemical applicatons. In the building and constructon industry, the product is used in insulatve sprayable plasters and composite building products, as well as translucent skylight, window, wall and roof systems for insulatng eco-daylightng applicatons. In the specialty chemicals industry, the product is used to provide mate fnishing, insulatng and thickening propertes for use in a variety of applicatons, including thermal management for lithium-ion bateries.</w:t>
      </w:r>
    </w:p>
    <w:p>
      <w:pPr>
        <w:spacing w:after="0" w:line="7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inkjet colorants are high-quality pigment-based black and color dispersions and inks. The Company’s dispersions are based on patented pigment surface modifcaton technology and polymer encapsulaton technology. The dispersions are used in aqueous inkjet inks to impart color, sharp print characteristcs and durability, while maintaining high printhead reliability. These products are used in various inkjet printng applicatons, including traditonal work-from-home and corporate ofce setngs, and, increasingly, in commercial and corrugated packaging printng, that all require a high level of dispersibility and colloidal stability. Inkjet inks, which utlize the Company’s pigment-based colorant dispersions, are used in the commercial printng segment for graphic arts.</w:t>
      </w:r>
    </w:p>
    <w:p>
      <w:pPr>
        <w:spacing w:after="0" w:line="81"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Purifcaton Solutons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Cabot divested its Purifcaton Solutons business on March 1, 2022. Refer to Note D for the terms of this transacton.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0" w:name="page81"/>
    <w:bookmarkEnd w:id="80"/>
    <w:p>
      <w:pPr>
        <w:ind w:left="520"/>
        <w:spacing w:after="0"/>
        <w:rPr>
          <w:sz w:val="20"/>
          <w:szCs w:val="20"/>
          <w:color w:val="auto"/>
        </w:rPr>
      </w:pPr>
      <w:r>
        <w:rPr>
          <w:rFonts w:ascii="Calibri" w:cs="Calibri" w:eastAsia="Calibri" w:hAnsi="Calibri"/>
          <w:sz w:val="18"/>
          <w:szCs w:val="18"/>
          <w:color w:val="auto"/>
        </w:rPr>
        <w:t>Financial informaton by reportable segment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Unallocated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72"/>
              <w:spacing w:after="0" w:line="159" w:lineRule="exact"/>
              <w:rPr>
                <w:sz w:val="20"/>
                <w:szCs w:val="20"/>
                <w:color w:val="auto"/>
              </w:rPr>
            </w:pPr>
            <w:r>
              <w:rPr>
                <w:rFonts w:ascii="Calibri" w:cs="Calibri" w:eastAsia="Calibri" w:hAnsi="Calibri"/>
                <w:sz w:val="14"/>
                <w:szCs w:val="14"/>
                <w:b w:val="1"/>
                <w:bCs w:val="1"/>
                <w:color w:val="auto"/>
              </w:rPr>
              <w:t>Reinforcement</w:t>
            </w:r>
          </w:p>
        </w:tc>
        <w:tc>
          <w:tcPr>
            <w:tcW w:w="240" w:type="dxa"/>
            <w:vAlign w:val="bottom"/>
          </w:tcPr>
          <w:p>
            <w:pPr>
              <w:spacing w:after="0"/>
              <w:rPr>
                <w:sz w:val="13"/>
                <w:szCs w:val="13"/>
                <w:color w:val="auto"/>
              </w:rPr>
            </w:pPr>
          </w:p>
        </w:tc>
        <w:tc>
          <w:tcPr>
            <w:tcW w:w="960" w:type="dxa"/>
            <w:vAlign w:val="bottom"/>
            <w:gridSpan w:val="2"/>
          </w:tcPr>
          <w:p>
            <w:pPr>
              <w:jc w:val="right"/>
              <w:ind w:right="11"/>
              <w:spacing w:after="0" w:line="159" w:lineRule="exact"/>
              <w:rPr>
                <w:sz w:val="20"/>
                <w:szCs w:val="20"/>
                <w:color w:val="auto"/>
              </w:rPr>
            </w:pPr>
            <w:r>
              <w:rPr>
                <w:rFonts w:ascii="Calibri" w:cs="Calibri" w:eastAsia="Calibri" w:hAnsi="Calibri"/>
                <w:sz w:val="14"/>
                <w:szCs w:val="14"/>
                <w:b w:val="1"/>
                <w:bCs w:val="1"/>
                <w:color w:val="auto"/>
              </w:rPr>
              <w:t>Performance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3"/>
              <w:spacing w:after="0" w:line="159" w:lineRule="exact"/>
              <w:rPr>
                <w:sz w:val="20"/>
                <w:szCs w:val="20"/>
                <w:color w:val="auto"/>
              </w:rPr>
            </w:pPr>
            <w:r>
              <w:rPr>
                <w:rFonts w:ascii="Calibri" w:cs="Calibri" w:eastAsia="Calibri" w:hAnsi="Calibri"/>
                <w:sz w:val="14"/>
                <w:szCs w:val="14"/>
                <w:b w:val="1"/>
                <w:bCs w:val="1"/>
                <w:color w:val="auto"/>
              </w:rPr>
              <w:t>Purifcaton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2"/>
              <w:spacing w:after="0" w:line="159" w:lineRule="exact"/>
              <w:rPr>
                <w:sz w:val="20"/>
                <w:szCs w:val="20"/>
                <w:color w:val="auto"/>
              </w:rPr>
            </w:pPr>
            <w:r>
              <w:rPr>
                <w:rFonts w:ascii="Calibri" w:cs="Calibri" w:eastAsia="Calibri" w:hAnsi="Calibri"/>
                <w:sz w:val="14"/>
                <w:szCs w:val="14"/>
                <w:b w:val="1"/>
                <w:bCs w:val="1"/>
                <w:color w:val="auto"/>
              </w:rPr>
              <w:t>Segment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Calibri" w:cs="Calibri" w:eastAsia="Calibri" w:hAnsi="Calibri"/>
                <w:sz w:val="14"/>
                <w:szCs w:val="14"/>
                <w:b w:val="1"/>
                <w:bCs w:val="1"/>
                <w:color w:val="auto"/>
                <w:w w:val="99"/>
              </w:rPr>
              <w:t>and</w:t>
            </w:r>
          </w:p>
        </w:tc>
        <w:tc>
          <w:tcPr>
            <w:tcW w:w="1020" w:type="dxa"/>
            <w:vAlign w:val="bottom"/>
            <w:gridSpan w:val="3"/>
          </w:tcPr>
          <w:p>
            <w:pPr>
              <w:ind w:left="60"/>
              <w:spacing w:after="0" w:line="159" w:lineRule="exact"/>
              <w:rPr>
                <w:sz w:val="20"/>
                <w:szCs w:val="20"/>
                <w:color w:val="auto"/>
              </w:rPr>
            </w:pPr>
            <w:r>
              <w:rPr>
                <w:rFonts w:ascii="Calibri" w:cs="Calibri" w:eastAsia="Calibri" w:hAnsi="Calibri"/>
                <w:sz w:val="14"/>
                <w:szCs w:val="14"/>
                <w:b w:val="1"/>
                <w:bCs w:val="1"/>
                <w:color w:val="auto"/>
              </w:rPr>
              <w:t>Consolidated</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1240"/>
              <w:spacing w:after="0"/>
              <w:rPr>
                <w:sz w:val="20"/>
                <w:szCs w:val="20"/>
                <w:color w:val="auto"/>
              </w:rPr>
            </w:pPr>
            <w:r>
              <w:rPr>
                <w:rFonts w:ascii="Calibri" w:cs="Calibri" w:eastAsia="Calibri" w:hAnsi="Calibri"/>
                <w:sz w:val="14"/>
                <w:szCs w:val="14"/>
                <w:b w:val="1"/>
                <w:bCs w:val="1"/>
                <w:color w:val="auto"/>
              </w:rPr>
              <w:t>Years Ended September 30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2"/>
              <w:spacing w:after="0"/>
              <w:rPr>
                <w:sz w:val="20"/>
                <w:szCs w:val="20"/>
                <w:color w:val="auto"/>
              </w:rPr>
            </w:pPr>
            <w:r>
              <w:rPr>
                <w:rFonts w:ascii="Calibri" w:cs="Calibri" w:eastAsia="Calibri" w:hAnsi="Calibri"/>
                <w:sz w:val="14"/>
                <w:szCs w:val="14"/>
                <w:b w:val="1"/>
                <w:bCs w:val="1"/>
                <w:color w:val="auto"/>
              </w:rPr>
              <w:t>Materials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Calibri" w:cs="Calibri" w:eastAsia="Calibri" w:hAnsi="Calibri"/>
                <w:sz w:val="14"/>
                <w:szCs w:val="14"/>
                <w:b w:val="1"/>
                <w:bCs w:val="1"/>
                <w:color w:val="auto"/>
              </w:rPr>
              <w:t>Chemicals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line="212" w:lineRule="exact"/>
              <w:rPr>
                <w:sz w:val="20"/>
                <w:szCs w:val="20"/>
                <w:color w:val="auto"/>
              </w:rPr>
            </w:pPr>
            <w:r>
              <w:rPr>
                <w:rFonts w:ascii="Calibri" w:cs="Calibri" w:eastAsia="Calibri" w:hAnsi="Calibri"/>
                <w:sz w:val="14"/>
                <w:szCs w:val="14"/>
                <w:b w:val="1"/>
                <w:bCs w:val="1"/>
                <w:color w:val="auto"/>
              </w:rPr>
              <w:t>Solutons</w:t>
            </w:r>
            <w:r>
              <w:rPr>
                <w:rFonts w:ascii="Calibri" w:cs="Calibri" w:eastAsia="Calibri" w:hAnsi="Calibri"/>
                <w:sz w:val="19"/>
                <w:szCs w:val="19"/>
                <w:b w:val="1"/>
                <w:bCs w:val="1"/>
                <w:color w:val="auto"/>
                <w:vertAlign w:val="superscript"/>
              </w:rPr>
              <w:t>(1)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Calibri" w:cs="Calibri" w:eastAsia="Calibri" w:hAnsi="Calibri"/>
                <w:sz w:val="14"/>
                <w:szCs w:val="14"/>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
              <w:spacing w:after="0" w:line="212" w:lineRule="exact"/>
              <w:rPr>
                <w:sz w:val="20"/>
                <w:szCs w:val="20"/>
                <w:color w:val="auto"/>
              </w:rPr>
            </w:pPr>
            <w:r>
              <w:rPr>
                <w:rFonts w:ascii="Calibri" w:cs="Calibri" w:eastAsia="Calibri" w:hAnsi="Calibri"/>
                <w:sz w:val="14"/>
                <w:szCs w:val="14"/>
                <w:b w:val="1"/>
                <w:bCs w:val="1"/>
                <w:color w:val="auto"/>
                <w:w w:val="95"/>
              </w:rPr>
              <w:t>Other</w:t>
            </w:r>
            <w:r>
              <w:rPr>
                <w:rFonts w:ascii="Calibri" w:cs="Calibri" w:eastAsia="Calibri" w:hAnsi="Calibri"/>
                <w:sz w:val="19"/>
                <w:szCs w:val="19"/>
                <w:b w:val="1"/>
                <w:bCs w:val="1"/>
                <w:color w:val="auto"/>
                <w:w w:val="95"/>
                <w:vertAlign w:val="superscript"/>
              </w:rPr>
              <w:t>(2)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1"/>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80"/>
              <w:spacing w:after="0" w:line="164" w:lineRule="exact"/>
              <w:rPr>
                <w:sz w:val="20"/>
                <w:szCs w:val="20"/>
                <w:color w:val="auto"/>
              </w:rPr>
            </w:pPr>
            <w:r>
              <w:rPr>
                <w:rFonts w:ascii="Calibri" w:cs="Calibri" w:eastAsia="Calibri" w:hAnsi="Calibri"/>
                <w:sz w:val="14"/>
                <w:szCs w:val="14"/>
                <w:b w:val="1"/>
                <w:bCs w:val="1"/>
                <w:color w:val="auto"/>
              </w:rPr>
              <w:t>(In millions)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line="26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w:t>
            </w:r>
          </w:p>
        </w:tc>
        <w:tc>
          <w:tcPr>
            <w:tcW w:w="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2,610</w:t>
            </w:r>
          </w:p>
        </w:tc>
        <w:tc>
          <w:tcPr>
            <w:tcW w:w="3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1,250</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3,860</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134</w:t>
            </w:r>
          </w:p>
        </w:tc>
        <w:tc>
          <w:tcPr>
            <w:tcW w:w="20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3,994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w:t>
            </w:r>
          </w:p>
        </w:tc>
        <w:tc>
          <w:tcPr>
            <w:tcW w:w="38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144</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1"/>
              <w:spacing w:after="0" w:line="215"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2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jc w:val="right"/>
              <w:ind w:right="11"/>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20"/>
              <w:spacing w:after="0" w:line="170" w:lineRule="exact"/>
              <w:rPr>
                <w:sz w:val="20"/>
                <w:szCs w:val="20"/>
                <w:color w:val="auto"/>
              </w:rPr>
            </w:pPr>
            <w:r>
              <w:rPr>
                <w:rFonts w:ascii="Calibri" w:cs="Calibri" w:eastAsia="Calibri" w:hAnsi="Calibri"/>
                <w:sz w:val="18"/>
                <w:szCs w:val="18"/>
                <w:color w:val="auto"/>
              </w:rPr>
              <w:t>Income (loss) from operatons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line="216" w:lineRule="exact"/>
              <w:rPr>
                <w:sz w:val="20"/>
                <w:szCs w:val="20"/>
                <w:color w:val="auto"/>
              </w:rPr>
            </w:pPr>
            <w:r>
              <w:rPr>
                <w:rFonts w:ascii="Calibri" w:cs="Calibri" w:eastAsia="Calibri" w:hAnsi="Calibri"/>
                <w:sz w:val="17"/>
                <w:szCs w:val="17"/>
                <w:color w:val="auto"/>
              </w:rPr>
              <w:t>before income taxes</w:t>
            </w:r>
            <w:r>
              <w:rPr>
                <w:rFonts w:ascii="Calibri" w:cs="Calibri" w:eastAsia="Calibri" w:hAnsi="Calibri"/>
                <w:sz w:val="23"/>
                <w:szCs w:val="23"/>
                <w:color w:val="auto"/>
                <w:vertAlign w:val="superscript"/>
              </w:rPr>
              <w:t>(4)</w:t>
            </w:r>
          </w:p>
        </w:tc>
        <w:tc>
          <w:tcPr>
            <w:tcW w:w="2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6" w:lineRule="exact"/>
              <w:rPr>
                <w:sz w:val="20"/>
                <w:szCs w:val="20"/>
                <w:color w:val="auto"/>
              </w:rPr>
            </w:pPr>
            <w:r>
              <w:rPr>
                <w:rFonts w:ascii="Calibri" w:cs="Calibri" w:eastAsia="Calibri" w:hAnsi="Calibri"/>
                <w:sz w:val="18"/>
                <w:szCs w:val="18"/>
                <w:color w:val="auto"/>
              </w:rPr>
              <w:t>537</w:t>
            </w:r>
          </w:p>
        </w:tc>
        <w:tc>
          <w:tcPr>
            <w:tcW w:w="3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6" w:lineRule="exact"/>
              <w:rPr>
                <w:sz w:val="20"/>
                <w:szCs w:val="20"/>
                <w:color w:val="auto"/>
              </w:rPr>
            </w:pPr>
            <w:r>
              <w:rPr>
                <w:rFonts w:ascii="Calibri" w:cs="Calibri" w:eastAsia="Calibri" w:hAnsi="Calibri"/>
                <w:sz w:val="18"/>
                <w:szCs w:val="18"/>
                <w:color w:val="auto"/>
              </w:rPr>
              <w:t>164</w:t>
            </w:r>
          </w:p>
        </w:tc>
        <w:tc>
          <w:tcPr>
            <w:tcW w:w="3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6" w:lineRule="exact"/>
              <w:rPr>
                <w:sz w:val="20"/>
                <w:szCs w:val="20"/>
                <w:color w:val="auto"/>
              </w:rPr>
            </w:pPr>
            <w:r>
              <w:rPr>
                <w:rFonts w:ascii="Calibri" w:cs="Calibri" w:eastAsia="Calibri" w:hAnsi="Calibri"/>
                <w:sz w:val="18"/>
                <w:szCs w:val="18"/>
                <w:color w:val="auto"/>
              </w:rPr>
              <w:t>701</w:t>
            </w:r>
          </w:p>
        </w:tc>
        <w:tc>
          <w:tcPr>
            <w:tcW w:w="3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(172 )</w:t>
            </w:r>
          </w:p>
        </w:tc>
        <w:tc>
          <w:tcPr>
            <w:tcW w:w="220" w:type="dxa"/>
            <w:vAlign w:val="bottom"/>
          </w:tcPr>
          <w:p>
            <w:pPr>
              <w:jc w:val="right"/>
              <w:ind w:right="11"/>
              <w:spacing w:after="0" w:line="216"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6" w:lineRule="exact"/>
              <w:rPr>
                <w:sz w:val="20"/>
                <w:szCs w:val="20"/>
                <w:color w:val="auto"/>
              </w:rPr>
            </w:pPr>
            <w:r>
              <w:rPr>
                <w:rFonts w:ascii="Calibri" w:cs="Calibri" w:eastAsia="Calibri" w:hAnsi="Calibri"/>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line="26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(5)</w:t>
            </w:r>
          </w:p>
        </w:tc>
        <w:tc>
          <w:tcPr>
            <w:tcW w:w="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1,751</w:t>
            </w:r>
          </w:p>
        </w:tc>
        <w:tc>
          <w:tcPr>
            <w:tcW w:w="3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1,494</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3,245</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491</w:t>
            </w:r>
          </w:p>
        </w:tc>
        <w:tc>
          <w:tcPr>
            <w:tcW w:w="20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3,736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60" w:type="dxa"/>
            <w:vAlign w:val="bottom"/>
            <w:shd w:val="clear" w:color="auto" w:fill="CFF0FC"/>
          </w:tcPr>
          <w:p>
            <w:pPr>
              <w:ind w:left="20"/>
              <w:spacing w:after="0" w:line="169" w:lineRule="exact"/>
              <w:rPr>
                <w:sz w:val="20"/>
                <w:szCs w:val="20"/>
                <w:color w:val="auto"/>
              </w:rPr>
            </w:pPr>
            <w:r>
              <w:rPr>
                <w:rFonts w:ascii="Calibri" w:cs="Calibri" w:eastAsia="Calibri" w:hAnsi="Calibri"/>
                <w:sz w:val="18"/>
                <w:szCs w:val="18"/>
                <w:color w:val="auto"/>
              </w:rPr>
              <w:t>Total expenditures for additons to long-lived</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shd w:val="clear" w:color="auto" w:fill="CFF0FC"/>
          </w:tcPr>
          <w:p>
            <w:pPr>
              <w:ind w:left="140"/>
              <w:spacing w:after="0" w:line="26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(6)</w:t>
            </w:r>
          </w:p>
        </w:tc>
        <w:tc>
          <w:tcPr>
            <w:tcW w:w="2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165</w:t>
            </w:r>
          </w:p>
        </w:tc>
        <w:tc>
          <w:tcPr>
            <w:tcW w:w="38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76</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241</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249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60" w:type="dxa"/>
            <w:vAlign w:val="bottom"/>
          </w:tcPr>
          <w:p>
            <w:pPr>
              <w:ind w:left="20"/>
              <w:spacing w:after="0" w:line="169"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line="26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w:t>
            </w:r>
          </w:p>
        </w:tc>
        <w:tc>
          <w:tcPr>
            <w:tcW w:w="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2,563</w:t>
            </w:r>
          </w:p>
        </w:tc>
        <w:tc>
          <w:tcPr>
            <w:tcW w:w="3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1,225</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3,788</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143</w:t>
            </w:r>
          </w:p>
        </w:tc>
        <w:tc>
          <w:tcPr>
            <w:tcW w:w="20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3,931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70</w:t>
            </w:r>
          </w:p>
        </w:tc>
        <w:tc>
          <w:tcPr>
            <w:tcW w:w="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72</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142</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18"/>
                <w:szCs w:val="18"/>
                <w:color w:val="auto"/>
              </w:rPr>
            </w:pPr>
          </w:p>
        </w:tc>
        <w:tc>
          <w:tcPr>
            <w:tcW w:w="220" w:type="dxa"/>
            <w:vAlign w:val="bottom"/>
          </w:tcPr>
          <w:p>
            <w:pPr>
              <w:jc w:val="right"/>
              <w:ind w:right="11"/>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Equity in earnings of afliated companies</w:t>
            </w:r>
          </w:p>
        </w:tc>
        <w:tc>
          <w:tcPr>
            <w:tcW w:w="24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3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3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3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jc w:val="right"/>
              <w:ind w:right="11"/>
              <w:spacing w:after="0" w:line="216"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60" w:type="dxa"/>
            <w:vAlign w:val="bottom"/>
          </w:tcPr>
          <w:p>
            <w:pPr>
              <w:ind w:left="20"/>
              <w:spacing w:after="0" w:line="169" w:lineRule="exact"/>
              <w:rPr>
                <w:sz w:val="20"/>
                <w:szCs w:val="20"/>
                <w:color w:val="auto"/>
              </w:rPr>
            </w:pPr>
            <w:r>
              <w:rPr>
                <w:rFonts w:ascii="Calibri" w:cs="Calibri" w:eastAsia="Calibri" w:hAnsi="Calibri"/>
                <w:sz w:val="18"/>
                <w:szCs w:val="18"/>
                <w:color w:val="auto"/>
              </w:rPr>
              <w:t>Income (loss) from operatons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line="216" w:lineRule="exact"/>
              <w:rPr>
                <w:sz w:val="20"/>
                <w:szCs w:val="20"/>
                <w:color w:val="auto"/>
              </w:rPr>
            </w:pPr>
            <w:r>
              <w:rPr>
                <w:rFonts w:ascii="Calibri" w:cs="Calibri" w:eastAsia="Calibri" w:hAnsi="Calibri"/>
                <w:sz w:val="17"/>
                <w:szCs w:val="17"/>
                <w:color w:val="auto"/>
              </w:rPr>
              <w:t>before income taxes</w:t>
            </w:r>
            <w:r>
              <w:rPr>
                <w:rFonts w:ascii="Calibri" w:cs="Calibri" w:eastAsia="Calibri" w:hAnsi="Calibri"/>
                <w:sz w:val="23"/>
                <w:szCs w:val="23"/>
                <w:color w:val="auto"/>
                <w:vertAlign w:val="superscript"/>
              </w:rPr>
              <w:t>(4)</w:t>
            </w:r>
          </w:p>
        </w:tc>
        <w:tc>
          <w:tcPr>
            <w:tcW w:w="2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6" w:lineRule="exact"/>
              <w:rPr>
                <w:sz w:val="20"/>
                <w:szCs w:val="20"/>
                <w:color w:val="auto"/>
              </w:rPr>
            </w:pPr>
            <w:r>
              <w:rPr>
                <w:rFonts w:ascii="Calibri" w:cs="Calibri" w:eastAsia="Calibri" w:hAnsi="Calibri"/>
                <w:sz w:val="18"/>
                <w:szCs w:val="18"/>
                <w:color w:val="auto"/>
              </w:rPr>
              <w:t>482</w:t>
            </w:r>
          </w:p>
        </w:tc>
        <w:tc>
          <w:tcPr>
            <w:tcW w:w="3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6" w:lineRule="exact"/>
              <w:rPr>
                <w:sz w:val="20"/>
                <w:szCs w:val="20"/>
                <w:color w:val="auto"/>
              </w:rPr>
            </w:pPr>
            <w:r>
              <w:rPr>
                <w:rFonts w:ascii="Calibri" w:cs="Calibri" w:eastAsia="Calibri" w:hAnsi="Calibri"/>
                <w:sz w:val="18"/>
                <w:szCs w:val="18"/>
                <w:color w:val="auto"/>
              </w:rPr>
              <w:t>125</w:t>
            </w:r>
          </w:p>
        </w:tc>
        <w:tc>
          <w:tcPr>
            <w:tcW w:w="3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6" w:lineRule="exact"/>
              <w:rPr>
                <w:sz w:val="20"/>
                <w:szCs w:val="20"/>
                <w:color w:val="auto"/>
              </w:rPr>
            </w:pPr>
            <w:r>
              <w:rPr>
                <w:rFonts w:ascii="Calibri" w:cs="Calibri" w:eastAsia="Calibri" w:hAnsi="Calibri"/>
                <w:sz w:val="18"/>
                <w:szCs w:val="18"/>
                <w:color w:val="auto"/>
              </w:rPr>
              <w:t>607</w:t>
            </w:r>
          </w:p>
        </w:tc>
        <w:tc>
          <w:tcPr>
            <w:tcW w:w="3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(156 )</w:t>
            </w:r>
          </w:p>
        </w:tc>
        <w:tc>
          <w:tcPr>
            <w:tcW w:w="220" w:type="dxa"/>
            <w:vAlign w:val="bottom"/>
          </w:tcPr>
          <w:p>
            <w:pPr>
              <w:jc w:val="right"/>
              <w:ind w:right="11"/>
              <w:spacing w:after="0" w:line="216"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6" w:lineRule="exact"/>
              <w:rPr>
                <w:sz w:val="20"/>
                <w:szCs w:val="20"/>
                <w:color w:val="auto"/>
              </w:rPr>
            </w:pPr>
            <w:r>
              <w:rPr>
                <w:rFonts w:ascii="Calibri" w:cs="Calibri" w:eastAsia="Calibri" w:hAnsi="Calibri"/>
                <w:sz w:val="18"/>
                <w:szCs w:val="18"/>
                <w:color w:val="auto"/>
              </w:rPr>
              <w:t>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line="26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(5)</w:t>
            </w:r>
          </w:p>
        </w:tc>
        <w:tc>
          <w:tcPr>
            <w:tcW w:w="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1,632</w:t>
            </w:r>
          </w:p>
        </w:tc>
        <w:tc>
          <w:tcPr>
            <w:tcW w:w="3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1,473</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3,105</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499</w:t>
            </w:r>
          </w:p>
        </w:tc>
        <w:tc>
          <w:tcPr>
            <w:tcW w:w="20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3,604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60" w:type="dxa"/>
            <w:vAlign w:val="bottom"/>
          </w:tcPr>
          <w:p>
            <w:pPr>
              <w:ind w:left="20"/>
              <w:spacing w:after="0" w:line="169" w:lineRule="exact"/>
              <w:rPr>
                <w:sz w:val="20"/>
                <w:szCs w:val="20"/>
                <w:color w:val="auto"/>
              </w:rPr>
            </w:pPr>
            <w:r>
              <w:rPr>
                <w:rFonts w:ascii="Calibri" w:cs="Calibri" w:eastAsia="Calibri" w:hAnsi="Calibri"/>
                <w:sz w:val="18"/>
                <w:szCs w:val="18"/>
                <w:color w:val="auto"/>
              </w:rPr>
              <w:t>Total expenditures for additons to long-lived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140"/>
              <w:spacing w:after="0" w:line="26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(6)</w:t>
            </w:r>
          </w:p>
        </w:tc>
        <w:tc>
          <w:tcPr>
            <w:tcW w:w="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149</w:t>
            </w:r>
          </w:p>
        </w:tc>
        <w:tc>
          <w:tcPr>
            <w:tcW w:w="3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108</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257</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8</w:t>
            </w:r>
          </w:p>
        </w:tc>
        <w:tc>
          <w:tcPr>
            <w:tcW w:w="20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265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60" w:type="dxa"/>
            <w:vAlign w:val="bottom"/>
          </w:tcPr>
          <w:p>
            <w:pPr>
              <w:ind w:left="20"/>
              <w:spacing w:after="0" w:line="169"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line="26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w:t>
            </w:r>
          </w:p>
        </w:tc>
        <w:tc>
          <w:tcPr>
            <w:tcW w:w="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2,673</w:t>
            </w:r>
          </w:p>
        </w:tc>
        <w:tc>
          <w:tcPr>
            <w:tcW w:w="3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1,388</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97</w:t>
            </w:r>
          </w:p>
        </w:tc>
        <w:tc>
          <w:tcPr>
            <w:tcW w:w="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4,158</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163</w:t>
            </w:r>
          </w:p>
        </w:tc>
        <w:tc>
          <w:tcPr>
            <w:tcW w:w="20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4,321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w:t>
            </w:r>
          </w:p>
        </w:tc>
        <w:tc>
          <w:tcPr>
            <w:tcW w:w="38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36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145</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1"/>
              <w:spacing w:after="0" w:line="215"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2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3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jc w:val="right"/>
              <w:ind w:right="11"/>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20"/>
              <w:spacing w:after="0" w:line="170" w:lineRule="exact"/>
              <w:rPr>
                <w:sz w:val="20"/>
                <w:szCs w:val="20"/>
                <w:color w:val="auto"/>
              </w:rPr>
            </w:pPr>
            <w:r>
              <w:rPr>
                <w:rFonts w:ascii="Calibri" w:cs="Calibri" w:eastAsia="Calibri" w:hAnsi="Calibri"/>
                <w:sz w:val="18"/>
                <w:szCs w:val="18"/>
                <w:color w:val="auto"/>
              </w:rPr>
              <w:t>Income (loss) from operatons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line="216" w:lineRule="exact"/>
              <w:rPr>
                <w:sz w:val="20"/>
                <w:szCs w:val="20"/>
                <w:color w:val="auto"/>
              </w:rPr>
            </w:pPr>
            <w:r>
              <w:rPr>
                <w:rFonts w:ascii="Calibri" w:cs="Calibri" w:eastAsia="Calibri" w:hAnsi="Calibri"/>
                <w:sz w:val="17"/>
                <w:szCs w:val="17"/>
                <w:color w:val="auto"/>
              </w:rPr>
              <w:t>before income taxes</w:t>
            </w:r>
            <w:r>
              <w:rPr>
                <w:rFonts w:ascii="Calibri" w:cs="Calibri" w:eastAsia="Calibri" w:hAnsi="Calibri"/>
                <w:sz w:val="23"/>
                <w:szCs w:val="23"/>
                <w:color w:val="auto"/>
                <w:vertAlign w:val="superscript"/>
              </w:rPr>
              <w:t>(4)</w:t>
            </w:r>
          </w:p>
        </w:tc>
        <w:tc>
          <w:tcPr>
            <w:tcW w:w="2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6" w:lineRule="exact"/>
              <w:rPr>
                <w:sz w:val="20"/>
                <w:szCs w:val="20"/>
                <w:color w:val="auto"/>
              </w:rPr>
            </w:pPr>
            <w:r>
              <w:rPr>
                <w:rFonts w:ascii="Calibri" w:cs="Calibri" w:eastAsia="Calibri" w:hAnsi="Calibri"/>
                <w:sz w:val="18"/>
                <w:szCs w:val="18"/>
                <w:color w:val="auto"/>
              </w:rPr>
              <w:t>408</w:t>
            </w:r>
          </w:p>
        </w:tc>
        <w:tc>
          <w:tcPr>
            <w:tcW w:w="3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6" w:lineRule="exact"/>
              <w:rPr>
                <w:sz w:val="20"/>
                <w:szCs w:val="20"/>
                <w:color w:val="auto"/>
              </w:rPr>
            </w:pPr>
            <w:r>
              <w:rPr>
                <w:rFonts w:ascii="Calibri" w:cs="Calibri" w:eastAsia="Calibri" w:hAnsi="Calibri"/>
                <w:sz w:val="18"/>
                <w:szCs w:val="18"/>
                <w:color w:val="auto"/>
              </w:rPr>
              <w:t>234</w:t>
            </w:r>
          </w:p>
        </w:tc>
        <w:tc>
          <w:tcPr>
            <w:tcW w:w="3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6" w:lineRule="exact"/>
              <w:rPr>
                <w:sz w:val="20"/>
                <w:szCs w:val="20"/>
                <w:color w:val="auto"/>
              </w:rPr>
            </w:pPr>
            <w:r>
              <w:rPr>
                <w:rFonts w:ascii="Calibri" w:cs="Calibri" w:eastAsia="Calibri" w:hAnsi="Calibri"/>
                <w:sz w:val="18"/>
                <w:szCs w:val="18"/>
                <w:color w:val="auto"/>
              </w:rPr>
              <w:t>642</w:t>
            </w:r>
          </w:p>
        </w:tc>
        <w:tc>
          <w:tcPr>
            <w:tcW w:w="3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(307 )</w:t>
            </w:r>
          </w:p>
        </w:tc>
        <w:tc>
          <w:tcPr>
            <w:tcW w:w="220" w:type="dxa"/>
            <w:vAlign w:val="bottom"/>
          </w:tcPr>
          <w:p>
            <w:pPr>
              <w:jc w:val="right"/>
              <w:ind w:right="11"/>
              <w:spacing w:after="0" w:line="216"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6" w:lineRule="exact"/>
              <w:rPr>
                <w:sz w:val="20"/>
                <w:szCs w:val="20"/>
                <w:color w:val="auto"/>
              </w:rPr>
            </w:pPr>
            <w:r>
              <w:rPr>
                <w:rFonts w:ascii="Calibri" w:cs="Calibri" w:eastAsia="Calibri" w:hAnsi="Calibri"/>
                <w:sz w:val="18"/>
                <w:szCs w:val="18"/>
                <w:color w:val="auto"/>
              </w:rPr>
              <w:t>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line="26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(5)</w:t>
            </w:r>
          </w:p>
        </w:tc>
        <w:tc>
          <w:tcPr>
            <w:tcW w:w="2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1,691</w:t>
            </w:r>
          </w:p>
        </w:tc>
        <w:tc>
          <w:tcPr>
            <w:tcW w:w="38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1,458</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3,149</w:t>
            </w:r>
          </w:p>
        </w:tc>
        <w:tc>
          <w:tcPr>
            <w:tcW w:w="3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376</w:t>
            </w:r>
          </w:p>
        </w:tc>
        <w:tc>
          <w:tcPr>
            <w:tcW w:w="20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3,525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60" w:type="dxa"/>
            <w:vAlign w:val="bottom"/>
            <w:shd w:val="clear" w:color="auto" w:fill="CFF0FC"/>
          </w:tcPr>
          <w:p>
            <w:pPr>
              <w:ind w:left="20"/>
              <w:spacing w:after="0" w:line="169" w:lineRule="exact"/>
              <w:rPr>
                <w:sz w:val="20"/>
                <w:szCs w:val="20"/>
                <w:color w:val="auto"/>
              </w:rPr>
            </w:pPr>
            <w:r>
              <w:rPr>
                <w:rFonts w:ascii="Calibri" w:cs="Calibri" w:eastAsia="Calibri" w:hAnsi="Calibri"/>
                <w:sz w:val="18"/>
                <w:szCs w:val="18"/>
                <w:color w:val="auto"/>
              </w:rPr>
              <w:t>Total expenditures for additons to long-lived</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shd w:val="clear" w:color="auto" w:fill="CFF0FC"/>
          </w:tcPr>
          <w:p>
            <w:pPr>
              <w:ind w:left="140"/>
              <w:spacing w:after="0" w:line="26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(6)</w:t>
            </w:r>
          </w:p>
        </w:tc>
        <w:tc>
          <w:tcPr>
            <w:tcW w:w="2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114</w:t>
            </w:r>
          </w:p>
        </w:tc>
        <w:tc>
          <w:tcPr>
            <w:tcW w:w="38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100</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36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217</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1"/>
              <w:spacing w:after="0"/>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221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1371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2743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1371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371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274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9" w:lineRule="exact"/>
        <w:rPr>
          <w:sz w:val="20"/>
          <w:szCs w:val="20"/>
          <w:color w:val="auto"/>
        </w:rPr>
      </w:pPr>
    </w:p>
    <w:p>
      <w:pPr>
        <w:ind w:left="580" w:hanging="572"/>
        <w:spacing w:after="0"/>
        <w:tabs>
          <w:tab w:leader="none" w:pos="580" w:val="left"/>
        </w:tabs>
        <w:numPr>
          <w:ilvl w:val="0"/>
          <w:numId w:val="24"/>
        </w:numPr>
        <w:rPr>
          <w:rFonts w:ascii="Calibri" w:cs="Calibri" w:eastAsia="Calibri" w:hAnsi="Calibri"/>
          <w:sz w:val="24"/>
          <w:szCs w:val="24"/>
          <w:color w:val="auto"/>
          <w:vertAlign w:val="superscript"/>
        </w:rPr>
      </w:pPr>
      <w:r>
        <w:rPr>
          <w:rFonts w:ascii="Calibri" w:cs="Calibri" w:eastAsia="Calibri" w:hAnsi="Calibri"/>
          <w:sz w:val="18"/>
          <w:szCs w:val="18"/>
          <w:color w:val="auto"/>
        </w:rPr>
        <w:t>Cabot divested its Purifcaton Solutons business on March 1, 2022. Refer to Note D for the terms of this transacton.</w:t>
      </w:r>
    </w:p>
    <w:p>
      <w:pPr>
        <w:spacing w:after="0" w:line="72" w:lineRule="exact"/>
        <w:rPr>
          <w:rFonts w:ascii="Calibri" w:cs="Calibri" w:eastAsia="Calibri" w:hAnsi="Calibri"/>
          <w:sz w:val="24"/>
          <w:szCs w:val="24"/>
          <w:color w:val="auto"/>
          <w:vertAlign w:val="superscript"/>
        </w:rPr>
      </w:pPr>
    </w:p>
    <w:p>
      <w:pPr>
        <w:ind w:left="580" w:right="420" w:hanging="572"/>
        <w:spacing w:after="0" w:line="187" w:lineRule="auto"/>
        <w:tabs>
          <w:tab w:leader="none" w:pos="580" w:val="left"/>
        </w:tabs>
        <w:numPr>
          <w:ilvl w:val="0"/>
          <w:numId w:val="24"/>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82" w:lineRule="exact"/>
        <w:rPr>
          <w:rFonts w:ascii="Calibri" w:cs="Calibri" w:eastAsia="Calibri" w:hAnsi="Calibri"/>
          <w:sz w:val="24"/>
          <w:szCs w:val="24"/>
          <w:color w:val="auto"/>
          <w:vertAlign w:val="superscript"/>
        </w:rPr>
      </w:pPr>
    </w:p>
    <w:p>
      <w:pPr>
        <w:ind w:left="580" w:right="540" w:hanging="572"/>
        <w:spacing w:after="0" w:line="201" w:lineRule="auto"/>
        <w:tabs>
          <w:tab w:leader="none" w:pos="580" w:val="left"/>
        </w:tabs>
        <w:numPr>
          <w:ilvl w:val="0"/>
          <w:numId w:val="24"/>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Revenues from external customers reconciles to Net sales and other operatng revenues on the Consolidated Statements of Operatons. Revenues from external customers that are categorized as Unallocated and Other are summarized as follows:</w:t>
      </w:r>
    </w:p>
    <w:p>
      <w:pPr>
        <w:sectPr>
          <w:pgSz w:w="11900" w:h="16838" w:orient="portrait"/>
          <w:cols w:equalWidth="0" w:num="1">
            <w:col w:w="11240"/>
          </w:cols>
          <w:pgMar w:left="320" w:top="9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Shipping and handling fees</w:t>
      </w:r>
    </w:p>
    <w:p>
      <w:pPr>
        <w:spacing w:after="0" w:line="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By-product sales</w:t>
      </w:r>
    </w:p>
    <w:p>
      <w:pPr>
        <w:spacing w:after="0" w:line="10"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Other</w:t>
      </w:r>
    </w:p>
    <w:p>
      <w:pPr>
        <w:spacing w:after="0" w:line="37" w:lineRule="exact"/>
        <w:rPr>
          <w:sz w:val="20"/>
          <w:szCs w:val="20"/>
          <w:color w:val="auto"/>
        </w:rPr>
      </w:pPr>
    </w:p>
    <w:p>
      <w:pPr>
        <w:ind w:left="132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980"/>
        <w:spacing w:after="0"/>
        <w:rPr>
          <w:sz w:val="20"/>
          <w:szCs w:val="20"/>
          <w:color w:val="auto"/>
        </w:rPr>
      </w:pPr>
      <w:r>
        <w:rPr>
          <w:rFonts w:ascii="Calibri" w:cs="Calibri" w:eastAsia="Calibri" w:hAnsi="Calibri"/>
          <w:sz w:val="14"/>
          <w:szCs w:val="14"/>
          <w:b w:val="1"/>
          <w:bCs w:val="1"/>
          <w:color w:val="auto"/>
        </w:rPr>
        <w:t>Years Ended September 30</w:t>
      </w:r>
    </w:p>
    <w:tbl>
      <w:tblPr>
        <w:tblLayout w:type="fixed"/>
        <w:tblInd w:w="0" w:type="dxa"/>
        <w:tblCellMar>
          <w:top w:w="0" w:type="dxa"/>
          <w:left w:w="0" w:type="dxa"/>
          <w:bottom w:w="0" w:type="dxa"/>
          <w:right w:w="0" w:type="dxa"/>
        </w:tblCellMar>
      </w:tblPr>
      <w:tr>
        <w:trPr>
          <w:trHeight w:val="186"/>
        </w:trPr>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96"/>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16"/>
              <w:spacing w:after="0" w:line="149"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123</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4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Calibri" w:cs="Calibri" w:eastAsia="Calibri" w:hAnsi="Calibri"/>
                <w:sz w:val="18"/>
                <w:szCs w:val="18"/>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Calibri" w:cs="Calibri" w:eastAsia="Calibri" w:hAnsi="Calibri"/>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Calibri" w:cs="Calibri" w:eastAsia="Calibri" w:hAnsi="Calibri"/>
                <w:sz w:val="18"/>
                <w:szCs w:val="18"/>
                <w:color w:val="auto"/>
              </w:rPr>
              <w:t>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134</w:t>
            </w:r>
          </w:p>
        </w:tc>
        <w:tc>
          <w:tcPr>
            <w:tcW w:w="2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143</w:t>
            </w:r>
          </w:p>
        </w:tc>
        <w:tc>
          <w:tcPr>
            <w:tcW w:w="20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-582295</wp:posOffset>
            </wp:positionV>
            <wp:extent cx="5700395" cy="1371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-307975</wp:posOffset>
            </wp:positionV>
            <wp:extent cx="5700395" cy="146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976" w:right="33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81" w:name="page82"/>
    <w:bookmarkEnd w:id="81"/>
    <w:p>
      <w:pPr>
        <w:ind w:left="580" w:right="140" w:hanging="572"/>
        <w:spacing w:after="0" w:line="211" w:lineRule="auto"/>
        <w:tabs>
          <w:tab w:leader="none" w:pos="580" w:val="left"/>
        </w:tabs>
        <w:numPr>
          <w:ilvl w:val="0"/>
          <w:numId w:val="25"/>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Income (loss) from operatons before income taxes reconciles to Income (loss) from operatons before income taxes and equity in earnings of afliated companies on the Consolidated Statements of Operatons. Total Income (loss) from operatons before income taxes that are categorized as Unallocated and Other includes:</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Calibri" w:cs="Calibri" w:eastAsia="Calibri" w:hAnsi="Calibri"/>
                <w:sz w:val="14"/>
                <w:szCs w:val="14"/>
                <w:b w:val="1"/>
                <w:bCs w:val="1"/>
                <w:color w:val="auto"/>
              </w:rPr>
              <w:t>Years Ended 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73"/>
              <w:spacing w:after="0" w:line="169"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line="161" w:lineRule="exact"/>
              <w:rPr>
                <w:sz w:val="20"/>
                <w:szCs w:val="20"/>
                <w:color w:val="auto"/>
              </w:rPr>
            </w:pPr>
            <w:r>
              <w:rPr>
                <w:rFonts w:ascii="Calibri" w:cs="Calibri" w:eastAsia="Calibri" w:hAnsi="Calibri"/>
                <w:sz w:val="17"/>
                <w:szCs w:val="17"/>
                <w:color w:val="auto"/>
              </w:rPr>
              <w:t>Interest expense</w:t>
            </w:r>
          </w:p>
        </w:tc>
        <w:tc>
          <w:tcPr>
            <w:tcW w:w="800" w:type="dxa"/>
            <w:vAlign w:val="bottom"/>
          </w:tcPr>
          <w:p>
            <w:pPr>
              <w:jc w:val="right"/>
              <w:ind w:right="618"/>
              <w:spacing w:after="0" w:line="161" w:lineRule="exact"/>
              <w:rPr>
                <w:sz w:val="20"/>
                <w:szCs w:val="20"/>
                <w:color w:val="auto"/>
              </w:rPr>
            </w:pPr>
            <w:r>
              <w:rPr>
                <w:rFonts w:ascii="Calibri" w:cs="Calibri" w:eastAsia="Calibri" w:hAnsi="Calibri"/>
                <w:sz w:val="17"/>
                <w:szCs w:val="17"/>
                <w:color w:val="auto"/>
                <w:w w:val="92"/>
              </w:rPr>
              <w:t>$</w:t>
            </w:r>
          </w:p>
        </w:tc>
        <w:tc>
          <w:tcPr>
            <w:tcW w:w="640" w:type="dxa"/>
            <w:vAlign w:val="bottom"/>
            <w:gridSpan w:val="2"/>
          </w:tcPr>
          <w:p>
            <w:pPr>
              <w:jc w:val="right"/>
              <w:ind w:right="99"/>
              <w:spacing w:after="0" w:line="161" w:lineRule="exact"/>
              <w:rPr>
                <w:sz w:val="20"/>
                <w:szCs w:val="20"/>
                <w:color w:val="auto"/>
              </w:rPr>
            </w:pPr>
            <w:r>
              <w:rPr>
                <w:rFonts w:ascii="Calibri" w:cs="Calibri" w:eastAsia="Calibri" w:hAnsi="Calibri"/>
                <w:sz w:val="17"/>
                <w:szCs w:val="17"/>
                <w:color w:val="auto"/>
              </w:rPr>
              <w:t>(81 )</w:t>
            </w:r>
          </w:p>
        </w:tc>
        <w:tc>
          <w:tcPr>
            <w:tcW w:w="160" w:type="dxa"/>
            <w:vAlign w:val="bottom"/>
          </w:tcPr>
          <w:p>
            <w:pPr>
              <w:jc w:val="right"/>
              <w:spacing w:after="0" w:line="161" w:lineRule="exact"/>
              <w:rPr>
                <w:sz w:val="20"/>
                <w:szCs w:val="20"/>
                <w:color w:val="auto"/>
              </w:rPr>
            </w:pPr>
            <w:r>
              <w:rPr>
                <w:rFonts w:ascii="Calibri" w:cs="Calibri" w:eastAsia="Calibri" w:hAnsi="Calibri"/>
                <w:sz w:val="17"/>
                <w:szCs w:val="17"/>
                <w:color w:val="auto"/>
                <w:w w:val="92"/>
              </w:rPr>
              <w:t>$</w:t>
            </w:r>
          </w:p>
        </w:tc>
        <w:tc>
          <w:tcPr>
            <w:tcW w:w="1240" w:type="dxa"/>
            <w:vAlign w:val="bottom"/>
            <w:gridSpan w:val="2"/>
          </w:tcPr>
          <w:p>
            <w:pPr>
              <w:jc w:val="right"/>
              <w:ind w:right="50"/>
              <w:spacing w:after="0" w:line="161" w:lineRule="exact"/>
              <w:rPr>
                <w:sz w:val="20"/>
                <w:szCs w:val="20"/>
                <w:color w:val="auto"/>
              </w:rPr>
            </w:pPr>
            <w:r>
              <w:rPr>
                <w:rFonts w:ascii="Calibri" w:cs="Calibri" w:eastAsia="Calibri" w:hAnsi="Calibri"/>
                <w:sz w:val="17"/>
                <w:szCs w:val="17"/>
                <w:color w:val="auto"/>
              </w:rPr>
              <w:t>(90 )</w:t>
            </w:r>
          </w:p>
        </w:tc>
        <w:tc>
          <w:tcPr>
            <w:tcW w:w="280" w:type="dxa"/>
            <w:vAlign w:val="bottom"/>
          </w:tcPr>
          <w:p>
            <w:pPr>
              <w:jc w:val="right"/>
              <w:ind w:right="93"/>
              <w:spacing w:after="0" w:line="161" w:lineRule="exact"/>
              <w:rPr>
                <w:sz w:val="20"/>
                <w:szCs w:val="20"/>
                <w:color w:val="auto"/>
              </w:rPr>
            </w:pPr>
            <w:r>
              <w:rPr>
                <w:rFonts w:ascii="Calibri" w:cs="Calibri" w:eastAsia="Calibri" w:hAnsi="Calibri"/>
                <w:sz w:val="17"/>
                <w:szCs w:val="17"/>
                <w:color w:val="auto"/>
                <w:w w:val="92"/>
              </w:rPr>
              <w:t>$</w:t>
            </w:r>
          </w:p>
        </w:tc>
        <w:tc>
          <w:tcPr>
            <w:tcW w:w="1000" w:type="dxa"/>
            <w:vAlign w:val="bottom"/>
            <w:gridSpan w:val="2"/>
          </w:tcPr>
          <w:p>
            <w:pPr>
              <w:jc w:val="right"/>
              <w:spacing w:after="0" w:line="161" w:lineRule="exact"/>
              <w:rPr>
                <w:sz w:val="20"/>
                <w:szCs w:val="20"/>
                <w:color w:val="auto"/>
              </w:rPr>
            </w:pPr>
            <w:r>
              <w:rPr>
                <w:rFonts w:ascii="Calibri" w:cs="Calibri" w:eastAsia="Calibri" w:hAnsi="Calibri"/>
                <w:sz w:val="17"/>
                <w:szCs w:val="17"/>
                <w:color w:val="auto"/>
              </w:rPr>
              <w:t>(56 )</w:t>
            </w:r>
          </w:p>
        </w:tc>
        <w:tc>
          <w:tcPr>
            <w:tcW w:w="0" w:type="dxa"/>
            <w:vAlign w:val="bottom"/>
          </w:tcPr>
          <w:p>
            <w:pPr>
              <w:spacing w:after="0"/>
              <w:rPr>
                <w:sz w:val="1"/>
                <w:szCs w:val="1"/>
                <w:color w:val="auto"/>
              </w:rPr>
            </w:pPr>
          </w:p>
        </w:tc>
      </w:tr>
      <w:tr>
        <w:trPr>
          <w:trHeight w:val="276"/>
        </w:trPr>
        <w:tc>
          <w:tcPr>
            <w:tcW w:w="5980" w:type="dxa"/>
            <w:vAlign w:val="bottom"/>
          </w:tcPr>
          <w:p>
            <w:pPr>
              <w:spacing w:after="0" w:line="276" w:lineRule="exact"/>
              <w:rPr>
                <w:sz w:val="20"/>
                <w:szCs w:val="20"/>
                <w:color w:val="auto"/>
              </w:rPr>
            </w:pPr>
            <w:r>
              <w:rPr>
                <w:rFonts w:ascii="Calibri" w:cs="Calibri" w:eastAsia="Calibri" w:hAnsi="Calibri"/>
                <w:sz w:val="18"/>
                <w:szCs w:val="18"/>
                <w:color w:val="auto"/>
              </w:rPr>
              <w:t>Certain items:</w:t>
            </w:r>
            <w:r>
              <w:rPr>
                <w:rFonts w:ascii="Calibri" w:cs="Calibri" w:eastAsia="Calibri" w:hAnsi="Calibri"/>
                <w:sz w:val="24"/>
                <w:szCs w:val="24"/>
                <w:color w:val="auto"/>
                <w:vertAlign w:val="superscript"/>
              </w:rPr>
              <w:t>(a)</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Argentna controlled currency devaluaton and other losses</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99"/>
              <w:spacing w:after="0" w:line="215" w:lineRule="exact"/>
              <w:rPr>
                <w:sz w:val="20"/>
                <w:szCs w:val="20"/>
                <w:color w:val="auto"/>
              </w:rPr>
            </w:pPr>
            <w:r>
              <w:rPr>
                <w:rFonts w:ascii="Calibri" w:cs="Calibri" w:eastAsia="Calibri" w:hAnsi="Calibri"/>
                <w:sz w:val="18"/>
                <w:szCs w:val="18"/>
                <w:color w:val="auto"/>
              </w:rPr>
              <w:t>(43 )</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(7 )</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100"/>
              <w:spacing w:after="0" w:line="215" w:lineRule="exact"/>
              <w:rPr>
                <w:sz w:val="20"/>
                <w:szCs w:val="20"/>
                <w:color w:val="auto"/>
              </w:rPr>
            </w:pPr>
            <w:r>
              <w:rPr>
                <w:rFonts w:ascii="Calibri" w:cs="Calibri" w:eastAsia="Calibri" w:hAnsi="Calibri"/>
                <w:sz w:val="18"/>
                <w:szCs w:val="18"/>
                <w:color w:val="auto"/>
              </w:rPr>
              <w:t>Global restructuring actvites (Note O)</w:t>
            </w:r>
          </w:p>
        </w:tc>
        <w:tc>
          <w:tcPr>
            <w:tcW w:w="800" w:type="dxa"/>
            <w:vAlign w:val="bottom"/>
          </w:tcPr>
          <w:p>
            <w:pPr>
              <w:spacing w:after="0"/>
              <w:rPr>
                <w:sz w:val="18"/>
                <w:szCs w:val="18"/>
                <w:color w:val="auto"/>
              </w:rPr>
            </w:pPr>
          </w:p>
        </w:tc>
        <w:tc>
          <w:tcPr>
            <w:tcW w:w="640" w:type="dxa"/>
            <w:vAlign w:val="bottom"/>
            <w:gridSpan w:val="2"/>
          </w:tcPr>
          <w:p>
            <w:pPr>
              <w:jc w:val="right"/>
              <w:ind w:right="99"/>
              <w:spacing w:after="0" w:line="215" w:lineRule="exact"/>
              <w:rPr>
                <w:sz w:val="20"/>
                <w:szCs w:val="20"/>
                <w:color w:val="auto"/>
              </w:rPr>
            </w:pPr>
            <w:r>
              <w:rPr>
                <w:rFonts w:ascii="Calibri" w:cs="Calibri" w:eastAsia="Calibri" w:hAnsi="Calibri"/>
                <w:sz w:val="18"/>
                <w:szCs w:val="18"/>
                <w:color w:val="auto"/>
              </w:rPr>
              <w:t>(13 )</w:t>
            </w:r>
          </w:p>
        </w:tc>
        <w:tc>
          <w:tcPr>
            <w:tcW w:w="160" w:type="dxa"/>
            <w:vAlign w:val="bottom"/>
          </w:tcPr>
          <w:p>
            <w:pPr>
              <w:spacing w:after="0"/>
              <w:rPr>
                <w:sz w:val="18"/>
                <w:szCs w:val="18"/>
                <w:color w:val="auto"/>
              </w:rPr>
            </w:pPr>
          </w:p>
        </w:tc>
        <w:tc>
          <w:tcPr>
            <w:tcW w:w="12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(4 )</w:t>
            </w:r>
          </w:p>
        </w:tc>
        <w:tc>
          <w:tcPr>
            <w:tcW w:w="280" w:type="dxa"/>
            <w:vAlign w:val="bottom"/>
          </w:tcPr>
          <w:p>
            <w:pPr>
              <w:spacing w:after="0"/>
              <w:rPr>
                <w:sz w:val="18"/>
                <w:szCs w:val="18"/>
                <w:color w:val="auto"/>
              </w:rPr>
            </w:pP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17"/>
        </w:trPr>
        <w:tc>
          <w:tcPr>
            <w:tcW w:w="598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Legal and environmental maters and reserves (Note T)</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99"/>
              <w:spacing w:after="0" w:line="216" w:lineRule="exact"/>
              <w:rPr>
                <w:sz w:val="20"/>
                <w:szCs w:val="20"/>
                <w:color w:val="auto"/>
              </w:rPr>
            </w:pPr>
            <w:r>
              <w:rPr>
                <w:rFonts w:ascii="Calibri" w:cs="Calibri" w:eastAsia="Calibri" w:hAnsi="Calibri"/>
                <w:sz w:val="18"/>
                <w:szCs w:val="18"/>
                <w:color w:val="auto"/>
              </w:rPr>
              <w:t>(2 )</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(10 )</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15"/>
        </w:trPr>
        <w:tc>
          <w:tcPr>
            <w:tcW w:w="5980" w:type="dxa"/>
            <w:vAlign w:val="bottom"/>
          </w:tcPr>
          <w:p>
            <w:pPr>
              <w:ind w:left="100"/>
              <w:spacing w:after="0" w:line="215" w:lineRule="exact"/>
              <w:rPr>
                <w:sz w:val="20"/>
                <w:szCs w:val="20"/>
                <w:color w:val="auto"/>
              </w:rPr>
            </w:pPr>
            <w:r>
              <w:rPr>
                <w:rFonts w:ascii="Calibri" w:cs="Calibri" w:eastAsia="Calibri" w:hAnsi="Calibri"/>
                <w:sz w:val="18"/>
                <w:szCs w:val="18"/>
                <w:color w:val="auto"/>
              </w:rPr>
              <w:t>Gain on sale of land</w:t>
            </w:r>
          </w:p>
        </w:tc>
        <w:tc>
          <w:tcPr>
            <w:tcW w:w="800" w:type="dxa"/>
            <w:vAlign w:val="bottom"/>
          </w:tcPr>
          <w:p>
            <w:pPr>
              <w:spacing w:after="0"/>
              <w:rPr>
                <w:sz w:val="18"/>
                <w:szCs w:val="18"/>
                <w:color w:val="auto"/>
              </w:rPr>
            </w:pPr>
          </w:p>
        </w:tc>
        <w:tc>
          <w:tcPr>
            <w:tcW w:w="64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Acquisiton and integraton-related charges</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79"/>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(4 )</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215"/>
        </w:trPr>
        <w:tc>
          <w:tcPr>
            <w:tcW w:w="5980" w:type="dxa"/>
            <w:vAlign w:val="bottom"/>
          </w:tcPr>
          <w:p>
            <w:pPr>
              <w:ind w:left="10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800" w:type="dxa"/>
            <w:vAlign w:val="bottom"/>
          </w:tcPr>
          <w:p>
            <w:pPr>
              <w:spacing w:after="0"/>
              <w:rPr>
                <w:sz w:val="18"/>
                <w:szCs w:val="18"/>
                <w:color w:val="auto"/>
              </w:rPr>
            </w:pPr>
          </w:p>
        </w:tc>
        <w:tc>
          <w:tcPr>
            <w:tcW w:w="64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(3 )</w:t>
            </w:r>
          </w:p>
        </w:tc>
        <w:tc>
          <w:tcPr>
            <w:tcW w:w="280" w:type="dxa"/>
            <w:vAlign w:val="bottom"/>
          </w:tcPr>
          <w:p>
            <w:pPr>
              <w:spacing w:after="0"/>
              <w:rPr>
                <w:sz w:val="18"/>
                <w:szCs w:val="18"/>
                <w:color w:val="auto"/>
              </w:rPr>
            </w:pP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(207 )</w:t>
            </w:r>
          </w:p>
        </w:tc>
        <w:tc>
          <w:tcPr>
            <w:tcW w:w="0" w:type="dxa"/>
            <w:vAlign w:val="bottom"/>
          </w:tcPr>
          <w:p>
            <w:pPr>
              <w:spacing w:after="0"/>
              <w:rPr>
                <w:sz w:val="1"/>
                <w:szCs w:val="1"/>
                <w:color w:val="auto"/>
              </w:rPr>
            </w:pPr>
          </w:p>
        </w:tc>
      </w:tr>
      <w:tr>
        <w:trPr>
          <w:trHeight w:val="217"/>
        </w:trPr>
        <w:tc>
          <w:tcPr>
            <w:tcW w:w="598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Gain on bargain purchase of a business (Note C)</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79"/>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00"/>
              <w:spacing w:after="0" w:line="215" w:lineRule="exact"/>
              <w:rPr>
                <w:sz w:val="20"/>
                <w:szCs w:val="20"/>
                <w:color w:val="auto"/>
              </w:rPr>
            </w:pPr>
            <w:r>
              <w:rPr>
                <w:rFonts w:ascii="Calibri" w:cs="Calibri" w:eastAsia="Calibri" w:hAnsi="Calibri"/>
                <w:sz w:val="18"/>
                <w:szCs w:val="18"/>
                <w:color w:val="auto"/>
              </w:rPr>
              <w:t>Specialty Fluids divestture related beneft</w:t>
            </w:r>
          </w:p>
        </w:tc>
        <w:tc>
          <w:tcPr>
            <w:tcW w:w="800" w:type="dxa"/>
            <w:vAlign w:val="bottom"/>
          </w:tcPr>
          <w:p>
            <w:pPr>
              <w:spacing w:after="0"/>
              <w:rPr>
                <w:sz w:val="18"/>
                <w:szCs w:val="18"/>
                <w:color w:val="auto"/>
              </w:rPr>
            </w:pPr>
          </w:p>
        </w:tc>
        <w:tc>
          <w:tcPr>
            <w:tcW w:w="64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Employee beneft plan setlement and other charges</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79"/>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00"/>
              <w:spacing w:after="0" w:line="215" w:lineRule="exact"/>
              <w:rPr>
                <w:sz w:val="20"/>
                <w:szCs w:val="20"/>
                <w:color w:val="auto"/>
              </w:rPr>
            </w:pPr>
            <w:r>
              <w:rPr>
                <w:rFonts w:ascii="Calibri" w:cs="Calibri" w:eastAsia="Calibri" w:hAnsi="Calibri"/>
                <w:sz w:val="18"/>
                <w:szCs w:val="18"/>
                <w:color w:val="auto"/>
              </w:rPr>
              <w:t>Purifcaton Solutons divestture related charges</w:t>
            </w:r>
          </w:p>
        </w:tc>
        <w:tc>
          <w:tcPr>
            <w:tcW w:w="800" w:type="dxa"/>
            <w:vAlign w:val="bottom"/>
          </w:tcPr>
          <w:p>
            <w:pPr>
              <w:spacing w:after="0"/>
              <w:rPr>
                <w:sz w:val="18"/>
                <w:szCs w:val="18"/>
                <w:color w:val="auto"/>
              </w:rPr>
            </w:pPr>
          </w:p>
        </w:tc>
        <w:tc>
          <w:tcPr>
            <w:tcW w:w="64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Other certain items</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99"/>
              <w:spacing w:after="0" w:line="216" w:lineRule="exact"/>
              <w:rPr>
                <w:sz w:val="20"/>
                <w:szCs w:val="20"/>
                <w:color w:val="auto"/>
              </w:rPr>
            </w:pPr>
            <w:r>
              <w:rPr>
                <w:rFonts w:ascii="Calibri" w:cs="Calibri" w:eastAsia="Calibri" w:hAnsi="Calibri"/>
                <w:sz w:val="18"/>
                <w:szCs w:val="18"/>
                <w:color w:val="auto"/>
              </w:rPr>
              <w:t>(1 )</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(2 )</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tcPr>
          <w:p>
            <w:pPr>
              <w:ind w:left="180"/>
              <w:spacing w:after="0" w:line="163" w:lineRule="exact"/>
              <w:rPr>
                <w:sz w:val="20"/>
                <w:szCs w:val="20"/>
                <w:color w:val="auto"/>
              </w:rPr>
            </w:pPr>
            <w:r>
              <w:rPr>
                <w:rFonts w:ascii="Calibri" w:cs="Calibri" w:eastAsia="Calibri" w:hAnsi="Calibri"/>
                <w:sz w:val="17"/>
                <w:szCs w:val="17"/>
                <w:color w:val="auto"/>
              </w:rPr>
              <w:t>Total certain items, pre-tax</w:t>
            </w:r>
          </w:p>
        </w:tc>
        <w:tc>
          <w:tcPr>
            <w:tcW w:w="800" w:type="dxa"/>
            <w:vAlign w:val="bottom"/>
          </w:tcPr>
          <w:p>
            <w:pPr>
              <w:spacing w:after="0"/>
              <w:rPr>
                <w:sz w:val="14"/>
                <w:szCs w:val="14"/>
                <w:color w:val="auto"/>
              </w:rPr>
            </w:pPr>
          </w:p>
        </w:tc>
        <w:tc>
          <w:tcPr>
            <w:tcW w:w="640" w:type="dxa"/>
            <w:vAlign w:val="bottom"/>
            <w:gridSpan w:val="2"/>
          </w:tcPr>
          <w:p>
            <w:pPr>
              <w:jc w:val="right"/>
              <w:ind w:right="99"/>
              <w:spacing w:after="0" w:line="163" w:lineRule="exact"/>
              <w:rPr>
                <w:sz w:val="20"/>
                <w:szCs w:val="20"/>
                <w:color w:val="auto"/>
              </w:rPr>
            </w:pPr>
            <w:r>
              <w:rPr>
                <w:rFonts w:ascii="Calibri" w:cs="Calibri" w:eastAsia="Calibri" w:hAnsi="Calibri"/>
                <w:sz w:val="17"/>
                <w:szCs w:val="17"/>
                <w:color w:val="auto"/>
              </w:rPr>
              <w:t>(59 )</w:t>
            </w:r>
          </w:p>
        </w:tc>
        <w:tc>
          <w:tcPr>
            <w:tcW w:w="160" w:type="dxa"/>
            <w:vAlign w:val="bottom"/>
          </w:tcPr>
          <w:p>
            <w:pPr>
              <w:spacing w:after="0"/>
              <w:rPr>
                <w:sz w:val="14"/>
                <w:szCs w:val="14"/>
                <w:color w:val="auto"/>
              </w:rPr>
            </w:pPr>
          </w:p>
        </w:tc>
        <w:tc>
          <w:tcPr>
            <w:tcW w:w="1240" w:type="dxa"/>
            <w:vAlign w:val="bottom"/>
            <w:gridSpan w:val="2"/>
          </w:tcPr>
          <w:p>
            <w:pPr>
              <w:jc w:val="right"/>
              <w:ind w:right="50"/>
              <w:spacing w:after="0" w:line="163" w:lineRule="exact"/>
              <w:rPr>
                <w:sz w:val="20"/>
                <w:szCs w:val="20"/>
                <w:color w:val="auto"/>
              </w:rPr>
            </w:pPr>
            <w:r>
              <w:rPr>
                <w:rFonts w:ascii="Calibri" w:cs="Calibri" w:eastAsia="Calibri" w:hAnsi="Calibri"/>
                <w:sz w:val="17"/>
                <w:szCs w:val="17"/>
                <w:color w:val="auto"/>
              </w:rPr>
              <w:t>(29 )</w:t>
            </w:r>
          </w:p>
        </w:tc>
        <w:tc>
          <w:tcPr>
            <w:tcW w:w="280" w:type="dxa"/>
            <w:vAlign w:val="bottom"/>
          </w:tcPr>
          <w:p>
            <w:pPr>
              <w:spacing w:after="0"/>
              <w:rPr>
                <w:sz w:val="14"/>
                <w:szCs w:val="14"/>
                <w:color w:val="auto"/>
              </w:rPr>
            </w:pPr>
          </w:p>
        </w:tc>
        <w:tc>
          <w:tcPr>
            <w:tcW w:w="1000" w:type="dxa"/>
            <w:vAlign w:val="bottom"/>
            <w:gridSpan w:val="2"/>
          </w:tcPr>
          <w:p>
            <w:pPr>
              <w:jc w:val="right"/>
              <w:spacing w:after="0" w:line="163" w:lineRule="exact"/>
              <w:rPr>
                <w:sz w:val="20"/>
                <w:szCs w:val="20"/>
                <w:color w:val="auto"/>
              </w:rPr>
            </w:pPr>
            <w:r>
              <w:rPr>
                <w:rFonts w:ascii="Calibri" w:cs="Calibri" w:eastAsia="Calibri" w:hAnsi="Calibri"/>
                <w:sz w:val="17"/>
                <w:szCs w:val="17"/>
                <w:color w:val="auto"/>
              </w:rPr>
              <w:t>(183 )</w:t>
            </w:r>
          </w:p>
        </w:tc>
        <w:tc>
          <w:tcPr>
            <w:tcW w:w="0" w:type="dxa"/>
            <w:vAlign w:val="bottom"/>
          </w:tcPr>
          <w:p>
            <w:pPr>
              <w:spacing w:after="0"/>
              <w:rPr>
                <w:sz w:val="1"/>
                <w:szCs w:val="1"/>
                <w:color w:val="auto"/>
              </w:rPr>
            </w:pPr>
          </w:p>
        </w:tc>
      </w:tr>
      <w:tr>
        <w:trPr>
          <w:trHeight w:val="47"/>
        </w:trPr>
        <w:tc>
          <w:tcPr>
            <w:tcW w:w="5980" w:type="dxa"/>
            <w:vAlign w:val="bottom"/>
            <w:vMerge w:val="restart"/>
          </w:tcPr>
          <w:p>
            <w:pPr>
              <w:spacing w:after="0" w:line="216" w:lineRule="exact"/>
              <w:rPr>
                <w:sz w:val="20"/>
                <w:szCs w:val="20"/>
                <w:color w:val="auto"/>
              </w:rPr>
            </w:pPr>
            <w:r>
              <w:rPr>
                <w:rFonts w:ascii="Calibri" w:cs="Calibri" w:eastAsia="Calibri" w:hAnsi="Calibri"/>
                <w:sz w:val="17"/>
                <w:szCs w:val="17"/>
                <w:color w:val="auto"/>
              </w:rPr>
              <w:t>Unallocated corporate costs</w:t>
            </w:r>
            <w:r>
              <w:rPr>
                <w:rFonts w:ascii="Calibri" w:cs="Calibri" w:eastAsia="Calibri" w:hAnsi="Calibri"/>
                <w:sz w:val="23"/>
                <w:szCs w:val="23"/>
                <w:color w:val="auto"/>
                <w:vertAlign w:val="superscript"/>
              </w:rPr>
              <w:t>(b)</w:t>
            </w: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vMerge w:val="restart"/>
          </w:tcPr>
          <w:p>
            <w:pPr>
              <w:ind w:left="2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vMerge w:val="restart"/>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vMerge w:val="restart"/>
          </w:tcPr>
          <w:p>
            <w:pPr>
              <w:jc w:val="right"/>
              <w:spacing w:after="0" w:line="216"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149"/>
        </w:trPr>
        <w:tc>
          <w:tcPr>
            <w:tcW w:w="59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Calibri" w:cs="Calibri" w:eastAsia="Calibri" w:hAnsi="Calibri"/>
                <w:sz w:val="16"/>
                <w:szCs w:val="16"/>
                <w:color w:val="auto"/>
              </w:rPr>
              <w:t>(68</w:t>
            </w:r>
          </w:p>
        </w:tc>
        <w:tc>
          <w:tcPr>
            <w:tcW w:w="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Calibri" w:cs="Calibri" w:eastAsia="Calibri" w:hAnsi="Calibri"/>
                <w:sz w:val="16"/>
                <w:szCs w:val="16"/>
                <w:color w:val="auto"/>
              </w:rPr>
              <w:t>(54</w:t>
            </w:r>
          </w:p>
        </w:tc>
        <w:tc>
          <w:tcPr>
            <w:tcW w:w="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Calibri" w:cs="Calibri" w:eastAsia="Calibri" w:hAnsi="Calibri"/>
                <w:sz w:val="16"/>
                <w:szCs w:val="16"/>
                <w:color w:val="auto"/>
              </w:rPr>
              <w:t>(59</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line="230" w:lineRule="exact"/>
              <w:rPr>
                <w:sz w:val="20"/>
                <w:szCs w:val="20"/>
                <w:color w:val="auto"/>
              </w:rPr>
            </w:pPr>
            <w:r>
              <w:rPr>
                <w:rFonts w:ascii="Calibri" w:cs="Calibri" w:eastAsia="Calibri" w:hAnsi="Calibri"/>
                <w:sz w:val="18"/>
                <w:szCs w:val="18"/>
                <w:color w:val="auto"/>
              </w:rPr>
              <w:t>General unallocated income (expense)</w:t>
            </w:r>
            <w:r>
              <w:rPr>
                <w:rFonts w:ascii="Calibri" w:cs="Calibri" w:eastAsia="Calibri" w:hAnsi="Calibri"/>
                <w:sz w:val="24"/>
                <w:szCs w:val="24"/>
                <w:color w:val="auto"/>
                <w:vertAlign w:val="superscript"/>
              </w:rPr>
              <w:t>(c)</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line="263" w:lineRule="exact"/>
              <w:rPr>
                <w:sz w:val="20"/>
                <w:szCs w:val="20"/>
                <w:color w:val="auto"/>
              </w:rPr>
            </w:pPr>
            <w:r>
              <w:rPr>
                <w:rFonts w:ascii="Calibri" w:cs="Calibri" w:eastAsia="Calibri" w:hAnsi="Calibri"/>
                <w:sz w:val="18"/>
                <w:szCs w:val="18"/>
                <w:color w:val="auto"/>
              </w:rPr>
              <w:t>Less: Equity in earnings of afliated companies, net of tax</w:t>
            </w:r>
            <w:r>
              <w:rPr>
                <w:rFonts w:ascii="Calibri" w:cs="Calibri" w:eastAsia="Calibri" w:hAnsi="Calibri"/>
                <w:sz w:val="24"/>
                <w:szCs w:val="24"/>
                <w:color w:val="auto"/>
                <w:vertAlign w:val="superscript"/>
              </w:rPr>
              <w:t>(d)</w:t>
            </w:r>
          </w:p>
        </w:tc>
        <w:tc>
          <w:tcPr>
            <w:tcW w:w="8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800" w:type="dxa"/>
            <w:vAlign w:val="bottom"/>
          </w:tcPr>
          <w:p>
            <w:pPr>
              <w:jc w:val="right"/>
              <w:ind w:right="618"/>
              <w:spacing w:after="0" w:line="209" w:lineRule="exact"/>
              <w:rPr>
                <w:sz w:val="20"/>
                <w:szCs w:val="20"/>
                <w:color w:val="auto"/>
              </w:rPr>
            </w:pPr>
            <w:r>
              <w:rPr>
                <w:rFonts w:ascii="Calibri" w:cs="Calibri" w:eastAsia="Calibri" w:hAnsi="Calibri"/>
                <w:sz w:val="18"/>
                <w:szCs w:val="18"/>
                <w:color w:val="auto"/>
                <w:w w:val="87"/>
              </w:rPr>
              <w:t>$</w:t>
            </w:r>
          </w:p>
        </w:tc>
        <w:tc>
          <w:tcPr>
            <w:tcW w:w="640" w:type="dxa"/>
            <w:vAlign w:val="bottom"/>
            <w:gridSpan w:val="2"/>
          </w:tcPr>
          <w:p>
            <w:pPr>
              <w:jc w:val="right"/>
              <w:ind w:right="99"/>
              <w:spacing w:after="0" w:line="209" w:lineRule="exact"/>
              <w:rPr>
                <w:sz w:val="20"/>
                <w:szCs w:val="20"/>
                <w:color w:val="auto"/>
              </w:rPr>
            </w:pPr>
            <w:r>
              <w:rPr>
                <w:rFonts w:ascii="Calibri" w:cs="Calibri" w:eastAsia="Calibri" w:hAnsi="Calibri"/>
                <w:sz w:val="18"/>
                <w:szCs w:val="18"/>
                <w:color w:val="auto"/>
              </w:rPr>
              <w:t>(172 )</w:t>
            </w:r>
          </w:p>
        </w:tc>
        <w:tc>
          <w:tcPr>
            <w:tcW w:w="16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tcPr>
          <w:p>
            <w:pPr>
              <w:jc w:val="right"/>
              <w:ind w:right="50"/>
              <w:spacing w:after="0" w:line="209" w:lineRule="exact"/>
              <w:rPr>
                <w:sz w:val="20"/>
                <w:szCs w:val="20"/>
                <w:color w:val="auto"/>
              </w:rPr>
            </w:pPr>
            <w:r>
              <w:rPr>
                <w:rFonts w:ascii="Calibri" w:cs="Calibri" w:eastAsia="Calibri" w:hAnsi="Calibri"/>
                <w:sz w:val="18"/>
                <w:szCs w:val="18"/>
                <w:color w:val="auto"/>
              </w:rPr>
              <w:t>(156 )</w:t>
            </w:r>
          </w:p>
        </w:tc>
        <w:tc>
          <w:tcPr>
            <w:tcW w:w="280" w:type="dxa"/>
            <w:vAlign w:val="bottom"/>
          </w:tcPr>
          <w:p>
            <w:pPr>
              <w:jc w:val="right"/>
              <w:ind w:right="93"/>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(307 )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-2519680</wp:posOffset>
            </wp:positionV>
            <wp:extent cx="6412230" cy="1371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371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-736600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-736600</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-736600</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54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93" w:lineRule="exact"/>
        <w:rPr>
          <w:sz w:val="20"/>
          <w:szCs w:val="20"/>
          <w:color w:val="auto"/>
        </w:rPr>
      </w:pPr>
    </w:p>
    <w:p>
      <w:pPr>
        <w:ind w:left="1020" w:right="380" w:hanging="499"/>
        <w:spacing w:after="0" w:line="201" w:lineRule="auto"/>
        <w:tabs>
          <w:tab w:leader="none" w:pos="1020" w:val="left"/>
        </w:tabs>
        <w:numPr>
          <w:ilvl w:val="1"/>
          <w:numId w:val="26"/>
        </w:numPr>
        <w:rPr>
          <w:rFonts w:ascii="Calibri" w:cs="Calibri" w:eastAsia="Calibri" w:hAnsi="Calibri"/>
          <w:sz w:val="24"/>
          <w:szCs w:val="24"/>
          <w:color w:val="auto"/>
          <w:vertAlign w:val="superscript"/>
        </w:rPr>
      </w:pPr>
      <w:r>
        <w:rPr>
          <w:rFonts w:ascii="Calibri" w:cs="Calibri" w:eastAsia="Calibri" w:hAnsi="Calibri"/>
          <w:sz w:val="18"/>
          <w:szCs w:val="18"/>
          <w:color w:val="auto"/>
        </w:rPr>
        <w:t>Certain items are items that management does not consider representatve of operatng segment results and they are, therefore, excluded from Segment EBIT.</w:t>
      </w:r>
    </w:p>
    <w:p>
      <w:pPr>
        <w:spacing w:after="0" w:line="5" w:lineRule="exact"/>
        <w:rPr>
          <w:rFonts w:ascii="Calibri" w:cs="Calibri" w:eastAsia="Calibri" w:hAnsi="Calibri"/>
          <w:sz w:val="24"/>
          <w:szCs w:val="24"/>
          <w:color w:val="auto"/>
          <w:vertAlign w:val="superscript"/>
        </w:rPr>
      </w:pPr>
    </w:p>
    <w:p>
      <w:pPr>
        <w:ind w:left="1020" w:hanging="499"/>
        <w:spacing w:after="0"/>
        <w:tabs>
          <w:tab w:leader="none" w:pos="1020" w:val="left"/>
        </w:tabs>
        <w:numPr>
          <w:ilvl w:val="1"/>
          <w:numId w:val="26"/>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corporate costs are not controlled by the segments and primarily beneft corporate interests.</w:t>
      </w:r>
    </w:p>
    <w:p>
      <w:pPr>
        <w:spacing w:after="0" w:line="82" w:lineRule="exact"/>
        <w:rPr>
          <w:rFonts w:ascii="Calibri" w:cs="Calibri" w:eastAsia="Calibri" w:hAnsi="Calibri"/>
          <w:sz w:val="24"/>
          <w:szCs w:val="24"/>
          <w:color w:val="auto"/>
          <w:vertAlign w:val="superscript"/>
        </w:rPr>
      </w:pPr>
    </w:p>
    <w:p>
      <w:pPr>
        <w:ind w:left="1020" w:right="280" w:hanging="499"/>
        <w:spacing w:after="0" w:line="211" w:lineRule="auto"/>
        <w:tabs>
          <w:tab w:leader="none" w:pos="1020" w:val="left"/>
        </w:tabs>
        <w:numPr>
          <w:ilvl w:val="1"/>
          <w:numId w:val="26"/>
        </w:numPr>
        <w:rPr>
          <w:rFonts w:ascii="Calibri" w:cs="Calibri" w:eastAsia="Calibri" w:hAnsi="Calibri"/>
          <w:sz w:val="24"/>
          <w:szCs w:val="24"/>
          <w:color w:val="auto"/>
          <w:vertAlign w:val="superscript"/>
        </w:rPr>
      </w:pPr>
      <w:r>
        <w:rPr>
          <w:rFonts w:ascii="Calibri" w:cs="Calibri" w:eastAsia="Calibri" w:hAnsi="Calibri"/>
          <w:sz w:val="18"/>
          <w:szCs w:val="18"/>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w:t>
      </w:r>
    </w:p>
    <w:p>
      <w:pPr>
        <w:spacing w:after="0" w:line="85" w:lineRule="exact"/>
        <w:rPr>
          <w:rFonts w:ascii="Calibri" w:cs="Calibri" w:eastAsia="Calibri" w:hAnsi="Calibri"/>
          <w:sz w:val="24"/>
          <w:szCs w:val="24"/>
          <w:color w:val="auto"/>
          <w:vertAlign w:val="superscript"/>
        </w:rPr>
      </w:pPr>
    </w:p>
    <w:p>
      <w:pPr>
        <w:ind w:left="1020" w:right="320" w:hanging="499"/>
        <w:spacing w:after="0" w:line="201" w:lineRule="auto"/>
        <w:tabs>
          <w:tab w:leader="none" w:pos="1020" w:val="left"/>
        </w:tabs>
        <w:numPr>
          <w:ilvl w:val="1"/>
          <w:numId w:val="26"/>
        </w:numPr>
        <w:rPr>
          <w:rFonts w:ascii="Calibri" w:cs="Calibri" w:eastAsia="Calibri" w:hAnsi="Calibri"/>
          <w:sz w:val="24"/>
          <w:szCs w:val="24"/>
          <w:color w:val="auto"/>
          <w:vertAlign w:val="superscript"/>
        </w:rPr>
      </w:pPr>
      <w:r>
        <w:rPr>
          <w:rFonts w:ascii="Calibri" w:cs="Calibri" w:eastAsia="Calibri" w:hAnsi="Calibri"/>
          <w:sz w:val="18"/>
          <w:szCs w:val="18"/>
          <w:color w:val="auto"/>
        </w:rPr>
        <w:t>Equity in earnings of afliated companies, net of tax is included in Segment EBIT and is removed from Unallocated and other to reconcile to Income (loss) from operatons before taxes and equity in earnings from afliated companies.</w:t>
      </w:r>
    </w:p>
    <w:p>
      <w:pPr>
        <w:spacing w:after="0" w:line="83" w:lineRule="exact"/>
        <w:rPr>
          <w:rFonts w:ascii="Calibri" w:cs="Calibri" w:eastAsia="Calibri" w:hAnsi="Calibri"/>
          <w:sz w:val="24"/>
          <w:szCs w:val="24"/>
          <w:color w:val="auto"/>
          <w:vertAlign w:val="superscript"/>
        </w:rPr>
      </w:pPr>
    </w:p>
    <w:p>
      <w:pPr>
        <w:ind w:left="580" w:right="500" w:hanging="572"/>
        <w:spacing w:after="0" w:line="201" w:lineRule="auto"/>
        <w:tabs>
          <w:tab w:leader="none" w:pos="580" w:val="left"/>
        </w:tabs>
        <w:numPr>
          <w:ilvl w:val="0"/>
          <w:numId w:val="27"/>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assets include cash, marketable securites, cost investments, income taxes receivable, deferred taxes, and headquarters’ assets.</w:t>
      </w:r>
    </w:p>
    <w:p>
      <w:pPr>
        <w:spacing w:after="0" w:line="5" w:lineRule="exact"/>
        <w:rPr>
          <w:rFonts w:ascii="Calibri" w:cs="Calibri" w:eastAsia="Calibri" w:hAnsi="Calibri"/>
          <w:sz w:val="24"/>
          <w:szCs w:val="24"/>
          <w:color w:val="auto"/>
          <w:vertAlign w:val="superscript"/>
        </w:rPr>
      </w:pPr>
    </w:p>
    <w:p>
      <w:pPr>
        <w:ind w:left="580" w:hanging="572"/>
        <w:spacing w:after="0"/>
        <w:tabs>
          <w:tab w:leader="none" w:pos="580" w:val="left"/>
        </w:tabs>
        <w:numPr>
          <w:ilvl w:val="0"/>
          <w:numId w:val="27"/>
        </w:numPr>
        <w:rPr>
          <w:rFonts w:ascii="Calibri" w:cs="Calibri" w:eastAsia="Calibri" w:hAnsi="Calibri"/>
          <w:sz w:val="24"/>
          <w:szCs w:val="24"/>
          <w:color w:val="auto"/>
          <w:vertAlign w:val="superscript"/>
        </w:rPr>
      </w:pPr>
      <w:r>
        <w:rPr>
          <w:rFonts w:ascii="Calibri" w:cs="Calibri" w:eastAsia="Calibri" w:hAnsi="Calibri"/>
          <w:sz w:val="18"/>
          <w:szCs w:val="18"/>
          <w:color w:val="auto"/>
        </w:rPr>
        <w:t>Expenditures for additons to long-lived assets include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-1758950</wp:posOffset>
            </wp:positionV>
            <wp:extent cx="11912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Geographic Informaton</w:t>
      </w:r>
    </w:p>
    <w:p>
      <w:pPr>
        <w:spacing w:after="0" w:line="82"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Revenues from external customers atributable to an individual country, other than the U.S. and China, were not material for disclosure. Revenues from external customers by individual country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left="396"/>
              <w:spacing w:after="0"/>
              <w:rPr>
                <w:sz w:val="20"/>
                <w:szCs w:val="20"/>
                <w:color w:val="auto"/>
              </w:rPr>
            </w:pPr>
            <w:r>
              <w:rPr>
                <w:rFonts w:ascii="Calibri" w:cs="Calibri" w:eastAsia="Calibri" w:hAnsi="Calibri"/>
                <w:sz w:val="14"/>
                <w:szCs w:val="14"/>
                <w:b w:val="1"/>
                <w:bCs w:val="1"/>
                <w:color w:val="auto"/>
              </w:rPr>
              <w:t>Years Ended September 30</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4"/>
              <w:spacing w:after="0"/>
              <w:rPr>
                <w:sz w:val="20"/>
                <w:szCs w:val="20"/>
                <w:color w:val="auto"/>
              </w:rPr>
            </w:pPr>
            <w:r>
              <w:rPr>
                <w:rFonts w:ascii="Calibri" w:cs="Calibri" w:eastAsia="Calibri" w:hAnsi="Calibri"/>
                <w:sz w:val="14"/>
                <w:szCs w:val="14"/>
                <w:b w:val="1"/>
                <w:bCs w:val="1"/>
                <w:color w:val="auto"/>
                <w:w w:val="98"/>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(In millions)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248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United States</w:t>
            </w:r>
          </w:p>
        </w:tc>
        <w:tc>
          <w:tcPr>
            <w:tcW w:w="2380" w:type="dxa"/>
            <w:vAlign w:val="bottom"/>
            <w:gridSpan w:val="2"/>
            <w:shd w:val="clear" w:color="auto" w:fill="CFF0FC"/>
          </w:tcPr>
          <w:p>
            <w:pPr>
              <w:jc w:val="right"/>
              <w:ind w:right="100"/>
              <w:spacing w:after="0" w:line="217"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733</w:t>
            </w:r>
          </w:p>
        </w:tc>
        <w:tc>
          <w:tcPr>
            <w:tcW w:w="400" w:type="dxa"/>
            <w:vAlign w:val="bottom"/>
            <w:gridSpan w:val="2"/>
            <w:shd w:val="clear" w:color="auto" w:fill="CFF0FC"/>
          </w:tcPr>
          <w:p>
            <w:pPr>
              <w:jc w:val="right"/>
              <w:ind w:right="28"/>
              <w:spacing w:after="0" w:line="217"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738</w:t>
            </w:r>
          </w:p>
        </w:tc>
        <w:tc>
          <w:tcPr>
            <w:tcW w:w="400" w:type="dxa"/>
            <w:vAlign w:val="bottom"/>
            <w:gridSpan w:val="2"/>
            <w:shd w:val="clear" w:color="auto" w:fill="CFF0FC"/>
          </w:tcPr>
          <w:p>
            <w:pPr>
              <w:jc w:val="right"/>
              <w:ind w:right="120"/>
              <w:spacing w:after="0" w:line="217"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842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480" w:type="dxa"/>
            <w:vAlign w:val="bottom"/>
          </w:tcPr>
          <w:p>
            <w:pPr>
              <w:spacing w:after="0" w:line="215" w:lineRule="exact"/>
              <w:rPr>
                <w:sz w:val="20"/>
                <w:szCs w:val="20"/>
                <w:color w:val="auto"/>
              </w:rPr>
            </w:pPr>
            <w:r>
              <w:rPr>
                <w:rFonts w:ascii="Calibri" w:cs="Calibri" w:eastAsia="Calibri" w:hAnsi="Calibri"/>
                <w:sz w:val="18"/>
                <w:szCs w:val="18"/>
                <w:color w:val="auto"/>
              </w:rPr>
              <w:t>China</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983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972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1,129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48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Other countries</w:t>
            </w:r>
          </w:p>
        </w:tc>
        <w:tc>
          <w:tcPr>
            <w:tcW w:w="2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2,278</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2,221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2,350</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480" w:type="dxa"/>
            <w:vAlign w:val="bottom"/>
          </w:tcPr>
          <w:p>
            <w:pPr>
              <w:spacing w:after="0" w:line="210" w:lineRule="exact"/>
              <w:rPr>
                <w:sz w:val="20"/>
                <w:szCs w:val="20"/>
                <w:color w:val="auto"/>
              </w:rPr>
            </w:pPr>
            <w:r>
              <w:rPr>
                <w:rFonts w:ascii="Calibri" w:cs="Calibri" w:eastAsia="Calibri" w:hAnsi="Calibri"/>
                <w:sz w:val="18"/>
                <w:szCs w:val="18"/>
                <w:color w:val="auto"/>
              </w:rPr>
              <w:t>Total</w:t>
            </w:r>
          </w:p>
        </w:tc>
        <w:tc>
          <w:tcPr>
            <w:tcW w:w="238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0" w:lineRule="exact"/>
              <w:rPr>
                <w:sz w:val="20"/>
                <w:szCs w:val="20"/>
                <w:color w:val="auto"/>
              </w:rPr>
            </w:pPr>
            <w:r>
              <w:rPr>
                <w:rFonts w:ascii="Calibri" w:cs="Calibri" w:eastAsia="Calibri" w:hAnsi="Calibri"/>
                <w:sz w:val="18"/>
                <w:szCs w:val="18"/>
                <w:color w:val="auto"/>
              </w:rPr>
              <w:t>3,994</w:t>
            </w:r>
          </w:p>
        </w:tc>
        <w:tc>
          <w:tcPr>
            <w:tcW w:w="400" w:type="dxa"/>
            <w:vAlign w:val="bottom"/>
            <w:gridSpan w:val="2"/>
          </w:tcPr>
          <w:p>
            <w:pPr>
              <w:jc w:val="right"/>
              <w:ind w:right="28"/>
              <w:spacing w:after="0" w:line="210"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0" w:lineRule="exact"/>
              <w:rPr>
                <w:sz w:val="20"/>
                <w:szCs w:val="20"/>
                <w:color w:val="auto"/>
              </w:rPr>
            </w:pPr>
            <w:r>
              <w:rPr>
                <w:rFonts w:ascii="Calibri" w:cs="Calibri" w:eastAsia="Calibri" w:hAnsi="Calibri"/>
                <w:sz w:val="18"/>
                <w:szCs w:val="18"/>
                <w:color w:val="auto"/>
              </w:rPr>
              <w:t>3,931</w:t>
            </w:r>
          </w:p>
        </w:tc>
        <w:tc>
          <w:tcPr>
            <w:tcW w:w="400" w:type="dxa"/>
            <w:vAlign w:val="bottom"/>
            <w:gridSpan w:val="2"/>
          </w:tcPr>
          <w:p>
            <w:pPr>
              <w:jc w:val="right"/>
              <w:ind w:right="120"/>
              <w:spacing w:after="0" w:line="210"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0" w:lineRule="exact"/>
              <w:rPr>
                <w:sz w:val="20"/>
                <w:szCs w:val="20"/>
                <w:color w:val="auto"/>
              </w:rPr>
            </w:pPr>
            <w:r>
              <w:rPr>
                <w:rFonts w:ascii="Calibri" w:cs="Calibri" w:eastAsia="Calibri" w:hAnsi="Calibri"/>
                <w:sz w:val="18"/>
                <w:szCs w:val="18"/>
                <w:color w:val="auto"/>
              </w:rPr>
              <w:t>4,321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80" w:type="dxa"/>
            <w:vAlign w:val="bottom"/>
            <w:vMerge w:val="restart"/>
          </w:tcPr>
          <w:p>
            <w:pPr>
              <w:jc w:val="right"/>
              <w:ind w:right="550"/>
              <w:spacing w:after="0"/>
              <w:rPr>
                <w:sz w:val="20"/>
                <w:szCs w:val="20"/>
                <w:color w:val="auto"/>
              </w:rPr>
            </w:pPr>
            <w:r>
              <w:rPr>
                <w:rFonts w:ascii="Calibri" w:cs="Calibri" w:eastAsia="Calibri" w:hAnsi="Calibri"/>
                <w:sz w:val="18"/>
                <w:szCs w:val="18"/>
                <w:color w:val="auto"/>
              </w:rPr>
              <w:t>82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7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-1104900</wp:posOffset>
            </wp:positionV>
            <wp:extent cx="5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-1104900</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-1104900</wp:posOffset>
            </wp:positionV>
            <wp:extent cx="431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2" w:name="page83"/>
    <w:bookmarkEnd w:id="82"/>
    <w:p>
      <w:pPr>
        <w:ind w:right="60" w:firstLine="509"/>
        <w:spacing w:after="0" w:line="235" w:lineRule="auto"/>
        <w:rPr>
          <w:sz w:val="20"/>
          <w:szCs w:val="20"/>
          <w:color w:val="auto"/>
        </w:rPr>
      </w:pPr>
      <w:r>
        <w:rPr>
          <w:rFonts w:ascii="Calibri" w:cs="Calibri" w:eastAsia="Calibri" w:hAnsi="Calibri"/>
          <w:sz w:val="18"/>
          <w:szCs w:val="18"/>
          <w:color w:val="auto"/>
        </w:rPr>
        <w:t>Each of the Company’s segments operates globally. In additon to presentng Revenue from external customers by reportable segment, the following tables further disaggregate Revenue from external customers by geographic region.</w:t>
      </w:r>
    </w:p>
    <w:p>
      <w:pPr>
        <w:spacing w:after="0" w:line="360"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14"/>
          </w:tcPr>
          <w:p>
            <w:pPr>
              <w:jc w:val="center"/>
              <w:ind w:left="477"/>
              <w:spacing w:after="0"/>
              <w:rPr>
                <w:sz w:val="20"/>
                <w:szCs w:val="20"/>
                <w:color w:val="auto"/>
              </w:rPr>
            </w:pPr>
            <w:r>
              <w:rPr>
                <w:rFonts w:ascii="Calibri" w:cs="Calibri" w:eastAsia="Calibri" w:hAnsi="Calibri"/>
                <w:sz w:val="14"/>
                <w:szCs w:val="14"/>
                <w:b w:val="1"/>
                <w:bCs w:val="1"/>
                <w:color w:val="auto"/>
              </w:rPr>
              <w:t>Year Ended September 30, 2024</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spacing w:after="0" w:line="161" w:lineRule="exact"/>
              <w:rPr>
                <w:sz w:val="20"/>
                <w:szCs w:val="20"/>
                <w:color w:val="auto"/>
              </w:rPr>
            </w:pPr>
            <w:r>
              <w:rPr>
                <w:rFonts w:ascii="Calibri" w:cs="Calibri" w:eastAsia="Calibri" w:hAnsi="Calibri"/>
                <w:sz w:val="14"/>
                <w:szCs w:val="14"/>
                <w:b w:val="1"/>
                <w:bCs w:val="1"/>
                <w:color w:val="auto"/>
              </w:rPr>
              <w:t>Reinforcement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line="161" w:lineRule="exact"/>
              <w:rPr>
                <w:sz w:val="20"/>
                <w:szCs w:val="20"/>
                <w:color w:val="auto"/>
              </w:rPr>
            </w:pPr>
            <w:r>
              <w:rPr>
                <w:rFonts w:ascii="Calibri" w:cs="Calibri" w:eastAsia="Calibri" w:hAnsi="Calibri"/>
                <w:sz w:val="14"/>
                <w:szCs w:val="14"/>
                <w:b w:val="1"/>
                <w:bCs w:val="1"/>
                <w:color w:val="auto"/>
              </w:rPr>
              <w:t>Performance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320"/>
              <w:spacing w:after="0"/>
              <w:rPr>
                <w:sz w:val="20"/>
                <w:szCs w:val="20"/>
                <w:color w:val="auto"/>
              </w:rPr>
            </w:pPr>
            <w:r>
              <w:rPr>
                <w:rFonts w:ascii="Calibri" w:cs="Calibri" w:eastAsia="Calibri" w:hAnsi="Calibri"/>
                <w:sz w:val="14"/>
                <w:szCs w:val="14"/>
                <w:b w:val="1"/>
                <w:bCs w:val="1"/>
                <w:color w:val="auto"/>
              </w:rPr>
              <w:t>Materials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Calibri" w:cs="Calibri" w:eastAsia="Calibri" w:hAnsi="Calibri"/>
                <w:sz w:val="14"/>
                <w:szCs w:val="14"/>
                <w:b w:val="1"/>
                <w:bCs w:val="1"/>
                <w:color w:val="auto"/>
              </w:rPr>
              <w:t>Chemicals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Calibri" w:cs="Calibri" w:eastAsia="Calibri" w:hAnsi="Calibri"/>
                <w:sz w:val="14"/>
                <w:szCs w:val="14"/>
                <w:b w:val="1"/>
                <w:bCs w:val="1"/>
                <w:color w:val="auto"/>
              </w:rPr>
              <w:t>Consolidated 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180"/>
              <w:spacing w:after="0"/>
              <w:rPr>
                <w:sz w:val="20"/>
                <w:szCs w:val="20"/>
                <w:color w:val="auto"/>
              </w:rPr>
            </w:pPr>
            <w:r>
              <w:rPr>
                <w:rFonts w:ascii="Calibri" w:cs="Calibri" w:eastAsia="Calibri" w:hAnsi="Calibri"/>
                <w:sz w:val="14"/>
                <w:szCs w:val="14"/>
                <w:b w:val="1"/>
                <w:bCs w:val="1"/>
                <w:color w:val="auto"/>
              </w:rPr>
              <w:t>(In millions)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6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Americas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gridSpan w:val="4"/>
            <w:shd w:val="clear" w:color="auto" w:fill="CFF0FC"/>
          </w:tcPr>
          <w:p>
            <w:pPr>
              <w:ind w:left="460"/>
              <w:spacing w:after="0" w:line="217"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1,056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378</w:t>
            </w:r>
          </w:p>
        </w:tc>
        <w:tc>
          <w:tcPr>
            <w:tcW w:w="40" w:type="dxa"/>
            <w:vAlign w:val="bottom"/>
            <w:shd w:val="clear" w:color="auto" w:fill="CFF0FC"/>
          </w:tcPr>
          <w:p>
            <w:pPr>
              <w:spacing w:after="0"/>
              <w:rPr>
                <w:sz w:val="19"/>
                <w:szCs w:val="19"/>
                <w:color w:val="auto"/>
              </w:rPr>
            </w:pPr>
          </w:p>
        </w:tc>
        <w:tc>
          <w:tcPr>
            <w:tcW w:w="620" w:type="dxa"/>
            <w:vAlign w:val="bottom"/>
            <w:gridSpan w:val="4"/>
            <w:shd w:val="clear" w:color="auto" w:fill="CFF0FC"/>
          </w:tcPr>
          <w:p>
            <w:pPr>
              <w:ind w:left="180"/>
              <w:spacing w:after="0" w:line="217"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1,434</w:t>
            </w:r>
          </w:p>
        </w:tc>
        <w:tc>
          <w:tcPr>
            <w:tcW w:w="1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506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Europe, Middle East and Africa</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539</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366</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905</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60" w:type="dxa"/>
            <w:vAlign w:val="bottom"/>
          </w:tcPr>
          <w:p>
            <w:pPr>
              <w:ind w:left="20"/>
              <w:spacing w:after="0" w:line="209" w:lineRule="exact"/>
              <w:rPr>
                <w:sz w:val="20"/>
                <w:szCs w:val="20"/>
                <w:color w:val="auto"/>
              </w:rPr>
            </w:pPr>
            <w:r>
              <w:rPr>
                <w:rFonts w:ascii="Calibri" w:cs="Calibri" w:eastAsia="Calibri" w:hAnsi="Calibri"/>
                <w:sz w:val="18"/>
                <w:szCs w:val="18"/>
                <w:color w:val="auto"/>
              </w:rPr>
              <w:t>Segment revenues from external customers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2,610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1,250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line="209" w:lineRule="exact"/>
              <w:rPr>
                <w:sz w:val="20"/>
                <w:szCs w:val="20"/>
                <w:color w:val="auto"/>
              </w:rPr>
            </w:pPr>
            <w:r>
              <w:rPr>
                <w:rFonts w:ascii="Calibri" w:cs="Calibri" w:eastAsia="Calibri" w:hAnsi="Calibri"/>
                <w:sz w:val="18"/>
                <w:szCs w:val="18"/>
                <w:color w:val="auto"/>
              </w:rPr>
              <w:t>3,860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Unallocated and other</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134</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60" w:type="dxa"/>
            <w:vAlign w:val="bottom"/>
          </w:tcPr>
          <w:p>
            <w:pPr>
              <w:ind w:left="20"/>
              <w:spacing w:after="0" w:line="210" w:lineRule="exact"/>
              <w:rPr>
                <w:sz w:val="20"/>
                <w:szCs w:val="20"/>
                <w:color w:val="auto"/>
              </w:rPr>
            </w:pPr>
            <w:r>
              <w:rPr>
                <w:rFonts w:ascii="Calibri" w:cs="Calibri" w:eastAsia="Calibri" w:hAnsi="Calibri"/>
                <w:sz w:val="18"/>
                <w:szCs w:val="18"/>
                <w:color w:val="auto"/>
              </w:rPr>
              <w:t>Net sales and other operatng revenues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460" w:type="dxa"/>
            <w:vAlign w:val="bottom"/>
            <w:tcBorders>
              <w:bottom w:val="single" w:sz="8" w:color="auto"/>
            </w:tcBorders>
            <w:gridSpan w:val="2"/>
          </w:tcPr>
          <w:p>
            <w:pPr>
              <w:ind w:left="20"/>
              <w:spacing w:after="0" w:line="210"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4"/>
          </w:tcPr>
          <w:p>
            <w:pPr>
              <w:jc w:val="center"/>
              <w:ind w:left="537"/>
              <w:spacing w:after="0"/>
              <w:rPr>
                <w:sz w:val="20"/>
                <w:szCs w:val="20"/>
                <w:color w:val="auto"/>
              </w:rPr>
            </w:pPr>
            <w:r>
              <w:rPr>
                <w:rFonts w:ascii="Calibri" w:cs="Calibri" w:eastAsia="Calibri" w:hAnsi="Calibri"/>
                <w:sz w:val="14"/>
                <w:szCs w:val="14"/>
                <w:b w:val="1"/>
                <w:bCs w:val="1"/>
                <w:color w:val="auto"/>
              </w:rPr>
              <w:t>Year Ended September 30, 2023</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40"/>
              <w:spacing w:after="0" w:line="161" w:lineRule="exact"/>
              <w:rPr>
                <w:sz w:val="20"/>
                <w:szCs w:val="20"/>
                <w:color w:val="auto"/>
              </w:rPr>
            </w:pPr>
            <w:r>
              <w:rPr>
                <w:rFonts w:ascii="Calibri" w:cs="Calibri" w:eastAsia="Calibri" w:hAnsi="Calibri"/>
                <w:sz w:val="14"/>
                <w:szCs w:val="14"/>
                <w:b w:val="1"/>
                <w:bCs w:val="1"/>
                <w:color w:val="auto"/>
              </w:rPr>
              <w:t>Reinforcement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20"/>
              <w:spacing w:after="0" w:line="161" w:lineRule="exact"/>
              <w:rPr>
                <w:sz w:val="20"/>
                <w:szCs w:val="20"/>
                <w:color w:val="auto"/>
              </w:rPr>
            </w:pPr>
            <w:r>
              <w:rPr>
                <w:rFonts w:ascii="Calibri" w:cs="Calibri" w:eastAsia="Calibri" w:hAnsi="Calibri"/>
                <w:sz w:val="14"/>
                <w:szCs w:val="14"/>
                <w:b w:val="1"/>
                <w:bCs w:val="1"/>
                <w:color w:val="auto"/>
              </w:rPr>
              <w:t>Performance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Materials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Chemicals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Consolidated 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center"/>
              <w:ind w:right="160"/>
              <w:spacing w:after="0"/>
              <w:rPr>
                <w:sz w:val="20"/>
                <w:szCs w:val="20"/>
                <w:color w:val="auto"/>
              </w:rPr>
            </w:pPr>
            <w:r>
              <w:rPr>
                <w:rFonts w:ascii="Calibri" w:cs="Calibri" w:eastAsia="Calibri" w:hAnsi="Calibri"/>
                <w:sz w:val="14"/>
                <w:szCs w:val="14"/>
                <w:b w:val="1"/>
                <w:bCs w:val="1"/>
                <w:color w:val="auto"/>
              </w:rPr>
              <w:t>(In millions)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100" w:type="dxa"/>
            <w:vAlign w:val="bottom"/>
            <w:gridSpan w:val="2"/>
            <w:shd w:val="clear" w:color="auto" w:fill="CFF0FC"/>
          </w:tcPr>
          <w:p>
            <w:pPr>
              <w:spacing w:after="0" w:line="217" w:lineRule="exact"/>
              <w:rPr>
                <w:sz w:val="20"/>
                <w:szCs w:val="20"/>
                <w:color w:val="auto"/>
              </w:rPr>
            </w:pPr>
            <w:r>
              <w:rPr>
                <w:rFonts w:ascii="Calibri" w:cs="Calibri" w:eastAsia="Calibri" w:hAnsi="Calibri"/>
                <w:sz w:val="18"/>
                <w:szCs w:val="18"/>
                <w:color w:val="auto"/>
              </w:rPr>
              <w:t>Americas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gridSpan w:val="4"/>
            <w:shd w:val="clear" w:color="auto" w:fill="CFF0FC"/>
          </w:tcPr>
          <w:p>
            <w:pPr>
              <w:ind w:left="460"/>
              <w:spacing w:after="0" w:line="217" w:lineRule="exact"/>
              <w:rPr>
                <w:sz w:val="20"/>
                <w:szCs w:val="20"/>
                <w:color w:val="auto"/>
              </w:rPr>
            </w:pPr>
            <w:r>
              <w:rPr>
                <w:rFonts w:ascii="Calibri" w:cs="Calibri" w:eastAsia="Calibri" w:hAnsi="Calibri"/>
                <w:sz w:val="18"/>
                <w:szCs w:val="18"/>
                <w:color w:val="auto"/>
                <w:w w:val="87"/>
              </w:rPr>
              <w:t>$</w:t>
            </w:r>
          </w:p>
        </w:tc>
        <w:tc>
          <w:tcPr>
            <w:tcW w:w="1060" w:type="dxa"/>
            <w:vAlign w:val="bottom"/>
            <w:gridSpan w:val="3"/>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1,046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1020" w:type="dxa"/>
            <w:vAlign w:val="bottom"/>
            <w:gridSpan w:val="3"/>
            <w:shd w:val="clear" w:color="auto" w:fill="CFF0FC"/>
          </w:tcPr>
          <w:p>
            <w:pPr>
              <w:ind w:left="740"/>
              <w:spacing w:after="0" w:line="217" w:lineRule="exact"/>
              <w:rPr>
                <w:sz w:val="20"/>
                <w:szCs w:val="20"/>
                <w:color w:val="auto"/>
              </w:rPr>
            </w:pPr>
            <w:r>
              <w:rPr>
                <w:rFonts w:ascii="Calibri" w:cs="Calibri" w:eastAsia="Calibri" w:hAnsi="Calibri"/>
                <w:sz w:val="18"/>
                <w:szCs w:val="18"/>
                <w:color w:val="auto"/>
                <w:w w:val="94"/>
              </w:rPr>
              <w:t>379</w:t>
            </w:r>
          </w:p>
        </w:tc>
        <w:tc>
          <w:tcPr>
            <w:tcW w:w="620" w:type="dxa"/>
            <w:vAlign w:val="bottom"/>
            <w:gridSpan w:val="4"/>
            <w:shd w:val="clear" w:color="auto" w:fill="CFF0FC"/>
          </w:tcPr>
          <w:p>
            <w:pPr>
              <w:ind w:left="220"/>
              <w:spacing w:after="0" w:line="217" w:lineRule="exact"/>
              <w:rPr>
                <w:sz w:val="20"/>
                <w:szCs w:val="20"/>
                <w:color w:val="auto"/>
              </w:rPr>
            </w:pPr>
            <w:r>
              <w:rPr>
                <w:rFonts w:ascii="Calibri" w:cs="Calibri" w:eastAsia="Calibri" w:hAnsi="Calibri"/>
                <w:sz w:val="18"/>
                <w:szCs w:val="18"/>
                <w:color w:val="auto"/>
              </w:rPr>
              <w:t>$</w:t>
            </w:r>
          </w:p>
        </w:tc>
        <w:tc>
          <w:tcPr>
            <w:tcW w:w="780" w:type="dxa"/>
            <w:vAlign w:val="bottom"/>
            <w:tcBorders>
              <w:right w:val="single" w:sz="8" w:color="CFF0FC"/>
            </w:tcBorders>
            <w:gridSpan w:val="2"/>
            <w:shd w:val="clear" w:color="auto" w:fill="CFF0FC"/>
          </w:tcPr>
          <w:p>
            <w:pPr>
              <w:jc w:val="right"/>
              <w:ind w:right="60"/>
              <w:spacing w:after="0" w:line="217" w:lineRule="exact"/>
              <w:rPr>
                <w:sz w:val="20"/>
                <w:szCs w:val="20"/>
                <w:color w:val="auto"/>
              </w:rPr>
            </w:pPr>
            <w:r>
              <w:rPr>
                <w:rFonts w:ascii="Calibri" w:cs="Calibri" w:eastAsia="Calibri" w:hAnsi="Calibri"/>
                <w:sz w:val="18"/>
                <w:szCs w:val="18"/>
                <w:color w:val="auto"/>
              </w:rPr>
              <w:t>1,425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spacing w:after="0" w:line="215" w:lineRule="exact"/>
              <w:rPr>
                <w:sz w:val="20"/>
                <w:szCs w:val="20"/>
                <w:color w:val="auto"/>
              </w:rPr>
            </w:pPr>
            <w:r>
              <w:rPr>
                <w:rFonts w:ascii="Calibri" w:cs="Calibri" w:eastAsia="Calibri" w:hAnsi="Calibri"/>
                <w:sz w:val="18"/>
                <w:szCs w:val="18"/>
                <w:color w:val="auto"/>
              </w:rPr>
              <w:t>Asia Pacifc</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740"/>
              <w:spacing w:after="0" w:line="215" w:lineRule="exact"/>
              <w:rPr>
                <w:sz w:val="20"/>
                <w:szCs w:val="20"/>
                <w:color w:val="auto"/>
              </w:rPr>
            </w:pPr>
            <w:r>
              <w:rPr>
                <w:rFonts w:ascii="Calibri" w:cs="Calibri" w:eastAsia="Calibri" w:hAnsi="Calibri"/>
                <w:sz w:val="18"/>
                <w:szCs w:val="18"/>
                <w:color w:val="auto"/>
                <w:w w:val="94"/>
              </w:rPr>
              <w:t>491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Europe, Middle East and Africa</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3"/>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522</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3"/>
            <w:shd w:val="clear" w:color="auto" w:fill="CFF0FC"/>
          </w:tcPr>
          <w:p>
            <w:pPr>
              <w:ind w:left="740"/>
              <w:spacing w:after="0" w:line="216" w:lineRule="exact"/>
              <w:rPr>
                <w:sz w:val="20"/>
                <w:szCs w:val="20"/>
                <w:color w:val="auto"/>
              </w:rPr>
            </w:pPr>
            <w:r>
              <w:rPr>
                <w:rFonts w:ascii="Calibri" w:cs="Calibri" w:eastAsia="Calibri" w:hAnsi="Calibri"/>
                <w:sz w:val="18"/>
                <w:szCs w:val="18"/>
                <w:color w:val="auto"/>
                <w:w w:val="94"/>
              </w:rPr>
              <w:t>355</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877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gridSpan w:val="2"/>
          </w:tcPr>
          <w:p>
            <w:pPr>
              <w:spacing w:after="0" w:line="209" w:lineRule="exact"/>
              <w:rPr>
                <w:sz w:val="20"/>
                <w:szCs w:val="20"/>
                <w:color w:val="auto"/>
              </w:rPr>
            </w:pPr>
            <w:r>
              <w:rPr>
                <w:rFonts w:ascii="Calibri" w:cs="Calibri" w:eastAsia="Calibri" w:hAnsi="Calibri"/>
                <w:sz w:val="18"/>
                <w:szCs w:val="18"/>
                <w:color w:val="auto"/>
              </w:rPr>
              <w:t>Segment revenues from external customers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
              <w:spacing w:after="0" w:line="209" w:lineRule="exact"/>
              <w:rPr>
                <w:sz w:val="20"/>
                <w:szCs w:val="20"/>
                <w:color w:val="auto"/>
              </w:rPr>
            </w:pPr>
            <w:r>
              <w:rPr>
                <w:rFonts w:ascii="Calibri" w:cs="Calibri" w:eastAsia="Calibri" w:hAnsi="Calibri"/>
                <w:sz w:val="18"/>
                <w:szCs w:val="18"/>
                <w:color w:val="auto"/>
              </w:rPr>
              <w:t>2,563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600"/>
              <w:spacing w:after="0" w:line="209" w:lineRule="exact"/>
              <w:rPr>
                <w:sz w:val="20"/>
                <w:szCs w:val="20"/>
                <w:color w:val="auto"/>
              </w:rPr>
            </w:pPr>
            <w:r>
              <w:rPr>
                <w:rFonts w:ascii="Calibri" w:cs="Calibri" w:eastAsia="Calibri" w:hAnsi="Calibri"/>
                <w:sz w:val="18"/>
                <w:szCs w:val="18"/>
                <w:color w:val="auto"/>
                <w:w w:val="97"/>
              </w:rPr>
              <w:t>1,225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60"/>
              <w:spacing w:after="0" w:line="209" w:lineRule="exact"/>
              <w:rPr>
                <w:sz w:val="20"/>
                <w:szCs w:val="20"/>
                <w:color w:val="auto"/>
              </w:rPr>
            </w:pPr>
            <w:r>
              <w:rPr>
                <w:rFonts w:ascii="Calibri" w:cs="Calibri" w:eastAsia="Calibri" w:hAnsi="Calibri"/>
                <w:sz w:val="18"/>
                <w:szCs w:val="18"/>
                <w:color w:val="auto"/>
              </w:rPr>
              <w:t>3,788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gridSpan w:val="2"/>
            <w:shd w:val="clear" w:color="auto" w:fill="CFF0FC"/>
          </w:tcPr>
          <w:p>
            <w:pPr>
              <w:spacing w:after="0" w:line="216" w:lineRule="exact"/>
              <w:rPr>
                <w:sz w:val="20"/>
                <w:szCs w:val="20"/>
                <w:color w:val="auto"/>
              </w:rPr>
            </w:pPr>
            <w:r>
              <w:rPr>
                <w:rFonts w:ascii="Calibri" w:cs="Calibri" w:eastAsia="Calibri" w:hAnsi="Calibri"/>
                <w:sz w:val="18"/>
                <w:szCs w:val="18"/>
                <w:color w:val="auto"/>
              </w:rPr>
              <w:t>Unallocated and other</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143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line="210" w:lineRule="exact"/>
              <w:rPr>
                <w:sz w:val="20"/>
                <w:szCs w:val="20"/>
                <w:color w:val="auto"/>
              </w:rPr>
            </w:pPr>
            <w:r>
              <w:rPr>
                <w:rFonts w:ascii="Calibri" w:cs="Calibri" w:eastAsia="Calibri" w:hAnsi="Calibri"/>
                <w:sz w:val="18"/>
                <w:szCs w:val="18"/>
                <w:color w:val="auto"/>
              </w:rPr>
              <w:t>Net sales and other operatng revenues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ind w:left="220"/>
              <w:spacing w:after="0" w:line="210"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ind w:right="60"/>
              <w:spacing w:after="0" w:line="210" w:lineRule="exact"/>
              <w:rPr>
                <w:sz w:val="20"/>
                <w:szCs w:val="20"/>
                <w:color w:val="auto"/>
              </w:rPr>
            </w:pPr>
            <w:r>
              <w:rPr>
                <w:rFonts w:ascii="Calibri" w:cs="Calibri" w:eastAsia="Calibri" w:hAnsi="Calibri"/>
                <w:sz w:val="18"/>
                <w:szCs w:val="18"/>
                <w:color w:val="auto"/>
              </w:rPr>
              <w:t>3,931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10"/>
            <w:vMerge w:val="restart"/>
          </w:tcPr>
          <w:p>
            <w:pPr>
              <w:ind w:left="20"/>
              <w:spacing w:after="0"/>
              <w:rPr>
                <w:sz w:val="20"/>
                <w:szCs w:val="20"/>
                <w:color w:val="auto"/>
              </w:rPr>
            </w:pPr>
            <w:r>
              <w:rPr>
                <w:rFonts w:ascii="Calibri" w:cs="Calibri" w:eastAsia="Calibri" w:hAnsi="Calibri"/>
                <w:sz w:val="14"/>
                <w:szCs w:val="14"/>
                <w:b w:val="1"/>
                <w:bCs w:val="1"/>
                <w:color w:val="auto"/>
              </w:rPr>
              <w:t>Year Ended September 30, 2022</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96"/>
              <w:spacing w:after="0" w:line="139" w:lineRule="exact"/>
              <w:rPr>
                <w:sz w:val="20"/>
                <w:szCs w:val="20"/>
                <w:color w:val="auto"/>
              </w:rPr>
            </w:pPr>
            <w:r>
              <w:rPr>
                <w:rFonts w:ascii="Calibri" w:cs="Calibri" w:eastAsia="Calibri" w:hAnsi="Calibri"/>
                <w:sz w:val="14"/>
                <w:szCs w:val="14"/>
                <w:b w:val="1"/>
                <w:bCs w:val="1"/>
                <w:color w:val="auto"/>
              </w:rPr>
              <w:t>Reinforcement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spacing w:after="0" w:line="139" w:lineRule="exact"/>
              <w:rPr>
                <w:sz w:val="20"/>
                <w:szCs w:val="20"/>
                <w:color w:val="auto"/>
              </w:rPr>
            </w:pPr>
            <w:r>
              <w:rPr>
                <w:rFonts w:ascii="Calibri" w:cs="Calibri" w:eastAsia="Calibri" w:hAnsi="Calibri"/>
                <w:sz w:val="14"/>
                <w:szCs w:val="14"/>
                <w:b w:val="1"/>
                <w:bCs w:val="1"/>
                <w:color w:val="auto"/>
              </w:rPr>
              <w:t>Performance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ind w:left="80"/>
              <w:spacing w:after="0" w:line="139" w:lineRule="exact"/>
              <w:rPr>
                <w:sz w:val="20"/>
                <w:szCs w:val="20"/>
                <w:color w:val="auto"/>
              </w:rPr>
            </w:pPr>
            <w:r>
              <w:rPr>
                <w:rFonts w:ascii="Calibri" w:cs="Calibri" w:eastAsia="Calibri" w:hAnsi="Calibri"/>
                <w:sz w:val="14"/>
                <w:szCs w:val="14"/>
                <w:b w:val="1"/>
                <w:bCs w:val="1"/>
                <w:color w:val="auto"/>
              </w:rPr>
              <w:t>Purifcaton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6"/>
              <w:spacing w:after="0" w:line="212" w:lineRule="exact"/>
              <w:rPr>
                <w:sz w:val="20"/>
                <w:szCs w:val="20"/>
                <w:color w:val="auto"/>
              </w:rPr>
            </w:pPr>
            <w:r>
              <w:rPr>
                <w:rFonts w:ascii="Calibri" w:cs="Calibri" w:eastAsia="Calibri" w:hAnsi="Calibri"/>
                <w:sz w:val="14"/>
                <w:szCs w:val="14"/>
                <w:b w:val="1"/>
                <w:bCs w:val="1"/>
                <w:color w:val="auto"/>
              </w:rPr>
              <w:t>Materials</w:t>
            </w:r>
            <w:r>
              <w:rPr>
                <w:rFonts w:ascii="Calibri" w:cs="Calibri" w:eastAsia="Calibri" w:hAnsi="Calibri"/>
                <w:sz w:val="19"/>
                <w:szCs w:val="19"/>
                <w:b w:val="1"/>
                <w:bCs w:val="1"/>
                <w:color w:val="auto"/>
                <w:vertAlign w:val="superscript"/>
              </w:rPr>
              <w:t>(1)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00"/>
              <w:spacing w:after="0"/>
              <w:rPr>
                <w:sz w:val="20"/>
                <w:szCs w:val="20"/>
                <w:color w:val="auto"/>
              </w:rPr>
            </w:pPr>
            <w:r>
              <w:rPr>
                <w:rFonts w:ascii="Calibri" w:cs="Calibri" w:eastAsia="Calibri" w:hAnsi="Calibri"/>
                <w:sz w:val="14"/>
                <w:szCs w:val="14"/>
                <w:b w:val="1"/>
                <w:bCs w:val="1"/>
                <w:color w:val="auto"/>
              </w:rPr>
              <w:t>Chemicals</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Solutons</w:t>
            </w:r>
          </w:p>
        </w:tc>
        <w:tc>
          <w:tcPr>
            <w:tcW w:w="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gridSpan w:val="4"/>
          </w:tcPr>
          <w:p>
            <w:pPr>
              <w:ind w:left="40"/>
              <w:spacing w:after="0"/>
              <w:rPr>
                <w:sz w:val="20"/>
                <w:szCs w:val="20"/>
                <w:color w:val="auto"/>
              </w:rPr>
            </w:pPr>
            <w:r>
              <w:rPr>
                <w:rFonts w:ascii="Calibri" w:cs="Calibri" w:eastAsia="Calibri" w:hAnsi="Calibri"/>
                <w:sz w:val="14"/>
                <w:szCs w:val="14"/>
                <w:b w:val="1"/>
                <w:bCs w:val="1"/>
                <w:color w:val="auto"/>
              </w:rPr>
              <w:t>Consolidated Total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77"/>
              <w:spacing w:after="0" w:line="166"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6"/>
          </w:tcPr>
          <w:p>
            <w:pPr>
              <w:jc w:val="right"/>
              <w:ind w:right="8"/>
              <w:spacing w:after="0" w:line="166" w:lineRule="exact"/>
              <w:rPr>
                <w:sz w:val="20"/>
                <w:szCs w:val="20"/>
                <w:color w:val="auto"/>
              </w:rPr>
            </w:pPr>
            <w:r>
              <w:rPr>
                <w:rFonts w:ascii="Calibri" w:cs="Calibri" w:eastAsia="Calibri" w:hAnsi="Calibri"/>
                <w:sz w:val="14"/>
                <w:szCs w:val="14"/>
                <w:b w:val="1"/>
                <w:bCs w:val="1"/>
                <w:color w:val="auto"/>
                <w:w w:val="75"/>
              </w:rPr>
              <w:t>millions)</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6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Americas</w:t>
            </w:r>
          </w:p>
        </w:tc>
        <w:tc>
          <w:tcPr>
            <w:tcW w:w="1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1,072</w:t>
            </w:r>
          </w:p>
        </w:tc>
        <w:tc>
          <w:tcPr>
            <w:tcW w:w="440" w:type="dxa"/>
            <w:vAlign w:val="bottom"/>
            <w:gridSpan w:val="2"/>
            <w:shd w:val="clear" w:color="auto" w:fill="CFF0FC"/>
          </w:tcPr>
          <w:p>
            <w:pPr>
              <w:jc w:val="right"/>
              <w:ind w:right="100"/>
              <w:spacing w:after="0" w:line="217" w:lineRule="exact"/>
              <w:rPr>
                <w:sz w:val="20"/>
                <w:szCs w:val="20"/>
                <w:color w:val="auto"/>
              </w:rPr>
            </w:pPr>
            <w:r>
              <w:rPr>
                <w:rFonts w:ascii="Calibri" w:cs="Calibri" w:eastAsia="Calibri" w:hAnsi="Calibri"/>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419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line="217" w:lineRule="exact"/>
              <w:rPr>
                <w:sz w:val="20"/>
                <w:szCs w:val="20"/>
                <w:color w:val="auto"/>
              </w:rPr>
            </w:pPr>
            <w:r>
              <w:rPr>
                <w:rFonts w:ascii="Calibri" w:cs="Calibri" w:eastAsia="Calibri" w:hAnsi="Calibri"/>
                <w:sz w:val="18"/>
                <w:szCs w:val="18"/>
                <w:color w:val="auto"/>
                <w:w w:val="98"/>
              </w:rPr>
              <w:t>43</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gridSpan w:val="4"/>
            <w:shd w:val="clear" w:color="auto" w:fill="CFF0FC"/>
          </w:tcPr>
          <w:p>
            <w:pPr>
              <w:ind w:left="140"/>
              <w:spacing w:after="0" w:line="217"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1,534</w:t>
            </w:r>
          </w:p>
        </w:tc>
        <w:tc>
          <w:tcPr>
            <w:tcW w:w="1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1,049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740"/>
              <w:spacing w:after="0" w:line="215" w:lineRule="exact"/>
              <w:rPr>
                <w:sz w:val="20"/>
                <w:szCs w:val="20"/>
                <w:color w:val="auto"/>
              </w:rPr>
            </w:pPr>
            <w:r>
              <w:rPr>
                <w:rFonts w:ascii="Calibri" w:cs="Calibri" w:eastAsia="Calibri" w:hAnsi="Calibri"/>
                <w:sz w:val="18"/>
                <w:szCs w:val="18"/>
                <w:color w:val="auto"/>
                <w:w w:val="98"/>
              </w:rPr>
              <w:t>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1,630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Europe, Middle East and Africa</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402</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40"/>
              <w:spacing w:after="0" w:line="216" w:lineRule="exact"/>
              <w:rPr>
                <w:sz w:val="20"/>
                <w:szCs w:val="20"/>
                <w:color w:val="auto"/>
              </w:rPr>
            </w:pPr>
            <w:r>
              <w:rPr>
                <w:rFonts w:ascii="Calibri" w:cs="Calibri" w:eastAsia="Calibri" w:hAnsi="Calibri"/>
                <w:sz w:val="18"/>
                <w:szCs w:val="18"/>
                <w:color w:val="auto"/>
                <w:w w:val="98"/>
              </w:rPr>
              <w:t>40</w:t>
            </w: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994</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60" w:type="dxa"/>
            <w:vAlign w:val="bottom"/>
          </w:tcPr>
          <w:p>
            <w:pPr>
              <w:ind w:left="20"/>
              <w:spacing w:after="0" w:line="209" w:lineRule="exact"/>
              <w:rPr>
                <w:sz w:val="20"/>
                <w:szCs w:val="20"/>
                <w:color w:val="auto"/>
              </w:rPr>
            </w:pPr>
            <w:r>
              <w:rPr>
                <w:rFonts w:ascii="Calibri" w:cs="Calibri" w:eastAsia="Calibri" w:hAnsi="Calibri"/>
                <w:sz w:val="18"/>
                <w:szCs w:val="18"/>
                <w:color w:val="auto"/>
              </w:rPr>
              <w:t>Segment revenues from external customers</w:t>
            </w:r>
          </w:p>
        </w:tc>
        <w:tc>
          <w:tcPr>
            <w:tcW w:w="12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Calibri" w:cs="Calibri" w:eastAsia="Calibri" w:hAnsi="Calibri"/>
                <w:sz w:val="18"/>
                <w:szCs w:val="18"/>
                <w:color w:val="auto"/>
              </w:rPr>
              <w:t>2,673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1,388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740"/>
              <w:spacing w:after="0" w:line="209" w:lineRule="exact"/>
              <w:rPr>
                <w:sz w:val="20"/>
                <w:szCs w:val="20"/>
                <w:color w:val="auto"/>
              </w:rPr>
            </w:pPr>
            <w:r>
              <w:rPr>
                <w:rFonts w:ascii="Calibri" w:cs="Calibri" w:eastAsia="Calibri" w:hAnsi="Calibri"/>
                <w:sz w:val="18"/>
                <w:szCs w:val="18"/>
                <w:color w:val="auto"/>
                <w:w w:val="98"/>
              </w:rPr>
              <w:t>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line="209" w:lineRule="exact"/>
              <w:rPr>
                <w:sz w:val="20"/>
                <w:szCs w:val="20"/>
                <w:color w:val="auto"/>
              </w:rPr>
            </w:pPr>
            <w:r>
              <w:rPr>
                <w:rFonts w:ascii="Calibri" w:cs="Calibri" w:eastAsia="Calibri" w:hAnsi="Calibri"/>
                <w:sz w:val="18"/>
                <w:szCs w:val="18"/>
                <w:color w:val="auto"/>
              </w:rPr>
              <w:t>4,158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Unallocated and other</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163</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60" w:type="dxa"/>
            <w:vAlign w:val="bottom"/>
          </w:tcPr>
          <w:p>
            <w:pPr>
              <w:ind w:left="20"/>
              <w:spacing w:after="0" w:line="210" w:lineRule="exact"/>
              <w:rPr>
                <w:sz w:val="20"/>
                <w:szCs w:val="20"/>
                <w:color w:val="auto"/>
              </w:rPr>
            </w:pPr>
            <w:r>
              <w:rPr>
                <w:rFonts w:ascii="Calibri" w:cs="Calibri" w:eastAsia="Calibri" w:hAnsi="Calibri"/>
                <w:sz w:val="18"/>
                <w:szCs w:val="18"/>
                <w:color w:val="auto"/>
              </w:rPr>
              <w:t>Net sales and other operatng revenues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ind w:left="140"/>
              <w:spacing w:after="0" w:line="210"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0" w:lineRule="exact"/>
              <w:rPr>
                <w:sz w:val="20"/>
                <w:szCs w:val="20"/>
                <w:color w:val="auto"/>
              </w:rPr>
            </w:pPr>
            <w:r>
              <w:rPr>
                <w:rFonts w:ascii="Calibri" w:cs="Calibri" w:eastAsia="Calibri" w:hAnsi="Calibri"/>
                <w:sz w:val="18"/>
                <w:szCs w:val="18"/>
                <w:color w:val="auto"/>
              </w:rPr>
              <w:t>4,321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-3634105</wp:posOffset>
            </wp:positionV>
            <wp:extent cx="596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-3634105</wp:posOffset>
            </wp:positionV>
            <wp:extent cx="6032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-3634105</wp:posOffset>
            </wp:positionV>
            <wp:extent cx="596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-3350895</wp:posOffset>
            </wp:positionV>
            <wp:extent cx="596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-2133600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-2133600</wp:posOffset>
            </wp:positionV>
            <wp:extent cx="603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-2133600</wp:posOffset>
            </wp:positionV>
            <wp:extent cx="596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-1851025</wp:posOffset>
            </wp:positionV>
            <wp:extent cx="596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-453390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-453390</wp:posOffset>
            </wp:positionV>
            <wp:extent cx="603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-453390</wp:posOffset>
            </wp:positionV>
            <wp:extent cx="603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-453390</wp:posOffset>
            </wp:positionV>
            <wp:extent cx="596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-170815</wp:posOffset>
            </wp:positionV>
            <wp:extent cx="596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95"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Property, plant and equipment atributable to an individual country, other than the U.S. and China, were not material for disclosure. Property, plant and equipment informaton by individual country is summarized as follows:</w:t>
      </w:r>
    </w:p>
    <w:p>
      <w:pPr>
        <w:spacing w:after="0" w:line="157"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ind w:left="140"/>
              <w:spacing w:after="0"/>
              <w:rPr>
                <w:sz w:val="20"/>
                <w:szCs w:val="20"/>
                <w:color w:val="auto"/>
              </w:rPr>
            </w:pPr>
            <w:r>
              <w:rPr>
                <w:rFonts w:ascii="Calibri" w:cs="Calibri" w:eastAsia="Calibri" w:hAnsi="Calibri"/>
                <w:sz w:val="14"/>
                <w:szCs w:val="14"/>
                <w:b w:val="1"/>
                <w:bCs w:val="1"/>
                <w:color w:val="auto"/>
              </w:rPr>
              <w:t>Years Ended September 30</w:t>
            </w:r>
          </w:p>
        </w:tc>
      </w:tr>
      <w:tr>
        <w:trPr>
          <w:trHeight w:val="173"/>
        </w:trPr>
        <w:tc>
          <w:tcPr>
            <w:tcW w:w="54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Calibri" w:cs="Calibri" w:eastAsia="Calibri" w:hAnsi="Calibri"/>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8"/>
              <w:spacing w:after="0" w:line="169" w:lineRule="exact"/>
              <w:rPr>
                <w:sz w:val="20"/>
                <w:szCs w:val="20"/>
                <w:color w:val="auto"/>
              </w:rPr>
            </w:pPr>
            <w:r>
              <w:rPr>
                <w:rFonts w:ascii="Calibri" w:cs="Calibri" w:eastAsia="Calibri" w:hAnsi="Calibri"/>
                <w:sz w:val="14"/>
                <w:szCs w:val="14"/>
                <w:b w:val="1"/>
                <w:bCs w:val="1"/>
                <w:color w:val="auto"/>
              </w:rPr>
              <w:t>(In</w:t>
            </w:r>
          </w:p>
        </w:tc>
        <w:tc>
          <w:tcPr>
            <w:tcW w:w="520" w:type="dxa"/>
            <w:vAlign w:val="bottom"/>
            <w:gridSpan w:val="2"/>
          </w:tcPr>
          <w:p>
            <w:pPr>
              <w:jc w:val="right"/>
              <w:ind w:right="60"/>
              <w:spacing w:after="0" w:line="169" w:lineRule="exact"/>
              <w:rPr>
                <w:sz w:val="20"/>
                <w:szCs w:val="20"/>
                <w:color w:val="auto"/>
              </w:rPr>
            </w:pPr>
            <w:r>
              <w:rPr>
                <w:rFonts w:ascii="Calibri" w:cs="Calibri" w:eastAsia="Calibri" w:hAnsi="Calibri"/>
                <w:sz w:val="14"/>
                <w:szCs w:val="14"/>
                <w:b w:val="1"/>
                <w:bCs w:val="1"/>
                <w:color w:val="auto"/>
                <w:w w:val="87"/>
              </w:rPr>
              <w:t>millions)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40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United States</w:t>
            </w:r>
          </w:p>
        </w:tc>
        <w:tc>
          <w:tcPr>
            <w:tcW w:w="26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643</w:t>
            </w:r>
          </w:p>
        </w:tc>
        <w:tc>
          <w:tcPr>
            <w:tcW w:w="520" w:type="dxa"/>
            <w:vAlign w:val="bottom"/>
            <w:gridSpan w:val="2"/>
            <w:shd w:val="clear" w:color="auto" w:fill="CFF0FC"/>
          </w:tcPr>
          <w:p>
            <w:pPr>
              <w:jc w:val="right"/>
              <w:ind w:right="220"/>
              <w:spacing w:after="0" w:line="217"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588</w:t>
            </w:r>
          </w:p>
        </w:tc>
        <w:tc>
          <w:tcPr>
            <w:tcW w:w="80" w:type="dxa"/>
            <w:vAlign w:val="bottom"/>
            <w:shd w:val="clear" w:color="auto" w:fill="CFF0FC"/>
          </w:tcPr>
          <w:p>
            <w:pPr>
              <w:spacing w:after="0"/>
              <w:rPr>
                <w:sz w:val="19"/>
                <w:szCs w:val="19"/>
                <w:color w:val="auto"/>
              </w:rPr>
            </w:pPr>
          </w:p>
        </w:tc>
      </w:tr>
      <w:tr>
        <w:trPr>
          <w:trHeight w:val="215"/>
        </w:trPr>
        <w:tc>
          <w:tcPr>
            <w:tcW w:w="5400" w:type="dxa"/>
            <w:vAlign w:val="bottom"/>
          </w:tcPr>
          <w:p>
            <w:pPr>
              <w:spacing w:after="0" w:line="215" w:lineRule="exact"/>
              <w:rPr>
                <w:sz w:val="20"/>
                <w:szCs w:val="20"/>
                <w:color w:val="auto"/>
              </w:rPr>
            </w:pPr>
            <w:r>
              <w:rPr>
                <w:rFonts w:ascii="Calibri" w:cs="Calibri" w:eastAsia="Calibri" w:hAnsi="Calibri"/>
                <w:sz w:val="18"/>
                <w:szCs w:val="18"/>
                <w:color w:val="auto"/>
              </w:rPr>
              <w:t>China</w:t>
            </w:r>
          </w:p>
        </w:tc>
        <w:tc>
          <w:tcPr>
            <w:tcW w:w="2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371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356</w:t>
            </w:r>
          </w:p>
        </w:tc>
        <w:tc>
          <w:tcPr>
            <w:tcW w:w="80" w:type="dxa"/>
            <w:vAlign w:val="bottom"/>
          </w:tcPr>
          <w:p>
            <w:pPr>
              <w:spacing w:after="0"/>
              <w:rPr>
                <w:sz w:val="18"/>
                <w:szCs w:val="18"/>
                <w:color w:val="auto"/>
              </w:rPr>
            </w:pPr>
          </w:p>
        </w:tc>
      </w:tr>
      <w:tr>
        <w:trPr>
          <w:trHeight w:val="216"/>
        </w:trPr>
        <w:tc>
          <w:tcPr>
            <w:tcW w:w="54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Other countries</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520</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468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00" w:type="dxa"/>
            <w:vAlign w:val="bottom"/>
          </w:tcPr>
          <w:p>
            <w:pPr>
              <w:spacing w:after="0" w:line="210" w:lineRule="exact"/>
              <w:rPr>
                <w:sz w:val="20"/>
                <w:szCs w:val="20"/>
                <w:color w:val="auto"/>
              </w:rPr>
            </w:pPr>
            <w:r>
              <w:rPr>
                <w:rFonts w:ascii="Calibri" w:cs="Calibri" w:eastAsia="Calibri" w:hAnsi="Calibri"/>
                <w:sz w:val="18"/>
                <w:szCs w:val="18"/>
                <w:color w:val="auto"/>
              </w:rPr>
              <w:t>Total</w:t>
            </w:r>
          </w:p>
        </w:tc>
        <w:tc>
          <w:tcPr>
            <w:tcW w:w="26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1,534</w:t>
            </w:r>
          </w:p>
        </w:tc>
        <w:tc>
          <w:tcPr>
            <w:tcW w:w="52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0" w:lineRule="exact"/>
              <w:rPr>
                <w:sz w:val="20"/>
                <w:szCs w:val="20"/>
                <w:color w:val="auto"/>
              </w:rPr>
            </w:pPr>
            <w:r>
              <w:rPr>
                <w:rFonts w:ascii="Calibri" w:cs="Calibri" w:eastAsia="Calibri" w:hAnsi="Calibri"/>
                <w:sz w:val="18"/>
                <w:szCs w:val="18"/>
                <w:color w:val="auto"/>
              </w:rPr>
              <w:t>1,412</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W. Subsequent Event</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July 19, 2024, Cabot entered into agreements to purchase certain assets and to license the related technology, which the Company expects to use in its manufacturing of certain products for its Batery Materials product line. Under these agreements, the Company paid $27 million at closing, which occurred in October 2024.</w:t>
      </w:r>
    </w:p>
    <w:p>
      <w:pPr>
        <w:spacing w:after="0" w:line="214"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62" w:right="459" w:bottom="1440" w:gutter="0" w:footer="0" w:header="0"/>
        </w:sectPr>
      </w:pPr>
    </w:p>
    <w:bookmarkStart w:id="83" w:name="page84"/>
    <w:bookmarkEnd w:id="83"/>
    <w:p>
      <w:pPr>
        <w:spacing w:after="0"/>
        <w:rPr>
          <w:sz w:val="20"/>
          <w:szCs w:val="20"/>
          <w:color w:val="auto"/>
        </w:rPr>
      </w:pPr>
      <w:r>
        <w:rPr>
          <w:rFonts w:ascii="Calibri" w:cs="Calibri" w:eastAsia="Calibri" w:hAnsi="Calibri"/>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the Board of Directors of Cabot Corporaton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have audited the accompanying consolidated balance sheets of Cabot Corporaton and subsidiaries (the "Company") as of September 30, 2024 and 2023, the related consolidated statements of operatons, comprehensive income, stockholders' equity, and cash fows, for each of the three years in the period ended September 30, 2024, and the related notes (collectvely referred to as the "fnancial statements"). In our opinion, the fnancial statements present fairly, in all material respects, the fnancial positon of the Company as of September 30, 2024 and 2023, and the results of its operatons and its cash fows for each of the three years in the period ended September 30, 2024, in conformity with accountng principles generally accepted in the United States of America.</w:t>
      </w:r>
    </w:p>
    <w:p>
      <w:pPr>
        <w:spacing w:after="0" w:line="1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also audited, in accordance with the standards of the Public Company Accountng Oversight Board (United States) (PCAOB), the Company's internal control over fnancial reportng as of September 30, 2024, based on criteria established in Internal Control — Integrated Framework (2013) issued by the Commitee of Sponsoring Organizatons of the Treadway Commission and our report dated November 20, 2024, expressed an unqualifed opinion on the Company's internal control over fnancial reportng.</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6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critcal audit maters does not alter in any way our opinion on the fnancial statements, taken as a whole, and we are not, by communicatng the critcal audit maters below, providing a separate opinion on the critcal audit maters or on the accounts or disclosures to which it relates.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Commitments and Contngencies — CWP Respirator Liabilites — Refer to Note T to the consolidated fnancial statements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Critcal Audit Mater Descripton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exposure in connecton with a safety respiratory products business previously owned by one of its subsidiaries. The respirator liabilites involve claims for personal injury, including asbestosis, silicosis and coal worker’s pneumoconiosis (“CWP”).</w:t>
      </w:r>
    </w:p>
    <w:p>
      <w:pPr>
        <w:spacing w:after="0" w:line="218"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identfed CWP respirator liabilites, which are part of the total respirator liabilites, as a critcal audit mater because there is signifcant uncertainty related to the number of future claims and the estmate of the cost to resolve pending and future claims. Audit procedures around CWP respirator liabilites required a high degree of auditor judgment and an increased extent of efort and specialized skill, including the need to involve our actuarial specialists.</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How the Critcal Audit Mater Was Addressed in the Audit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Our audit procedures related to respirator liabilites included the following, among others: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4" w:name="page85"/>
    <w:bookmarkEnd w:id="84"/>
    <w:p>
      <w:pPr>
        <w:ind w:left="102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tested the efectveness of controls over management’s review of the determinaton of the CWP respirator liabilites, and the assumptons and data utlized by management.</w:t>
      </w:r>
    </w:p>
    <w:p>
      <w:pPr>
        <w:spacing w:after="0" w:line="339"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evaluated the method and assumptons used by management to estmate the CWP respirator liabilites by utlizing our actuarial specialists to assist with the calculaton of an independent estmate of the CWP respirator liabilites, and comparing our estmate to the Company’s estmate.</w:t>
      </w:r>
    </w:p>
    <w:p>
      <w:pPr>
        <w:spacing w:after="0" w:line="3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assessed the appropriateness of the disclosures in the fnancial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35" w:lineRule="auto"/>
        <w:rPr>
          <w:sz w:val="20"/>
          <w:szCs w:val="20"/>
          <w:color w:val="auto"/>
        </w:rPr>
      </w:pPr>
      <w:r>
        <w:rPr>
          <w:rFonts w:ascii="Calibri" w:cs="Calibri" w:eastAsia="Calibri" w:hAnsi="Calibri"/>
          <w:sz w:val="18"/>
          <w:szCs w:val="18"/>
          <w:color w:val="auto"/>
        </w:rPr>
        <w:t>November 20,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2007.</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5" w:name="page86"/>
    <w:bookmarkEnd w:id="85"/>
    <w:p>
      <w:pPr>
        <w:spacing w:after="0"/>
        <w:rPr>
          <w:sz w:val="20"/>
          <w:szCs w:val="20"/>
          <w:color w:val="auto"/>
        </w:rPr>
      </w:pPr>
      <w:r>
        <w:rPr>
          <w:rFonts w:ascii="Calibri" w:cs="Calibri" w:eastAsia="Calibri" w:hAnsi="Calibri"/>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the Board of Directors of Cabot Corporaton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Internal Control over Financial Reportng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have audited the internal control over fnancial reportng of Cabot Corporaton and subsidiaries (the “Company”) as of September 30, 2024, based on criteria established in </w:t>
      </w:r>
      <w:r>
        <w:rPr>
          <w:rFonts w:ascii="Calibri" w:cs="Calibri" w:eastAsia="Calibri" w:hAnsi="Calibri"/>
          <w:sz w:val="18"/>
          <w:szCs w:val="18"/>
          <w:i w:val="1"/>
          <w:iCs w:val="1"/>
          <w:color w:val="auto"/>
        </w:rPr>
        <w:t>Internal Control — Integrated Framework (2013)</w:t>
      </w:r>
      <w:r>
        <w:rPr>
          <w:rFonts w:ascii="Calibri" w:cs="Calibri" w:eastAsia="Calibri" w:hAnsi="Calibri"/>
          <w:sz w:val="18"/>
          <w:szCs w:val="18"/>
          <w:color w:val="auto"/>
        </w:rPr>
        <w:t xml:space="preserve"> issued by the Commitee of Sponsoring Organizatons of the Treadway Commission (COSO). In our opinion, the Company maintained, in all material respects, efectve internal control over fnancial reportng as of September 30, 2024, based on criteria established in </w:t>
      </w:r>
      <w:r>
        <w:rPr>
          <w:rFonts w:ascii="Calibri" w:cs="Calibri" w:eastAsia="Calibri" w:hAnsi="Calibri"/>
          <w:sz w:val="18"/>
          <w:szCs w:val="18"/>
          <w:i w:val="1"/>
          <w:iCs w:val="1"/>
          <w:color w:val="auto"/>
        </w:rPr>
        <w:t>Internal Control — Integrated Framework (2013)</w:t>
      </w:r>
      <w:r>
        <w:rPr>
          <w:rFonts w:ascii="Calibri" w:cs="Calibri" w:eastAsia="Calibri" w:hAnsi="Calibri"/>
          <w:sz w:val="18"/>
          <w:szCs w:val="18"/>
          <w:color w:val="auto"/>
        </w:rPr>
        <w:t xml:space="preserve"> issued by COSO.</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also audited, in accordance with the standards of the Public Company Accountng Oversight Board (United States) (PCAOB), the consolidated fnancial statements as of and for the year ended September 30, 2024, of the Company and our report dated November 20, 2024, expressed an unqualifed opinion on those fnancial statements.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management is responsible for maintaining efectve internal control over fnancial reportng and for its assessment of the efectveness of internal control over fnancial reportng, included in the accompanying </w:t>
      </w:r>
      <w:r>
        <w:rPr>
          <w:rFonts w:ascii="Calibri" w:cs="Calibri" w:eastAsia="Calibri" w:hAnsi="Calibri"/>
          <w:sz w:val="18"/>
          <w:szCs w:val="18"/>
          <w:i w:val="1"/>
          <w:iCs w:val="1"/>
          <w:color w:val="auto"/>
        </w:rPr>
        <w:t>Management’s Annual Report on Internal Control Over Financial Reportng</w:t>
      </w:r>
      <w:r>
        <w:rPr>
          <w:rFonts w:ascii="Calibri" w:cs="Calibri" w:eastAsia="Calibri" w:hAnsi="Calibri"/>
          <w:sz w:val="18"/>
          <w:szCs w:val="18"/>
          <w:color w:val="auto"/>
        </w:rPr>
        <w:t>.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 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and Limitatons of Internal Control over Financial Reportng</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35" w:lineRule="auto"/>
        <w:rPr>
          <w:sz w:val="20"/>
          <w:szCs w:val="20"/>
          <w:color w:val="auto"/>
        </w:rPr>
      </w:pPr>
      <w:r>
        <w:rPr>
          <w:rFonts w:ascii="Calibri" w:cs="Calibri" w:eastAsia="Calibri" w:hAnsi="Calibri"/>
          <w:sz w:val="18"/>
          <w:szCs w:val="18"/>
          <w:color w:val="auto"/>
        </w:rPr>
        <w:t>November 20, 2024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6" w:name="page87"/>
    <w:bookmarkEnd w:id="86"/>
    <w:p>
      <w:pPr>
        <w:ind w:left="5380"/>
        <w:spacing w:after="0"/>
        <w:rPr>
          <w:sz w:val="20"/>
          <w:szCs w:val="20"/>
          <w:color w:val="auto"/>
        </w:rPr>
      </w:pPr>
      <w:r>
        <w:rPr>
          <w:rFonts w:ascii="Calibri" w:cs="Calibri" w:eastAsia="Calibri" w:hAnsi="Calibri"/>
          <w:sz w:val="18"/>
          <w:szCs w:val="18"/>
          <w:b w:val="1"/>
          <w:bCs w:val="1"/>
          <w:color w:val="auto"/>
        </w:rPr>
        <w:t>PART II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 </w:t>
      </w:r>
      <w:r>
        <w:rPr>
          <w:rFonts w:ascii="Calibri" w:cs="Calibri" w:eastAsia="Calibri" w:hAnsi="Calibri"/>
          <w:sz w:val="18"/>
          <w:szCs w:val="18"/>
          <w:b w:val="1"/>
          <w:bCs w:val="1"/>
          <w:i w:val="1"/>
          <w:iCs w:val="1"/>
          <w:color w:val="auto"/>
        </w:rPr>
        <w:t>Changes in and Disagreements with Accountants on Accountng and Financial Disclosure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9A. </w:t>
      </w:r>
      <w:r>
        <w:rPr>
          <w:rFonts w:ascii="Calibri" w:cs="Calibri" w:eastAsia="Calibri" w:hAnsi="Calibri"/>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Disclosure Controls and Procedures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carried out an evaluaton, under the supervision and with the partcipaton of its management, including its principal executve ofcer and its principal fnancial ofcer, of the efectveness of the Company’s disclosure controls and procedures pursuant to Rule 13a-15 under the Securites Exchange Act of 1934, as amended (the “Exchange Act”), as of September 30, 2024. Based on that evaluaton, Cabot’s principal executve ofcer and its principal fnancial ofcer concluded that the Company’s disclosure controls and procedures are efectve with respect to the recording, processing, summarizing and reportng, within the tme periods specifed in the Securites and Exchange Commission’s rules and forms, of informaton required to be disclosed by the Company in the reports that it fles or submits under the Exchange Act and such informaton is accumulated and communicated to management to allow tmely decisions regarding required disclosure.</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Cabot’s management is responsible for establishing and maintaining adequate internal control over fnancial reportng for Cabot. Internal control over fnancial reportng is defned in Rules 13a-15(f) and 15d-15(f) under the Exchange Act as a process designed by, or under the supervision of, a company’s principal executve and principal fnancial ofcers, and efected by the company’s board of directors, management and other personnel, to provide reasonable assurance regarding the reliability of fnancial reportng and the preparaton of fnancial statements for external purposes in accordance with generally accepted accountng principles and includes those policies and procedures that:</w:t>
      </w:r>
    </w:p>
    <w:p>
      <w:pPr>
        <w:spacing w:after="0" w:line="99" w:lineRule="exact"/>
        <w:rPr>
          <w:sz w:val="20"/>
          <w:szCs w:val="20"/>
          <w:color w:val="auto"/>
        </w:rPr>
      </w:pPr>
    </w:p>
    <w:p>
      <w:pPr>
        <w:ind w:left="1020" w:right="26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Pertain to the maintenance of records that in reasonable detail accurately and fairly refect the transactons and dispositons of the assets of the company;</w:t>
      </w:r>
    </w:p>
    <w:p>
      <w:pPr>
        <w:spacing w:after="0" w:line="96" w:lineRule="exact"/>
        <w:rPr>
          <w:rFonts w:ascii="Times New Roman" w:cs="Times New Roman" w:eastAsia="Times New Roman" w:hAnsi="Times New Roman"/>
          <w:sz w:val="18"/>
          <w:szCs w:val="18"/>
          <w:color w:val="auto"/>
        </w:rPr>
      </w:pPr>
    </w:p>
    <w:p>
      <w:pPr>
        <w:ind w:left="1020" w:right="34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w:t>
      </w:r>
    </w:p>
    <w:p>
      <w:pPr>
        <w:spacing w:after="0" w:line="97"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reasonable assurance regarding preventon or tmely detecton of unauthorized acquisiton, use or dispositon of the company’s assets that could have a material efect on the fnancial statements.</w:t>
      </w:r>
    </w:p>
    <w:p>
      <w:pPr>
        <w:spacing w:after="0" w:line="83"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the efectveness to future periods are subject to the risk that controls may become inadequate because of changes in conditons, or that the degree of compliance with policies or procedures may deteriorate.</w:t>
      </w:r>
    </w:p>
    <w:p>
      <w:pPr>
        <w:spacing w:after="0" w:line="84" w:lineRule="exact"/>
        <w:rPr>
          <w:sz w:val="20"/>
          <w:szCs w:val="20"/>
          <w:color w:val="auto"/>
        </w:rPr>
      </w:pPr>
    </w:p>
    <w:p>
      <w:pPr>
        <w:ind w:right="60" w:firstLine="509"/>
        <w:spacing w:after="0" w:line="254" w:lineRule="auto"/>
        <w:rPr>
          <w:sz w:val="20"/>
          <w:szCs w:val="20"/>
          <w:color w:val="auto"/>
        </w:rPr>
      </w:pPr>
      <w:r>
        <w:rPr>
          <w:rFonts w:ascii="Calibri" w:cs="Calibri" w:eastAsia="Calibri" w:hAnsi="Calibri"/>
          <w:sz w:val="17"/>
          <w:szCs w:val="17"/>
          <w:color w:val="auto"/>
        </w:rPr>
        <w:t xml:space="preserve">Cabot’s management assessed the efectveness of Cabot’s internal control over fnancial reportng as of September 30, 2024 based on the framework established in </w:t>
      </w:r>
      <w:r>
        <w:rPr>
          <w:rFonts w:ascii="Calibri" w:cs="Calibri" w:eastAsia="Calibri" w:hAnsi="Calibri"/>
          <w:sz w:val="17"/>
          <w:szCs w:val="17"/>
          <w:i w:val="1"/>
          <w:iCs w:val="1"/>
          <w:color w:val="auto"/>
        </w:rPr>
        <w:t>Internal Control—Integrated Framework (2013)</w:t>
      </w:r>
      <w:r>
        <w:rPr>
          <w:rFonts w:ascii="Calibri" w:cs="Calibri" w:eastAsia="Calibri" w:hAnsi="Calibri"/>
          <w:sz w:val="17"/>
          <w:szCs w:val="17"/>
          <w:color w:val="auto"/>
        </w:rPr>
        <w:t xml:space="preserve"> issued by the Commitee of Sponsoring Organizatons of the Treadway Commission (COSO). Based on this assessment, Cabot’s management concluded that Cabot’s internal control over fnancial reportng was efectve as of September 30, 2024.</w:t>
      </w:r>
    </w:p>
    <w:p>
      <w:pPr>
        <w:spacing w:after="0" w:line="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Cabot’s internal control over fnancial reportng as of September 30, 2024 has been audited by Deloite &amp; Touche LLP, an independent registered public accountng frm, as stated in their report above.</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There were no changes in the Company’s internal control over fnancial reportng that occurred during the Company’s fscal quarter ending September 30, 2024 that have materially afected, or are reasonably likely to materially afect, the Company’s internal control over fnancial reportng.</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9B. </w:t>
      </w:r>
      <w:r>
        <w:rPr>
          <w:rFonts w:ascii="Calibri" w:cs="Calibri" w:eastAsia="Calibri" w:hAnsi="Calibri"/>
          <w:sz w:val="18"/>
          <w:szCs w:val="18"/>
          <w:b w:val="1"/>
          <w:bCs w:val="1"/>
          <w:i w:val="1"/>
          <w:iCs w:val="1"/>
          <w:color w:val="auto"/>
        </w:rPr>
        <w:t>Other Informaton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 During our fscal quarter ended September 30, 2024, none of our directors or ofcers (as defned in Rule 16a-1(f) under the Securites Exchange Act of 1934, as amended) entered into, modifed (as to amount, price or tming of trades) or terminated (i) contracts, instructons or writen plans for the purchase or sale of our securites that are intended to satsfy the conditons specifed in Rule 10b5-1(c) under the Exchange Act for an afrmatve defense against liability for trading in securites on the basis of material nonpublic informaton or (ii) non-Rule 10b5-1 trading arrangements (as defned in Item 408(c) of Regulaton S-K).</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9C. </w:t>
      </w:r>
      <w:r>
        <w:rPr>
          <w:rFonts w:ascii="Calibri" w:cs="Calibri" w:eastAsia="Calibri" w:hAnsi="Calibri"/>
          <w:sz w:val="18"/>
          <w:szCs w:val="18"/>
          <w:b w:val="1"/>
          <w:bCs w:val="1"/>
          <w:i w:val="1"/>
          <w:iCs w:val="1"/>
          <w:color w:val="auto"/>
        </w:rPr>
        <w:t>Disclosure Regarding Foreign Jurisdictons that Prevent Inspectons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7" w:name="page88"/>
    <w:bookmarkEnd w:id="87"/>
    <w:p>
      <w:pPr>
        <w:jc w:val="center"/>
        <w:spacing w:after="0"/>
        <w:rPr>
          <w:sz w:val="20"/>
          <w:szCs w:val="20"/>
          <w:color w:val="auto"/>
        </w:rPr>
      </w:pPr>
      <w:r>
        <w:rPr>
          <w:rFonts w:ascii="Calibri" w:cs="Calibri" w:eastAsia="Calibri" w:hAnsi="Calibri"/>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10. </w:t>
      </w:r>
      <w:r>
        <w:rPr>
          <w:rFonts w:ascii="Calibri" w:cs="Calibri" w:eastAsia="Calibri" w:hAnsi="Calibri"/>
          <w:sz w:val="18"/>
          <w:szCs w:val="18"/>
          <w:b w:val="1"/>
          <w:bCs w:val="1"/>
          <w:i w:val="1"/>
          <w:iCs w:val="1"/>
          <w:color w:val="auto"/>
        </w:rPr>
        <w:t>Directors, Executve Oficers and Corporate Governance</w:t>
      </w:r>
    </w:p>
    <w:p>
      <w:pPr>
        <w:spacing w:after="0" w:line="82"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Certain informaton regarding our executve ofcers is included at the end of Part I of this annual report under the heading “Informaton about our Executve Ofcers.”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has adopted a Code of Business Ethics that applies to all of the Company’s employees and directors, including the Chief Executve Ofcer, the Chief Financial Ofcer, the Controller and other senior fnancial ofcers. The Code of Business Ethics is posted on our website, www.cabotcorp.com (under the “About Cabot” capton under “Company”). We intend to satsfy the disclosure requirement regarding any amendment to, or waiver of, a provision of the Code of Business Ethics applicable to the Chief Executve Ofcer, the Chief Financial Ofcer, the Controller or other senior fnancial ofcers by postng such informaton on our website.</w:t>
      </w:r>
    </w:p>
    <w:p>
      <w:pPr>
        <w:spacing w:after="0" w:line="8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other informaton required by this item will be included in our Proxy Statement for the 2025 Annual Meetng of Stockholders (“Proxy Statement”) and is herein incorporated by reference.</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11. </w:t>
      </w:r>
      <w:r>
        <w:rPr>
          <w:rFonts w:ascii="Calibri" w:cs="Calibri" w:eastAsia="Calibri" w:hAnsi="Calibri"/>
          <w:sz w:val="18"/>
          <w:szCs w:val="18"/>
          <w:b w:val="1"/>
          <w:bCs w:val="1"/>
          <w:i w:val="1"/>
          <w:iCs w:val="1"/>
          <w:color w:val="auto"/>
        </w:rPr>
        <w:t>Executve Compensaton</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12. </w:t>
      </w:r>
      <w:r>
        <w:rPr>
          <w:rFonts w:ascii="Calibri" w:cs="Calibri" w:eastAsia="Calibri" w:hAnsi="Calibri"/>
          <w:sz w:val="18"/>
          <w:szCs w:val="18"/>
          <w:b w:val="1"/>
          <w:bCs w:val="1"/>
          <w:i w:val="1"/>
          <w:iCs w:val="1"/>
          <w:color w:val="auto"/>
        </w:rPr>
        <w:t>Security Ownership of Certain Benefcial Owners and Management and Related Stockholder Maters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13. </w:t>
      </w:r>
      <w:r>
        <w:rPr>
          <w:rFonts w:ascii="Calibri" w:cs="Calibri" w:eastAsia="Calibri" w:hAnsi="Calibri"/>
          <w:sz w:val="18"/>
          <w:szCs w:val="18"/>
          <w:b w:val="1"/>
          <w:bCs w:val="1"/>
          <w:i w:val="1"/>
          <w:iCs w:val="1"/>
          <w:color w:val="auto"/>
        </w:rPr>
        <w:t>Certain Relatonships and Related Transactons, and Director Independence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14. </w:t>
      </w:r>
      <w:r>
        <w:rPr>
          <w:rFonts w:ascii="Calibri" w:cs="Calibri" w:eastAsia="Calibri" w:hAnsi="Calibri"/>
          <w:sz w:val="18"/>
          <w:szCs w:val="18"/>
          <w:b w:val="1"/>
          <w:bCs w:val="1"/>
          <w:i w:val="1"/>
          <w:iCs w:val="1"/>
          <w:color w:val="auto"/>
        </w:rPr>
        <w:t>Principal Accountng Fees and Services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2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15. </w:t>
      </w:r>
      <w:r>
        <w:rPr>
          <w:rFonts w:ascii="Calibri" w:cs="Calibri" w:eastAsia="Calibri" w:hAnsi="Calibri"/>
          <w:sz w:val="18"/>
          <w:szCs w:val="18"/>
          <w:b w:val="1"/>
          <w:bCs w:val="1"/>
          <w:i w:val="1"/>
          <w:iCs w:val="1"/>
          <w:color w:val="auto"/>
        </w:rPr>
        <w:t>Exhibits, Financial Statement Schedules</w:t>
      </w:r>
    </w:p>
    <w:p>
      <w:pPr>
        <w:spacing w:after="0" w:line="77" w:lineRule="exact"/>
        <w:rPr>
          <w:sz w:val="20"/>
          <w:szCs w:val="20"/>
          <w:color w:val="auto"/>
        </w:rPr>
      </w:pPr>
    </w:p>
    <w:p>
      <w:pPr>
        <w:ind w:left="520" w:hanging="512"/>
        <w:spacing w:after="0"/>
        <w:tabs>
          <w:tab w:leader="none" w:pos="520" w:val="left"/>
        </w:tabs>
        <w:numPr>
          <w:ilvl w:val="0"/>
          <w:numId w:val="30"/>
        </w:numPr>
        <w:rPr>
          <w:rFonts w:ascii="Calibri" w:cs="Calibri" w:eastAsia="Calibri" w:hAnsi="Calibri"/>
          <w:sz w:val="18"/>
          <w:szCs w:val="18"/>
          <w:color w:val="auto"/>
        </w:rPr>
      </w:pPr>
      <w:r>
        <w:rPr>
          <w:rFonts w:ascii="Calibri" w:cs="Calibri" w:eastAsia="Calibri" w:hAnsi="Calibri"/>
          <w:sz w:val="18"/>
          <w:szCs w:val="18"/>
          <w:i w:val="1"/>
          <w:iCs w:val="1"/>
          <w:color w:val="auto"/>
        </w:rPr>
        <w:t>Financial Statements</w:t>
      </w:r>
      <w:r>
        <w:rPr>
          <w:rFonts w:ascii="Calibri" w:cs="Calibri" w:eastAsia="Calibri" w:hAnsi="Calibri"/>
          <w:sz w:val="18"/>
          <w:szCs w:val="18"/>
          <w:color w:val="auto"/>
        </w:rPr>
        <w:t>.</w:t>
      </w:r>
    </w:p>
    <w:p>
      <w:pPr>
        <w:spacing w:after="0" w:line="77" w:lineRule="exact"/>
        <w:rPr>
          <w:rFonts w:ascii="Calibri" w:cs="Calibri" w:eastAsia="Calibri" w:hAnsi="Calibri"/>
          <w:sz w:val="18"/>
          <w:szCs w:val="18"/>
          <w:color w:val="auto"/>
        </w:rPr>
      </w:pPr>
    </w:p>
    <w:p>
      <w:pPr>
        <w:ind w:left="520"/>
        <w:spacing w:after="0"/>
        <w:rPr>
          <w:rFonts w:ascii="Calibri" w:cs="Calibri" w:eastAsia="Calibri" w:hAnsi="Calibri"/>
          <w:sz w:val="18"/>
          <w:szCs w:val="18"/>
          <w:color w:val="auto"/>
        </w:rPr>
      </w:pPr>
      <w:r>
        <w:rPr>
          <w:rFonts w:ascii="Calibri" w:cs="Calibri" w:eastAsia="Calibri" w:hAnsi="Calibri"/>
          <w:sz w:val="18"/>
          <w:szCs w:val="18"/>
          <w:color w:val="auto"/>
        </w:rPr>
        <w:t>See “Index to Financial Statements” under Item 8 of this Form 10-K.</w:t>
      </w:r>
    </w:p>
    <w:p>
      <w:pPr>
        <w:spacing w:after="0" w:line="77" w:lineRule="exact"/>
        <w:rPr>
          <w:rFonts w:ascii="Calibri" w:cs="Calibri" w:eastAsia="Calibri" w:hAnsi="Calibri"/>
          <w:sz w:val="18"/>
          <w:szCs w:val="18"/>
          <w:color w:val="auto"/>
        </w:rPr>
      </w:pPr>
    </w:p>
    <w:p>
      <w:pPr>
        <w:ind w:left="520" w:hanging="512"/>
        <w:spacing w:after="0"/>
        <w:tabs>
          <w:tab w:leader="none" w:pos="520" w:val="left"/>
        </w:tabs>
        <w:numPr>
          <w:ilvl w:val="0"/>
          <w:numId w:val="30"/>
        </w:numPr>
        <w:rPr>
          <w:rFonts w:ascii="Calibri" w:cs="Calibri" w:eastAsia="Calibri" w:hAnsi="Calibri"/>
          <w:sz w:val="18"/>
          <w:szCs w:val="18"/>
          <w:color w:val="auto"/>
        </w:rPr>
      </w:pPr>
      <w:r>
        <w:rPr>
          <w:rFonts w:ascii="Calibri" w:cs="Calibri" w:eastAsia="Calibri" w:hAnsi="Calibri"/>
          <w:sz w:val="18"/>
          <w:szCs w:val="18"/>
          <w:i w:val="1"/>
          <w:iCs w:val="1"/>
          <w:color w:val="auto"/>
        </w:rPr>
        <w:t>Schedules</w:t>
      </w:r>
      <w:r>
        <w:rPr>
          <w:rFonts w:ascii="Calibri" w:cs="Calibri" w:eastAsia="Calibri" w:hAnsi="Calibri"/>
          <w:sz w:val="18"/>
          <w:szCs w:val="18"/>
          <w:color w:val="auto"/>
        </w:rPr>
        <w:t>.</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Schedules have been omited since the required informaton is not applicable or is not present in amounts sufcient to require submission of the schedule, or because the informaton required is included in the consolidated fnancial statements and notes thereto included in this Form 10-K.</w:t>
      </w:r>
    </w:p>
    <w:p>
      <w:pPr>
        <w:spacing w:after="0" w:line="78" w:lineRule="exact"/>
        <w:rPr>
          <w:sz w:val="20"/>
          <w:szCs w:val="20"/>
          <w:color w:val="auto"/>
        </w:rPr>
      </w:pPr>
    </w:p>
    <w:p>
      <w:pPr>
        <w:ind w:left="520" w:hanging="512"/>
        <w:spacing w:after="0"/>
        <w:tabs>
          <w:tab w:leader="none" w:pos="520" w:val="left"/>
        </w:tabs>
        <w:numPr>
          <w:ilvl w:val="0"/>
          <w:numId w:val="31"/>
        </w:numPr>
        <w:rPr>
          <w:rFonts w:ascii="Calibri" w:cs="Calibri" w:eastAsia="Calibri" w:hAnsi="Calibri"/>
          <w:sz w:val="18"/>
          <w:szCs w:val="18"/>
          <w:color w:val="auto"/>
        </w:rPr>
      </w:pPr>
      <w:r>
        <w:rPr>
          <w:rFonts w:ascii="Calibri" w:cs="Calibri" w:eastAsia="Calibri" w:hAnsi="Calibri"/>
          <w:sz w:val="18"/>
          <w:szCs w:val="18"/>
          <w:i w:val="1"/>
          <w:iCs w:val="1"/>
          <w:color w:val="auto"/>
        </w:rPr>
        <w:t>Exhibits</w:t>
      </w:r>
      <w:r>
        <w:rPr>
          <w:rFonts w:ascii="Calibri" w:cs="Calibri" w:eastAsia="Calibri" w:hAnsi="Calibri"/>
          <w:sz w:val="18"/>
          <w:szCs w:val="18"/>
          <w:color w:val="auto"/>
        </w:rPr>
        <w:t>. (Certain exhibits not included in copies of the Form 10-K sent to stockholders.)</w:t>
      </w:r>
    </w:p>
    <w:p>
      <w:pPr>
        <w:spacing w:after="0" w:line="82"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The exhibit numbers in the Exhibit Index correspond to the numbers assigned to such exhibits in the Exhibit Table of Item 601 of Regulaton S-K. Cabot will furnish to any stockholder, upon writen request, any exhibit listed in the Exhibit Index, upon payment by such stockholder of the Company’s reasonable expenses in furnishing such exhibit.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ind w:left="140"/>
              <w:spacing w:after="0"/>
              <w:rPr>
                <w:sz w:val="20"/>
                <w:szCs w:val="20"/>
                <w:color w:val="auto"/>
              </w:rPr>
            </w:pPr>
            <w:r>
              <w:rPr>
                <w:rFonts w:ascii="Calibri" w:cs="Calibri" w:eastAsia="Calibri" w:hAnsi="Calibri"/>
                <w:sz w:val="18"/>
                <w:szCs w:val="18"/>
                <w:b w:val="1"/>
                <w:bCs w:val="1"/>
                <w:color w:val="auto"/>
              </w:rPr>
              <w:t>Exhibit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Number</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740" w:type="dxa"/>
            <w:vAlign w:val="bottom"/>
            <w:gridSpan w:val="3"/>
          </w:tcPr>
          <w:p>
            <w:pPr>
              <w:ind w:left="340"/>
              <w:spacing w:after="0" w:line="216" w:lineRule="exact"/>
              <w:rPr>
                <w:sz w:val="20"/>
                <w:szCs w:val="20"/>
                <w:color w:val="auto"/>
              </w:rPr>
            </w:pPr>
            <w:r>
              <w:rPr>
                <w:rFonts w:ascii="Calibri" w:cs="Calibri" w:eastAsia="Calibri" w:hAnsi="Calibri"/>
                <w:sz w:val="18"/>
                <w:szCs w:val="18"/>
                <w:b w:val="1"/>
                <w:bCs w:val="1"/>
                <w:color w:val="auto"/>
              </w:rPr>
              <w:t>Descripton</w:t>
            </w: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60" w:type="dxa"/>
            <w:vAlign w:val="bottom"/>
            <w:tcBorders>
              <w:bottom w:val="single" w:sz="8" w:color="0000FF"/>
            </w:tcBorders>
            <w:gridSpan w:val="5"/>
          </w:tcPr>
          <w:p>
            <w:pPr>
              <w:spacing w:after="0"/>
              <w:rPr>
                <w:rFonts w:ascii="Calibri" w:cs="Calibri" w:eastAsia="Calibri" w:hAnsi="Calibri"/>
                <w:sz w:val="18"/>
                <w:szCs w:val="18"/>
                <w:color w:val="0000FF"/>
              </w:rPr>
            </w:pPr>
            <w:hyperlink r:id="rId561">
              <w:r>
                <w:rPr>
                  <w:rFonts w:ascii="Calibri" w:cs="Calibri" w:eastAsia="Calibri" w:hAnsi="Calibri"/>
                  <w:sz w:val="18"/>
                  <w:szCs w:val="18"/>
                  <w:color w:val="0000FF"/>
                </w:rPr>
                <w:t>Restated Certfcate of Incorporaton of Cabot Corporaton efectve January 9, 2009 (incorporated herein by reference to Exhibit 3.1 of</w:t>
              </w:r>
            </w:hyperlink>
          </w:p>
        </w:tc>
        <w:tc>
          <w:tcPr>
            <w:tcW w:w="0" w:type="dxa"/>
            <w:vAlign w:val="bottom"/>
          </w:tcPr>
          <w:p>
            <w:pPr>
              <w:spacing w:after="0"/>
              <w:rPr>
                <w:sz w:val="1"/>
                <w:szCs w:val="1"/>
                <w:color w:val="auto"/>
              </w:rPr>
            </w:pPr>
          </w:p>
        </w:tc>
      </w:tr>
      <w:tr>
        <w:trPr>
          <w:trHeight w:val="196"/>
        </w:trPr>
        <w:tc>
          <w:tcPr>
            <w:tcW w:w="1040" w:type="dxa"/>
            <w:vAlign w:val="bottom"/>
          </w:tcPr>
          <w:p>
            <w:pPr>
              <w:ind w:left="440"/>
              <w:spacing w:after="0" w:line="196" w:lineRule="exact"/>
              <w:rPr>
                <w:sz w:val="20"/>
                <w:szCs w:val="20"/>
                <w:color w:val="auto"/>
              </w:rPr>
            </w:pPr>
            <w:r>
              <w:rPr>
                <w:rFonts w:ascii="Calibri" w:cs="Calibri" w:eastAsia="Calibri" w:hAnsi="Calibri"/>
                <w:sz w:val="18"/>
                <w:szCs w:val="18"/>
                <w:color w:val="auto"/>
              </w:rPr>
              <w:t>3(a)</w:t>
            </w:r>
          </w:p>
        </w:tc>
        <w:tc>
          <w:tcPr>
            <w:tcW w:w="140" w:type="dxa"/>
            <w:vAlign w:val="bottom"/>
          </w:tcPr>
          <w:p>
            <w:pPr>
              <w:spacing w:after="0"/>
              <w:rPr>
                <w:sz w:val="17"/>
                <w:szCs w:val="17"/>
                <w:color w:val="auto"/>
              </w:rPr>
            </w:pPr>
          </w:p>
        </w:tc>
        <w:tc>
          <w:tcPr>
            <w:tcW w:w="10040" w:type="dxa"/>
            <w:vAlign w:val="bottom"/>
            <w:tcBorders>
              <w:bottom w:val="single" w:sz="8" w:color="0000FF"/>
            </w:tcBorders>
            <w:gridSpan w:val="4"/>
          </w:tcPr>
          <w:p>
            <w:pPr>
              <w:spacing w:after="0" w:line="196" w:lineRule="exact"/>
              <w:rPr>
                <w:rFonts w:ascii="Calibri" w:cs="Calibri" w:eastAsia="Calibri" w:hAnsi="Calibri"/>
                <w:sz w:val="18"/>
                <w:szCs w:val="18"/>
                <w:color w:val="0000FF"/>
              </w:rPr>
            </w:pPr>
            <w:hyperlink r:id="rId561">
              <w:r>
                <w:rPr>
                  <w:rFonts w:ascii="Calibri" w:cs="Calibri" w:eastAsia="Calibri" w:hAnsi="Calibri"/>
                  <w:sz w:val="18"/>
                  <w:szCs w:val="18"/>
                  <w:color w:val="0000FF"/>
                </w:rPr>
                <w:t>Cabot’s Quarterly Report on Form 10-Q for the quarterly period ended December 31, 2008, fle reference 1-5667, fled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
          </w:tcPr>
          <w:p>
            <w:pPr>
              <w:spacing w:after="0" w:line="196" w:lineRule="exact"/>
              <w:rPr>
                <w:rFonts w:ascii="Calibri" w:cs="Calibri" w:eastAsia="Calibri" w:hAnsi="Calibri"/>
                <w:sz w:val="18"/>
                <w:szCs w:val="18"/>
                <w:color w:val="0000FF"/>
              </w:rPr>
            </w:pPr>
            <w:hyperlink r:id="rId561">
              <w:r>
                <w:rPr>
                  <w:rFonts w:ascii="Calibri" w:cs="Calibri" w:eastAsia="Calibri" w:hAnsi="Calibri"/>
                  <w:sz w:val="18"/>
                  <w:szCs w:val="18"/>
                  <w:color w:val="0000FF"/>
                </w:rPr>
                <w:t>February 9, 2009).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vMerge w:val="restart"/>
          </w:tcPr>
          <w:p>
            <w:pPr>
              <w:ind w:left="440"/>
              <w:spacing w:after="0"/>
              <w:rPr>
                <w:sz w:val="20"/>
                <w:szCs w:val="20"/>
                <w:color w:val="auto"/>
              </w:rPr>
            </w:pPr>
            <w:r>
              <w:rPr>
                <w:rFonts w:ascii="Calibri" w:cs="Calibri" w:eastAsia="Calibri" w:hAnsi="Calibri"/>
                <w:sz w:val="18"/>
                <w:szCs w:val="18"/>
                <w:color w:val="auto"/>
              </w:rPr>
              <w:t>3(b)</w:t>
            </w:r>
          </w:p>
        </w:tc>
        <w:tc>
          <w:tcPr>
            <w:tcW w:w="140" w:type="dxa"/>
            <w:vAlign w:val="bottom"/>
          </w:tcPr>
          <w:p>
            <w:pPr>
              <w:spacing w:after="0"/>
              <w:rPr>
                <w:sz w:val="24"/>
                <w:szCs w:val="24"/>
                <w:color w:val="auto"/>
              </w:rPr>
            </w:pPr>
          </w:p>
        </w:tc>
        <w:tc>
          <w:tcPr>
            <w:tcW w:w="10040" w:type="dxa"/>
            <w:vAlign w:val="bottom"/>
            <w:tcBorders>
              <w:bottom w:val="single" w:sz="8" w:color="0000FF"/>
            </w:tcBorders>
            <w:gridSpan w:val="4"/>
          </w:tcPr>
          <w:p>
            <w:pPr>
              <w:spacing w:after="0"/>
              <w:rPr>
                <w:rFonts w:ascii="Calibri" w:cs="Calibri" w:eastAsia="Calibri" w:hAnsi="Calibri"/>
                <w:sz w:val="18"/>
                <w:szCs w:val="18"/>
                <w:color w:val="0000FF"/>
              </w:rPr>
            </w:pPr>
            <w:hyperlink r:id="rId562">
              <w:r>
                <w:rPr>
                  <w:rFonts w:ascii="Calibri" w:cs="Calibri" w:eastAsia="Calibri" w:hAnsi="Calibri"/>
                  <w:sz w:val="18"/>
                  <w:szCs w:val="18"/>
                  <w:color w:val="0000FF"/>
                </w:rPr>
                <w:t>The By-laws of Cabot Corporaton as amended May 11, 2023 (incorporated herein by reference to Exhibit 3.2 of Cabot’s Corporaton’s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60" w:type="dxa"/>
            <w:vAlign w:val="bottom"/>
            <w:gridSpan w:val="5"/>
            <w:vMerge w:val="restart"/>
          </w:tcPr>
          <w:p>
            <w:pPr>
              <w:spacing w:after="0" w:line="196" w:lineRule="exact"/>
              <w:rPr>
                <w:rFonts w:ascii="Calibri" w:cs="Calibri" w:eastAsia="Calibri" w:hAnsi="Calibri"/>
                <w:sz w:val="18"/>
                <w:szCs w:val="18"/>
                <w:color w:val="0000FF"/>
              </w:rPr>
            </w:pPr>
            <w:hyperlink r:id="rId562">
              <w:r>
                <w:rPr>
                  <w:rFonts w:ascii="Calibri" w:cs="Calibri" w:eastAsia="Calibri" w:hAnsi="Calibri"/>
                  <w:sz w:val="18"/>
                  <w:szCs w:val="18"/>
                  <w:color w:val="0000FF"/>
                </w:rPr>
                <w:t>Quarterly Report on Form 10-Q for the quarterly period ended June 30, 2023, fle reference 1-5667, fled with the SEC on August 8, 2023).</w:t>
              </w:r>
            </w:hyperlink>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54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60" w:type="dxa"/>
            <w:vAlign w:val="bottom"/>
            <w:tcBorders>
              <w:bottom w:val="single" w:sz="8" w:color="0000FF"/>
            </w:tcBorders>
            <w:gridSpan w:val="5"/>
          </w:tcPr>
          <w:p>
            <w:pPr>
              <w:spacing w:after="0"/>
              <w:rPr>
                <w:rFonts w:ascii="Calibri" w:cs="Calibri" w:eastAsia="Calibri" w:hAnsi="Calibri"/>
                <w:sz w:val="18"/>
                <w:szCs w:val="18"/>
                <w:color w:val="0000FF"/>
              </w:rPr>
            </w:pPr>
            <w:hyperlink r:id="rId563">
              <w:r>
                <w:rPr>
                  <w:rFonts w:ascii="Calibri" w:cs="Calibri" w:eastAsia="Calibri" w:hAnsi="Calibri"/>
                  <w:sz w:val="18"/>
                  <w:szCs w:val="18"/>
                  <w:color w:val="0000FF"/>
                </w:rPr>
                <w:t>Indenture, dated as of December 1, 1987, between Cabot Corporaton and The First Natonal Bank of Boston, Trustee (the “Indenture”)</w:t>
              </w:r>
            </w:hyperlink>
          </w:p>
        </w:tc>
        <w:tc>
          <w:tcPr>
            <w:tcW w:w="0" w:type="dxa"/>
            <w:vAlign w:val="bottom"/>
          </w:tcPr>
          <w:p>
            <w:pPr>
              <w:spacing w:after="0"/>
              <w:rPr>
                <w:sz w:val="1"/>
                <w:szCs w:val="1"/>
                <w:color w:val="auto"/>
              </w:rPr>
            </w:pPr>
          </w:p>
        </w:tc>
      </w:tr>
      <w:tr>
        <w:trPr>
          <w:trHeight w:val="196"/>
        </w:trPr>
        <w:tc>
          <w:tcPr>
            <w:tcW w:w="1040" w:type="dxa"/>
            <w:vAlign w:val="bottom"/>
          </w:tcPr>
          <w:p>
            <w:pPr>
              <w:ind w:left="440"/>
              <w:spacing w:after="0" w:line="196" w:lineRule="exact"/>
              <w:rPr>
                <w:sz w:val="20"/>
                <w:szCs w:val="20"/>
                <w:color w:val="auto"/>
              </w:rPr>
            </w:pPr>
            <w:r>
              <w:rPr>
                <w:rFonts w:ascii="Calibri" w:cs="Calibri" w:eastAsia="Calibri" w:hAnsi="Calibri"/>
                <w:sz w:val="18"/>
                <w:szCs w:val="18"/>
                <w:color w:val="auto"/>
              </w:rPr>
              <w:t>4(a)</w:t>
            </w:r>
          </w:p>
        </w:tc>
        <w:tc>
          <w:tcPr>
            <w:tcW w:w="140" w:type="dxa"/>
            <w:vAlign w:val="bottom"/>
          </w:tcPr>
          <w:p>
            <w:pPr>
              <w:spacing w:after="0"/>
              <w:rPr>
                <w:sz w:val="17"/>
                <w:szCs w:val="17"/>
                <w:color w:val="auto"/>
              </w:rPr>
            </w:pPr>
          </w:p>
        </w:tc>
        <w:tc>
          <w:tcPr>
            <w:tcW w:w="10060" w:type="dxa"/>
            <w:vAlign w:val="bottom"/>
            <w:gridSpan w:val="5"/>
          </w:tcPr>
          <w:p>
            <w:pPr>
              <w:spacing w:after="0" w:line="196" w:lineRule="exact"/>
              <w:rPr>
                <w:rFonts w:ascii="Calibri" w:cs="Calibri" w:eastAsia="Calibri" w:hAnsi="Calibri"/>
                <w:sz w:val="18"/>
                <w:szCs w:val="18"/>
                <w:color w:val="0000FF"/>
                <w:w w:val="99"/>
              </w:rPr>
            </w:pPr>
            <w:hyperlink r:id="rId563">
              <w:r>
                <w:rPr>
                  <w:rFonts w:ascii="Calibri" w:cs="Calibri" w:eastAsia="Calibri" w:hAnsi="Calibri"/>
                  <w:sz w:val="18"/>
                  <w:szCs w:val="18"/>
                  <w:color w:val="0000FF"/>
                  <w:w w:val="99"/>
                </w:rPr>
                <w:t>(incorporated herein by reference to Exhibit 4(a)(i) of Cabot’s Annual Report on Form 10-K for its fscal year ended September 30, 2017, fle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2"/>
          </w:tcPr>
          <w:p>
            <w:pPr>
              <w:spacing w:after="0" w:line="196" w:lineRule="exact"/>
              <w:rPr>
                <w:rFonts w:ascii="Calibri" w:cs="Calibri" w:eastAsia="Calibri" w:hAnsi="Calibri"/>
                <w:sz w:val="18"/>
                <w:szCs w:val="18"/>
                <w:color w:val="0000FF"/>
                <w:w w:val="97"/>
              </w:rPr>
            </w:pPr>
            <w:hyperlink r:id="rId563">
              <w:r>
                <w:rPr>
                  <w:rFonts w:ascii="Calibri" w:cs="Calibri" w:eastAsia="Calibri" w:hAnsi="Calibri"/>
                  <w:sz w:val="18"/>
                  <w:szCs w:val="18"/>
                  <w:color w:val="0000FF"/>
                  <w:w w:val="97"/>
                </w:rPr>
                <w:t>reference 1-5667, fled with the SEC on November 22, 2017).</w:t>
              </w:r>
            </w:hyperlink>
          </w:p>
        </w:tc>
        <w:tc>
          <w:tcPr>
            <w:tcW w:w="57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8"/>
        </w:trPr>
        <w:tc>
          <w:tcPr>
            <w:tcW w:w="1040" w:type="dxa"/>
            <w:vAlign w:val="bottom"/>
          </w:tcPr>
          <w:p>
            <w:pPr>
              <w:spacing w:after="0"/>
              <w:rPr>
                <w:sz w:val="24"/>
                <w:szCs w:val="24"/>
                <w:color w:val="auto"/>
              </w:rPr>
            </w:pPr>
          </w:p>
        </w:tc>
        <w:tc>
          <w:tcPr>
            <w:tcW w:w="9940" w:type="dxa"/>
            <w:vAlign w:val="bottom"/>
            <w:gridSpan w:val="4"/>
          </w:tcPr>
          <w:p>
            <w:pPr>
              <w:jc w:val="right"/>
              <w:ind w:right="5170"/>
              <w:spacing w:after="0"/>
              <w:rPr>
                <w:sz w:val="20"/>
                <w:szCs w:val="20"/>
                <w:color w:val="auto"/>
              </w:rPr>
            </w:pPr>
            <w:r>
              <w:rPr>
                <w:rFonts w:ascii="Calibri" w:cs="Calibri" w:eastAsia="Calibri" w:hAnsi="Calibri"/>
                <w:sz w:val="18"/>
                <w:szCs w:val="18"/>
                <w:color w:val="auto"/>
              </w:rPr>
              <w:t>88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8" w:name="page89"/>
    <w:bookmarkEnd w:id="88"/>
    <w:p>
      <w:pPr>
        <w:ind w:right="140"/>
        <w:spacing w:after="0" w:line="258" w:lineRule="auto"/>
        <w:rPr>
          <w:sz w:val="20"/>
          <w:szCs w:val="20"/>
          <w:color w:val="auto"/>
        </w:rPr>
      </w:pPr>
      <w:r>
        <w:rPr>
          <w:rFonts w:ascii="Calibri" w:cs="Calibri" w:eastAsia="Calibri" w:hAnsi="Calibri"/>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5080</wp:posOffset>
            </wp:positionV>
            <wp:extent cx="6597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4(a)(i)</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4(a)(ii)</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4(a)(iii)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4(a)(iv)</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4(a)(v)</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4(a)(vi)</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4(b)</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10(a)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10(a)(i)</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10(a)(ii)</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10(a)(iii)</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10(b)</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b w:val="1"/>
          <w:bCs w:val="1"/>
          <w:color w:val="auto"/>
        </w:rPr>
        <w:t>Descripton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39508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11" w:lineRule="exact"/>
        <w:rPr>
          <w:sz w:val="20"/>
          <w:szCs w:val="20"/>
          <w:color w:val="auto"/>
        </w:rPr>
      </w:pPr>
    </w:p>
    <w:p>
      <w:pPr>
        <w:jc w:val="both"/>
        <w:spacing w:after="0" w:line="235" w:lineRule="auto"/>
        <w:rPr>
          <w:rFonts w:ascii="Calibri" w:cs="Calibri" w:eastAsia="Calibri" w:hAnsi="Calibri"/>
          <w:sz w:val="18"/>
          <w:szCs w:val="18"/>
          <w:u w:val="single" w:color="auto"/>
          <w:color w:val="0000FF"/>
        </w:rPr>
      </w:pPr>
      <w:hyperlink r:id="rId568">
        <w:r>
          <w:rPr>
            <w:rFonts w:ascii="Calibri" w:cs="Calibri" w:eastAsia="Calibri" w:hAnsi="Calibri"/>
            <w:sz w:val="18"/>
            <w:szCs w:val="18"/>
            <w:u w:val="single" w:color="auto"/>
            <w:color w:val="0000FF"/>
          </w:rPr>
          <w:t>Second Supplemental Indenture, dated as of January 31, 1997, between Cabot Corporaton and State Street Bank and Trust Company,</w:t>
        </w:r>
      </w:hyperlink>
      <w:r>
        <w:rPr>
          <w:rFonts w:ascii="Calibri" w:cs="Calibri" w:eastAsia="Calibri" w:hAnsi="Calibri"/>
          <w:sz w:val="18"/>
          <w:szCs w:val="18"/>
          <w:u w:val="single" w:color="auto"/>
          <w:color w:val="0000FF"/>
        </w:rPr>
        <w:t xml:space="preserve"> </w:t>
      </w:r>
      <w:hyperlink r:id="rId568">
        <w:r>
          <w:rPr>
            <w:rFonts w:ascii="Calibri" w:cs="Calibri" w:eastAsia="Calibri" w:hAnsi="Calibri"/>
            <w:sz w:val="18"/>
            <w:szCs w:val="18"/>
            <w:u w:val="single" w:color="auto"/>
            <w:color w:val="0000FF"/>
          </w:rPr>
          <w:t>Trustee (incorporated herein by reference to Exhibit 4 of Cabot’s Quarterly Report on Form 10-Q for the quarterly period ended December</w:t>
        </w:r>
      </w:hyperlink>
      <w:r>
        <w:rPr>
          <w:rFonts w:ascii="Calibri" w:cs="Calibri" w:eastAsia="Calibri" w:hAnsi="Calibri"/>
          <w:sz w:val="18"/>
          <w:szCs w:val="18"/>
          <w:u w:val="single" w:color="auto"/>
          <w:color w:val="0000FF"/>
        </w:rPr>
        <w:t xml:space="preserve"> </w:t>
      </w:r>
      <w:hyperlink r:id="rId568">
        <w:r>
          <w:rPr>
            <w:rFonts w:ascii="Calibri" w:cs="Calibri" w:eastAsia="Calibri" w:hAnsi="Calibri"/>
            <w:sz w:val="18"/>
            <w:szCs w:val="18"/>
            <w:u w:val="single" w:color="auto"/>
            <w:color w:val="0000FF"/>
          </w:rPr>
          <w:t>31, 1996, fle reference 1-5667, fled with the SEC on February 14, 1997).</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476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9">
                      <a:extLst>
                        <a:ext uri="{28A0092B-C50C-407E-A947-70E740481C1C}"/>
                      </a:extLst>
                    </a:blip>
                    <a:srcRect/>
                    <a:stretch>
                      <a:fillRect/>
                    </a:stretch>
                  </pic:blipFill>
                  <pic:spPr bwMode="auto">
                    <a:xfrm>
                      <a:off x="0" y="0"/>
                      <a:ext cx="63747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54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0">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32785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1">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spacing w:after="0" w:line="235" w:lineRule="auto"/>
        <w:rPr>
          <w:rFonts w:ascii="Calibri" w:cs="Calibri" w:eastAsia="Calibri" w:hAnsi="Calibri"/>
          <w:sz w:val="18"/>
          <w:szCs w:val="18"/>
          <w:u w:val="single" w:color="auto"/>
          <w:color w:val="0000FF"/>
        </w:rPr>
      </w:pPr>
      <w:hyperlink r:id="rId572">
        <w:r>
          <w:rPr>
            <w:rFonts w:ascii="Calibri" w:cs="Calibri" w:eastAsia="Calibri" w:hAnsi="Calibri"/>
            <w:sz w:val="18"/>
            <w:szCs w:val="18"/>
            <w:u w:val="single" w:color="auto"/>
            <w:color w:val="0000FF"/>
          </w:rPr>
          <w:t>Indenture, dated as of September 15, 2016, between Cabot Corporaton and U.S. Bank Natonal Associaton, as Trustee (incorporated herein</w:t>
        </w:r>
      </w:hyperlink>
      <w:r>
        <w:rPr>
          <w:rFonts w:ascii="Calibri" w:cs="Calibri" w:eastAsia="Calibri" w:hAnsi="Calibri"/>
          <w:sz w:val="18"/>
          <w:szCs w:val="18"/>
          <w:u w:val="single" w:color="auto"/>
          <w:color w:val="0000FF"/>
        </w:rPr>
        <w:t xml:space="preserve"> </w:t>
      </w:r>
      <w:hyperlink r:id="rId572">
        <w:r>
          <w:rPr>
            <w:rFonts w:ascii="Calibri" w:cs="Calibri" w:eastAsia="Calibri" w:hAnsi="Calibri"/>
            <w:sz w:val="18"/>
            <w:szCs w:val="18"/>
            <w:u w:val="single" w:color="auto"/>
            <w:color w:val="0000FF"/>
          </w:rPr>
          <w:t>by reference to Exhibit 4.1 of Cabot Corporaton’s Current Report on Form 8-K dated September 15, 2016, fle reference 1-5667, fled with</w:t>
        </w:r>
      </w:hyperlink>
      <w:r>
        <w:rPr>
          <w:rFonts w:ascii="Calibri" w:cs="Calibri" w:eastAsia="Calibri" w:hAnsi="Calibri"/>
          <w:sz w:val="18"/>
          <w:szCs w:val="18"/>
          <w:u w:val="single" w:color="auto"/>
          <w:color w:val="0000FF"/>
        </w:rPr>
        <w:t xml:space="preserve"> </w:t>
      </w:r>
      <w:hyperlink r:id="rId572">
        <w:r>
          <w:rPr>
            <w:rFonts w:ascii="Calibri" w:cs="Calibri" w:eastAsia="Calibri" w:hAnsi="Calibri"/>
            <w:sz w:val="18"/>
            <w:szCs w:val="18"/>
            <w:u w:val="single" w:color="auto"/>
            <w:color w:val="0000FF"/>
          </w:rPr>
          <w:t>the SEC on September 15, 2016).</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60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3">
                      <a:extLst>
                        <a:ext uri="{28A0092B-C50C-407E-A947-70E740481C1C}"/>
                      </a:extLst>
                    </a:blip>
                    <a:srcRect/>
                    <a:stretch>
                      <a:fillRect/>
                    </a:stretch>
                  </pic:blipFill>
                  <pic:spPr bwMode="auto">
                    <a:xfrm>
                      <a:off x="0" y="0"/>
                      <a:ext cx="63760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66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4">
                      <a:extLst>
                        <a:ext uri="{28A0092B-C50C-407E-A947-70E740481C1C}"/>
                      </a:extLst>
                    </a:blip>
                    <a:srcRect/>
                    <a:stretch>
                      <a:fillRect/>
                    </a:stretch>
                  </pic:blipFill>
                  <pic:spPr bwMode="auto">
                    <a:xfrm>
                      <a:off x="0" y="0"/>
                      <a:ext cx="63766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148526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5">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spacing w:after="0" w:line="235" w:lineRule="auto"/>
        <w:rPr>
          <w:rFonts w:ascii="Calibri" w:cs="Calibri" w:eastAsia="Calibri" w:hAnsi="Calibri"/>
          <w:sz w:val="18"/>
          <w:szCs w:val="18"/>
          <w:u w:val="single" w:color="auto"/>
          <w:color w:val="0000FF"/>
        </w:rPr>
      </w:pPr>
      <w:hyperlink r:id="rId576">
        <w:r>
          <w:rPr>
            <w:rFonts w:ascii="Calibri" w:cs="Calibri" w:eastAsia="Calibri" w:hAnsi="Calibri"/>
            <w:sz w:val="18"/>
            <w:szCs w:val="18"/>
            <w:u w:val="single" w:color="auto"/>
            <w:color w:val="0000FF"/>
          </w:rPr>
          <w:t>First Supplemental Indenture, dated as of September 15, 2016, between Cabot Corporaton and U.S. Bank Natonal Associaton, as Trustee,</w:t>
        </w:r>
      </w:hyperlink>
      <w:r>
        <w:rPr>
          <w:rFonts w:ascii="Calibri" w:cs="Calibri" w:eastAsia="Calibri" w:hAnsi="Calibri"/>
          <w:sz w:val="18"/>
          <w:szCs w:val="18"/>
          <w:u w:val="single" w:color="auto"/>
          <w:color w:val="0000FF"/>
        </w:rPr>
        <w:t xml:space="preserve"> </w:t>
      </w:r>
      <w:hyperlink r:id="rId576">
        <w:r>
          <w:rPr>
            <w:rFonts w:ascii="Calibri" w:cs="Calibri" w:eastAsia="Calibri" w:hAnsi="Calibri"/>
            <w:sz w:val="18"/>
            <w:szCs w:val="18"/>
            <w:u w:val="single" w:color="auto"/>
            <w:color w:val="0000FF"/>
          </w:rPr>
          <w:t>including the form of Global Note atached as Annex A thereto, supplementng the Indenture dated as of September 15, 2016 (incorporated</w:t>
        </w:r>
      </w:hyperlink>
      <w:r>
        <w:rPr>
          <w:rFonts w:ascii="Calibri" w:cs="Calibri" w:eastAsia="Calibri" w:hAnsi="Calibri"/>
          <w:sz w:val="18"/>
          <w:szCs w:val="18"/>
          <w:u w:val="single" w:color="auto"/>
          <w:color w:val="0000FF"/>
        </w:rPr>
        <w:t xml:space="preserve"> </w:t>
      </w:r>
      <w:hyperlink r:id="rId576">
        <w:r>
          <w:rPr>
            <w:rFonts w:ascii="Calibri" w:cs="Calibri" w:eastAsia="Calibri" w:hAnsi="Calibri"/>
            <w:sz w:val="18"/>
            <w:szCs w:val="18"/>
            <w:u w:val="single" w:color="auto"/>
            <w:color w:val="0000FF"/>
          </w:rPr>
          <w:t>herein by reference to Exhibit 4.2 of Cabot Corporaton’s Current Report on Form 8-K dated September 15, 2016, fle reference 1-5667, fled</w:t>
        </w:r>
      </w:hyperlink>
      <w:r>
        <w:rPr>
          <w:rFonts w:ascii="Calibri" w:cs="Calibri" w:eastAsia="Calibri" w:hAnsi="Calibri"/>
          <w:sz w:val="18"/>
          <w:szCs w:val="18"/>
          <w:u w:val="single" w:color="auto"/>
          <w:color w:val="0000FF"/>
        </w:rPr>
        <w:t xml:space="preserve"> </w:t>
      </w:r>
      <w:hyperlink r:id="rId576">
        <w:r>
          <w:rPr>
            <w:rFonts w:ascii="Calibri" w:cs="Calibri" w:eastAsia="Calibri" w:hAnsi="Calibri"/>
            <w:sz w:val="18"/>
            <w:szCs w:val="18"/>
            <w:u w:val="single" w:color="auto"/>
            <w:color w:val="0000FF"/>
          </w:rPr>
          <w:t>with the SEC on September 15, 2016).</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63728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7">
                      <a:extLst>
                        <a:ext uri="{28A0092B-C50C-407E-A947-70E740481C1C}"/>
                      </a:extLst>
                    </a:blip>
                    <a:srcRect/>
                    <a:stretch>
                      <a:fillRect/>
                    </a:stretch>
                  </pic:blipFill>
                  <pic:spPr bwMode="auto">
                    <a:xfrm>
                      <a:off x="0" y="0"/>
                      <a:ext cx="63728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370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8">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3722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9">
                      <a:extLst>
                        <a:ext uri="{28A0092B-C50C-407E-A947-70E740481C1C}"/>
                      </a:extLst>
                    </a:blip>
                    <a:srcRect/>
                    <a:stretch>
                      <a:fillRect/>
                    </a:stretch>
                  </pic:blipFill>
                  <pic:spPr bwMode="auto">
                    <a:xfrm>
                      <a:off x="0" y="0"/>
                      <a:ext cx="637222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17113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0">
                      <a:extLst>
                        <a:ext uri="{28A0092B-C50C-407E-A947-70E740481C1C}"/>
                      </a:extLst>
                    </a:blip>
                    <a:srcRect/>
                    <a:stretch>
                      <a:fillRect/>
                    </a:stretch>
                  </pic:blipFill>
                  <pic:spPr bwMode="auto">
                    <a:xfrm>
                      <a:off x="0" y="0"/>
                      <a:ext cx="1711325" cy="8255"/>
                    </a:xfrm>
                    <a:prstGeom prst="rect">
                      <a:avLst/>
                    </a:prstGeom>
                    <a:noFill/>
                  </pic:spPr>
                </pic:pic>
              </a:graphicData>
            </a:graphic>
          </wp:anchor>
        </w:drawing>
      </w:r>
    </w:p>
    <w:p>
      <w:pPr>
        <w:spacing w:after="0" w:line="204" w:lineRule="exact"/>
        <w:rPr>
          <w:rFonts w:ascii="Calibri" w:cs="Calibri" w:eastAsia="Calibri" w:hAnsi="Calibri"/>
          <w:sz w:val="18"/>
          <w:szCs w:val="18"/>
          <w:u w:val="single" w:color="auto"/>
          <w:color w:val="0000FF"/>
        </w:rPr>
      </w:pPr>
    </w:p>
    <w:p>
      <w:pPr>
        <w:jc w:val="both"/>
        <w:spacing w:after="0" w:line="261" w:lineRule="auto"/>
        <w:rPr>
          <w:rFonts w:ascii="Times New Roman" w:cs="Times New Roman" w:eastAsia="Times New Roman" w:hAnsi="Times New Roman"/>
          <w:sz w:val="18"/>
          <w:szCs w:val="18"/>
          <w:u w:val="single" w:color="auto"/>
          <w:color w:val="0000FF"/>
        </w:rPr>
      </w:pPr>
      <w:hyperlink r:id="rId581">
        <w:r>
          <w:rPr>
            <w:rFonts w:ascii="Times New Roman" w:cs="Times New Roman" w:eastAsia="Times New Roman" w:hAnsi="Times New Roman"/>
            <w:sz w:val="18"/>
            <w:szCs w:val="18"/>
            <w:u w:val="single" w:color="auto"/>
            <w:color w:val="0000FF"/>
          </w:rPr>
          <w:t>Second Supplemental Indenture, dated June 20, 2019, between Cabot Corporation and U.S. Bank National Association, including the form</w:t>
        </w:r>
      </w:hyperlink>
      <w:r>
        <w:rPr>
          <w:rFonts w:ascii="Times New Roman" w:cs="Times New Roman" w:eastAsia="Times New Roman" w:hAnsi="Times New Roman"/>
          <w:sz w:val="18"/>
          <w:szCs w:val="18"/>
          <w:u w:val="single" w:color="auto"/>
          <w:color w:val="0000FF"/>
        </w:rPr>
        <w:t xml:space="preserve"> </w:t>
      </w:r>
      <w:hyperlink r:id="rId581">
        <w:r>
          <w:rPr>
            <w:rFonts w:ascii="Times New Roman" w:cs="Times New Roman" w:eastAsia="Times New Roman" w:hAnsi="Times New Roman"/>
            <w:sz w:val="18"/>
            <w:szCs w:val="18"/>
            <w:u w:val="single" w:color="auto"/>
            <w:color w:val="0000FF"/>
          </w:rPr>
          <w:t>of Global Note attached as Annex A thereto supplementing the Indenture dates as of September 15, 2016 (incorporated by reference to</w:t>
        </w:r>
      </w:hyperlink>
      <w:r>
        <w:rPr>
          <w:rFonts w:ascii="Times New Roman" w:cs="Times New Roman" w:eastAsia="Times New Roman" w:hAnsi="Times New Roman"/>
          <w:sz w:val="18"/>
          <w:szCs w:val="18"/>
          <w:u w:val="single" w:color="auto"/>
          <w:color w:val="0000FF"/>
        </w:rPr>
        <w:t xml:space="preserve"> </w:t>
      </w:r>
      <w:hyperlink r:id="rId581">
        <w:r>
          <w:rPr>
            <w:rFonts w:ascii="Times New Roman" w:cs="Times New Roman" w:eastAsia="Times New Roman" w:hAnsi="Times New Roman"/>
            <w:sz w:val="18"/>
            <w:szCs w:val="18"/>
            <w:u w:val="single" w:color="auto"/>
            <w:color w:val="0000FF"/>
          </w:rPr>
          <w:t>Exhibit 4.1 of Cabot Corporation’s Current Report on Form 8-K dated June 20, 2019, file reference 1-5667, filed with the SEC on June 20,</w:t>
        </w:r>
      </w:hyperlink>
      <w:r>
        <w:rPr>
          <w:rFonts w:ascii="Times New Roman" w:cs="Times New Roman" w:eastAsia="Times New Roman" w:hAnsi="Times New Roman"/>
          <w:sz w:val="18"/>
          <w:szCs w:val="18"/>
          <w:u w:val="single" w:color="auto"/>
          <w:color w:val="0000FF"/>
        </w:rPr>
        <w:t xml:space="preserve"> </w:t>
      </w:r>
      <w:hyperlink r:id="rId581">
        <w:r>
          <w:rPr>
            <w:rFonts w:ascii="Times New Roman" w:cs="Times New Roman" w:eastAsia="Times New Roman" w:hAnsi="Times New Roman"/>
            <w:sz w:val="18"/>
            <w:szCs w:val="18"/>
            <w:u w:val="single" w:color="auto"/>
            <w:color w:val="0000FF"/>
          </w:rPr>
          <w:t>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-448310</wp:posOffset>
            </wp:positionV>
            <wp:extent cx="637730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-311150</wp:posOffset>
            </wp:positionV>
            <wp:extent cx="637222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637222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-173990</wp:posOffset>
            </wp:positionV>
            <wp:extent cx="63722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63722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2952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155" w:lineRule="exact"/>
        <w:rPr>
          <w:rFonts w:ascii="Times New Roman" w:cs="Times New Roman" w:eastAsia="Times New Roman" w:hAnsi="Times New Roman"/>
          <w:sz w:val="18"/>
          <w:szCs w:val="18"/>
          <w:u w:val="single" w:color="auto"/>
          <w:color w:val="0000FF"/>
        </w:rPr>
      </w:pPr>
    </w:p>
    <w:p>
      <w:pPr>
        <w:jc w:val="both"/>
        <w:spacing w:after="0" w:line="235" w:lineRule="auto"/>
        <w:rPr>
          <w:rFonts w:ascii="Calibri" w:cs="Calibri" w:eastAsia="Calibri" w:hAnsi="Calibri"/>
          <w:sz w:val="18"/>
          <w:szCs w:val="18"/>
          <w:u w:val="single" w:color="auto"/>
          <w:color w:val="0000FF"/>
        </w:rPr>
      </w:pPr>
      <w:hyperlink r:id="rId586">
        <w:r>
          <w:rPr>
            <w:rFonts w:ascii="Calibri" w:cs="Calibri" w:eastAsia="Calibri" w:hAnsi="Calibri"/>
            <w:sz w:val="18"/>
            <w:szCs w:val="18"/>
            <w:u w:val="single" w:color="auto"/>
            <w:color w:val="0000FF"/>
          </w:rPr>
          <w:t>Indenture, dated June 22, 2022, between Cabot Corporaton and U.S. Bank Trust Company, Natonal Associaton (incorporated herein by</w:t>
        </w:r>
      </w:hyperlink>
      <w:r>
        <w:rPr>
          <w:rFonts w:ascii="Calibri" w:cs="Calibri" w:eastAsia="Calibri" w:hAnsi="Calibri"/>
          <w:sz w:val="18"/>
          <w:szCs w:val="18"/>
          <w:u w:val="single" w:color="auto"/>
          <w:color w:val="0000FF"/>
        </w:rPr>
        <w:t xml:space="preserve"> </w:t>
      </w:r>
      <w:hyperlink r:id="rId586">
        <w:r>
          <w:rPr>
            <w:rFonts w:ascii="Calibri" w:cs="Calibri" w:eastAsia="Calibri" w:hAnsi="Calibri"/>
            <w:sz w:val="18"/>
            <w:szCs w:val="18"/>
            <w:u w:val="single" w:color="auto"/>
            <w:color w:val="0000FF"/>
          </w:rPr>
          <w:t>reference to Exhibit 4.1 of Cabot Corporaton’s Current Report on Form 8-K dated June 22, 2022, fle reference 1-5667, fled with SEC on June</w:t>
        </w:r>
      </w:hyperlink>
      <w:r>
        <w:rPr>
          <w:rFonts w:ascii="Calibri" w:cs="Calibri" w:eastAsia="Calibri" w:hAnsi="Calibri"/>
          <w:sz w:val="18"/>
          <w:szCs w:val="18"/>
          <w:u w:val="single" w:color="auto"/>
          <w:color w:val="0000FF"/>
        </w:rPr>
        <w:t xml:space="preserve"> </w:t>
      </w:r>
      <w:hyperlink r:id="rId586">
        <w:r>
          <w:rPr>
            <w:rFonts w:ascii="Calibri" w:cs="Calibri" w:eastAsia="Calibri" w:hAnsi="Calibri"/>
            <w:sz w:val="18"/>
            <w:szCs w:val="18"/>
            <w:u w:val="single" w:color="auto"/>
            <w:color w:val="0000FF"/>
          </w:rPr>
          <w:t>22, 2022).</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09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7">
                      <a:extLst>
                        <a:ext uri="{28A0092B-C50C-407E-A947-70E740481C1C}"/>
                      </a:extLst>
                    </a:blip>
                    <a:srcRect/>
                    <a:stretch>
                      <a:fillRect/>
                    </a:stretch>
                  </pic:blipFill>
                  <pic:spPr bwMode="auto">
                    <a:xfrm>
                      <a:off x="0" y="0"/>
                      <a:ext cx="6370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22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8">
                      <a:extLst>
                        <a:ext uri="{28A0092B-C50C-407E-A947-70E740481C1C}"/>
                      </a:extLst>
                    </a:blip>
                    <a:srcRect/>
                    <a:stretch>
                      <a:fillRect/>
                    </a:stretch>
                  </pic:blipFill>
                  <pic:spPr bwMode="auto">
                    <a:xfrm>
                      <a:off x="0" y="0"/>
                      <a:ext cx="63722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4540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9">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spacing w:after="0" w:line="235" w:lineRule="auto"/>
        <w:rPr>
          <w:rFonts w:ascii="Calibri" w:cs="Calibri" w:eastAsia="Calibri" w:hAnsi="Calibri"/>
          <w:sz w:val="18"/>
          <w:szCs w:val="18"/>
          <w:u w:val="single" w:color="auto"/>
          <w:color w:val="0000FF"/>
        </w:rPr>
      </w:pPr>
      <w:hyperlink r:id="rId590">
        <w:r>
          <w:rPr>
            <w:rFonts w:ascii="Calibri" w:cs="Calibri" w:eastAsia="Calibri" w:hAnsi="Calibri"/>
            <w:sz w:val="18"/>
            <w:szCs w:val="18"/>
            <w:u w:val="single" w:color="auto"/>
            <w:color w:val="0000FF"/>
          </w:rPr>
          <w:t>First Supplemental Indenture, dated June 22, 2022, between Cabot Corporaton and U.S. Bank Trust Company, Natonal Associaton. including</w:t>
        </w:r>
      </w:hyperlink>
      <w:r>
        <w:rPr>
          <w:rFonts w:ascii="Calibri" w:cs="Calibri" w:eastAsia="Calibri" w:hAnsi="Calibri"/>
          <w:sz w:val="18"/>
          <w:szCs w:val="18"/>
          <w:u w:val="single" w:color="auto"/>
          <w:color w:val="0000FF"/>
        </w:rPr>
        <w:t xml:space="preserve"> </w:t>
      </w:r>
      <w:hyperlink r:id="rId590">
        <w:r>
          <w:rPr>
            <w:rFonts w:ascii="Calibri" w:cs="Calibri" w:eastAsia="Calibri" w:hAnsi="Calibri"/>
            <w:sz w:val="18"/>
            <w:szCs w:val="18"/>
            <w:u w:val="single" w:color="auto"/>
            <w:color w:val="0000FF"/>
          </w:rPr>
          <w:t>the form of Global Note atached as Annex A thereto, supplementng the Indenture dated as of June 22, 2022 (incorporated herein by</w:t>
        </w:r>
      </w:hyperlink>
      <w:r>
        <w:rPr>
          <w:rFonts w:ascii="Calibri" w:cs="Calibri" w:eastAsia="Calibri" w:hAnsi="Calibri"/>
          <w:sz w:val="18"/>
          <w:szCs w:val="18"/>
          <w:u w:val="single" w:color="auto"/>
          <w:color w:val="0000FF"/>
        </w:rPr>
        <w:t xml:space="preserve"> </w:t>
      </w:r>
      <w:hyperlink r:id="rId590">
        <w:r>
          <w:rPr>
            <w:rFonts w:ascii="Calibri" w:cs="Calibri" w:eastAsia="Calibri" w:hAnsi="Calibri"/>
            <w:sz w:val="18"/>
            <w:szCs w:val="18"/>
            <w:u w:val="single" w:color="auto"/>
            <w:color w:val="0000FF"/>
          </w:rPr>
          <w:t>reference to Exhibit 4.2 of Cabot Corporaton’s Current Report on Form 8-K dated June 22, 2022, fle reference 1-5667, fled with SEC on June</w:t>
        </w:r>
      </w:hyperlink>
      <w:r>
        <w:rPr>
          <w:rFonts w:ascii="Calibri" w:cs="Calibri" w:eastAsia="Calibri" w:hAnsi="Calibri"/>
          <w:sz w:val="18"/>
          <w:szCs w:val="18"/>
          <w:u w:val="single" w:color="auto"/>
          <w:color w:val="0000FF"/>
        </w:rPr>
        <w:t xml:space="preserve"> </w:t>
      </w:r>
      <w:hyperlink r:id="rId590">
        <w:r>
          <w:rPr>
            <w:rFonts w:ascii="Calibri" w:cs="Calibri" w:eastAsia="Calibri" w:hAnsi="Calibri"/>
            <w:sz w:val="18"/>
            <w:szCs w:val="18"/>
            <w:u w:val="single" w:color="auto"/>
            <w:color w:val="0000FF"/>
          </w:rPr>
          <w:t>22, 2022).</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63703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37730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3722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63722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4787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478790" cy="8890"/>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spacing w:after="0" w:line="235" w:lineRule="auto"/>
        <w:rPr>
          <w:rFonts w:ascii="Calibri" w:cs="Calibri" w:eastAsia="Calibri" w:hAnsi="Calibri"/>
          <w:sz w:val="18"/>
          <w:szCs w:val="18"/>
          <w:u w:val="single" w:color="auto"/>
          <w:color w:val="0000FF"/>
        </w:rPr>
      </w:pPr>
      <w:hyperlink r:id="rId595">
        <w:r>
          <w:rPr>
            <w:rFonts w:ascii="Calibri" w:cs="Calibri" w:eastAsia="Calibri" w:hAnsi="Calibri"/>
            <w:sz w:val="18"/>
            <w:szCs w:val="18"/>
            <w:u w:val="single" w:color="auto"/>
            <w:color w:val="0000FF"/>
          </w:rPr>
          <w:t>Descripton of Cabot Securites (incorporated by reference to Exhibit 4(b) of Cabot Corporaton’s Annual Report on Form 10-K for its fscal</w:t>
        </w:r>
      </w:hyperlink>
      <w:r>
        <w:rPr>
          <w:rFonts w:ascii="Calibri" w:cs="Calibri" w:eastAsia="Calibri" w:hAnsi="Calibri"/>
          <w:sz w:val="18"/>
          <w:szCs w:val="18"/>
          <w:u w:val="single" w:color="auto"/>
          <w:color w:val="0000FF"/>
        </w:rPr>
        <w:t xml:space="preserve"> </w:t>
      </w:r>
      <w:hyperlink r:id="rId595">
        <w:r>
          <w:rPr>
            <w:rFonts w:ascii="Calibri" w:cs="Calibri" w:eastAsia="Calibri" w:hAnsi="Calibri"/>
            <w:sz w:val="18"/>
            <w:szCs w:val="18"/>
            <w:u w:val="single" w:color="auto"/>
            <w:color w:val="0000FF"/>
          </w:rPr>
          <w:t>year ended September 30, 2019, fle reference 1-5667, fled with the SEC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60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6">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440817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7">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198" w:lineRule="exact"/>
        <w:rPr>
          <w:sz w:val="20"/>
          <w:szCs w:val="20"/>
          <w:color w:val="auto"/>
        </w:rPr>
      </w:pPr>
    </w:p>
    <w:p>
      <w:pPr>
        <w:jc w:val="both"/>
        <w:spacing w:after="0" w:line="235" w:lineRule="auto"/>
        <w:rPr>
          <w:rFonts w:ascii="Calibri" w:cs="Calibri" w:eastAsia="Calibri" w:hAnsi="Calibri"/>
          <w:sz w:val="18"/>
          <w:szCs w:val="18"/>
          <w:u w:val="single" w:color="auto"/>
          <w:color w:val="0000FF"/>
        </w:rPr>
      </w:pPr>
      <w:hyperlink r:id="rId598">
        <w:r>
          <w:rPr>
            <w:rFonts w:ascii="Calibri" w:cs="Calibri" w:eastAsia="Calibri" w:hAnsi="Calibri"/>
            <w:sz w:val="18"/>
            <w:szCs w:val="18"/>
            <w:u w:val="single" w:color="auto"/>
            <w:color w:val="0000FF"/>
          </w:rPr>
          <w:t>Credit Agreement, dated August 6, 2021, among Cabot Corporaton, JPMorgan Chase Bank, N.A., J.P. Morgan Securites LLC, Citbank, N.A.,</w:t>
        </w:r>
      </w:hyperlink>
      <w:r>
        <w:rPr>
          <w:rFonts w:ascii="Calibri" w:cs="Calibri" w:eastAsia="Calibri" w:hAnsi="Calibri"/>
          <w:sz w:val="18"/>
          <w:szCs w:val="18"/>
          <w:u w:val="single" w:color="auto"/>
          <w:color w:val="0000FF"/>
        </w:rPr>
        <w:t xml:space="preserve"> </w:t>
      </w:r>
      <w:hyperlink r:id="rId598">
        <w:r>
          <w:rPr>
            <w:rFonts w:ascii="Calibri" w:cs="Calibri" w:eastAsia="Calibri" w:hAnsi="Calibri"/>
            <w:sz w:val="18"/>
            <w:szCs w:val="18"/>
            <w:u w:val="single" w:color="auto"/>
            <w:color w:val="0000FF"/>
          </w:rPr>
          <w:t>Bank of America, N.A., Mizuho Bank, Ltd., TD Bank, N.A., and Wells Fargo Bank, Natonal Associaton, and the other lenders party thereto</w:t>
        </w:r>
      </w:hyperlink>
      <w:r>
        <w:rPr>
          <w:rFonts w:ascii="Calibri" w:cs="Calibri" w:eastAsia="Calibri" w:hAnsi="Calibri"/>
          <w:sz w:val="18"/>
          <w:szCs w:val="18"/>
          <w:u w:val="single" w:color="auto"/>
          <w:color w:val="0000FF"/>
        </w:rPr>
        <w:t xml:space="preserve"> </w:t>
      </w:r>
      <w:hyperlink r:id="rId598">
        <w:r>
          <w:rPr>
            <w:rFonts w:ascii="Calibri" w:cs="Calibri" w:eastAsia="Calibri" w:hAnsi="Calibri"/>
            <w:sz w:val="18"/>
            <w:szCs w:val="18"/>
            <w:u w:val="single" w:color="auto"/>
            <w:color w:val="0000FF"/>
          </w:rPr>
          <w:t>(incorporated herein by reference to Exhibit 10.1 of Cabot’s Quarterly Report on Form 10-Q for the quarterly period ended June 30, 2021,</w:t>
        </w:r>
      </w:hyperlink>
      <w:r>
        <w:rPr>
          <w:rFonts w:ascii="Calibri" w:cs="Calibri" w:eastAsia="Calibri" w:hAnsi="Calibri"/>
          <w:sz w:val="18"/>
          <w:szCs w:val="18"/>
          <w:u w:val="single" w:color="auto"/>
          <w:color w:val="0000FF"/>
        </w:rPr>
        <w:t xml:space="preserve"> </w:t>
      </w:r>
      <w:hyperlink r:id="rId598">
        <w:r>
          <w:rPr>
            <w:rFonts w:ascii="Calibri" w:cs="Calibri" w:eastAsia="Calibri" w:hAnsi="Calibri"/>
            <w:sz w:val="18"/>
            <w:szCs w:val="18"/>
            <w:u w:val="single" w:color="auto"/>
            <w:color w:val="0000FF"/>
          </w:rPr>
          <w:t>fle reference 1-5667, fled with the SEC on August 9, 2021).</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63715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3703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63703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3754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268668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2686685" cy="8890"/>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spacing w:after="0" w:line="254" w:lineRule="auto"/>
        <w:rPr>
          <w:rFonts w:ascii="Calibri" w:cs="Calibri" w:eastAsia="Calibri" w:hAnsi="Calibri"/>
          <w:sz w:val="17"/>
          <w:szCs w:val="17"/>
          <w:u w:val="single" w:color="auto"/>
          <w:color w:val="0000FF"/>
        </w:rPr>
      </w:pPr>
      <w:hyperlink r:id="rId603">
        <w:r>
          <w:rPr>
            <w:rFonts w:ascii="Calibri" w:cs="Calibri" w:eastAsia="Calibri" w:hAnsi="Calibri"/>
            <w:sz w:val="17"/>
            <w:szCs w:val="17"/>
            <w:u w:val="single" w:color="auto"/>
            <w:color w:val="0000FF"/>
          </w:rPr>
          <w:t>Amendment No. 1, dated as of April 21, 2023, to Credit Agreement dated as of August 6, 2021, by and among Cabot Corporaton, the</w:t>
        </w:r>
      </w:hyperlink>
      <w:r>
        <w:rPr>
          <w:rFonts w:ascii="Calibri" w:cs="Calibri" w:eastAsia="Calibri" w:hAnsi="Calibri"/>
          <w:sz w:val="17"/>
          <w:szCs w:val="17"/>
          <w:u w:val="single" w:color="auto"/>
          <w:color w:val="0000FF"/>
        </w:rPr>
        <w:t xml:space="preserve"> </w:t>
      </w:r>
      <w:hyperlink r:id="rId603">
        <w:r>
          <w:rPr>
            <w:rFonts w:ascii="Calibri" w:cs="Calibri" w:eastAsia="Calibri" w:hAnsi="Calibri"/>
            <w:sz w:val="17"/>
            <w:szCs w:val="17"/>
            <w:u w:val="single" w:color="auto"/>
            <w:color w:val="0000FF"/>
          </w:rPr>
          <w:t>designated borrowers, the lenders party thereto, and the Administratve Agent (incorporated herein by reference to Exhibit 10.1 of Cabot’s</w:t>
        </w:r>
      </w:hyperlink>
      <w:r>
        <w:rPr>
          <w:rFonts w:ascii="Calibri" w:cs="Calibri" w:eastAsia="Calibri" w:hAnsi="Calibri"/>
          <w:sz w:val="17"/>
          <w:szCs w:val="17"/>
          <w:u w:val="single" w:color="auto"/>
          <w:color w:val="0000FF"/>
        </w:rPr>
        <w:t xml:space="preserve"> </w:t>
      </w:r>
      <w:hyperlink r:id="rId603">
        <w:r>
          <w:rPr>
            <w:rFonts w:ascii="Calibri" w:cs="Calibri" w:eastAsia="Calibri" w:hAnsi="Calibri"/>
            <w:sz w:val="17"/>
            <w:szCs w:val="17"/>
            <w:u w:val="single" w:color="auto"/>
            <w:color w:val="0000FF"/>
          </w:rPr>
          <w:t>Quarterly Report on Form 10-Q for the quarterly period ended June 30, 2023, fle reference 1-5667, fled with the SEC on August 8, 2023).</w:t>
        </w:r>
      </w:hyperlink>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-300355</wp:posOffset>
            </wp:positionV>
            <wp:extent cx="6370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3760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63760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62357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6235700" cy="8255"/>
                    </a:xfrm>
                    <a:prstGeom prst="rect">
                      <a:avLst/>
                    </a:prstGeom>
                    <a:noFill/>
                  </pic:spPr>
                </pic:pic>
              </a:graphicData>
            </a:graphic>
          </wp:anchor>
        </w:drawing>
      </w:r>
    </w:p>
    <w:p>
      <w:pPr>
        <w:spacing w:after="0" w:line="185" w:lineRule="exact"/>
        <w:rPr>
          <w:rFonts w:ascii="Calibri" w:cs="Calibri" w:eastAsia="Calibri" w:hAnsi="Calibri"/>
          <w:sz w:val="17"/>
          <w:szCs w:val="17"/>
          <w:u w:val="single" w:color="auto"/>
          <w:color w:val="0000FF"/>
        </w:rPr>
      </w:pPr>
    </w:p>
    <w:p>
      <w:pPr>
        <w:jc w:val="both"/>
        <w:spacing w:after="0" w:line="254" w:lineRule="auto"/>
        <w:rPr>
          <w:rFonts w:ascii="Calibri" w:cs="Calibri" w:eastAsia="Calibri" w:hAnsi="Calibri"/>
          <w:sz w:val="17"/>
          <w:szCs w:val="17"/>
          <w:u w:val="single" w:color="auto"/>
          <w:color w:val="0000FF"/>
        </w:rPr>
      </w:pPr>
      <w:hyperlink r:id="rId607">
        <w:r>
          <w:rPr>
            <w:rFonts w:ascii="Calibri" w:cs="Calibri" w:eastAsia="Calibri" w:hAnsi="Calibri"/>
            <w:sz w:val="17"/>
            <w:szCs w:val="17"/>
            <w:u w:val="single" w:color="auto"/>
            <w:color w:val="0000FF"/>
          </w:rPr>
          <w:t>Amendment No. 2, dated as of July 27, 2023, to Credit Agreement dated as of August 6, 2021, by and among Cabot Corporaton, the</w:t>
        </w:r>
      </w:hyperlink>
      <w:r>
        <w:rPr>
          <w:rFonts w:ascii="Calibri" w:cs="Calibri" w:eastAsia="Calibri" w:hAnsi="Calibri"/>
          <w:sz w:val="17"/>
          <w:szCs w:val="17"/>
          <w:u w:val="single" w:color="auto"/>
          <w:color w:val="0000FF"/>
        </w:rPr>
        <w:t xml:space="preserve"> </w:t>
      </w:r>
      <w:hyperlink r:id="rId607">
        <w:r>
          <w:rPr>
            <w:rFonts w:ascii="Calibri" w:cs="Calibri" w:eastAsia="Calibri" w:hAnsi="Calibri"/>
            <w:sz w:val="17"/>
            <w:szCs w:val="17"/>
            <w:u w:val="single" w:color="auto"/>
            <w:color w:val="0000FF"/>
          </w:rPr>
          <w:t>designated borrowers, the lenders party thereto, and the Administratve Agent (incorporated herein by reference to Exhibit 10.2 of Cabot’s</w:t>
        </w:r>
      </w:hyperlink>
      <w:r>
        <w:rPr>
          <w:rFonts w:ascii="Calibri" w:cs="Calibri" w:eastAsia="Calibri" w:hAnsi="Calibri"/>
          <w:sz w:val="17"/>
          <w:szCs w:val="17"/>
          <w:u w:val="single" w:color="auto"/>
          <w:color w:val="0000FF"/>
        </w:rPr>
        <w:t xml:space="preserve"> </w:t>
      </w:r>
      <w:hyperlink r:id="rId607">
        <w:r>
          <w:rPr>
            <w:rFonts w:ascii="Calibri" w:cs="Calibri" w:eastAsia="Calibri" w:hAnsi="Calibri"/>
            <w:sz w:val="17"/>
            <w:szCs w:val="17"/>
            <w:u w:val="single" w:color="auto"/>
            <w:color w:val="0000FF"/>
          </w:rPr>
          <w:t>Quarterly Report on Form 10-Q for the quarterly period ended June 30, 2023, fle reference 1-5667, fled with the SEC on August 8, 2023).</w:t>
        </w:r>
      </w:hyperlink>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-300355</wp:posOffset>
            </wp:positionV>
            <wp:extent cx="63703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extLst>
                        <a:ext uri="{28A0092B-C50C-407E-A947-70E740481C1C}"/>
                      </a:extLst>
                    </a:blip>
                    <a:srcRect/>
                    <a:stretch>
                      <a:fillRect/>
                    </a:stretch>
                  </pic:blipFill>
                  <pic:spPr bwMode="auto">
                    <a:xfrm>
                      <a:off x="0" y="0"/>
                      <a:ext cx="63703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3760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62611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extLst>
                        <a:ext uri="{28A0092B-C50C-407E-A947-70E740481C1C}"/>
                      </a:extLst>
                    </a:blip>
                    <a:srcRect/>
                    <a:stretch>
                      <a:fillRect/>
                    </a:stretch>
                  </pic:blipFill>
                  <pic:spPr bwMode="auto">
                    <a:xfrm>
                      <a:off x="0" y="0"/>
                      <a:ext cx="6261100" cy="8255"/>
                    </a:xfrm>
                    <a:prstGeom prst="rect">
                      <a:avLst/>
                    </a:prstGeom>
                    <a:noFill/>
                  </pic:spPr>
                </pic:pic>
              </a:graphicData>
            </a:graphic>
          </wp:anchor>
        </w:drawing>
      </w:r>
    </w:p>
    <w:p>
      <w:pPr>
        <w:spacing w:after="0" w:line="189" w:lineRule="exact"/>
        <w:rPr>
          <w:rFonts w:ascii="Calibri" w:cs="Calibri" w:eastAsia="Calibri" w:hAnsi="Calibri"/>
          <w:sz w:val="17"/>
          <w:szCs w:val="17"/>
          <w:u w:val="single" w:color="auto"/>
          <w:color w:val="0000FF"/>
        </w:rPr>
      </w:pPr>
    </w:p>
    <w:p>
      <w:pPr>
        <w:jc w:val="both"/>
        <w:spacing w:after="0" w:line="261" w:lineRule="auto"/>
        <w:rPr>
          <w:rFonts w:ascii="Times New Roman" w:cs="Times New Roman" w:eastAsia="Times New Roman" w:hAnsi="Times New Roman"/>
          <w:sz w:val="18"/>
          <w:szCs w:val="18"/>
          <w:u w:val="single" w:color="auto"/>
          <w:color w:val="0000FF"/>
        </w:rPr>
      </w:pPr>
      <w:hyperlink r:id="rId611">
        <w:r>
          <w:rPr>
            <w:rFonts w:ascii="Times New Roman" w:cs="Times New Roman" w:eastAsia="Times New Roman" w:hAnsi="Times New Roman"/>
            <w:sz w:val="18"/>
            <w:szCs w:val="18"/>
            <w:u w:val="single" w:color="auto"/>
            <w:color w:val="0000FF"/>
          </w:rPr>
          <w:t>Amendment No. 3, dated as of September 20, 2023, to Credit Agreement dated as of August 6, 2021, by and among Cabot Corporation, the</w:t>
        </w:r>
      </w:hyperlink>
      <w:r>
        <w:rPr>
          <w:rFonts w:ascii="Times New Roman" w:cs="Times New Roman" w:eastAsia="Times New Roman" w:hAnsi="Times New Roman"/>
          <w:sz w:val="18"/>
          <w:szCs w:val="18"/>
          <w:u w:val="single" w:color="auto"/>
          <w:color w:val="0000FF"/>
        </w:rPr>
        <w:t xml:space="preserve"> </w:t>
      </w:r>
      <w:hyperlink r:id="rId611">
        <w:r>
          <w:rPr>
            <w:rFonts w:ascii="Times New Roman" w:cs="Times New Roman" w:eastAsia="Times New Roman" w:hAnsi="Times New Roman"/>
            <w:sz w:val="18"/>
            <w:szCs w:val="18"/>
            <w:u w:val="single" w:color="auto"/>
            <w:color w:val="0000FF"/>
          </w:rPr>
          <w:t>designated borrowers, the lenders party thereto, and the Administrative Agent. (incorporated herein by reference to Exhibit 10(a)(iii) to</w:t>
        </w:r>
      </w:hyperlink>
      <w:r>
        <w:rPr>
          <w:rFonts w:ascii="Times New Roman" w:cs="Times New Roman" w:eastAsia="Times New Roman" w:hAnsi="Times New Roman"/>
          <w:sz w:val="18"/>
          <w:szCs w:val="18"/>
          <w:u w:val="single" w:color="auto"/>
          <w:color w:val="0000FF"/>
        </w:rPr>
        <w:t xml:space="preserve"> </w:t>
      </w:r>
      <w:hyperlink r:id="rId611">
        <w:r>
          <w:rPr>
            <w:rFonts w:ascii="Times New Roman" w:cs="Times New Roman" w:eastAsia="Times New Roman" w:hAnsi="Times New Roman"/>
            <w:sz w:val="18"/>
            <w:szCs w:val="18"/>
            <w:u w:val="single" w:color="auto"/>
            <w:color w:val="0000FF"/>
          </w:rPr>
          <w:t>Cabot's Annual Report on Form 10-K for its fiscal year ended September 30, 2023, file reference 1-5667, filed with the SEC on November</w:t>
        </w:r>
      </w:hyperlink>
      <w:r>
        <w:rPr>
          <w:rFonts w:ascii="Times New Roman" w:cs="Times New Roman" w:eastAsia="Times New Roman" w:hAnsi="Times New Roman"/>
          <w:sz w:val="18"/>
          <w:szCs w:val="18"/>
          <w:u w:val="single" w:color="auto"/>
          <w:color w:val="0000FF"/>
        </w:rPr>
        <w:t xml:space="preserve"> </w:t>
      </w:r>
      <w:hyperlink r:id="rId611">
        <w:r>
          <w:rPr>
            <w:rFonts w:ascii="Times New Roman" w:cs="Times New Roman" w:eastAsia="Times New Roman" w:hAnsi="Times New Roman"/>
            <w:sz w:val="18"/>
            <w:szCs w:val="18"/>
            <w:u w:val="single" w:color="auto"/>
            <w:color w:val="0000FF"/>
          </w:rPr>
          <w:t>22,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-448310</wp:posOffset>
            </wp:positionV>
            <wp:extent cx="637794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-311150</wp:posOffset>
            </wp:positionV>
            <wp:extent cx="637730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-173990</wp:posOffset>
            </wp:positionV>
            <wp:extent cx="636968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63696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4660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155" w:lineRule="exact"/>
        <w:rPr>
          <w:rFonts w:ascii="Times New Roman" w:cs="Times New Roman" w:eastAsia="Times New Roman" w:hAnsi="Times New Roman"/>
          <w:sz w:val="18"/>
          <w:szCs w:val="18"/>
          <w:u w:val="single" w:color="auto"/>
          <w:color w:val="0000FF"/>
        </w:rPr>
      </w:pPr>
    </w:p>
    <w:p>
      <w:pPr>
        <w:jc w:val="both"/>
        <w:spacing w:after="0" w:line="235" w:lineRule="auto"/>
        <w:rPr>
          <w:rFonts w:ascii="Calibri" w:cs="Calibri" w:eastAsia="Calibri" w:hAnsi="Calibri"/>
          <w:sz w:val="18"/>
          <w:szCs w:val="18"/>
          <w:u w:val="single" w:color="auto"/>
          <w:color w:val="0000FF"/>
        </w:rPr>
      </w:pPr>
      <w:hyperlink r:id="rId616">
        <w:r>
          <w:rPr>
            <w:rFonts w:ascii="Calibri" w:cs="Calibri" w:eastAsia="Calibri" w:hAnsi="Calibri"/>
            <w:sz w:val="18"/>
            <w:szCs w:val="18"/>
            <w:u w:val="single" w:color="auto"/>
            <w:color w:val="0000FF"/>
          </w:rPr>
          <w:t>Credit Agreement, dated as of May 18, 2023, among certain subsidiaries of Cabot Corporaton, guaranteed by Cabot Corporaton, PNC Bank,</w:t>
        </w:r>
      </w:hyperlink>
      <w:r>
        <w:rPr>
          <w:rFonts w:ascii="Calibri" w:cs="Calibri" w:eastAsia="Calibri" w:hAnsi="Calibri"/>
          <w:sz w:val="18"/>
          <w:szCs w:val="18"/>
          <w:u w:val="single" w:color="auto"/>
          <w:color w:val="0000FF"/>
        </w:rPr>
        <w:t xml:space="preserve"> </w:t>
      </w:r>
      <w:hyperlink r:id="rId616">
        <w:r>
          <w:rPr>
            <w:rFonts w:ascii="Calibri" w:cs="Calibri" w:eastAsia="Calibri" w:hAnsi="Calibri"/>
            <w:sz w:val="18"/>
            <w:szCs w:val="18"/>
            <w:u w:val="single" w:color="auto"/>
            <w:color w:val="0000FF"/>
          </w:rPr>
          <w:t>Natonal Associaton, ING Bank. N.V., Dublin branch, U.S. Bank Natonal Associaton, and Mizuho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6968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7">
                      <a:extLst>
                        <a:ext uri="{28A0092B-C50C-407E-A947-70E740481C1C}"/>
                      </a:extLst>
                    </a:blip>
                    <a:srcRect/>
                    <a:stretch>
                      <a:fillRect/>
                    </a:stretch>
                  </pic:blipFill>
                  <pic:spPr bwMode="auto">
                    <a:xfrm>
                      <a:off x="0" y="0"/>
                      <a:ext cx="636968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434594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8">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193" w:lineRule="exact"/>
        <w:rPr>
          <w:sz w:val="20"/>
          <w:szCs w:val="20"/>
          <w:color w:val="auto"/>
        </w:rPr>
      </w:pPr>
    </w:p>
    <w:p>
      <w:pPr>
        <w:ind w:left="4360"/>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481965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40" w:space="300"/>
            <w:col w:w="10040"/>
          </w:cols>
          <w:pgMar w:left="460" w:top="981"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0"/>
        </w:trPr>
        <w:tc>
          <w:tcPr>
            <w:tcW w:w="1040" w:type="dxa"/>
            <w:vAlign w:val="bottom"/>
          </w:tcPr>
          <w:p>
            <w:pPr>
              <w:ind w:left="140"/>
              <w:spacing w:after="0"/>
              <w:rPr>
                <w:sz w:val="20"/>
                <w:szCs w:val="20"/>
                <w:color w:val="auto"/>
              </w:rPr>
            </w:pPr>
            <w:r>
              <w:rPr>
                <w:rFonts w:ascii="Calibri" w:cs="Calibri" w:eastAsia="Calibri" w:hAnsi="Calibri"/>
                <w:sz w:val="18"/>
                <w:szCs w:val="18"/>
                <w:b w:val="1"/>
                <w:bCs w:val="1"/>
                <w:color w:val="auto"/>
              </w:rPr>
              <w:t>Exhibit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04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Number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3"/>
          </w:tcPr>
          <w:p>
            <w:pPr>
              <w:ind w:left="4660"/>
              <w:spacing w:after="0" w:line="216" w:lineRule="exact"/>
              <w:rPr>
                <w:sz w:val="20"/>
                <w:szCs w:val="20"/>
                <w:color w:val="auto"/>
              </w:rPr>
            </w:pPr>
            <w:r>
              <w:rPr>
                <w:rFonts w:ascii="Calibri" w:cs="Calibri" w:eastAsia="Calibri" w:hAnsi="Calibri"/>
                <w:sz w:val="18"/>
                <w:szCs w:val="18"/>
                <w:b w:val="1"/>
                <w:bCs w:val="1"/>
                <w:color w:val="auto"/>
              </w:rPr>
              <w:t>Descripton</w:t>
            </w:r>
          </w:p>
        </w:tc>
      </w:tr>
      <w:tr>
        <w:trPr>
          <w:trHeight w:val="2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7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
          </w:tcPr>
          <w:p>
            <w:pPr>
              <w:spacing w:after="0"/>
              <w:rPr>
                <w:rFonts w:ascii="Calibri" w:cs="Calibri" w:eastAsia="Calibri" w:hAnsi="Calibri"/>
                <w:sz w:val="18"/>
                <w:szCs w:val="18"/>
                <w:color w:val="0000FF"/>
                <w:w w:val="99"/>
              </w:rPr>
            </w:pPr>
            <w:hyperlink r:id="rId616">
              <w:r>
                <w:rPr>
                  <w:rFonts w:ascii="Calibri" w:cs="Calibri" w:eastAsia="Calibri" w:hAnsi="Calibri"/>
                  <w:sz w:val="18"/>
                  <w:szCs w:val="18"/>
                  <w:color w:val="0000FF"/>
                  <w:w w:val="99"/>
                </w:rPr>
                <w:t>Bank, Ltd. (incorporated herein by reference to Exhibit 10.3 of Cabot’s Quarterly Report on Form 10-Q for the quarterly period ended June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0000EE"/>
              <w:bottom w:val="single" w:sz="8" w:color="0000FF"/>
            </w:tcBorders>
          </w:tcPr>
          <w:p>
            <w:pPr>
              <w:spacing w:after="0"/>
              <w:rPr>
                <w:sz w:val="17"/>
                <w:szCs w:val="17"/>
                <w:color w:val="auto"/>
              </w:rPr>
            </w:pPr>
          </w:p>
        </w:tc>
        <w:tc>
          <w:tcPr>
            <w:tcW w:w="5020" w:type="dxa"/>
            <w:vAlign w:val="bottom"/>
            <w:tcBorders>
              <w:top w:val="single" w:sz="8" w:color="0000FF"/>
              <w:bottom w:val="single" w:sz="8" w:color="0000EE"/>
            </w:tcBorders>
          </w:tcPr>
          <w:p>
            <w:pPr>
              <w:spacing w:after="0" w:line="196" w:lineRule="exact"/>
              <w:rPr>
                <w:rFonts w:ascii="Calibri" w:cs="Calibri" w:eastAsia="Calibri" w:hAnsi="Calibri"/>
                <w:sz w:val="18"/>
                <w:szCs w:val="18"/>
                <w:color w:val="0000FF"/>
              </w:rPr>
            </w:pPr>
            <w:hyperlink r:id="rId616">
              <w:r>
                <w:rPr>
                  <w:rFonts w:ascii="Calibri" w:cs="Calibri" w:eastAsia="Calibri" w:hAnsi="Calibri"/>
                  <w:sz w:val="18"/>
                  <w:szCs w:val="18"/>
                  <w:color w:val="0000FF"/>
                </w:rPr>
                <w:t>30, 2023, fle reference 1-5667, fled with the SEC on August 8, 2023).</w:t>
              </w:r>
            </w:hyperlink>
          </w:p>
        </w:tc>
        <w:tc>
          <w:tcPr>
            <w:tcW w:w="50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976" w:right="339" w:bottom="1440" w:gutter="0" w:footer="0" w:header="0"/>
        </w:sectPr>
      </w:pPr>
    </w:p>
    <w:p>
      <w:pPr>
        <w:spacing w:after="0" w:line="245"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10(c)*</w:t>
      </w:r>
    </w:p>
    <w:p>
      <w:pPr>
        <w:spacing w:after="0" w:line="200" w:lineRule="exact"/>
        <w:rPr>
          <w:sz w:val="20"/>
          <w:szCs w:val="20"/>
          <w:color w:val="auto"/>
        </w:rPr>
      </w:pPr>
    </w:p>
    <w:p>
      <w:pPr>
        <w:spacing w:after="0" w:line="350"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10(c)(i)*</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10(c)(ii)*</w:t>
      </w:r>
    </w:p>
    <w:p>
      <w:pPr>
        <w:spacing w:after="0" w:line="200" w:lineRule="exact"/>
        <w:rPr>
          <w:sz w:val="20"/>
          <w:szCs w:val="20"/>
          <w:color w:val="auto"/>
        </w:rPr>
      </w:pPr>
    </w:p>
    <w:p>
      <w:pPr>
        <w:spacing w:after="0" w:line="233" w:lineRule="exact"/>
        <w:rPr>
          <w:sz w:val="20"/>
          <w:szCs w:val="20"/>
          <w:color w:val="auto"/>
        </w:rPr>
      </w:pPr>
    </w:p>
    <w:p>
      <w:pPr>
        <w:jc w:val="center"/>
        <w:ind w:left="240"/>
        <w:spacing w:after="0"/>
        <w:rPr>
          <w:sz w:val="20"/>
          <w:szCs w:val="20"/>
          <w:color w:val="auto"/>
        </w:rPr>
      </w:pPr>
      <w:r>
        <w:rPr>
          <w:rFonts w:ascii="Calibri" w:cs="Calibri" w:eastAsia="Calibri" w:hAnsi="Calibri"/>
          <w:sz w:val="17"/>
          <w:szCs w:val="17"/>
          <w:color w:val="auto"/>
        </w:rPr>
        <w:t>10(c)(iii)*</w:t>
      </w:r>
    </w:p>
    <w:p>
      <w:pPr>
        <w:spacing w:after="0" w:line="200" w:lineRule="exact"/>
        <w:rPr>
          <w:sz w:val="20"/>
          <w:szCs w:val="20"/>
          <w:color w:val="auto"/>
        </w:rPr>
      </w:pPr>
    </w:p>
    <w:p>
      <w:pPr>
        <w:spacing w:after="0" w:line="240" w:lineRule="exact"/>
        <w:rPr>
          <w:sz w:val="20"/>
          <w:szCs w:val="20"/>
          <w:color w:val="auto"/>
        </w:rPr>
      </w:pPr>
    </w:p>
    <w:p>
      <w:pPr>
        <w:jc w:val="center"/>
        <w:ind w:left="240"/>
        <w:spacing w:after="0"/>
        <w:rPr>
          <w:sz w:val="20"/>
          <w:szCs w:val="20"/>
          <w:color w:val="auto"/>
        </w:rPr>
      </w:pPr>
      <w:r>
        <w:rPr>
          <w:rFonts w:ascii="Calibri" w:cs="Calibri" w:eastAsia="Calibri" w:hAnsi="Calibri"/>
          <w:sz w:val="17"/>
          <w:szCs w:val="17"/>
          <w:color w:val="auto"/>
        </w:rPr>
        <w:t>10(c)(vi)*</w:t>
      </w:r>
    </w:p>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10(e)*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40"/>
        <w:spacing w:after="0"/>
        <w:rPr>
          <w:sz w:val="20"/>
          <w:szCs w:val="20"/>
          <w:color w:val="auto"/>
        </w:rPr>
      </w:pPr>
      <w:r>
        <w:rPr>
          <w:rFonts w:ascii="Calibri" w:cs="Calibri" w:eastAsia="Calibri" w:hAnsi="Calibri"/>
          <w:sz w:val="18"/>
          <w:szCs w:val="18"/>
          <w:color w:val="auto"/>
        </w:rPr>
        <w:t>10(f)*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10(g)*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10(h)*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620">
        <w:r>
          <w:rPr>
            <w:rFonts w:ascii="Times New Roman" w:cs="Times New Roman" w:eastAsia="Times New Roman" w:hAnsi="Times New Roman"/>
            <w:sz w:val="18"/>
            <w:szCs w:val="18"/>
            <w:u w:val="single" w:color="auto"/>
            <w:color w:val="0000FF"/>
          </w:rPr>
          <w:t>2009 Long-Term Incentive Plan (incorporated herein by reference to Appendix B of Cabot’s Proxy Statement on Schedule 14A relating to</w:t>
        </w:r>
      </w:hyperlink>
      <w:r>
        <w:rPr>
          <w:rFonts w:ascii="Times New Roman" w:cs="Times New Roman" w:eastAsia="Times New Roman" w:hAnsi="Times New Roman"/>
          <w:sz w:val="18"/>
          <w:szCs w:val="18"/>
          <w:u w:val="single" w:color="auto"/>
          <w:color w:val="0000FF"/>
        </w:rPr>
        <w:t xml:space="preserve"> </w:t>
      </w:r>
      <w:hyperlink r:id="rId620">
        <w:r>
          <w:rPr>
            <w:rFonts w:ascii="Times New Roman" w:cs="Times New Roman" w:eastAsia="Times New Roman" w:hAnsi="Times New Roman"/>
            <w:sz w:val="18"/>
            <w:szCs w:val="18"/>
            <w:u w:val="single" w:color="auto"/>
            <w:color w:val="0000FF"/>
          </w:rPr>
          <w:t>the 2012 Annual Meeting of Stockholders, file reference 1-5667, filed with the SEC on January 30,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754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1">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8609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2">
                      <a:extLst>
                        <a:ext uri="{28A0092B-C50C-407E-A947-70E740481C1C}"/>
                      </a:extLst>
                    </a:blip>
                    <a:srcRect/>
                    <a:stretch>
                      <a:fillRect/>
                    </a:stretch>
                  </pic:blipFill>
                  <pic:spPr bwMode="auto">
                    <a:xfrm>
                      <a:off x="0" y="0"/>
                      <a:ext cx="4860925" cy="8255"/>
                    </a:xfrm>
                    <a:prstGeom prst="rect">
                      <a:avLst/>
                    </a:prstGeom>
                    <a:noFill/>
                  </pic:spPr>
                </pic:pic>
              </a:graphicData>
            </a:graphic>
          </wp:anchor>
        </w:drawing>
      </w:r>
    </w:p>
    <w:p>
      <w:pPr>
        <w:spacing w:after="0" w:line="259" w:lineRule="exact"/>
        <w:rPr>
          <w:sz w:val="20"/>
          <w:szCs w:val="20"/>
          <w:color w:val="auto"/>
        </w:rPr>
      </w:pPr>
    </w:p>
    <w:p>
      <w:pPr>
        <w:jc w:val="both"/>
        <w:ind w:right="20"/>
        <w:spacing w:after="0" w:line="235" w:lineRule="auto"/>
        <w:rPr>
          <w:rFonts w:ascii="Calibri" w:cs="Calibri" w:eastAsia="Calibri" w:hAnsi="Calibri"/>
          <w:sz w:val="18"/>
          <w:szCs w:val="18"/>
          <w:u w:val="single" w:color="auto"/>
          <w:color w:val="0000FF"/>
        </w:rPr>
      </w:pPr>
      <w:hyperlink r:id="rId623">
        <w:r>
          <w:rPr>
            <w:rFonts w:ascii="Calibri" w:cs="Calibri" w:eastAsia="Calibri" w:hAnsi="Calibri"/>
            <w:sz w:val="18"/>
            <w:szCs w:val="18"/>
            <w:u w:val="single" w:color="auto"/>
            <w:color w:val="0000FF"/>
          </w:rPr>
          <w:t>2017 Long-Term Incentve Plan (incorporated herein by reference to Exhibit 10.1 of Cabot’s Quarterly Report on Form 10-Q for the quarterly</w:t>
        </w:r>
      </w:hyperlink>
      <w:r>
        <w:rPr>
          <w:rFonts w:ascii="Calibri" w:cs="Calibri" w:eastAsia="Calibri" w:hAnsi="Calibri"/>
          <w:sz w:val="18"/>
          <w:szCs w:val="18"/>
          <w:u w:val="single" w:color="auto"/>
          <w:color w:val="0000FF"/>
        </w:rPr>
        <w:t xml:space="preserve"> </w:t>
      </w:r>
      <w:hyperlink r:id="rId623">
        <w:r>
          <w:rPr>
            <w:rFonts w:ascii="Calibri" w:cs="Calibri" w:eastAsia="Calibri" w:hAnsi="Calibri"/>
            <w:sz w:val="18"/>
            <w:szCs w:val="18"/>
            <w:u w:val="single" w:color="auto"/>
            <w:color w:val="0000FF"/>
          </w:rPr>
          <w:t>period ended March 31, 2017, fle reference 1-5667, fled with the SEC on May 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60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4">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396367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5">
                      <a:extLst>
                        <a:ext uri="{28A0092B-C50C-407E-A947-70E740481C1C}"/>
                      </a:extLst>
                    </a:blip>
                    <a:srcRect/>
                    <a:stretch>
                      <a:fillRect/>
                    </a:stretch>
                  </pic:blipFill>
                  <pic:spPr bwMode="auto">
                    <a:xfrm>
                      <a:off x="0" y="0"/>
                      <a:ext cx="3963670" cy="8890"/>
                    </a:xfrm>
                    <a:prstGeom prst="rect">
                      <a:avLst/>
                    </a:prstGeom>
                    <a:noFill/>
                  </pic:spPr>
                </pic:pic>
              </a:graphicData>
            </a:graphic>
          </wp:anchor>
        </w:drawing>
      </w:r>
    </w:p>
    <w:p>
      <w:pPr>
        <w:spacing w:after="0" w:line="198" w:lineRule="exact"/>
        <w:rPr>
          <w:sz w:val="20"/>
          <w:szCs w:val="20"/>
          <w:color w:val="auto"/>
        </w:rPr>
      </w:pPr>
    </w:p>
    <w:p>
      <w:pPr>
        <w:jc w:val="both"/>
        <w:ind w:right="20"/>
        <w:spacing w:after="0" w:line="235" w:lineRule="auto"/>
        <w:rPr>
          <w:rFonts w:ascii="Calibri" w:cs="Calibri" w:eastAsia="Calibri" w:hAnsi="Calibri"/>
          <w:sz w:val="18"/>
          <w:szCs w:val="18"/>
          <w:u w:val="single" w:color="auto"/>
          <w:color w:val="0000FF"/>
        </w:rPr>
      </w:pPr>
      <w:hyperlink r:id="rId626">
        <w:r>
          <w:rPr>
            <w:rFonts w:ascii="Calibri" w:cs="Calibri" w:eastAsia="Calibri" w:hAnsi="Calibri"/>
            <w:sz w:val="18"/>
            <w:szCs w:val="18"/>
            <w:u w:val="single" w:color="auto"/>
            <w:color w:val="0000FF"/>
          </w:rPr>
          <w:t>Amended and Restated 2017 Long-Term Incentve Plan (incorporated herein by reference to Exhibit 10.1 of Cabot’s Quarterly Report on Form</w:t>
        </w:r>
      </w:hyperlink>
      <w:r>
        <w:rPr>
          <w:rFonts w:ascii="Calibri" w:cs="Calibri" w:eastAsia="Calibri" w:hAnsi="Calibri"/>
          <w:sz w:val="18"/>
          <w:szCs w:val="18"/>
          <w:u w:val="single" w:color="auto"/>
          <w:color w:val="0000FF"/>
        </w:rPr>
        <w:t xml:space="preserve"> </w:t>
      </w:r>
      <w:hyperlink r:id="rId626">
        <w:r>
          <w:rPr>
            <w:rFonts w:ascii="Calibri" w:cs="Calibri" w:eastAsia="Calibri" w:hAnsi="Calibri"/>
            <w:sz w:val="18"/>
            <w:szCs w:val="18"/>
            <w:u w:val="single" w:color="auto"/>
            <w:color w:val="0000FF"/>
          </w:rPr>
          <w:t>10-Q for the quarterly period ended March 31, 2021, fle reference 1-5667, fled with the SEC on May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730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7">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49834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8">
                      <a:extLst>
                        <a:ext uri="{28A0092B-C50C-407E-A947-70E740481C1C}"/>
                      </a:extLst>
                    </a:blip>
                    <a:srcRect/>
                    <a:stretch>
                      <a:fillRect/>
                    </a:stretch>
                  </pic:blipFill>
                  <pic:spPr bwMode="auto">
                    <a:xfrm>
                      <a:off x="0" y="0"/>
                      <a:ext cx="4983480" cy="8255"/>
                    </a:xfrm>
                    <a:prstGeom prst="rect">
                      <a:avLst/>
                    </a:prstGeom>
                    <a:noFill/>
                  </pic:spPr>
                </pic:pic>
              </a:graphicData>
            </a:graphic>
          </wp:anchor>
        </w:drawing>
      </w:r>
    </w:p>
    <w:p>
      <w:pPr>
        <w:spacing w:after="0" w:line="202"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629">
        <w:r>
          <w:rPr>
            <w:rFonts w:ascii="Times New Roman" w:cs="Times New Roman" w:eastAsia="Times New Roman" w:hAnsi="Times New Roman"/>
            <w:sz w:val="18"/>
            <w:szCs w:val="18"/>
            <w:u w:val="single" w:color="auto"/>
            <w:color w:val="0000FF"/>
          </w:rPr>
          <w:t>Cabot Corporation 2024 Non-Employee Director Plan (incorporated herein by reference to Appendix B of Cabot’s Proxy Statement on</w:t>
        </w:r>
      </w:hyperlink>
      <w:r>
        <w:rPr>
          <w:rFonts w:ascii="Times New Roman" w:cs="Times New Roman" w:eastAsia="Times New Roman" w:hAnsi="Times New Roman"/>
          <w:sz w:val="18"/>
          <w:szCs w:val="18"/>
          <w:u w:val="single" w:color="auto"/>
          <w:color w:val="0000FF"/>
        </w:rPr>
        <w:t xml:space="preserve"> </w:t>
      </w:r>
      <w:hyperlink r:id="rId629">
        <w:r>
          <w:rPr>
            <w:rFonts w:ascii="Times New Roman" w:cs="Times New Roman" w:eastAsia="Times New Roman" w:hAnsi="Times New Roman"/>
            <w:sz w:val="18"/>
            <w:szCs w:val="18"/>
            <w:u w:val="single" w:color="auto"/>
            <w:color w:val="0000FF"/>
          </w:rPr>
          <w:t>Schedule 14A relating to the 2024 Annual Meeting of Stockholders, file reference 1-5667, filed with the SEC on January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709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0">
                      <a:extLst>
                        <a:ext uri="{28A0092B-C50C-407E-A947-70E740481C1C}"/>
                      </a:extLst>
                    </a:blip>
                    <a:srcRect/>
                    <a:stretch>
                      <a:fillRect/>
                    </a:stretch>
                  </pic:blipFill>
                  <pic:spPr bwMode="auto">
                    <a:xfrm>
                      <a:off x="0" y="0"/>
                      <a:ext cx="6370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60286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1">
                      <a:extLst>
                        <a:ext uri="{28A0092B-C50C-407E-A947-70E740481C1C}"/>
                      </a:extLst>
                    </a:blip>
                    <a:srcRect/>
                    <a:stretch>
                      <a:fillRect/>
                    </a:stretch>
                  </pic:blipFill>
                  <pic:spPr bwMode="auto">
                    <a:xfrm>
                      <a:off x="0" y="0"/>
                      <a:ext cx="6028690" cy="8255"/>
                    </a:xfrm>
                    <a:prstGeom prst="rect">
                      <a:avLst/>
                    </a:prstGeom>
                    <a:noFill/>
                  </pic:spPr>
                </pic:pic>
              </a:graphicData>
            </a:graphic>
          </wp:anchor>
        </w:drawing>
      </w:r>
    </w:p>
    <w:p>
      <w:pPr>
        <w:spacing w:after="0" w:line="137" w:lineRule="exact"/>
        <w:rPr>
          <w:sz w:val="20"/>
          <w:szCs w:val="20"/>
          <w:color w:val="auto"/>
        </w:rPr>
      </w:pPr>
    </w:p>
    <w:p>
      <w:pPr>
        <w:jc w:val="both"/>
        <w:ind w:right="20"/>
        <w:spacing w:after="0" w:line="235" w:lineRule="auto"/>
        <w:rPr>
          <w:rFonts w:ascii="Calibri" w:cs="Calibri" w:eastAsia="Calibri" w:hAnsi="Calibri"/>
          <w:sz w:val="18"/>
          <w:szCs w:val="18"/>
          <w:u w:val="single" w:color="auto"/>
          <w:color w:val="0000FF"/>
        </w:rPr>
      </w:pPr>
      <w:hyperlink r:id="rId632">
        <w:r>
          <w:rPr>
            <w:rFonts w:ascii="Calibri" w:cs="Calibri" w:eastAsia="Calibri" w:hAnsi="Calibri"/>
            <w:sz w:val="18"/>
            <w:szCs w:val="18"/>
            <w:u w:val="single" w:color="auto"/>
            <w:color w:val="0000FF"/>
          </w:rPr>
          <w:t>Cabot Corporaton 2018 Short-Term Incentve Compensaton Plan (incorporated herein by reference to Exhibit 10.1 of Cabot’s Quarterly</w:t>
        </w:r>
      </w:hyperlink>
      <w:r>
        <w:rPr>
          <w:rFonts w:ascii="Calibri" w:cs="Calibri" w:eastAsia="Calibri" w:hAnsi="Calibri"/>
          <w:sz w:val="18"/>
          <w:szCs w:val="18"/>
          <w:u w:val="single" w:color="auto"/>
          <w:color w:val="0000FF"/>
        </w:rPr>
        <w:t xml:space="preserve"> </w:t>
      </w:r>
      <w:hyperlink r:id="rId632">
        <w:r>
          <w:rPr>
            <w:rFonts w:ascii="Calibri" w:cs="Calibri" w:eastAsia="Calibri" w:hAnsi="Calibri"/>
            <w:sz w:val="18"/>
            <w:szCs w:val="18"/>
            <w:u w:val="single" w:color="auto"/>
            <w:color w:val="0000FF"/>
          </w:rPr>
          <w:t>Report on Form 10-Q for the quarterly period ended December 31, 2018, fle reference 1-5667, fled with the SEC on February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413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3">
                      <a:extLst>
                        <a:ext uri="{28A0092B-C50C-407E-A947-70E740481C1C}"/>
                      </a:extLst>
                    </a:blip>
                    <a:srcRect/>
                    <a:stretch>
                      <a:fillRect/>
                    </a:stretch>
                  </pic:blipFill>
                  <pic:spPr bwMode="auto">
                    <a:xfrm>
                      <a:off x="0" y="0"/>
                      <a:ext cx="63741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61036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4">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98" w:lineRule="exact"/>
        <w:rPr>
          <w:sz w:val="20"/>
          <w:szCs w:val="20"/>
          <w:color w:val="auto"/>
        </w:rPr>
      </w:pPr>
    </w:p>
    <w:p>
      <w:pPr>
        <w:jc w:val="both"/>
        <w:ind w:right="20"/>
        <w:spacing w:after="0" w:line="235" w:lineRule="auto"/>
        <w:rPr>
          <w:rFonts w:ascii="Calibri" w:cs="Calibri" w:eastAsia="Calibri" w:hAnsi="Calibri"/>
          <w:sz w:val="18"/>
          <w:szCs w:val="18"/>
          <w:u w:val="single" w:color="auto"/>
          <w:color w:val="0000FF"/>
        </w:rPr>
      </w:pPr>
      <w:hyperlink r:id="rId635">
        <w:r>
          <w:rPr>
            <w:rFonts w:ascii="Calibri" w:cs="Calibri" w:eastAsia="Calibri" w:hAnsi="Calibri"/>
            <w:sz w:val="18"/>
            <w:szCs w:val="18"/>
            <w:u w:val="single" w:color="auto"/>
            <w:color w:val="0000FF"/>
          </w:rPr>
          <w:t>Cabot Corporaton Amended and Restated Senior Management Severance Protecton Plan, dated March 9, 2012 (incorporated herein by</w:t>
        </w:r>
      </w:hyperlink>
      <w:r>
        <w:rPr>
          <w:rFonts w:ascii="Calibri" w:cs="Calibri" w:eastAsia="Calibri" w:hAnsi="Calibri"/>
          <w:sz w:val="18"/>
          <w:szCs w:val="18"/>
          <w:u w:val="single" w:color="auto"/>
          <w:color w:val="0000FF"/>
        </w:rPr>
        <w:t xml:space="preserve"> </w:t>
      </w:r>
      <w:hyperlink r:id="rId635">
        <w:r>
          <w:rPr>
            <w:rFonts w:ascii="Calibri" w:cs="Calibri" w:eastAsia="Calibri" w:hAnsi="Calibri"/>
            <w:sz w:val="18"/>
            <w:szCs w:val="18"/>
            <w:u w:val="single" w:color="auto"/>
            <w:color w:val="0000FF"/>
          </w:rPr>
          <w:t>reference to Exhibit 10.5 of Cabot’s Quarterly Report on Form 10-Q for the quarterly period ended March 31, 2012, fle reference 1-5667,</w:t>
        </w:r>
      </w:hyperlink>
      <w:r>
        <w:rPr>
          <w:rFonts w:ascii="Calibri" w:cs="Calibri" w:eastAsia="Calibri" w:hAnsi="Calibri"/>
          <w:sz w:val="18"/>
          <w:szCs w:val="18"/>
          <w:u w:val="single" w:color="auto"/>
          <w:color w:val="0000FF"/>
        </w:rPr>
        <w:t xml:space="preserve"> </w:t>
      </w:r>
      <w:hyperlink r:id="rId635">
        <w:r>
          <w:rPr>
            <w:rFonts w:ascii="Calibri" w:cs="Calibri" w:eastAsia="Calibri" w:hAnsi="Calibri"/>
            <w:sz w:val="18"/>
            <w:szCs w:val="18"/>
            <w:u w:val="single" w:color="auto"/>
            <w:color w:val="0000FF"/>
          </w:rPr>
          <w:t>fled with the SEC on May 7, 2012).</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22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6">
                      <a:extLst>
                        <a:ext uri="{28A0092B-C50C-407E-A947-70E740481C1C}"/>
                      </a:extLst>
                    </a:blip>
                    <a:srcRect/>
                    <a:stretch>
                      <a:fillRect/>
                    </a:stretch>
                  </pic:blipFill>
                  <pic:spPr bwMode="auto">
                    <a:xfrm>
                      <a:off x="0" y="0"/>
                      <a:ext cx="637222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60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7">
                      <a:extLst>
                        <a:ext uri="{28A0092B-C50C-407E-A947-70E740481C1C}"/>
                      </a:extLst>
                    </a:blip>
                    <a:srcRect/>
                    <a:stretch>
                      <a:fillRect/>
                    </a:stretch>
                  </pic:blipFill>
                  <pic:spPr bwMode="auto">
                    <a:xfrm>
                      <a:off x="0" y="0"/>
                      <a:ext cx="63760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157734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ind w:right="20"/>
        <w:spacing w:after="0" w:line="235" w:lineRule="auto"/>
        <w:rPr>
          <w:rFonts w:ascii="Calibri" w:cs="Calibri" w:eastAsia="Calibri" w:hAnsi="Calibri"/>
          <w:sz w:val="18"/>
          <w:szCs w:val="18"/>
          <w:u w:val="single" w:color="auto"/>
          <w:color w:val="0000FF"/>
        </w:rPr>
      </w:pPr>
      <w:hyperlink r:id="rId639">
        <w:r>
          <w:rPr>
            <w:rFonts w:ascii="Calibri" w:cs="Calibri" w:eastAsia="Calibri" w:hAnsi="Calibri"/>
            <w:sz w:val="18"/>
            <w:szCs w:val="18"/>
            <w:u w:val="single" w:color="auto"/>
            <w:color w:val="0000FF"/>
          </w:rPr>
          <w:t>Form of Performance-Based Restricted Stock Unit Award Certfcate under the Cabot Corporaton 2017 Long-Term Incentve Plan</w:t>
        </w:r>
      </w:hyperlink>
      <w:r>
        <w:rPr>
          <w:rFonts w:ascii="Calibri" w:cs="Calibri" w:eastAsia="Calibri" w:hAnsi="Calibri"/>
          <w:sz w:val="18"/>
          <w:szCs w:val="18"/>
          <w:u w:val="single" w:color="auto"/>
          <w:color w:val="0000FF"/>
        </w:rPr>
        <w:t xml:space="preserve"> </w:t>
      </w:r>
      <w:hyperlink r:id="rId639">
        <w:r>
          <w:rPr>
            <w:rFonts w:ascii="Calibri" w:cs="Calibri" w:eastAsia="Calibri" w:hAnsi="Calibri"/>
            <w:sz w:val="18"/>
            <w:szCs w:val="18"/>
            <w:u w:val="single" w:color="auto"/>
            <w:color w:val="0000FF"/>
          </w:rPr>
          <w:t>(incorporated herein by reference to Exhibit 10(e) of Cabot’s Annual Report on Form 10-K for its fscal year ended September 30, 2018, fle</w:t>
        </w:r>
      </w:hyperlink>
      <w:r>
        <w:rPr>
          <w:rFonts w:ascii="Calibri" w:cs="Calibri" w:eastAsia="Calibri" w:hAnsi="Calibri"/>
          <w:sz w:val="18"/>
          <w:szCs w:val="18"/>
          <w:u w:val="single" w:color="auto"/>
          <w:color w:val="0000FF"/>
        </w:rPr>
        <w:t xml:space="preserve"> </w:t>
      </w:r>
      <w:hyperlink r:id="rId639">
        <w:r>
          <w:rPr>
            <w:rFonts w:ascii="Calibri" w:cs="Calibri" w:eastAsia="Calibri" w:hAnsi="Calibri"/>
            <w:sz w:val="18"/>
            <w:szCs w:val="18"/>
            <w:u w:val="single" w:color="auto"/>
            <w:color w:val="0000FF"/>
          </w:rPr>
          <w:t>reference 1-5667, fled with the SEC on November 21, 2018).</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09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0">
                      <a:extLst>
                        <a:ext uri="{28A0092B-C50C-407E-A947-70E740481C1C}"/>
                      </a:extLst>
                    </a:blip>
                    <a:srcRect/>
                    <a:stretch>
                      <a:fillRect/>
                    </a:stretch>
                  </pic:blipFill>
                  <pic:spPr bwMode="auto">
                    <a:xfrm>
                      <a:off x="0" y="0"/>
                      <a:ext cx="6370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349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1">
                      <a:extLst>
                        <a:ext uri="{28A0092B-C50C-407E-A947-70E740481C1C}"/>
                      </a:extLst>
                    </a:blip>
                    <a:srcRect/>
                    <a:stretch>
                      <a:fillRect/>
                    </a:stretch>
                  </pic:blipFill>
                  <pic:spPr bwMode="auto">
                    <a:xfrm>
                      <a:off x="0" y="0"/>
                      <a:ext cx="63734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27406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2">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ind w:right="20"/>
        <w:spacing w:after="0" w:line="235" w:lineRule="auto"/>
        <w:rPr>
          <w:rFonts w:ascii="Calibri" w:cs="Calibri" w:eastAsia="Calibri" w:hAnsi="Calibri"/>
          <w:sz w:val="18"/>
          <w:szCs w:val="18"/>
          <w:u w:val="single" w:color="auto"/>
          <w:color w:val="0000FF"/>
        </w:rPr>
      </w:pPr>
      <w:hyperlink r:id="rId643">
        <w:r>
          <w:rPr>
            <w:rFonts w:ascii="Calibri" w:cs="Calibri" w:eastAsia="Calibri" w:hAnsi="Calibri"/>
            <w:sz w:val="18"/>
            <w:szCs w:val="18"/>
            <w:u w:val="single" w:color="auto"/>
            <w:color w:val="0000FF"/>
          </w:rPr>
          <w:t>Form of Time-Based Restricted Stock Unit Award Certfcate under the Cabot Corporaton 2017 Long-Term Incentve Plan (incorporated</w:t>
        </w:r>
      </w:hyperlink>
      <w:r>
        <w:rPr>
          <w:rFonts w:ascii="Calibri" w:cs="Calibri" w:eastAsia="Calibri" w:hAnsi="Calibri"/>
          <w:sz w:val="18"/>
          <w:szCs w:val="18"/>
          <w:u w:val="single" w:color="auto"/>
          <w:color w:val="0000FF"/>
        </w:rPr>
        <w:t xml:space="preserve"> </w:t>
      </w:r>
      <w:hyperlink r:id="rId643">
        <w:r>
          <w:rPr>
            <w:rFonts w:ascii="Calibri" w:cs="Calibri" w:eastAsia="Calibri" w:hAnsi="Calibri"/>
            <w:sz w:val="18"/>
            <w:szCs w:val="18"/>
            <w:u w:val="single" w:color="auto"/>
            <w:color w:val="0000FF"/>
          </w:rPr>
          <w:t>herein by reference to Exhibit 10(f) of Cabot’s Annual Report on Form 10-K for its fscal year ended September 30, 2018, fle reference 1-</w:t>
        </w:r>
      </w:hyperlink>
      <w:hyperlink r:id="rId643">
        <w:r>
          <w:rPr>
            <w:rFonts w:ascii="Calibri" w:cs="Calibri" w:eastAsia="Calibri" w:hAnsi="Calibri"/>
            <w:sz w:val="18"/>
            <w:szCs w:val="18"/>
            <w:u w:val="single" w:color="auto"/>
            <w:color w:val="0000FF"/>
          </w:rPr>
          <w:t>5667, fled with the SEC on November 21, 2018).</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34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4">
                      <a:extLst>
                        <a:ext uri="{28A0092B-C50C-407E-A947-70E740481C1C}"/>
                      </a:extLst>
                    </a:blip>
                    <a:srcRect/>
                    <a:stretch>
                      <a:fillRect/>
                    </a:stretch>
                  </pic:blipFill>
                  <pic:spPr bwMode="auto">
                    <a:xfrm>
                      <a:off x="0" y="0"/>
                      <a:ext cx="63734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6968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5">
                      <a:extLst>
                        <a:ext uri="{28A0092B-C50C-407E-A947-70E740481C1C}"/>
                      </a:extLst>
                    </a:blip>
                    <a:srcRect/>
                    <a:stretch>
                      <a:fillRect/>
                    </a:stretch>
                  </pic:blipFill>
                  <pic:spPr bwMode="auto">
                    <a:xfrm>
                      <a:off x="0" y="0"/>
                      <a:ext cx="63696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21926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6">
                      <a:extLst>
                        <a:ext uri="{28A0092B-C50C-407E-A947-70E740481C1C}"/>
                      </a:extLst>
                    </a:blip>
                    <a:srcRect/>
                    <a:stretch>
                      <a:fillRect/>
                    </a:stretch>
                  </pic:blipFill>
                  <pic:spPr bwMode="auto">
                    <a:xfrm>
                      <a:off x="0" y="0"/>
                      <a:ext cx="2192655" cy="8890"/>
                    </a:xfrm>
                    <a:prstGeom prst="rect">
                      <a:avLst/>
                    </a:prstGeom>
                    <a:noFill/>
                  </pic:spPr>
                </pic:pic>
              </a:graphicData>
            </a:graphic>
          </wp:anchor>
        </w:drawing>
      </w:r>
    </w:p>
    <w:p>
      <w:pPr>
        <w:spacing w:after="0" w:line="199" w:lineRule="exact"/>
        <w:rPr>
          <w:rFonts w:ascii="Calibri" w:cs="Calibri" w:eastAsia="Calibri" w:hAnsi="Calibri"/>
          <w:sz w:val="18"/>
          <w:szCs w:val="18"/>
          <w:u w:val="single" w:color="auto"/>
          <w:color w:val="0000FF"/>
        </w:rPr>
      </w:pPr>
    </w:p>
    <w:p>
      <w:pPr>
        <w:jc w:val="both"/>
        <w:ind w:right="20"/>
        <w:spacing w:after="0" w:line="235" w:lineRule="auto"/>
        <w:rPr>
          <w:rFonts w:ascii="Calibri" w:cs="Calibri" w:eastAsia="Calibri" w:hAnsi="Calibri"/>
          <w:sz w:val="18"/>
          <w:szCs w:val="18"/>
          <w:u w:val="single" w:color="auto"/>
          <w:color w:val="0000FF"/>
        </w:rPr>
      </w:pPr>
      <w:hyperlink r:id="rId647">
        <w:r>
          <w:rPr>
            <w:rFonts w:ascii="Calibri" w:cs="Calibri" w:eastAsia="Calibri" w:hAnsi="Calibri"/>
            <w:sz w:val="18"/>
            <w:szCs w:val="18"/>
            <w:u w:val="single" w:color="auto"/>
            <w:color w:val="0000FF"/>
          </w:rPr>
          <w:t>Form of Stock Opton Award Certfcate under the Cabot Corporaton 2017 Long-Term Incentve Plan (incorporated herein by reference to</w:t>
        </w:r>
      </w:hyperlink>
      <w:r>
        <w:rPr>
          <w:rFonts w:ascii="Calibri" w:cs="Calibri" w:eastAsia="Calibri" w:hAnsi="Calibri"/>
          <w:sz w:val="18"/>
          <w:szCs w:val="18"/>
          <w:u w:val="single" w:color="auto"/>
          <w:color w:val="0000FF"/>
        </w:rPr>
        <w:t xml:space="preserve"> </w:t>
      </w:r>
      <w:hyperlink r:id="rId647">
        <w:r>
          <w:rPr>
            <w:rFonts w:ascii="Calibri" w:cs="Calibri" w:eastAsia="Calibri" w:hAnsi="Calibri"/>
            <w:sz w:val="18"/>
            <w:szCs w:val="18"/>
            <w:u w:val="single" w:color="auto"/>
            <w:color w:val="0000FF"/>
          </w:rPr>
          <w:t>Exhibit 10(g) of Cabot’s Annual Report on Form 10-K for its fscal year ended September 30, 2018, fle reference 1-5667, fled with the SEC on</w:t>
        </w:r>
      </w:hyperlink>
      <w:r>
        <w:rPr>
          <w:rFonts w:ascii="Calibri" w:cs="Calibri" w:eastAsia="Calibri" w:hAnsi="Calibri"/>
          <w:sz w:val="18"/>
          <w:szCs w:val="18"/>
          <w:u w:val="single" w:color="auto"/>
          <w:color w:val="0000FF"/>
        </w:rPr>
        <w:t xml:space="preserve"> </w:t>
      </w:r>
      <w:hyperlink r:id="rId647">
        <w:r>
          <w:rPr>
            <w:rFonts w:ascii="Calibri" w:cs="Calibri" w:eastAsia="Calibri" w:hAnsi="Calibri"/>
            <w:sz w:val="18"/>
            <w:szCs w:val="18"/>
            <w:u w:val="single" w:color="auto"/>
            <w:color w:val="0000FF"/>
          </w:rPr>
          <w:t>November 21, 2018).</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22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8">
                      <a:extLst>
                        <a:ext uri="{28A0092B-C50C-407E-A947-70E740481C1C}"/>
                      </a:extLst>
                    </a:blip>
                    <a:srcRect/>
                    <a:stretch>
                      <a:fillRect/>
                    </a:stretch>
                  </pic:blipFill>
                  <pic:spPr bwMode="auto">
                    <a:xfrm>
                      <a:off x="0" y="0"/>
                      <a:ext cx="63722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413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9">
                      <a:extLst>
                        <a:ext uri="{28A0092B-C50C-407E-A947-70E740481C1C}"/>
                      </a:extLst>
                    </a:blip>
                    <a:srcRect/>
                    <a:stretch>
                      <a:fillRect/>
                    </a:stretch>
                  </pic:blipFill>
                  <pic:spPr bwMode="auto">
                    <a:xfrm>
                      <a:off x="0" y="0"/>
                      <a:ext cx="637413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95567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0">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203" w:lineRule="exact"/>
        <w:rPr>
          <w:rFonts w:ascii="Calibri" w:cs="Calibri" w:eastAsia="Calibri" w:hAnsi="Calibri"/>
          <w:sz w:val="18"/>
          <w:szCs w:val="18"/>
          <w:u w:val="single" w:color="auto"/>
          <w:color w:val="0000FF"/>
        </w:rPr>
      </w:pPr>
    </w:p>
    <w:p>
      <w:pPr>
        <w:jc w:val="both"/>
        <w:ind w:right="20"/>
        <w:spacing w:after="0" w:line="261" w:lineRule="auto"/>
        <w:rPr>
          <w:rFonts w:ascii="Times New Roman" w:cs="Times New Roman" w:eastAsia="Times New Roman" w:hAnsi="Times New Roman"/>
          <w:sz w:val="18"/>
          <w:szCs w:val="18"/>
          <w:u w:val="single" w:color="auto"/>
          <w:color w:val="0000FF"/>
        </w:rPr>
      </w:pPr>
      <w:hyperlink r:id="rId651">
        <w:r>
          <w:rPr>
            <w:rFonts w:ascii="Times New Roman" w:cs="Times New Roman" w:eastAsia="Times New Roman" w:hAnsi="Times New Roman"/>
            <w:sz w:val="18"/>
            <w:szCs w:val="18"/>
            <w:u w:val="single" w:color="auto"/>
            <w:color w:val="0000FF"/>
          </w:rPr>
          <w:t>Form of Amendment of outstanding Time-Based Restricted Stock Units, Performance-Based Restricted Stock Units and Stock Options</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issued under the Cabot Corporation Amended and Restated 2017 Long-Term Incentive Plan (incorporated herein by reference to Exhibit</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10(h) of Cabot's Annual Report on Form 10-K for its fiscal year ended September 30, 2023, file reference 1-556, filed with the SEC on</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November 22,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-448310</wp:posOffset>
            </wp:positionV>
            <wp:extent cx="637476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2">
                      <a:extLst>
                        <a:ext uri="{28A0092B-C50C-407E-A947-70E740481C1C}"/>
                      </a:extLst>
                    </a:blip>
                    <a:srcRect/>
                    <a:stretch>
                      <a:fillRect/>
                    </a:stretch>
                  </pic:blipFill>
                  <pic:spPr bwMode="auto">
                    <a:xfrm>
                      <a:off x="0" y="0"/>
                      <a:ext cx="63747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-311150</wp:posOffset>
            </wp:positionV>
            <wp:extent cx="63760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3">
                      <a:extLst>
                        <a:ext uri="{28A0092B-C50C-407E-A947-70E740481C1C}"/>
                      </a:extLst>
                    </a:blip>
                    <a:srcRect/>
                    <a:stretch>
                      <a:fillRect/>
                    </a:stretch>
                  </pic:blipFill>
                  <pic:spPr bwMode="auto">
                    <a:xfrm>
                      <a:off x="0" y="0"/>
                      <a:ext cx="63760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-173990</wp:posOffset>
            </wp:positionV>
            <wp:extent cx="637349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4">
                      <a:extLst>
                        <a:ext uri="{28A0092B-C50C-407E-A947-70E740481C1C}"/>
                      </a:extLst>
                    </a:blip>
                    <a:srcRect/>
                    <a:stretch>
                      <a:fillRect/>
                    </a:stretch>
                  </pic:blipFill>
                  <pic:spPr bwMode="auto">
                    <a:xfrm>
                      <a:off x="0" y="0"/>
                      <a:ext cx="63734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97726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8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920" w:space="260"/>
            <w:col w:w="10060"/>
          </w:cols>
          <w:pgMar w:left="320" w:top="976" w:right="339" w:bottom="1440" w:gutter="0" w:footer="0" w:header="0"/>
          <w:type w:val="continuous"/>
        </w:sectPr>
      </w:pPr>
    </w:p>
    <w:p>
      <w:pPr>
        <w:ind w:left="1180"/>
        <w:spacing w:after="0"/>
        <w:rPr>
          <w:rFonts w:ascii="Times New Roman" w:cs="Times New Roman" w:eastAsia="Times New Roman" w:hAnsi="Times New Roman"/>
          <w:sz w:val="18"/>
          <w:szCs w:val="18"/>
          <w:u w:val="single" w:color="auto"/>
          <w:color w:val="0000FF"/>
        </w:rPr>
      </w:pPr>
      <w:hyperlink r:id="rId656">
        <w:r>
          <w:rPr>
            <w:rFonts w:ascii="Times New Roman" w:cs="Times New Roman" w:eastAsia="Times New Roman" w:hAnsi="Times New Roman"/>
            <w:sz w:val="18"/>
            <w:szCs w:val="18"/>
            <w:u w:val="single" w:color="auto"/>
            <w:color w:val="0000FF"/>
          </w:rPr>
          <w:t>Form of Time-Based Restricted Stock Unit Award Certificate under the Cabot Corporation Amended and Restated 2017 Long-Term</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-7620</wp:posOffset>
            </wp:positionV>
            <wp:extent cx="637222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7">
                      <a:extLst>
                        <a:ext uri="{28A0092B-C50C-407E-A947-70E740481C1C}"/>
                      </a:extLst>
                    </a:blip>
                    <a:srcRect/>
                    <a:stretch>
                      <a:fillRect/>
                    </a:stretch>
                  </pic:blipFill>
                  <pic:spPr bwMode="auto">
                    <a:xfrm>
                      <a:off x="0" y="0"/>
                      <a:ext cx="637222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1180" w:right="20" w:hanging="859"/>
        <w:spacing w:after="0" w:line="246" w:lineRule="auto"/>
        <w:tabs>
          <w:tab w:leader="none" w:pos="1160" w:val="left"/>
        </w:tabs>
        <w:rPr>
          <w:rFonts w:ascii="Times New Roman" w:cs="Times New Roman" w:eastAsia="Times New Roman" w:hAnsi="Times New Roman"/>
          <w:sz w:val="18"/>
          <w:szCs w:val="18"/>
          <w:u w:val="single" w:color="auto"/>
          <w:color w:val="0000FF"/>
        </w:rPr>
      </w:pPr>
      <w:r>
        <w:rPr>
          <w:rFonts w:ascii="Calibri" w:cs="Calibri" w:eastAsia="Calibri" w:hAnsi="Calibri"/>
          <w:sz w:val="18"/>
          <w:szCs w:val="18"/>
          <w:color w:val="auto"/>
        </w:rPr>
        <w:t>10(i)*</w:t>
      </w:r>
      <w:r>
        <w:rPr>
          <w:sz w:val="20"/>
          <w:szCs w:val="20"/>
          <w:color w:val="auto"/>
        </w:rPr>
        <w:tab/>
      </w:r>
      <w:hyperlink r:id="rId656">
        <w:r>
          <w:rPr>
            <w:rFonts w:ascii="Times New Roman" w:cs="Times New Roman" w:eastAsia="Times New Roman" w:hAnsi="Times New Roman"/>
            <w:sz w:val="18"/>
            <w:szCs w:val="18"/>
            <w:u w:val="single" w:color="auto"/>
            <w:color w:val="0000FF"/>
          </w:rPr>
          <w:t>Incentive Plan (incorporated herein by reference to Exhibit 10(i) of Cabot's Annual Report on Form 10-K for its fiscal year ended</w:t>
        </w:r>
      </w:hyperlink>
      <w:r>
        <w:rPr>
          <w:rFonts w:ascii="Times New Roman" w:cs="Times New Roman" w:eastAsia="Times New Roman" w:hAnsi="Times New Roman"/>
          <w:sz w:val="18"/>
          <w:szCs w:val="18"/>
          <w:u w:val="single" w:color="auto"/>
          <w:color w:val="0000FF"/>
        </w:rPr>
        <w:t xml:space="preserve"> </w:t>
      </w:r>
      <w:hyperlink r:id="rId656">
        <w:r>
          <w:rPr>
            <w:rFonts w:ascii="Times New Roman" w:cs="Times New Roman" w:eastAsia="Times New Roman" w:hAnsi="Times New Roman"/>
            <w:sz w:val="18"/>
            <w:szCs w:val="18"/>
            <w:u w:val="single" w:color="auto"/>
            <w:color w:val="0000FF"/>
          </w:rPr>
          <w:t>September 30, 2023, file reference 1-557, filed with the SEC on November 22,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63760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8">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-28575</wp:posOffset>
            </wp:positionV>
            <wp:extent cx="392811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9">
                      <a:extLst>
                        <a:ext uri="{28A0092B-C50C-407E-A947-70E740481C1C}"/>
                      </a:extLst>
                    </a:blip>
                    <a:srcRect/>
                    <a:stretch>
                      <a:fillRect/>
                    </a:stretch>
                  </pic:blipFill>
                  <pic:spPr bwMode="auto">
                    <a:xfrm>
                      <a:off x="0" y="0"/>
                      <a:ext cx="3928110" cy="8890"/>
                    </a:xfrm>
                    <a:prstGeom prst="rect">
                      <a:avLst/>
                    </a:prstGeom>
                    <a:noFill/>
                  </pic:spPr>
                </pic:pic>
              </a:graphicData>
            </a:graphic>
          </wp:anchor>
        </w:drawing>
      </w:r>
    </w:p>
    <w:p>
      <w:pPr>
        <w:spacing w:after="0" w:line="172"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660">
        <w:r>
          <w:rPr>
            <w:rFonts w:ascii="Times New Roman" w:cs="Times New Roman" w:eastAsia="Times New Roman" w:hAnsi="Times New Roman"/>
            <w:sz w:val="18"/>
            <w:szCs w:val="18"/>
            <w:u w:val="single" w:color="auto"/>
            <w:color w:val="0000FF"/>
          </w:rPr>
          <w:t>Form of Performance-Based Restricted Stock Unit Award Certificate under the Cabot Corporation Amended and Restated 2017 Long-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-7620</wp:posOffset>
            </wp:positionV>
            <wp:extent cx="637603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6376035" cy="8255"/>
                    </a:xfrm>
                    <a:prstGeom prst="rect">
                      <a:avLst/>
                    </a:prstGeom>
                    <a:noFill/>
                  </pic:spPr>
                </pic:pic>
              </a:graphicData>
            </a:graphic>
          </wp:anchor>
        </w:drawing>
      </w:r>
    </w:p>
    <w:p>
      <w:pPr>
        <w:spacing w:after="0" w:line="7" w:lineRule="exact"/>
        <w:rPr>
          <w:sz w:val="20"/>
          <w:szCs w:val="20"/>
          <w:color w:val="auto"/>
        </w:rPr>
      </w:pPr>
    </w:p>
    <w:p>
      <w:pPr>
        <w:ind w:left="1180" w:right="20" w:hanging="859"/>
        <w:spacing w:after="0" w:line="246" w:lineRule="auto"/>
        <w:tabs>
          <w:tab w:leader="none" w:pos="1160" w:val="left"/>
        </w:tabs>
        <w:rPr>
          <w:rFonts w:ascii="Times New Roman" w:cs="Times New Roman" w:eastAsia="Times New Roman" w:hAnsi="Times New Roman"/>
          <w:sz w:val="18"/>
          <w:szCs w:val="18"/>
          <w:u w:val="single" w:color="auto"/>
          <w:color w:val="0000FF"/>
        </w:rPr>
      </w:pPr>
      <w:r>
        <w:rPr>
          <w:rFonts w:ascii="Calibri" w:cs="Calibri" w:eastAsia="Calibri" w:hAnsi="Calibri"/>
          <w:sz w:val="18"/>
          <w:szCs w:val="18"/>
          <w:color w:val="auto"/>
        </w:rPr>
        <w:t>10(j)*</w:t>
      </w:r>
      <w:r>
        <w:rPr>
          <w:sz w:val="20"/>
          <w:szCs w:val="20"/>
          <w:color w:val="auto"/>
        </w:rPr>
        <w:tab/>
      </w:r>
      <w:hyperlink r:id="rId660">
        <w:r>
          <w:rPr>
            <w:rFonts w:ascii="Times New Roman" w:cs="Times New Roman" w:eastAsia="Times New Roman" w:hAnsi="Times New Roman"/>
            <w:sz w:val="18"/>
            <w:szCs w:val="18"/>
            <w:u w:val="single" w:color="auto"/>
            <w:color w:val="0000FF"/>
          </w:rPr>
          <w:t>Term Incentive Plan (incorporated herein by reference to Exhibit 10(j) of Cabot's Annual Report on Form 10-K for its fiscal year ended</w:t>
        </w:r>
      </w:hyperlink>
      <w:r>
        <w:rPr>
          <w:rFonts w:ascii="Times New Roman" w:cs="Times New Roman" w:eastAsia="Times New Roman" w:hAnsi="Times New Roman"/>
          <w:sz w:val="18"/>
          <w:szCs w:val="18"/>
          <w:u w:val="single" w:color="auto"/>
          <w:color w:val="0000FF"/>
        </w:rPr>
        <w:t xml:space="preserve"> </w:t>
      </w:r>
      <w:hyperlink r:id="rId660">
        <w:r>
          <w:rPr>
            <w:rFonts w:ascii="Times New Roman" w:cs="Times New Roman" w:eastAsia="Times New Roman" w:hAnsi="Times New Roman"/>
            <w:sz w:val="18"/>
            <w:szCs w:val="18"/>
            <w:u w:val="single" w:color="auto"/>
            <w:color w:val="0000FF"/>
          </w:rPr>
          <w:t>September 30, 2023, file reference 1-557, filed with the SEC on November 22,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636968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636968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-28575</wp:posOffset>
            </wp:positionV>
            <wp:extent cx="392811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3928110" cy="8890"/>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20"/>
        </w:trPr>
        <w:tc>
          <w:tcPr>
            <w:tcW w:w="1040" w:type="dxa"/>
            <w:vAlign w:val="bottom"/>
          </w:tcPr>
          <w:p>
            <w:pPr>
              <w:ind w:left="140"/>
              <w:spacing w:after="0"/>
              <w:rPr>
                <w:sz w:val="20"/>
                <w:szCs w:val="20"/>
                <w:color w:val="auto"/>
              </w:rPr>
            </w:pPr>
            <w:r>
              <w:rPr>
                <w:rFonts w:ascii="Calibri" w:cs="Calibri" w:eastAsia="Calibri" w:hAnsi="Calibri"/>
                <w:sz w:val="18"/>
                <w:szCs w:val="18"/>
                <w:b w:val="1"/>
                <w:bCs w:val="1"/>
                <w:color w:val="auto"/>
              </w:rPr>
              <w:t>Exhibit</w:t>
            </w: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Number</w:t>
            </w: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8"/>
          </w:tcPr>
          <w:p>
            <w:pPr>
              <w:spacing w:after="0" w:line="216" w:lineRule="exact"/>
              <w:rPr>
                <w:sz w:val="20"/>
                <w:szCs w:val="20"/>
                <w:color w:val="auto"/>
              </w:rPr>
            </w:pPr>
            <w:r>
              <w:rPr>
                <w:rFonts w:ascii="Calibri" w:cs="Calibri" w:eastAsia="Calibri" w:hAnsi="Calibri"/>
                <w:sz w:val="18"/>
                <w:szCs w:val="18"/>
                <w:b w:val="1"/>
                <w:bCs w:val="1"/>
                <w:color w:val="auto"/>
              </w:rPr>
              <w:t>Descripton</w:t>
            </w: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40" w:type="dxa"/>
            <w:vAlign w:val="bottom"/>
            <w:vMerge w:val="restart"/>
          </w:tcPr>
          <w:p>
            <w:pPr>
              <w:jc w:val="center"/>
              <w:ind w:left="50"/>
              <w:spacing w:after="0"/>
              <w:rPr>
                <w:sz w:val="20"/>
                <w:szCs w:val="20"/>
                <w:color w:val="auto"/>
              </w:rPr>
            </w:pPr>
            <w:r>
              <w:rPr>
                <w:rFonts w:ascii="Calibri" w:cs="Calibri" w:eastAsia="Calibri" w:hAnsi="Calibri"/>
                <w:sz w:val="18"/>
                <w:szCs w:val="18"/>
                <w:color w:val="auto"/>
                <w:w w:val="99"/>
              </w:rPr>
              <w:t>10(k)*</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65">
              <w:r>
                <w:rPr>
                  <w:rFonts w:ascii="Times New Roman" w:cs="Times New Roman" w:eastAsia="Times New Roman" w:hAnsi="Times New Roman"/>
                  <w:sz w:val="18"/>
                  <w:szCs w:val="18"/>
                  <w:color w:val="0000FF"/>
                </w:rPr>
                <w:t>Form of Stock Option Award Certificate under the Cabot Corporation Amended and Restated 2017 Long-Term Incentive Plan</w:t>
              </w:r>
            </w:hyperlink>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665">
              <w:r>
                <w:rPr>
                  <w:rFonts w:ascii="Times New Roman" w:cs="Times New Roman" w:eastAsia="Times New Roman" w:hAnsi="Times New Roman"/>
                  <w:sz w:val="18"/>
                  <w:szCs w:val="18"/>
                  <w:color w:val="0000FF"/>
                </w:rPr>
                <w:t>(incorporated herein by reference to Exhibit 10(k) of Cabot's Annual Report on Form 10-K for its fiscal year ended September 30, 2023,</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65">
              <w:r>
                <w:rPr>
                  <w:rFonts w:ascii="Times New Roman" w:cs="Times New Roman" w:eastAsia="Times New Roman" w:hAnsi="Times New Roman"/>
                  <w:sz w:val="18"/>
                  <w:szCs w:val="18"/>
                  <w:color w:val="0000FF"/>
                  <w:w w:val="99"/>
                </w:rPr>
                <w:t>file reference 1-557, filed with the SEC on November 22, 2023).</w:t>
              </w:r>
            </w:hyperlink>
          </w:p>
        </w:tc>
        <w:tc>
          <w:tcPr>
            <w:tcW w:w="20" w:type="dxa"/>
            <w:vAlign w:val="bottom"/>
            <w:tcBorders>
              <w:bottom w:val="single" w:sz="8" w:color="0000EE"/>
            </w:tcBorders>
          </w:tcPr>
          <w:p>
            <w:pPr>
              <w:spacing w:after="0"/>
              <w:rPr>
                <w:sz w:val="17"/>
                <w:szCs w:val="17"/>
                <w:color w:val="auto"/>
              </w:rPr>
            </w:pPr>
          </w:p>
        </w:tc>
        <w:tc>
          <w:tcPr>
            <w:tcW w:w="5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Calibri" w:cs="Calibri" w:eastAsia="Calibri" w:hAnsi="Calibri"/>
                <w:sz w:val="18"/>
                <w:szCs w:val="18"/>
                <w:color w:val="0000FF"/>
                <w:w w:val="99"/>
              </w:rPr>
            </w:pPr>
            <w:hyperlink r:id="rId666">
              <w:r>
                <w:rPr>
                  <w:rFonts w:ascii="Calibri" w:cs="Calibri" w:eastAsia="Calibri" w:hAnsi="Calibri"/>
                  <w:sz w:val="18"/>
                  <w:szCs w:val="18"/>
                  <w:color w:val="0000FF"/>
                  <w:w w:val="99"/>
                </w:rPr>
                <w:t>Cabot Corporaton Deferred Compensaton and Supplemental Retrement Plan, amended and restated January 1, 2014 (incorporated herein</w:t>
              </w:r>
            </w:hyperlink>
          </w:p>
        </w:tc>
        <w:tc>
          <w:tcPr>
            <w:tcW w:w="0" w:type="dxa"/>
            <w:vAlign w:val="bottom"/>
          </w:tcPr>
          <w:p>
            <w:pPr>
              <w:spacing w:after="0"/>
              <w:rPr>
                <w:sz w:val="1"/>
                <w:szCs w:val="1"/>
                <w:color w:val="auto"/>
              </w:rPr>
            </w:pPr>
          </w:p>
        </w:tc>
      </w:tr>
      <w:tr>
        <w:trPr>
          <w:trHeight w:val="196"/>
        </w:trPr>
        <w:tc>
          <w:tcPr>
            <w:tcW w:w="1040" w:type="dxa"/>
            <w:vAlign w:val="bottom"/>
          </w:tcPr>
          <w:p>
            <w:pPr>
              <w:jc w:val="center"/>
              <w:ind w:left="50"/>
              <w:spacing w:after="0" w:line="196" w:lineRule="exact"/>
              <w:rPr>
                <w:sz w:val="20"/>
                <w:szCs w:val="20"/>
                <w:color w:val="auto"/>
              </w:rPr>
            </w:pPr>
            <w:r>
              <w:rPr>
                <w:rFonts w:ascii="Calibri" w:cs="Calibri" w:eastAsia="Calibri" w:hAnsi="Calibri"/>
                <w:sz w:val="18"/>
                <w:szCs w:val="18"/>
                <w:color w:val="auto"/>
                <w:w w:val="99"/>
              </w:rPr>
              <w:t>10(l)*</w:t>
            </w:r>
          </w:p>
        </w:tc>
        <w:tc>
          <w:tcPr>
            <w:tcW w:w="14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Calibri" w:cs="Calibri" w:eastAsia="Calibri" w:hAnsi="Calibri"/>
                <w:sz w:val="18"/>
                <w:szCs w:val="18"/>
                <w:color w:val="0000FF"/>
                <w:w w:val="99"/>
              </w:rPr>
            </w:pPr>
            <w:hyperlink r:id="rId666">
              <w:r>
                <w:rPr>
                  <w:rFonts w:ascii="Calibri" w:cs="Calibri" w:eastAsia="Calibri" w:hAnsi="Calibri"/>
                  <w:sz w:val="18"/>
                  <w:szCs w:val="18"/>
                  <w:color w:val="0000FF"/>
                  <w:w w:val="99"/>
                </w:rPr>
                <w:t>by reference to Exhibit 10.1 of Cabot’s Quarterly Report on Form 10-Q for the quarterly period ended December 31, 2013, fle reference 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bottom w:val="single" w:sz="8" w:color="0000FF"/>
            </w:tcBorders>
            <w:gridSpan w:val="4"/>
          </w:tcPr>
          <w:p>
            <w:pPr>
              <w:spacing w:after="0" w:line="196" w:lineRule="exact"/>
              <w:rPr>
                <w:rFonts w:ascii="Calibri" w:cs="Calibri" w:eastAsia="Calibri" w:hAnsi="Calibri"/>
                <w:sz w:val="18"/>
                <w:szCs w:val="18"/>
                <w:color w:val="0000FF"/>
                <w:w w:val="98"/>
              </w:rPr>
            </w:pPr>
            <w:hyperlink r:id="rId666">
              <w:r>
                <w:rPr>
                  <w:rFonts w:ascii="Calibri" w:cs="Calibri" w:eastAsia="Calibri" w:hAnsi="Calibri"/>
                  <w:sz w:val="18"/>
                  <w:szCs w:val="18"/>
                  <w:color w:val="0000FF"/>
                  <w:w w:val="98"/>
                </w:rPr>
                <w:t>5667, fled with the SEC on February 6, 2014).</w:t>
              </w:r>
            </w:hyperlink>
          </w:p>
        </w:tc>
        <w:tc>
          <w:tcPr>
            <w:tcW w:w="68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60" w:type="dxa"/>
            <w:vAlign w:val="bottom"/>
            <w:gridSpan w:val="17"/>
          </w:tcPr>
          <w:p>
            <w:pPr>
              <w:spacing w:after="0"/>
              <w:rPr>
                <w:rFonts w:ascii="Calibri" w:cs="Calibri" w:eastAsia="Calibri" w:hAnsi="Calibri"/>
                <w:sz w:val="18"/>
                <w:szCs w:val="18"/>
                <w:color w:val="0000FF"/>
              </w:rPr>
            </w:pPr>
            <w:hyperlink r:id="rId667">
              <w:r>
                <w:rPr>
                  <w:rFonts w:ascii="Calibri" w:cs="Calibri" w:eastAsia="Calibri" w:hAnsi="Calibri"/>
                  <w:sz w:val="18"/>
                  <w:szCs w:val="18"/>
                  <w:color w:val="0000FF"/>
                </w:rPr>
                <w:t>Cabot Corporaton Non-Employee Directors’ Deferral Plan, amended and restated January 1, 2014 (incorporated herein by reference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jc w:val="center"/>
              <w:ind w:left="30"/>
              <w:spacing w:after="0" w:line="196" w:lineRule="exact"/>
              <w:rPr>
                <w:sz w:val="20"/>
                <w:szCs w:val="20"/>
                <w:color w:val="auto"/>
              </w:rPr>
            </w:pPr>
            <w:r>
              <w:rPr>
                <w:rFonts w:ascii="Calibri" w:cs="Calibri" w:eastAsia="Calibri" w:hAnsi="Calibri"/>
                <w:sz w:val="18"/>
                <w:szCs w:val="18"/>
                <w:color w:val="auto"/>
                <w:w w:val="98"/>
              </w:rPr>
              <w:t>10(m)*</w:t>
            </w:r>
          </w:p>
        </w:tc>
        <w:tc>
          <w:tcPr>
            <w:tcW w:w="14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Calibri" w:cs="Calibri" w:eastAsia="Calibri" w:hAnsi="Calibri"/>
                <w:sz w:val="18"/>
                <w:szCs w:val="18"/>
                <w:color w:val="0000FF"/>
                <w:w w:val="99"/>
              </w:rPr>
            </w:pPr>
            <w:hyperlink r:id="rId667">
              <w:r>
                <w:rPr>
                  <w:rFonts w:ascii="Calibri" w:cs="Calibri" w:eastAsia="Calibri" w:hAnsi="Calibri"/>
                  <w:sz w:val="18"/>
                  <w:szCs w:val="18"/>
                  <w:color w:val="0000FF"/>
                  <w:w w:val="99"/>
                </w:rPr>
                <w:t>Exhibit 10.2 of Cabot’s Quarterly Report on Form 10-Q for the quarterly period ended December 31, 2013, fle reference 1-5667, fled with</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17"/>
          </w:tcPr>
          <w:p>
            <w:pPr>
              <w:spacing w:after="0" w:line="196" w:lineRule="exact"/>
              <w:rPr>
                <w:rFonts w:ascii="Calibri" w:cs="Calibri" w:eastAsia="Calibri" w:hAnsi="Calibri"/>
                <w:sz w:val="18"/>
                <w:szCs w:val="18"/>
                <w:color w:val="0000FF"/>
              </w:rPr>
            </w:pPr>
            <w:hyperlink r:id="rId667">
              <w:r>
                <w:rPr>
                  <w:rFonts w:ascii="Calibri" w:cs="Calibri" w:eastAsia="Calibri" w:hAnsi="Calibri"/>
                  <w:sz w:val="18"/>
                  <w:szCs w:val="18"/>
                  <w:color w:val="0000FF"/>
                </w:rPr>
                <w:t>the SEC on February 6, 2014).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Calibri" w:cs="Calibri" w:eastAsia="Calibri" w:hAnsi="Calibri"/>
                <w:sz w:val="18"/>
                <w:szCs w:val="18"/>
                <w:color w:val="0000FF"/>
              </w:rPr>
            </w:pPr>
            <w:hyperlink r:id="rId668">
              <w:r>
                <w:rPr>
                  <w:rFonts w:ascii="Calibri" w:cs="Calibri" w:eastAsia="Calibri" w:hAnsi="Calibri"/>
                  <w:sz w:val="18"/>
                  <w:szCs w:val="18"/>
                  <w:color w:val="0000FF"/>
                </w:rPr>
                <w:t>Ofer Leter dated February 12, 2021, between Cabot Corporaton and Jef Zhu, as amended by leter agreement dated February 4, 2021</w:t>
              </w:r>
            </w:hyperlink>
          </w:p>
        </w:tc>
        <w:tc>
          <w:tcPr>
            <w:tcW w:w="0" w:type="dxa"/>
            <w:vAlign w:val="bottom"/>
          </w:tcPr>
          <w:p>
            <w:pPr>
              <w:spacing w:after="0"/>
              <w:rPr>
                <w:sz w:val="1"/>
                <w:szCs w:val="1"/>
                <w:color w:val="auto"/>
              </w:rPr>
            </w:pPr>
          </w:p>
        </w:tc>
      </w:tr>
      <w:tr>
        <w:trPr>
          <w:trHeight w:val="196"/>
        </w:trPr>
        <w:tc>
          <w:tcPr>
            <w:tcW w:w="1040" w:type="dxa"/>
            <w:vAlign w:val="bottom"/>
          </w:tcPr>
          <w:p>
            <w:pPr>
              <w:jc w:val="center"/>
              <w:ind w:left="50"/>
              <w:spacing w:after="0" w:line="196" w:lineRule="exact"/>
              <w:rPr>
                <w:sz w:val="20"/>
                <w:szCs w:val="20"/>
                <w:color w:val="auto"/>
              </w:rPr>
            </w:pPr>
            <w:r>
              <w:rPr>
                <w:rFonts w:ascii="Calibri" w:cs="Calibri" w:eastAsia="Calibri" w:hAnsi="Calibri"/>
                <w:sz w:val="18"/>
                <w:szCs w:val="18"/>
                <w:color w:val="auto"/>
                <w:w w:val="96"/>
              </w:rPr>
              <w:t>10(n)*</w:t>
            </w:r>
          </w:p>
        </w:tc>
        <w:tc>
          <w:tcPr>
            <w:tcW w:w="14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Calibri" w:cs="Calibri" w:eastAsia="Calibri" w:hAnsi="Calibri"/>
                <w:sz w:val="18"/>
                <w:szCs w:val="18"/>
                <w:color w:val="0000FF"/>
                <w:w w:val="98"/>
              </w:rPr>
            </w:pPr>
            <w:hyperlink r:id="rId668">
              <w:r>
                <w:rPr>
                  <w:rFonts w:ascii="Calibri" w:cs="Calibri" w:eastAsia="Calibri" w:hAnsi="Calibri"/>
                  <w:sz w:val="18"/>
                  <w:szCs w:val="18"/>
                  <w:color w:val="0000FF"/>
                  <w:w w:val="98"/>
                </w:rPr>
                <w:t>(incorporated by reference to Exhibit 10.1 of Cabot’s Quarterly Report on Form 10-Q for the quarterly period ended December 31, 2020, fle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Borders>
              <w:bottom w:val="single" w:sz="8" w:color="0000FF"/>
            </w:tcBorders>
            <w:gridSpan w:val="6"/>
          </w:tcPr>
          <w:p>
            <w:pPr>
              <w:spacing w:after="0" w:line="196" w:lineRule="exact"/>
              <w:rPr>
                <w:rFonts w:ascii="Calibri" w:cs="Calibri" w:eastAsia="Calibri" w:hAnsi="Calibri"/>
                <w:sz w:val="18"/>
                <w:szCs w:val="18"/>
                <w:color w:val="0000FF"/>
                <w:w w:val="97"/>
              </w:rPr>
            </w:pPr>
            <w:hyperlink r:id="rId668">
              <w:r>
                <w:rPr>
                  <w:rFonts w:ascii="Calibri" w:cs="Calibri" w:eastAsia="Calibri" w:hAnsi="Calibri"/>
                  <w:sz w:val="18"/>
                  <w:szCs w:val="18"/>
                  <w:color w:val="0000FF"/>
                  <w:w w:val="97"/>
                </w:rPr>
                <w:t>reference 1-5667, fled with the SEC on February 5, 2021).</w:t>
              </w:r>
            </w:hyperlink>
          </w:p>
        </w:tc>
        <w:tc>
          <w:tcPr>
            <w:tcW w:w="20" w:type="dxa"/>
            <w:vAlign w:val="bottom"/>
            <w:tcBorders>
              <w:bottom w:val="single" w:sz="8" w:color="0000EE"/>
            </w:tcBorders>
          </w:tcPr>
          <w:p>
            <w:pPr>
              <w:spacing w:after="0"/>
              <w:rPr>
                <w:sz w:val="17"/>
                <w:szCs w:val="17"/>
                <w:color w:val="auto"/>
              </w:rPr>
            </w:pPr>
          </w:p>
        </w:tc>
        <w:tc>
          <w:tcPr>
            <w:tcW w:w="59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vMerge w:val="restart"/>
          </w:tcPr>
          <w:p>
            <w:pPr>
              <w:jc w:val="center"/>
              <w:ind w:left="50"/>
              <w:spacing w:after="0"/>
              <w:rPr>
                <w:sz w:val="20"/>
                <w:szCs w:val="20"/>
                <w:color w:val="auto"/>
              </w:rPr>
            </w:pPr>
            <w:r>
              <w:rPr>
                <w:rFonts w:ascii="Calibri" w:cs="Calibri" w:eastAsia="Calibri" w:hAnsi="Calibri"/>
                <w:sz w:val="18"/>
                <w:szCs w:val="18"/>
                <w:color w:val="auto"/>
                <w:w w:val="96"/>
              </w:rPr>
              <w:t>10(o)*</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Calibri" w:cs="Calibri" w:eastAsia="Calibri" w:hAnsi="Calibri"/>
                <w:sz w:val="18"/>
                <w:szCs w:val="18"/>
                <w:color w:val="0000FF"/>
              </w:rPr>
            </w:pPr>
            <w:hyperlink r:id="rId669">
              <w:r>
                <w:rPr>
                  <w:rFonts w:ascii="Calibri" w:cs="Calibri" w:eastAsia="Calibri" w:hAnsi="Calibri"/>
                  <w:sz w:val="18"/>
                  <w:szCs w:val="18"/>
                  <w:color w:val="0000FF"/>
                </w:rPr>
                <w:t>Form of Indemnifcaton Agreement (incorporated herein by reference to Exhibit 10(k) of Cabot’s Annual Report on Form 10-K for its fscal</w:t>
              </w:r>
            </w:hyperlink>
          </w:p>
        </w:tc>
        <w:tc>
          <w:tcPr>
            <w:tcW w:w="0" w:type="dxa"/>
            <w:vAlign w:val="bottom"/>
          </w:tcPr>
          <w:p>
            <w:pPr>
              <w:spacing w:after="0"/>
              <w:rPr>
                <w:sz w:val="1"/>
                <w:szCs w:val="1"/>
                <w:color w:val="auto"/>
              </w:rPr>
            </w:pPr>
          </w:p>
        </w:tc>
      </w:tr>
      <w:tr>
        <w:trPr>
          <w:trHeight w:val="118"/>
        </w:trPr>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60" w:type="dxa"/>
            <w:vAlign w:val="bottom"/>
            <w:gridSpan w:val="17"/>
            <w:vMerge w:val="restart"/>
          </w:tcPr>
          <w:p>
            <w:pPr>
              <w:spacing w:after="0" w:line="196" w:lineRule="exact"/>
              <w:rPr>
                <w:rFonts w:ascii="Calibri" w:cs="Calibri" w:eastAsia="Calibri" w:hAnsi="Calibri"/>
                <w:sz w:val="18"/>
                <w:szCs w:val="18"/>
                <w:color w:val="0000FF"/>
              </w:rPr>
            </w:pPr>
            <w:hyperlink r:id="rId669">
              <w:r>
                <w:rPr>
                  <w:rFonts w:ascii="Calibri" w:cs="Calibri" w:eastAsia="Calibri" w:hAnsi="Calibri"/>
                  <w:sz w:val="18"/>
                  <w:szCs w:val="18"/>
                  <w:color w:val="0000FF"/>
                </w:rPr>
                <w:t>year ended September 30, 2022, fle reference 1-5667, fled with the SEC on November 23, 2022).</w:t>
              </w:r>
            </w:hyperlink>
          </w:p>
        </w:tc>
        <w:tc>
          <w:tcPr>
            <w:tcW w:w="0" w:type="dxa"/>
            <w:vAlign w:val="bottom"/>
          </w:tcPr>
          <w:p>
            <w:pPr>
              <w:spacing w:after="0"/>
              <w:rPr>
                <w:sz w:val="1"/>
                <w:szCs w:val="1"/>
                <w:color w:val="auto"/>
              </w:rPr>
            </w:pPr>
          </w:p>
        </w:tc>
      </w:tr>
      <w:tr>
        <w:trPr>
          <w:trHeight w:val="78"/>
        </w:trPr>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6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5"/>
        </w:trPr>
        <w:tc>
          <w:tcPr>
            <w:tcW w:w="1040" w:type="dxa"/>
            <w:vAlign w:val="bottom"/>
          </w:tcPr>
          <w:p>
            <w:pPr>
              <w:jc w:val="center"/>
              <w:ind w:left="50"/>
              <w:spacing w:after="0"/>
              <w:rPr>
                <w:sz w:val="20"/>
                <w:szCs w:val="20"/>
                <w:color w:val="auto"/>
              </w:rPr>
            </w:pPr>
            <w:r>
              <w:rPr>
                <w:rFonts w:ascii="Calibri" w:cs="Calibri" w:eastAsia="Calibri" w:hAnsi="Calibri"/>
                <w:sz w:val="18"/>
                <w:szCs w:val="18"/>
                <w:color w:val="auto"/>
                <w:w w:val="95"/>
              </w:rPr>
              <w:t>19†</w:t>
            </w:r>
          </w:p>
        </w:tc>
        <w:tc>
          <w:tcPr>
            <w:tcW w:w="14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Cabot Corporation Policy on Transactions in Securities.</w:t>
            </w:r>
          </w:p>
        </w:tc>
        <w:tc>
          <w:tcPr>
            <w:tcW w:w="2920" w:type="dxa"/>
            <w:vAlign w:val="bottom"/>
            <w:tcBorders>
              <w:top w:val="single" w:sz="8" w:color="0000FF"/>
            </w:tcBorders>
            <w:gridSpan w:val="7"/>
          </w:tcPr>
          <w:p>
            <w:pPr>
              <w:spacing w:after="0"/>
              <w:rPr>
                <w:sz w:val="24"/>
                <w:szCs w:val="24"/>
                <w:color w:val="auto"/>
              </w:rPr>
            </w:pPr>
          </w:p>
        </w:tc>
        <w:tc>
          <w:tcPr>
            <w:tcW w:w="3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40" w:type="dxa"/>
            <w:vAlign w:val="bottom"/>
          </w:tcPr>
          <w:p>
            <w:pPr>
              <w:jc w:val="center"/>
              <w:ind w:left="50"/>
              <w:spacing w:after="0"/>
              <w:rPr>
                <w:sz w:val="20"/>
                <w:szCs w:val="20"/>
                <w:color w:val="auto"/>
              </w:rPr>
            </w:pPr>
            <w:r>
              <w:rPr>
                <w:rFonts w:ascii="Calibri" w:cs="Calibri" w:eastAsia="Calibri" w:hAnsi="Calibri"/>
                <w:sz w:val="18"/>
                <w:szCs w:val="18"/>
                <w:color w:val="auto"/>
                <w:w w:val="95"/>
              </w:rPr>
              <w:t>21†</w:t>
            </w:r>
          </w:p>
        </w:tc>
        <w:tc>
          <w:tcPr>
            <w:tcW w:w="140" w:type="dxa"/>
            <w:vAlign w:val="bottom"/>
          </w:tcPr>
          <w:p>
            <w:pPr>
              <w:spacing w:after="0"/>
              <w:rPr>
                <w:sz w:val="24"/>
                <w:szCs w:val="24"/>
                <w:color w:val="auto"/>
              </w:rPr>
            </w:pPr>
          </w:p>
        </w:tc>
        <w:tc>
          <w:tcPr>
            <w:tcW w:w="2440" w:type="dxa"/>
            <w:vAlign w:val="bottom"/>
            <w:tcBorders>
              <w:bottom w:val="single" w:sz="8" w:color="0000FF"/>
            </w:tcBorders>
            <w:gridSpan w:val="3"/>
          </w:tcPr>
          <w:p>
            <w:pPr>
              <w:spacing w:after="0"/>
              <w:rPr>
                <w:sz w:val="20"/>
                <w:szCs w:val="20"/>
                <w:color w:val="auto"/>
              </w:rPr>
            </w:pPr>
            <w:r>
              <w:rPr>
                <w:rFonts w:ascii="Calibri" w:cs="Calibri" w:eastAsia="Calibri" w:hAnsi="Calibri"/>
                <w:sz w:val="18"/>
                <w:szCs w:val="18"/>
                <w:color w:val="0000FF"/>
                <w:w w:val="98"/>
              </w:rPr>
              <w:t>Subsidiaries of Cabot Corporaton.</w:t>
            </w:r>
          </w:p>
        </w:tc>
        <w:tc>
          <w:tcPr>
            <w:tcW w:w="7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spacing w:after="0"/>
              <w:rPr>
                <w:sz w:val="20"/>
                <w:szCs w:val="20"/>
                <w:color w:val="auto"/>
              </w:rPr>
            </w:pPr>
            <w:r>
              <w:rPr>
                <w:rFonts w:ascii="Calibri" w:cs="Calibri" w:eastAsia="Calibri" w:hAnsi="Calibri"/>
                <w:sz w:val="18"/>
                <w:szCs w:val="18"/>
                <w:color w:val="auto"/>
                <w:w w:val="95"/>
              </w:rPr>
              <w:t>23†</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0000FF"/>
              </w:rPr>
              <w:t>Consent of Deloite &amp; Touche LLP.</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EE"/>
            </w:tcBorders>
            <w:gridSpan w:val="2"/>
            <w:shd w:val="clear" w:color="auto" w:fill="0000FF"/>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Calibri" w:cs="Calibri" w:eastAsia="Calibri" w:hAnsi="Calibri"/>
                <w:sz w:val="18"/>
                <w:szCs w:val="18"/>
                <w:color w:val="auto"/>
                <w:w w:val="99"/>
              </w:rPr>
              <w:t>31(i)†</w:t>
            </w:r>
          </w:p>
        </w:tc>
        <w:tc>
          <w:tcPr>
            <w:tcW w:w="140" w:type="dxa"/>
            <w:vAlign w:val="bottom"/>
          </w:tcPr>
          <w:p>
            <w:pPr>
              <w:spacing w:after="0"/>
              <w:rPr>
                <w:sz w:val="24"/>
                <w:szCs w:val="24"/>
                <w:color w:val="auto"/>
              </w:rPr>
            </w:pPr>
          </w:p>
        </w:tc>
        <w:tc>
          <w:tcPr>
            <w:tcW w:w="7660" w:type="dxa"/>
            <w:vAlign w:val="bottom"/>
            <w:tcBorders>
              <w:bottom w:val="single" w:sz="8" w:color="0000FF"/>
            </w:tcBorders>
            <w:gridSpan w:val="15"/>
          </w:tcPr>
          <w:p>
            <w:pPr>
              <w:spacing w:after="0"/>
              <w:rPr>
                <w:sz w:val="20"/>
                <w:szCs w:val="20"/>
                <w:color w:val="auto"/>
              </w:rPr>
            </w:pPr>
            <w:r>
              <w:rPr>
                <w:rFonts w:ascii="Calibri" w:cs="Calibri" w:eastAsia="Calibri" w:hAnsi="Calibri"/>
                <w:sz w:val="18"/>
                <w:szCs w:val="18"/>
                <w:color w:val="0000FF"/>
              </w:rPr>
              <w:t>Certfcaton of Principal Executve Ofcer required by Rule 13a-14(a) or Rule 15d-14(a) of the Exchange Act.</w:t>
            </w:r>
          </w:p>
        </w:tc>
        <w:tc>
          <w:tcPr>
            <w:tcW w:w="2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spacing w:after="0"/>
              <w:rPr>
                <w:sz w:val="20"/>
                <w:szCs w:val="20"/>
                <w:color w:val="auto"/>
              </w:rPr>
            </w:pPr>
            <w:r>
              <w:rPr>
                <w:rFonts w:ascii="Calibri" w:cs="Calibri" w:eastAsia="Calibri" w:hAnsi="Calibri"/>
                <w:sz w:val="18"/>
                <w:szCs w:val="18"/>
                <w:color w:val="auto"/>
                <w:w w:val="99"/>
              </w:rPr>
              <w:t>31(ii)†</w:t>
            </w:r>
          </w:p>
        </w:tc>
        <w:tc>
          <w:tcPr>
            <w:tcW w:w="140" w:type="dxa"/>
            <w:vAlign w:val="bottom"/>
          </w:tcPr>
          <w:p>
            <w:pPr>
              <w:spacing w:after="0"/>
              <w:rPr>
                <w:sz w:val="24"/>
                <w:szCs w:val="24"/>
                <w:color w:val="auto"/>
              </w:rPr>
            </w:pPr>
          </w:p>
        </w:tc>
        <w:tc>
          <w:tcPr>
            <w:tcW w:w="7620" w:type="dxa"/>
            <w:vAlign w:val="bottom"/>
            <w:tcBorders>
              <w:bottom w:val="single" w:sz="8" w:color="0000FF"/>
            </w:tcBorders>
            <w:gridSpan w:val="13"/>
          </w:tcPr>
          <w:p>
            <w:pPr>
              <w:spacing w:after="0"/>
              <w:rPr>
                <w:sz w:val="20"/>
                <w:szCs w:val="20"/>
                <w:color w:val="auto"/>
              </w:rPr>
            </w:pPr>
            <w:r>
              <w:rPr>
                <w:rFonts w:ascii="Calibri" w:cs="Calibri" w:eastAsia="Calibri" w:hAnsi="Calibri"/>
                <w:sz w:val="18"/>
                <w:szCs w:val="18"/>
                <w:color w:val="0000FF"/>
                <w:w w:val="99"/>
              </w:rPr>
              <w:t>Certfcaton of Principal Financial Ofcer required by Rule 13a-14(a) or Rule 15d-14(a) of the Exchange Act.</w:t>
            </w:r>
          </w:p>
        </w:tc>
        <w:tc>
          <w:tcPr>
            <w:tcW w:w="20" w:type="dxa"/>
            <w:vAlign w:val="bottom"/>
            <w:tcBorders>
              <w:bottom w:val="single" w:sz="8" w:color="0000EE"/>
            </w:tcBorders>
          </w:tcPr>
          <w:p>
            <w:pPr>
              <w:spacing w:after="0"/>
              <w:rPr>
                <w:sz w:val="24"/>
                <w:szCs w:val="24"/>
                <w:color w:val="auto"/>
              </w:rPr>
            </w:pPr>
          </w:p>
        </w:tc>
        <w:tc>
          <w:tcPr>
            <w:tcW w:w="2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spacing w:after="0"/>
              <w:rPr>
                <w:sz w:val="20"/>
                <w:szCs w:val="20"/>
                <w:color w:val="auto"/>
              </w:rPr>
            </w:pPr>
            <w:r>
              <w:rPr>
                <w:rFonts w:ascii="Calibri" w:cs="Calibri" w:eastAsia="Calibri" w:hAnsi="Calibri"/>
                <w:sz w:val="18"/>
                <w:szCs w:val="18"/>
                <w:color w:val="auto"/>
                <w:w w:val="93"/>
              </w:rPr>
              <w:t>32††</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0000FF"/>
              </w:rPr>
              <w:t>Certfcatons of the Principal Executve Ofcer and Principal Financial Ofcer pursuant to 18 U.S.C. Secton 1350.</w:t>
            </w:r>
          </w:p>
        </w:tc>
        <w:tc>
          <w:tcPr>
            <w:tcW w:w="0" w:type="dxa"/>
            <w:vAlign w:val="bottom"/>
          </w:tcPr>
          <w:p>
            <w:pPr>
              <w:spacing w:after="0"/>
              <w:rPr>
                <w:sz w:val="1"/>
                <w:szCs w:val="1"/>
                <w:color w:val="auto"/>
              </w:rPr>
            </w:pPr>
          </w:p>
        </w:tc>
      </w:tr>
      <w:tr>
        <w:trPr>
          <w:trHeight w:val="425"/>
        </w:trPr>
        <w:tc>
          <w:tcPr>
            <w:tcW w:w="1040" w:type="dxa"/>
            <w:vAlign w:val="bottom"/>
          </w:tcPr>
          <w:p>
            <w:pPr>
              <w:jc w:val="center"/>
              <w:ind w:left="50"/>
              <w:spacing w:after="0"/>
              <w:rPr>
                <w:sz w:val="20"/>
                <w:szCs w:val="20"/>
                <w:color w:val="auto"/>
              </w:rPr>
            </w:pPr>
            <w:r>
              <w:rPr>
                <w:rFonts w:ascii="Calibri" w:cs="Calibri" w:eastAsia="Calibri" w:hAnsi="Calibri"/>
                <w:sz w:val="18"/>
                <w:szCs w:val="18"/>
                <w:color w:val="auto"/>
                <w:w w:val="95"/>
              </w:rPr>
              <w:t>97†</w:t>
            </w:r>
          </w:p>
        </w:tc>
        <w:tc>
          <w:tcPr>
            <w:tcW w:w="140" w:type="dxa"/>
            <w:vAlign w:val="bottom"/>
          </w:tcPr>
          <w:p>
            <w:pPr>
              <w:spacing w:after="0"/>
              <w:rPr>
                <w:sz w:val="24"/>
                <w:szCs w:val="24"/>
                <w:color w:val="auto"/>
              </w:rPr>
            </w:pPr>
          </w:p>
        </w:tc>
        <w:tc>
          <w:tcPr>
            <w:tcW w:w="51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Cabot Corporation Policy for Recoupment of Incentive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860" w:type="dxa"/>
            <w:vAlign w:val="bottom"/>
            <w:tcBorders>
              <w:top w:val="single" w:sz="8" w:color="0000FF"/>
            </w:tcBorders>
            <w:gridSpan w:val="5"/>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040" w:type="dxa"/>
            <w:vAlign w:val="bottom"/>
            <w:vMerge w:val="restart"/>
          </w:tcPr>
          <w:p>
            <w:pPr>
              <w:jc w:val="center"/>
              <w:spacing w:after="0"/>
              <w:rPr>
                <w:sz w:val="20"/>
                <w:szCs w:val="20"/>
                <w:color w:val="auto"/>
              </w:rPr>
            </w:pPr>
            <w:r>
              <w:rPr>
                <w:rFonts w:ascii="Calibri" w:cs="Calibri" w:eastAsia="Calibri" w:hAnsi="Calibri"/>
                <w:sz w:val="18"/>
                <w:szCs w:val="18"/>
                <w:color w:val="auto"/>
                <w:w w:val="97"/>
              </w:rPr>
              <w:t>101.INS†</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XBRL tags are embedded</w:t>
            </w:r>
          </w:p>
        </w:tc>
        <w:tc>
          <w:tcPr>
            <w:tcW w:w="0" w:type="dxa"/>
            <w:vAlign w:val="bottom"/>
          </w:tcPr>
          <w:p>
            <w:pPr>
              <w:spacing w:after="0"/>
              <w:rPr>
                <w:sz w:val="1"/>
                <w:szCs w:val="1"/>
                <w:color w:val="auto"/>
              </w:rPr>
            </w:pPr>
          </w:p>
        </w:tc>
      </w:tr>
      <w:tr>
        <w:trPr>
          <w:trHeight w:val="108"/>
        </w:trPr>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60" w:type="dxa"/>
            <w:vAlign w:val="bottom"/>
            <w:gridSpan w:val="17"/>
            <w:vMerge w:val="restart"/>
          </w:tcPr>
          <w:p>
            <w:pPr>
              <w:spacing w:after="0" w:line="216" w:lineRule="exact"/>
              <w:rPr>
                <w:sz w:val="20"/>
                <w:szCs w:val="20"/>
                <w:color w:val="auto"/>
              </w:rPr>
            </w:pPr>
            <w:r>
              <w:rPr>
                <w:rFonts w:ascii="Calibri" w:cs="Calibri" w:eastAsia="Calibri" w:hAnsi="Calibri"/>
                <w:sz w:val="18"/>
                <w:szCs w:val="18"/>
                <w:color w:val="auto"/>
              </w:rPr>
              <w:t>within the Inline XBRL document.</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60" w:type="dxa"/>
            <w:vAlign w:val="bottom"/>
            <w:gridSpan w:val="1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40" w:type="dxa"/>
            <w:vAlign w:val="bottom"/>
          </w:tcPr>
          <w:p>
            <w:pPr>
              <w:jc w:val="center"/>
              <w:spacing w:after="0"/>
              <w:rPr>
                <w:sz w:val="20"/>
                <w:szCs w:val="20"/>
                <w:color w:val="auto"/>
              </w:rPr>
            </w:pPr>
            <w:r>
              <w:rPr>
                <w:rFonts w:ascii="Calibri" w:cs="Calibri" w:eastAsia="Calibri" w:hAnsi="Calibri"/>
                <w:sz w:val="18"/>
                <w:szCs w:val="18"/>
                <w:color w:val="auto"/>
              </w:rPr>
              <w:t>101.SCH†</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040" w:type="dxa"/>
            <w:vAlign w:val="bottom"/>
          </w:tcPr>
          <w:p>
            <w:pPr>
              <w:jc w:val="center"/>
              <w:spacing w:after="0"/>
              <w:rPr>
                <w:sz w:val="20"/>
                <w:szCs w:val="20"/>
                <w:color w:val="auto"/>
              </w:rPr>
            </w:pPr>
            <w:r>
              <w:rPr>
                <w:rFonts w:ascii="Calibri" w:cs="Calibri" w:eastAsia="Calibri" w:hAnsi="Calibri"/>
                <w:sz w:val="18"/>
                <w:szCs w:val="18"/>
                <w:color w:val="auto"/>
                <w:w w:val="96"/>
              </w:rPr>
              <w:t>101.CAL†</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c>
          <w:tcPr>
            <w:tcW w:w="0" w:type="dxa"/>
            <w:vAlign w:val="bottom"/>
          </w:tcPr>
          <w:p>
            <w:pPr>
              <w:spacing w:after="0"/>
              <w:rPr>
                <w:sz w:val="1"/>
                <w:szCs w:val="1"/>
                <w:color w:val="auto"/>
              </w:rPr>
            </w:pPr>
          </w:p>
        </w:tc>
      </w:tr>
      <w:tr>
        <w:trPr>
          <w:trHeight w:val="432"/>
        </w:trPr>
        <w:tc>
          <w:tcPr>
            <w:tcW w:w="1040" w:type="dxa"/>
            <w:vAlign w:val="bottom"/>
          </w:tcPr>
          <w:p>
            <w:pPr>
              <w:jc w:val="center"/>
              <w:spacing w:after="0"/>
              <w:rPr>
                <w:sz w:val="20"/>
                <w:szCs w:val="20"/>
                <w:color w:val="auto"/>
              </w:rPr>
            </w:pPr>
            <w:r>
              <w:rPr>
                <w:rFonts w:ascii="Calibri" w:cs="Calibri" w:eastAsia="Calibri" w:hAnsi="Calibri"/>
                <w:sz w:val="18"/>
                <w:szCs w:val="18"/>
                <w:color w:val="auto"/>
                <w:w w:val="95"/>
              </w:rPr>
              <w:t>101.DEF†</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auto"/>
              </w:rPr>
              <w:t>Inline XBRL Taxonomy Extension Defniton Linkbase Document.</w:t>
            </w:r>
          </w:p>
        </w:tc>
        <w:tc>
          <w:tcPr>
            <w:tcW w:w="0" w:type="dxa"/>
            <w:vAlign w:val="bottom"/>
          </w:tcPr>
          <w:p>
            <w:pPr>
              <w:spacing w:after="0"/>
              <w:rPr>
                <w:sz w:val="1"/>
                <w:szCs w:val="1"/>
                <w:color w:val="auto"/>
              </w:rPr>
            </w:pPr>
          </w:p>
        </w:tc>
      </w:tr>
      <w:tr>
        <w:trPr>
          <w:trHeight w:val="432"/>
        </w:trPr>
        <w:tc>
          <w:tcPr>
            <w:tcW w:w="1040" w:type="dxa"/>
            <w:vAlign w:val="bottom"/>
          </w:tcPr>
          <w:p>
            <w:pPr>
              <w:jc w:val="center"/>
              <w:spacing w:after="0"/>
              <w:rPr>
                <w:sz w:val="20"/>
                <w:szCs w:val="20"/>
                <w:color w:val="auto"/>
              </w:rPr>
            </w:pPr>
            <w:r>
              <w:rPr>
                <w:rFonts w:ascii="Calibri" w:cs="Calibri" w:eastAsia="Calibri" w:hAnsi="Calibri"/>
                <w:sz w:val="18"/>
                <w:szCs w:val="18"/>
                <w:color w:val="auto"/>
                <w:w w:val="96"/>
              </w:rPr>
              <w:t>101.LAB†</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040" w:type="dxa"/>
            <w:vAlign w:val="bottom"/>
          </w:tcPr>
          <w:p>
            <w:pPr>
              <w:jc w:val="center"/>
              <w:spacing w:after="0"/>
              <w:rPr>
                <w:sz w:val="20"/>
                <w:szCs w:val="20"/>
                <w:color w:val="auto"/>
              </w:rPr>
            </w:pPr>
            <w:r>
              <w:rPr>
                <w:rFonts w:ascii="Calibri" w:cs="Calibri" w:eastAsia="Calibri" w:hAnsi="Calibri"/>
                <w:sz w:val="18"/>
                <w:szCs w:val="18"/>
                <w:color w:val="auto"/>
                <w:w w:val="95"/>
              </w:rPr>
              <w:t>101.PRE†</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auto"/>
              </w:rPr>
              <w:t>Inline XBRL Taxonomy Extension Presentaton Linkbase Document.</w:t>
            </w:r>
          </w:p>
        </w:tc>
        <w:tc>
          <w:tcPr>
            <w:tcW w:w="0" w:type="dxa"/>
            <w:vAlign w:val="bottom"/>
          </w:tcPr>
          <w:p>
            <w:pPr>
              <w:spacing w:after="0"/>
              <w:rPr>
                <w:sz w:val="1"/>
                <w:szCs w:val="1"/>
                <w:color w:val="auto"/>
              </w:rPr>
            </w:pPr>
          </w:p>
        </w:tc>
      </w:tr>
      <w:tr>
        <w:trPr>
          <w:trHeight w:val="432"/>
        </w:trPr>
        <w:tc>
          <w:tcPr>
            <w:tcW w:w="1040" w:type="dxa"/>
            <w:vAlign w:val="bottom"/>
          </w:tcPr>
          <w:p>
            <w:pPr>
              <w:jc w:val="center"/>
              <w:ind w:left="30"/>
              <w:spacing w:after="0"/>
              <w:rPr>
                <w:sz w:val="20"/>
                <w:szCs w:val="20"/>
                <w:color w:val="auto"/>
              </w:rPr>
            </w:pPr>
            <w:r>
              <w:rPr>
                <w:rFonts w:ascii="Calibri" w:cs="Calibri" w:eastAsia="Calibri" w:hAnsi="Calibri"/>
                <w:sz w:val="18"/>
                <w:szCs w:val="18"/>
                <w:color w:val="auto"/>
                <w:w w:val="98"/>
              </w:rPr>
              <w:t>104†</w:t>
            </w:r>
          </w:p>
        </w:tc>
        <w:tc>
          <w:tcPr>
            <w:tcW w:w="140" w:type="dxa"/>
            <w:vAlign w:val="bottom"/>
          </w:tcPr>
          <w:p>
            <w:pPr>
              <w:spacing w:after="0"/>
              <w:rPr>
                <w:sz w:val="24"/>
                <w:szCs w:val="24"/>
                <w:color w:val="auto"/>
              </w:rPr>
            </w:pPr>
          </w:p>
        </w:tc>
        <w:tc>
          <w:tcPr>
            <w:tcW w:w="10060" w:type="dxa"/>
            <w:vAlign w:val="bottom"/>
            <w:gridSpan w:val="17"/>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140" w:hanging="132"/>
        <w:spacing w:after="0"/>
        <w:tabs>
          <w:tab w:leader="none" w:pos="1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Management contract or compensatory plan or arrangement.</w:t>
      </w:r>
    </w:p>
    <w:p>
      <w:pPr>
        <w:spacing w:after="0" w:line="7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 Filed herewith.</w:t>
      </w:r>
    </w:p>
    <w:p>
      <w:pPr>
        <w:spacing w:after="0" w:line="7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1" w:name="page92"/>
    <w:bookmarkEnd w:id="91"/>
    <w:p>
      <w:pPr>
        <w:spacing w:after="0"/>
        <w:rPr>
          <w:sz w:val="20"/>
          <w:szCs w:val="20"/>
          <w:color w:val="auto"/>
        </w:rPr>
      </w:pPr>
      <w:r>
        <w:rPr>
          <w:rFonts w:ascii="Calibri" w:cs="Calibri" w:eastAsia="Calibri" w:hAnsi="Calibri"/>
          <w:sz w:val="18"/>
          <w:szCs w:val="18"/>
          <w:b w:val="1"/>
          <w:bCs w:val="1"/>
          <w:color w:val="auto"/>
        </w:rPr>
        <w:t xml:space="preserve">Item 16. </w:t>
      </w:r>
      <w:r>
        <w:rPr>
          <w:rFonts w:ascii="Calibri" w:cs="Calibri" w:eastAsia="Calibri" w:hAnsi="Calibri"/>
          <w:sz w:val="18"/>
          <w:szCs w:val="18"/>
          <w:b w:val="1"/>
          <w:bCs w:val="1"/>
          <w:i w:val="1"/>
          <w:iCs w:val="1"/>
          <w:color w:val="auto"/>
        </w:rPr>
        <w:t>Form 10-K Summary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Calibri" w:cs="Calibri" w:eastAsia="Calibri" w:hAnsi="Calibri"/>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sectPr>
      </w:pPr>
    </w:p>
    <w:bookmarkStart w:id="92" w:name="page93"/>
    <w:bookmarkEnd w:id="92"/>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105" w:lineRule="exact"/>
        <w:rPr>
          <w:sz w:val="20"/>
          <w:szCs w:val="20"/>
          <w:color w:val="auto"/>
        </w:rPr>
      </w:pPr>
    </w:p>
    <w:p>
      <w:pPr>
        <w:ind w:left="6200"/>
        <w:spacing w:after="0"/>
        <w:rPr>
          <w:sz w:val="20"/>
          <w:szCs w:val="20"/>
          <w:color w:val="auto"/>
        </w:rPr>
      </w:pPr>
      <w:r>
        <w:rPr>
          <w:rFonts w:ascii="Calibri" w:cs="Calibri" w:eastAsia="Calibri" w:hAnsi="Calibri"/>
          <w:sz w:val="18"/>
          <w:szCs w:val="18"/>
          <w:color w:val="auto"/>
        </w:rPr>
        <w:t>CABOT CORPORATION</w:t>
      </w:r>
    </w:p>
    <w:p>
      <w:pPr>
        <w:spacing w:after="0" w:line="212" w:lineRule="exact"/>
        <w:rPr>
          <w:sz w:val="20"/>
          <w:szCs w:val="20"/>
          <w:color w:val="auto"/>
        </w:rPr>
      </w:pPr>
    </w:p>
    <w:tbl>
      <w:tblPr>
        <w:tblLayout w:type="fixed"/>
        <w:tblInd w:w="620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Calibri" w:cs="Calibri" w:eastAsia="Calibri" w:hAnsi="Calibri"/>
                <w:sz w:val="18"/>
                <w:szCs w:val="18"/>
                <w:color w:val="auto"/>
              </w:rPr>
              <w:t>BY:</w:t>
            </w:r>
          </w:p>
        </w:tc>
        <w:tc>
          <w:tcPr>
            <w:tcW w:w="4480" w:type="dxa"/>
            <w:vAlign w:val="bottom"/>
          </w:tcPr>
          <w:p>
            <w:pPr>
              <w:jc w:val="cente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3"/>
                <w:szCs w:val="13"/>
                <w:color w:val="auto"/>
              </w:rPr>
              <w:t>S</w:t>
            </w:r>
            <w:r>
              <w:rPr>
                <w:rFonts w:ascii="Calibri" w:cs="Calibri" w:eastAsia="Calibri" w:hAnsi="Calibri"/>
                <w:sz w:val="18"/>
                <w:szCs w:val="18"/>
                <w:color w:val="auto"/>
              </w:rPr>
              <w:t>/  SEAN D. KEOHANE</w:t>
            </w:r>
          </w:p>
        </w:tc>
      </w:tr>
      <w:tr>
        <w:trPr>
          <w:trHeight w:val="23"/>
        </w:trPr>
        <w:tc>
          <w:tcPr>
            <w:tcW w:w="56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448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Sean D. Keohane</w:t>
            </w:r>
          </w:p>
        </w:tc>
      </w:tr>
      <w:tr>
        <w:trPr>
          <w:trHeight w:val="215"/>
        </w:trPr>
        <w:tc>
          <w:tcPr>
            <w:tcW w:w="560" w:type="dxa"/>
            <w:vAlign w:val="bottom"/>
          </w:tcPr>
          <w:p>
            <w:pPr>
              <w:spacing w:after="0"/>
              <w:rPr>
                <w:sz w:val="18"/>
                <w:szCs w:val="18"/>
                <w:color w:val="auto"/>
              </w:rPr>
            </w:pPr>
          </w:p>
        </w:tc>
        <w:tc>
          <w:tcPr>
            <w:tcW w:w="4480" w:type="dxa"/>
            <w:vAlign w:val="bottom"/>
          </w:tcPr>
          <w:p>
            <w:pPr>
              <w:jc w:val="center"/>
              <w:spacing w:after="0" w:line="215" w:lineRule="exact"/>
              <w:rPr>
                <w:sz w:val="20"/>
                <w:szCs w:val="20"/>
                <w:color w:val="auto"/>
              </w:rPr>
            </w:pPr>
            <w:r>
              <w:rPr>
                <w:rFonts w:ascii="Calibri" w:cs="Calibri" w:eastAsia="Calibri" w:hAnsi="Calibri"/>
                <w:sz w:val="18"/>
                <w:szCs w:val="18"/>
                <w:color w:val="auto"/>
              </w:rPr>
              <w:t>President and Chief Executve Ofcer</w:t>
            </w:r>
          </w:p>
        </w:tc>
      </w:tr>
    </w:tbl>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Date: November 20, 2024</w:t>
      </w:r>
    </w:p>
    <w:p>
      <w:pPr>
        <w:spacing w:after="0" w:line="82"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below by the following persons on behalf of the Registrant and in the capacites and on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center"/>
              <w:ind w:right="1791"/>
              <w:spacing w:after="0"/>
              <w:rPr>
                <w:sz w:val="20"/>
                <w:szCs w:val="20"/>
                <w:color w:val="auto"/>
              </w:rPr>
            </w:pPr>
            <w:r>
              <w:rPr>
                <w:rFonts w:ascii="Calibri" w:cs="Calibri" w:eastAsia="Calibri" w:hAnsi="Calibri"/>
                <w:sz w:val="14"/>
                <w:szCs w:val="14"/>
                <w:b w:val="1"/>
                <w:bCs w:val="1"/>
                <w:color w:val="auto"/>
              </w:rPr>
              <w:t>Signatures</w:t>
            </w:r>
          </w:p>
        </w:tc>
        <w:tc>
          <w:tcPr>
            <w:tcW w:w="24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Date</w:t>
            </w:r>
          </w:p>
        </w:tc>
        <w:tc>
          <w:tcPr>
            <w:tcW w:w="0" w:type="dxa"/>
            <w:vAlign w:val="bottom"/>
          </w:tcPr>
          <w:p>
            <w:pPr>
              <w:spacing w:after="0"/>
              <w:rPr>
                <w:sz w:val="1"/>
                <w:szCs w:val="1"/>
                <w:color w:val="auto"/>
              </w:rPr>
            </w:pPr>
          </w:p>
        </w:tc>
      </w:tr>
      <w:tr>
        <w:trPr>
          <w:trHeight w:val="274"/>
        </w:trPr>
        <w:tc>
          <w:tcPr>
            <w:tcW w:w="1900" w:type="dxa"/>
            <w:vAlign w:val="bottom"/>
            <w:gridSpan w:val="2"/>
          </w:tcPr>
          <w:p>
            <w:pPr>
              <w:ind w:left="1640"/>
              <w:spacing w:after="0"/>
              <w:rPr>
                <w:sz w:val="20"/>
                <w:szCs w:val="20"/>
                <w:color w:val="auto"/>
              </w:rPr>
            </w:pPr>
            <w:r>
              <w:rPr>
                <w:rFonts w:ascii="Calibri" w:cs="Calibri" w:eastAsia="Calibri" w:hAnsi="Calibri"/>
                <w:sz w:val="18"/>
                <w:szCs w:val="18"/>
                <w:color w:val="auto"/>
              </w:rPr>
              <w:t>/s/</w:t>
            </w:r>
          </w:p>
        </w:tc>
        <w:tc>
          <w:tcPr>
            <w:tcW w:w="3040" w:type="dxa"/>
            <w:vAlign w:val="bottom"/>
          </w:tcPr>
          <w:p>
            <w:pPr>
              <w:jc w:val="center"/>
              <w:ind w:right="1431"/>
              <w:spacing w:after="0"/>
              <w:rPr>
                <w:sz w:val="20"/>
                <w:szCs w:val="20"/>
                <w:color w:val="auto"/>
              </w:rPr>
            </w:pPr>
            <w:r>
              <w:rPr>
                <w:rFonts w:ascii="Calibri" w:cs="Calibri" w:eastAsia="Calibri" w:hAnsi="Calibri"/>
                <w:sz w:val="18"/>
                <w:szCs w:val="18"/>
                <w:color w:val="auto"/>
                <w:w w:val="97"/>
              </w:rPr>
              <w:t>SEAN D. KEOHANE</w:t>
            </w:r>
          </w:p>
        </w:tc>
        <w:tc>
          <w:tcPr>
            <w:tcW w:w="240" w:type="dxa"/>
            <w:vAlign w:val="bottom"/>
          </w:tcPr>
          <w:p>
            <w:pPr>
              <w:spacing w:after="0"/>
              <w:rPr>
                <w:sz w:val="23"/>
                <w:szCs w:val="23"/>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5"/>
              </w:rPr>
              <w:t>Director, President and</w:t>
            </w:r>
          </w:p>
        </w:tc>
        <w:tc>
          <w:tcPr>
            <w:tcW w:w="22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rPr>
              <w:t>Chief Executve Ofcer</w:t>
            </w: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3180" w:type="dxa"/>
            <w:vAlign w:val="bottom"/>
            <w:gridSpan w:val="2"/>
          </w:tcPr>
          <w:p>
            <w:pPr>
              <w:jc w:val="center"/>
              <w:ind w:right="1651"/>
              <w:spacing w:after="0" w:line="208" w:lineRule="exact"/>
              <w:rPr>
                <w:sz w:val="20"/>
                <w:szCs w:val="20"/>
                <w:color w:val="auto"/>
              </w:rPr>
            </w:pPr>
            <w:r>
              <w:rPr>
                <w:rFonts w:ascii="Calibri" w:cs="Calibri" w:eastAsia="Calibri" w:hAnsi="Calibri"/>
                <w:sz w:val="18"/>
                <w:szCs w:val="18"/>
                <w:color w:val="auto"/>
                <w:w w:val="97"/>
              </w:rPr>
              <w:t>Sean D. Keohane</w:t>
            </w:r>
          </w:p>
        </w:tc>
        <w:tc>
          <w:tcPr>
            <w:tcW w:w="2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760" w:type="dxa"/>
            <w:vAlign w:val="bottom"/>
          </w:tcPr>
          <w:p>
            <w:pPr>
              <w:ind w:left="1540"/>
              <w:spacing w:after="0"/>
              <w:rPr>
                <w:sz w:val="20"/>
                <w:szCs w:val="20"/>
                <w:color w:val="auto"/>
              </w:rPr>
            </w:pPr>
            <w:r>
              <w:rPr>
                <w:rFonts w:ascii="Calibri" w:cs="Calibri" w:eastAsia="Calibri" w:hAnsi="Calibri"/>
                <w:sz w:val="18"/>
                <w:szCs w:val="18"/>
                <w:color w:val="auto"/>
                <w:w w:val="95"/>
              </w:rPr>
              <w:t>/s/</w:t>
            </w:r>
          </w:p>
        </w:tc>
        <w:tc>
          <w:tcPr>
            <w:tcW w:w="140" w:type="dxa"/>
            <w:vAlign w:val="bottom"/>
          </w:tcPr>
          <w:p>
            <w:pPr>
              <w:spacing w:after="0"/>
              <w:rPr>
                <w:sz w:val="23"/>
                <w:szCs w:val="23"/>
                <w:color w:val="auto"/>
              </w:rPr>
            </w:pPr>
          </w:p>
        </w:tc>
        <w:tc>
          <w:tcPr>
            <w:tcW w:w="3040" w:type="dxa"/>
            <w:vAlign w:val="bottom"/>
          </w:tcPr>
          <w:p>
            <w:pPr>
              <w:spacing w:after="0"/>
              <w:rPr>
                <w:sz w:val="20"/>
                <w:szCs w:val="20"/>
                <w:color w:val="auto"/>
              </w:rPr>
            </w:pPr>
            <w:r>
              <w:rPr>
                <w:rFonts w:ascii="Calibri" w:cs="Calibri" w:eastAsia="Calibri" w:hAnsi="Calibri"/>
                <w:sz w:val="18"/>
                <w:szCs w:val="18"/>
                <w:color w:val="auto"/>
              </w:rPr>
              <w:t>ERICA MCLAUGHLIN</w:t>
            </w:r>
          </w:p>
        </w:tc>
        <w:tc>
          <w:tcPr>
            <w:tcW w:w="240" w:type="dxa"/>
            <w:vAlign w:val="bottom"/>
          </w:tcPr>
          <w:p>
            <w:pPr>
              <w:spacing w:after="0"/>
              <w:rPr>
                <w:sz w:val="23"/>
                <w:szCs w:val="23"/>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8"/>
              </w:rPr>
              <w:t>Executve Vice President and</w:t>
            </w:r>
          </w:p>
        </w:tc>
        <w:tc>
          <w:tcPr>
            <w:tcW w:w="22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rPr>
              <w:t>Chief Financial Ofcer</w:t>
            </w: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6"/>
                <w:szCs w:val="16"/>
                <w:color w:val="auto"/>
              </w:rPr>
            </w:pPr>
          </w:p>
        </w:tc>
        <w:tc>
          <w:tcPr>
            <w:tcW w:w="3180" w:type="dxa"/>
            <w:vAlign w:val="bottom"/>
            <w:gridSpan w:val="2"/>
          </w:tcPr>
          <w:p>
            <w:pPr>
              <w:jc w:val="center"/>
              <w:ind w:right="1651"/>
              <w:spacing w:after="0" w:line="187" w:lineRule="exact"/>
              <w:rPr>
                <w:sz w:val="20"/>
                <w:szCs w:val="20"/>
                <w:color w:val="auto"/>
              </w:rPr>
            </w:pPr>
            <w:r>
              <w:rPr>
                <w:rFonts w:ascii="Calibri" w:cs="Calibri" w:eastAsia="Calibri" w:hAnsi="Calibri"/>
                <w:sz w:val="18"/>
                <w:szCs w:val="18"/>
                <w:color w:val="auto"/>
                <w:w w:val="96"/>
              </w:rPr>
              <w:t>Erica McLaughlin</w:t>
            </w:r>
          </w:p>
        </w:tc>
        <w:tc>
          <w:tcPr>
            <w:tcW w:w="24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tcPr>
          <w:p>
            <w:pPr>
              <w:jc w:val="center"/>
              <w:spacing w:after="0" w:line="215" w:lineRule="exact"/>
              <w:rPr>
                <w:sz w:val="20"/>
                <w:szCs w:val="20"/>
                <w:color w:val="auto"/>
              </w:rPr>
            </w:pPr>
            <w:r>
              <w:rPr>
                <w:rFonts w:ascii="Calibri" w:cs="Calibri" w:eastAsia="Calibri" w:hAnsi="Calibri"/>
                <w:sz w:val="18"/>
                <w:szCs w:val="18"/>
                <w:color w:val="auto"/>
              </w:rPr>
              <w:t>(principal fnancial ofcer)</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Vice President, Controller and</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660"/>
              <w:spacing w:after="0" w:line="216" w:lineRule="exact"/>
              <w:rPr>
                <w:sz w:val="20"/>
                <w:szCs w:val="20"/>
                <w:color w:val="auto"/>
              </w:rPr>
            </w:pPr>
            <w:r>
              <w:rPr>
                <w:rFonts w:ascii="Calibri" w:cs="Calibri" w:eastAsia="Calibri" w:hAnsi="Calibri"/>
                <w:sz w:val="18"/>
                <w:szCs w:val="18"/>
                <w:color w:val="auto"/>
              </w:rPr>
              <w:t>/s/</w:t>
            </w:r>
          </w:p>
        </w:tc>
        <w:tc>
          <w:tcPr>
            <w:tcW w:w="3040" w:type="dxa"/>
            <w:vAlign w:val="bottom"/>
          </w:tcPr>
          <w:p>
            <w:pPr>
              <w:jc w:val="center"/>
              <w:ind w:right="1451"/>
              <w:spacing w:after="0" w:line="216" w:lineRule="exact"/>
              <w:rPr>
                <w:sz w:val="20"/>
                <w:szCs w:val="20"/>
                <w:color w:val="auto"/>
              </w:rPr>
            </w:pPr>
            <w:r>
              <w:rPr>
                <w:rFonts w:ascii="Calibri" w:cs="Calibri" w:eastAsia="Calibri" w:hAnsi="Calibri"/>
                <w:sz w:val="18"/>
                <w:szCs w:val="18"/>
                <w:color w:val="auto"/>
                <w:w w:val="97"/>
              </w:rPr>
              <w:t>LISA M. DUMONT</w:t>
            </w:r>
          </w:p>
        </w:tc>
        <w:tc>
          <w:tcPr>
            <w:tcW w:w="24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rPr>
              <w:t>Chief Accountng Ofcer</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rPr>
              <w:t>(Chief Accountng Ofcer)</w:t>
            </w: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1791"/>
              <w:spacing w:after="0" w:line="208" w:lineRule="exact"/>
              <w:rPr>
                <w:sz w:val="20"/>
                <w:szCs w:val="20"/>
                <w:color w:val="auto"/>
              </w:rPr>
            </w:pPr>
            <w:r>
              <w:rPr>
                <w:rFonts w:ascii="Calibri" w:cs="Calibri" w:eastAsia="Calibri" w:hAnsi="Calibri"/>
                <w:sz w:val="18"/>
                <w:szCs w:val="18"/>
                <w:color w:val="auto"/>
                <w:w w:val="97"/>
              </w:rPr>
              <w:t>Lisa M. Dumont</w:t>
            </w:r>
          </w:p>
        </w:tc>
        <w:tc>
          <w:tcPr>
            <w:tcW w:w="2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760" w:type="dxa"/>
            <w:vAlign w:val="bottom"/>
          </w:tcPr>
          <w:p>
            <w:pPr>
              <w:ind w:left="1480"/>
              <w:spacing w:after="0"/>
              <w:rPr>
                <w:sz w:val="20"/>
                <w:szCs w:val="20"/>
                <w:color w:val="auto"/>
              </w:rPr>
            </w:pPr>
            <w:r>
              <w:rPr>
                <w:rFonts w:ascii="Calibri" w:cs="Calibri" w:eastAsia="Calibri" w:hAnsi="Calibri"/>
                <w:sz w:val="18"/>
                <w:szCs w:val="18"/>
                <w:color w:val="auto"/>
              </w:rPr>
              <w:t>/s/</w:t>
            </w:r>
          </w:p>
        </w:tc>
        <w:tc>
          <w:tcPr>
            <w:tcW w:w="3180" w:type="dxa"/>
            <w:vAlign w:val="bottom"/>
            <w:gridSpan w:val="2"/>
          </w:tcPr>
          <w:p>
            <w:pPr>
              <w:jc w:val="center"/>
              <w:ind w:right="1291"/>
              <w:spacing w:after="0"/>
              <w:rPr>
                <w:sz w:val="20"/>
                <w:szCs w:val="20"/>
                <w:color w:val="auto"/>
              </w:rPr>
            </w:pPr>
            <w:r>
              <w:rPr>
                <w:rFonts w:ascii="Calibri" w:cs="Calibri" w:eastAsia="Calibri" w:hAnsi="Calibri"/>
                <w:sz w:val="18"/>
                <w:szCs w:val="18"/>
                <w:color w:val="auto"/>
                <w:w w:val="98"/>
              </w:rPr>
              <w:t>MICHAEL M. MORROW</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Director, Non-Executve</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w w:val="97"/>
              </w:rPr>
              <w:t>Chair of the Board</w:t>
            </w: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3180" w:type="dxa"/>
            <w:vAlign w:val="bottom"/>
            <w:gridSpan w:val="2"/>
          </w:tcPr>
          <w:p>
            <w:pPr>
              <w:jc w:val="center"/>
              <w:ind w:right="1651"/>
              <w:spacing w:after="0" w:line="208" w:lineRule="exact"/>
              <w:rPr>
                <w:sz w:val="20"/>
                <w:szCs w:val="20"/>
                <w:color w:val="auto"/>
              </w:rPr>
            </w:pPr>
            <w:r>
              <w:rPr>
                <w:rFonts w:ascii="Calibri" w:cs="Calibri" w:eastAsia="Calibri" w:hAnsi="Calibri"/>
                <w:sz w:val="18"/>
                <w:szCs w:val="18"/>
                <w:color w:val="auto"/>
                <w:w w:val="98"/>
              </w:rPr>
              <w:t>Michael M. Morrow</w:t>
            </w:r>
          </w:p>
        </w:tc>
        <w:tc>
          <w:tcPr>
            <w:tcW w:w="2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760" w:type="dxa"/>
            <w:vAlign w:val="bottom"/>
          </w:tcPr>
          <w:p>
            <w:pPr>
              <w:ind w:left="1540"/>
              <w:spacing w:after="0"/>
              <w:rPr>
                <w:sz w:val="20"/>
                <w:szCs w:val="20"/>
                <w:color w:val="auto"/>
              </w:rPr>
            </w:pPr>
            <w:r>
              <w:rPr>
                <w:rFonts w:ascii="Calibri" w:cs="Calibri" w:eastAsia="Calibri" w:hAnsi="Calibri"/>
                <w:sz w:val="18"/>
                <w:szCs w:val="18"/>
                <w:color w:val="auto"/>
                <w:w w:val="95"/>
              </w:rPr>
              <w:t>/s/</w:t>
            </w:r>
          </w:p>
        </w:tc>
        <w:tc>
          <w:tcPr>
            <w:tcW w:w="140" w:type="dxa"/>
            <w:vAlign w:val="bottom"/>
          </w:tcPr>
          <w:p>
            <w:pPr>
              <w:spacing w:after="0"/>
              <w:rPr>
                <w:sz w:val="24"/>
                <w:szCs w:val="24"/>
                <w:color w:val="auto"/>
              </w:rPr>
            </w:pPr>
          </w:p>
        </w:tc>
        <w:tc>
          <w:tcPr>
            <w:tcW w:w="3040" w:type="dxa"/>
            <w:vAlign w:val="bottom"/>
          </w:tcPr>
          <w:p>
            <w:pPr>
              <w:jc w:val="center"/>
              <w:ind w:right="1471"/>
              <w:spacing w:after="0"/>
              <w:rPr>
                <w:sz w:val="20"/>
                <w:szCs w:val="20"/>
                <w:color w:val="auto"/>
              </w:rPr>
            </w:pPr>
            <w:r>
              <w:rPr>
                <w:rFonts w:ascii="Calibri" w:cs="Calibri" w:eastAsia="Calibri" w:hAnsi="Calibri"/>
                <w:sz w:val="18"/>
                <w:szCs w:val="18"/>
                <w:color w:val="auto"/>
                <w:w w:val="98"/>
              </w:rPr>
              <w:t>CYNTHIA A. ARNOLD</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3180" w:type="dxa"/>
            <w:vAlign w:val="bottom"/>
            <w:gridSpan w:val="2"/>
          </w:tcPr>
          <w:p>
            <w:pPr>
              <w:jc w:val="center"/>
              <w:ind w:right="1691"/>
              <w:spacing w:after="0" w:line="208" w:lineRule="exact"/>
              <w:rPr>
                <w:sz w:val="20"/>
                <w:szCs w:val="20"/>
                <w:color w:val="auto"/>
              </w:rPr>
            </w:pPr>
            <w:r>
              <w:rPr>
                <w:rFonts w:ascii="Calibri" w:cs="Calibri" w:eastAsia="Calibri" w:hAnsi="Calibri"/>
                <w:sz w:val="18"/>
                <w:szCs w:val="18"/>
                <w:color w:val="auto"/>
                <w:w w:val="97"/>
              </w:rPr>
              <w:t>Cynthia A. Arnold</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4940" w:type="dxa"/>
            <w:vAlign w:val="bottom"/>
            <w:gridSpan w:val="3"/>
          </w:tcPr>
          <w:p>
            <w:pPr>
              <w:jc w:val="center"/>
              <w:spacing w:after="0"/>
              <w:rPr>
                <w:sz w:val="20"/>
                <w:szCs w:val="20"/>
                <w:color w:val="auto"/>
              </w:rPr>
            </w:pPr>
            <w:r>
              <w:rPr>
                <w:rFonts w:ascii="Calibri" w:cs="Calibri" w:eastAsia="Calibri" w:hAnsi="Calibri"/>
                <w:sz w:val="18"/>
                <w:szCs w:val="18"/>
                <w:color w:val="auto"/>
                <w:w w:val="96"/>
              </w:rPr>
              <w:t>/s/ DOUGLAS DEL GROSSO</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3180" w:type="dxa"/>
            <w:vAlign w:val="bottom"/>
            <w:gridSpan w:val="2"/>
          </w:tcPr>
          <w:p>
            <w:pPr>
              <w:jc w:val="center"/>
              <w:ind w:right="1651"/>
              <w:spacing w:after="0" w:line="208" w:lineRule="exact"/>
              <w:rPr>
                <w:sz w:val="20"/>
                <w:szCs w:val="20"/>
                <w:color w:val="auto"/>
              </w:rPr>
            </w:pPr>
            <w:r>
              <w:rPr>
                <w:rFonts w:ascii="Calibri" w:cs="Calibri" w:eastAsia="Calibri" w:hAnsi="Calibri"/>
                <w:sz w:val="18"/>
                <w:szCs w:val="18"/>
                <w:color w:val="auto"/>
                <w:w w:val="96"/>
              </w:rPr>
              <w:t>Douglas Del Grosso</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760" w:type="dxa"/>
            <w:vAlign w:val="bottom"/>
          </w:tcPr>
          <w:p>
            <w:pPr>
              <w:spacing w:after="0"/>
              <w:rPr>
                <w:sz w:val="24"/>
                <w:szCs w:val="24"/>
                <w:color w:val="auto"/>
              </w:rPr>
            </w:pPr>
          </w:p>
        </w:tc>
        <w:tc>
          <w:tcPr>
            <w:tcW w:w="3180" w:type="dxa"/>
            <w:vAlign w:val="bottom"/>
            <w:gridSpan w:val="2"/>
          </w:tcPr>
          <w:p>
            <w:pPr>
              <w:jc w:val="center"/>
              <w:ind w:right="1651"/>
              <w:spacing w:after="0"/>
              <w:rPr>
                <w:sz w:val="20"/>
                <w:szCs w:val="20"/>
                <w:color w:val="auto"/>
              </w:rPr>
            </w:pPr>
            <w:r>
              <w:rPr>
                <w:rFonts w:ascii="Calibri" w:cs="Calibri" w:eastAsia="Calibri" w:hAnsi="Calibri"/>
                <w:sz w:val="18"/>
                <w:szCs w:val="18"/>
                <w:color w:val="auto"/>
                <w:w w:val="97"/>
              </w:rPr>
              <w:t>/s/ JUAN ENRIQUEZ</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1791"/>
              <w:spacing w:after="0" w:line="208" w:lineRule="exact"/>
              <w:rPr>
                <w:sz w:val="20"/>
                <w:szCs w:val="20"/>
                <w:color w:val="auto"/>
              </w:rPr>
            </w:pPr>
            <w:r>
              <w:rPr>
                <w:rFonts w:ascii="Calibri" w:cs="Calibri" w:eastAsia="Calibri" w:hAnsi="Calibri"/>
                <w:sz w:val="18"/>
                <w:szCs w:val="18"/>
                <w:color w:val="auto"/>
                <w:w w:val="99"/>
              </w:rPr>
              <w:t>Juan Enriquez</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900" w:type="dxa"/>
            <w:vAlign w:val="bottom"/>
            <w:gridSpan w:val="2"/>
          </w:tcPr>
          <w:p>
            <w:pPr>
              <w:ind w:left="1660"/>
              <w:spacing w:after="0"/>
              <w:rPr>
                <w:sz w:val="20"/>
                <w:szCs w:val="20"/>
                <w:color w:val="auto"/>
              </w:rPr>
            </w:pPr>
            <w:r>
              <w:rPr>
                <w:rFonts w:ascii="Calibri" w:cs="Calibri" w:eastAsia="Calibri" w:hAnsi="Calibri"/>
                <w:sz w:val="18"/>
                <w:szCs w:val="18"/>
                <w:color w:val="auto"/>
              </w:rPr>
              <w:t>/s/</w:t>
            </w:r>
          </w:p>
        </w:tc>
        <w:tc>
          <w:tcPr>
            <w:tcW w:w="3040" w:type="dxa"/>
            <w:vAlign w:val="bottom"/>
          </w:tcPr>
          <w:p>
            <w:pPr>
              <w:jc w:val="center"/>
              <w:ind w:right="1431"/>
              <w:spacing w:after="0"/>
              <w:rPr>
                <w:sz w:val="20"/>
                <w:szCs w:val="20"/>
                <w:color w:val="auto"/>
              </w:rPr>
            </w:pPr>
            <w:r>
              <w:rPr>
                <w:rFonts w:ascii="Calibri" w:cs="Calibri" w:eastAsia="Calibri" w:hAnsi="Calibri"/>
                <w:sz w:val="18"/>
                <w:szCs w:val="18"/>
                <w:color w:val="auto"/>
                <w:w w:val="98"/>
              </w:rPr>
              <w:t>WILLIAM C. KIRBY</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1791"/>
              <w:spacing w:after="0" w:line="208" w:lineRule="exact"/>
              <w:rPr>
                <w:sz w:val="20"/>
                <w:szCs w:val="20"/>
                <w:color w:val="auto"/>
              </w:rPr>
            </w:pPr>
            <w:r>
              <w:rPr>
                <w:rFonts w:ascii="Calibri" w:cs="Calibri" w:eastAsia="Calibri" w:hAnsi="Calibri"/>
                <w:sz w:val="18"/>
                <w:szCs w:val="18"/>
                <w:color w:val="auto"/>
                <w:w w:val="97"/>
              </w:rPr>
              <w:t>William C. Kirby</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4940" w:type="dxa"/>
            <w:vAlign w:val="bottom"/>
            <w:gridSpan w:val="3"/>
          </w:tcPr>
          <w:p>
            <w:pPr>
              <w:jc w:val="center"/>
              <w:spacing w:after="0"/>
              <w:rPr>
                <w:sz w:val="20"/>
                <w:szCs w:val="20"/>
                <w:color w:val="auto"/>
              </w:rPr>
            </w:pPr>
            <w:r>
              <w:rPr>
                <w:rFonts w:ascii="Calibri" w:cs="Calibri" w:eastAsia="Calibri" w:hAnsi="Calibri"/>
                <w:sz w:val="18"/>
                <w:szCs w:val="18"/>
                <w:color w:val="auto"/>
              </w:rPr>
              <w:t>/s/  RAFFIQ NATHOO</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1791"/>
              <w:spacing w:after="0" w:line="208" w:lineRule="exact"/>
              <w:rPr>
                <w:sz w:val="20"/>
                <w:szCs w:val="20"/>
                <w:color w:val="auto"/>
              </w:rPr>
            </w:pPr>
            <w:r>
              <w:rPr>
                <w:rFonts w:ascii="Calibri" w:cs="Calibri" w:eastAsia="Calibri" w:hAnsi="Calibri"/>
                <w:sz w:val="18"/>
                <w:szCs w:val="18"/>
                <w:color w:val="auto"/>
              </w:rPr>
              <w:t>Rafq Nathoo</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760" w:type="dxa"/>
            <w:vAlign w:val="bottom"/>
          </w:tcPr>
          <w:p>
            <w:pPr>
              <w:ind w:left="1500"/>
              <w:spacing w:after="0"/>
              <w:rPr>
                <w:sz w:val="20"/>
                <w:szCs w:val="20"/>
                <w:color w:val="auto"/>
              </w:rPr>
            </w:pPr>
            <w:r>
              <w:rPr>
                <w:rFonts w:ascii="Calibri" w:cs="Calibri" w:eastAsia="Calibri" w:hAnsi="Calibri"/>
                <w:sz w:val="18"/>
                <w:szCs w:val="18"/>
                <w:color w:val="auto"/>
              </w:rPr>
              <w:t>/s/</w:t>
            </w:r>
          </w:p>
        </w:tc>
        <w:tc>
          <w:tcPr>
            <w:tcW w:w="3180" w:type="dxa"/>
            <w:vAlign w:val="bottom"/>
            <w:gridSpan w:val="2"/>
          </w:tcPr>
          <w:p>
            <w:pPr>
              <w:jc w:val="center"/>
              <w:ind w:right="1291"/>
              <w:spacing w:after="0"/>
              <w:rPr>
                <w:sz w:val="20"/>
                <w:szCs w:val="20"/>
                <w:color w:val="auto"/>
              </w:rPr>
            </w:pPr>
            <w:r>
              <w:rPr>
                <w:rFonts w:ascii="Calibri" w:cs="Calibri" w:eastAsia="Calibri" w:hAnsi="Calibri"/>
                <w:sz w:val="18"/>
                <w:szCs w:val="18"/>
                <w:color w:val="auto"/>
                <w:w w:val="96"/>
              </w:rPr>
              <w:t>THIERRY VANLANCKER</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3180" w:type="dxa"/>
            <w:vAlign w:val="bottom"/>
            <w:gridSpan w:val="2"/>
          </w:tcPr>
          <w:p>
            <w:pPr>
              <w:jc w:val="center"/>
              <w:ind w:right="1651"/>
              <w:spacing w:after="0" w:line="208" w:lineRule="exact"/>
              <w:rPr>
                <w:sz w:val="20"/>
                <w:szCs w:val="20"/>
                <w:color w:val="auto"/>
              </w:rPr>
            </w:pPr>
            <w:r>
              <w:rPr>
                <w:rFonts w:ascii="Calibri" w:cs="Calibri" w:eastAsia="Calibri" w:hAnsi="Calibri"/>
                <w:sz w:val="18"/>
                <w:szCs w:val="18"/>
                <w:color w:val="auto"/>
                <w:w w:val="95"/>
              </w:rPr>
              <w:t>Thierry Vanlancker</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760" w:type="dxa"/>
            <w:vAlign w:val="bottom"/>
          </w:tcPr>
          <w:p>
            <w:pPr>
              <w:ind w:left="1480"/>
              <w:spacing w:after="0"/>
              <w:rPr>
                <w:sz w:val="20"/>
                <w:szCs w:val="20"/>
                <w:color w:val="auto"/>
              </w:rPr>
            </w:pPr>
            <w:r>
              <w:rPr>
                <w:rFonts w:ascii="Calibri" w:cs="Calibri" w:eastAsia="Calibri" w:hAnsi="Calibri"/>
                <w:sz w:val="18"/>
                <w:szCs w:val="18"/>
                <w:color w:val="auto"/>
              </w:rPr>
              <w:t>/s/</w:t>
            </w:r>
          </w:p>
        </w:tc>
        <w:tc>
          <w:tcPr>
            <w:tcW w:w="3180" w:type="dxa"/>
            <w:vAlign w:val="bottom"/>
            <w:gridSpan w:val="2"/>
          </w:tcPr>
          <w:p>
            <w:pPr>
              <w:jc w:val="center"/>
              <w:ind w:right="1291"/>
              <w:spacing w:after="0"/>
              <w:rPr>
                <w:sz w:val="20"/>
                <w:szCs w:val="20"/>
                <w:color w:val="auto"/>
              </w:rPr>
            </w:pPr>
            <w:r>
              <w:rPr>
                <w:rFonts w:ascii="Calibri" w:cs="Calibri" w:eastAsia="Calibri" w:hAnsi="Calibri"/>
                <w:sz w:val="18"/>
                <w:szCs w:val="18"/>
                <w:color w:val="auto"/>
                <w:w w:val="96"/>
              </w:rPr>
              <w:t>MICHELLE E. WILLIAMS</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3180" w:type="dxa"/>
            <w:vAlign w:val="bottom"/>
            <w:gridSpan w:val="2"/>
          </w:tcPr>
          <w:p>
            <w:pPr>
              <w:jc w:val="center"/>
              <w:ind w:right="1651"/>
              <w:spacing w:after="0" w:line="208" w:lineRule="exact"/>
              <w:rPr>
                <w:sz w:val="20"/>
                <w:szCs w:val="20"/>
                <w:color w:val="auto"/>
              </w:rPr>
            </w:pPr>
            <w:r>
              <w:rPr>
                <w:rFonts w:ascii="Calibri" w:cs="Calibri" w:eastAsia="Calibri" w:hAnsi="Calibri"/>
                <w:sz w:val="18"/>
                <w:szCs w:val="18"/>
                <w:color w:val="auto"/>
                <w:w w:val="98"/>
              </w:rPr>
              <w:t>Michelle E. Williams</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900" w:type="dxa"/>
            <w:vAlign w:val="bottom"/>
            <w:gridSpan w:val="2"/>
          </w:tcPr>
          <w:p>
            <w:pPr>
              <w:ind w:left="1660"/>
              <w:spacing w:after="0"/>
              <w:rPr>
                <w:sz w:val="20"/>
                <w:szCs w:val="20"/>
                <w:color w:val="auto"/>
              </w:rPr>
            </w:pPr>
            <w:r>
              <w:rPr>
                <w:rFonts w:ascii="Calibri" w:cs="Calibri" w:eastAsia="Calibri" w:hAnsi="Calibri"/>
                <w:sz w:val="18"/>
                <w:szCs w:val="18"/>
                <w:color w:val="auto"/>
              </w:rPr>
              <w:t>/s/</w:t>
            </w:r>
          </w:p>
        </w:tc>
        <w:tc>
          <w:tcPr>
            <w:tcW w:w="3040" w:type="dxa"/>
            <w:vAlign w:val="bottom"/>
          </w:tcPr>
          <w:p>
            <w:pPr>
              <w:jc w:val="center"/>
              <w:ind w:right="1431"/>
              <w:spacing w:after="0"/>
              <w:rPr>
                <w:sz w:val="20"/>
                <w:szCs w:val="20"/>
                <w:color w:val="auto"/>
              </w:rPr>
            </w:pPr>
            <w:r>
              <w:rPr>
                <w:rFonts w:ascii="Calibri" w:cs="Calibri" w:eastAsia="Calibri" w:hAnsi="Calibri"/>
                <w:sz w:val="18"/>
                <w:szCs w:val="18"/>
                <w:color w:val="auto"/>
                <w:w w:val="96"/>
              </w:rPr>
              <w:t>FRANK A. WILSON</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1791"/>
              <w:spacing w:after="0" w:line="208" w:lineRule="exact"/>
              <w:rPr>
                <w:sz w:val="20"/>
                <w:szCs w:val="20"/>
                <w:color w:val="auto"/>
              </w:rPr>
            </w:pPr>
            <w:r>
              <w:rPr>
                <w:rFonts w:ascii="Calibri" w:cs="Calibri" w:eastAsia="Calibri" w:hAnsi="Calibri"/>
                <w:sz w:val="18"/>
                <w:szCs w:val="18"/>
                <w:color w:val="auto"/>
                <w:w w:val="98"/>
              </w:rPr>
              <w:t>Frank A. Wilson</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4940" w:type="dxa"/>
            <w:vAlign w:val="bottom"/>
            <w:gridSpan w:val="3"/>
          </w:tcPr>
          <w:p>
            <w:pPr>
              <w:jc w:val="center"/>
              <w:spacing w:after="0"/>
              <w:rPr>
                <w:sz w:val="20"/>
                <w:szCs w:val="20"/>
                <w:color w:val="auto"/>
              </w:rPr>
            </w:pPr>
            <w:r>
              <w:rPr>
                <w:rFonts w:ascii="Calibri" w:cs="Calibri" w:eastAsia="Calibri" w:hAnsi="Calibri"/>
                <w:sz w:val="18"/>
                <w:szCs w:val="18"/>
                <w:color w:val="auto"/>
                <w:w w:val="96"/>
              </w:rPr>
              <w:t>/s/ MATTHIAS L. WOLFGRUBER</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9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rPr>
              <w:t>Mathias L. Wolfgruber</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900" w:type="dxa"/>
            <w:vAlign w:val="bottom"/>
            <w:gridSpan w:val="2"/>
          </w:tcPr>
          <w:p>
            <w:pPr>
              <w:ind w:left="1680"/>
              <w:spacing w:after="0"/>
              <w:rPr>
                <w:sz w:val="20"/>
                <w:szCs w:val="20"/>
                <w:color w:val="auto"/>
              </w:rPr>
            </w:pPr>
            <w:r>
              <w:rPr>
                <w:rFonts w:ascii="Calibri" w:cs="Calibri" w:eastAsia="Calibri" w:hAnsi="Calibri"/>
                <w:sz w:val="18"/>
                <w:szCs w:val="18"/>
                <w:color w:val="auto"/>
                <w:w w:val="95"/>
              </w:rPr>
              <w:t>/s/</w:t>
            </w:r>
          </w:p>
        </w:tc>
        <w:tc>
          <w:tcPr>
            <w:tcW w:w="3040" w:type="dxa"/>
            <w:vAlign w:val="bottom"/>
          </w:tcPr>
          <w:p>
            <w:pPr>
              <w:jc w:val="center"/>
              <w:ind w:right="1431"/>
              <w:spacing w:after="0"/>
              <w:rPr>
                <w:sz w:val="20"/>
                <w:szCs w:val="20"/>
                <w:color w:val="auto"/>
              </w:rPr>
            </w:pPr>
            <w:r>
              <w:rPr>
                <w:rFonts w:ascii="Calibri" w:cs="Calibri" w:eastAsia="Calibri" w:hAnsi="Calibri"/>
                <w:sz w:val="18"/>
                <w:szCs w:val="18"/>
                <w:color w:val="auto"/>
                <w:w w:val="95"/>
              </w:rPr>
              <w:t>CHRISTINE Y. YAN</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20, 2024</w:t>
            </w:r>
          </w:p>
        </w:tc>
        <w:tc>
          <w:tcPr>
            <w:tcW w:w="0" w:type="dxa"/>
            <w:vAlign w:val="bottom"/>
          </w:tcPr>
          <w:p>
            <w:pPr>
              <w:spacing w:after="0"/>
              <w:rPr>
                <w:sz w:val="1"/>
                <w:szCs w:val="1"/>
                <w:color w:val="auto"/>
              </w:rPr>
            </w:pPr>
          </w:p>
        </w:tc>
      </w:tr>
      <w:tr>
        <w:trPr>
          <w:trHeight w:val="24"/>
        </w:trPr>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1791"/>
              <w:spacing w:after="0" w:line="208" w:lineRule="exact"/>
              <w:rPr>
                <w:sz w:val="20"/>
                <w:szCs w:val="20"/>
                <w:color w:val="auto"/>
              </w:rPr>
            </w:pPr>
            <w:r>
              <w:rPr>
                <w:rFonts w:ascii="Calibri" w:cs="Calibri" w:eastAsia="Calibri" w:hAnsi="Calibri"/>
                <w:sz w:val="18"/>
                <w:szCs w:val="18"/>
                <w:color w:val="auto"/>
                <w:w w:val="98"/>
              </w:rPr>
              <w:t>Christne Y. Yan</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4"/>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60" w:type="dxa"/>
            <w:vAlign w:val="bottom"/>
            <w:gridSpan w:val="2"/>
          </w:tcPr>
          <w:p>
            <w:pPr>
              <w:jc w:val="right"/>
              <w:ind w:right="3191"/>
              <w:spacing w:after="0"/>
              <w:rPr>
                <w:sz w:val="20"/>
                <w:szCs w:val="20"/>
                <w:color w:val="auto"/>
              </w:rPr>
            </w:pPr>
            <w:r>
              <w:rPr>
                <w:rFonts w:ascii="Calibri" w:cs="Calibri" w:eastAsia="Calibri" w:hAnsi="Calibri"/>
                <w:sz w:val="18"/>
                <w:szCs w:val="18"/>
                <w:color w:val="auto"/>
              </w:rPr>
              <w:t>93</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CABOT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TRANSACTIONS IN SECURITIES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Cabot’s Board of Directors on March 11, 2005, and as amended through September 15, 2023)</w:t>
      </w:r>
    </w:p>
    <w:p>
      <w:pPr>
        <w:spacing w:after="0" w:line="210" w:lineRule="exact"/>
        <w:rPr>
          <w:sz w:val="20"/>
          <w:szCs w:val="20"/>
          <w:color w:val="auto"/>
        </w:rPr>
      </w:pPr>
    </w:p>
    <w:p>
      <w:pPr>
        <w:ind w:left="760" w:hanging="752"/>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Background and Purpose</w:t>
      </w:r>
    </w:p>
    <w:p>
      <w:pPr>
        <w:spacing w:after="0" w:line="239"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The federal securities laws prohibit any Company insiders from purchasing or selling Company securities on the basis of material nonpublic information concerning the Company, or from disclosing material nonpublic information to others who might trade on the basis of that information. These laws impose severe sanctions on individuals who violate them. In addition, the Securities and Exchange Commission has the authority to impose large fines on the Company and on members of the Company’s Board of Directors (each, a “Director” and, collectively, the “Directors”), executive officers and controlling stockholders if the Company’s employees engage in insider trading and the Company has failed to take appropriate steps to prevent it (so-called “controlling person” liability).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insider trading policy is being adopted in light of these legal requirements, and with the goal of helping:</w:t>
      </w:r>
    </w:p>
    <w:p>
      <w:pPr>
        <w:spacing w:after="0" w:line="206" w:lineRule="exact"/>
        <w:rPr>
          <w:sz w:val="20"/>
          <w:szCs w:val="20"/>
          <w:color w:val="auto"/>
        </w:rPr>
      </w:pPr>
    </w:p>
    <w:p>
      <w:pPr>
        <w:ind w:left="2260" w:hanging="755"/>
        <w:spacing w:after="0"/>
        <w:tabs>
          <w:tab w:leader="none" w:pos="22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206" w:lineRule="exact"/>
        <w:rPr>
          <w:rFonts w:ascii="Times New Roman" w:cs="Times New Roman" w:eastAsia="Times New Roman" w:hAnsi="Times New Roman"/>
          <w:sz w:val="22"/>
          <w:szCs w:val="22"/>
          <w:color w:val="auto"/>
        </w:rPr>
      </w:pPr>
    </w:p>
    <w:p>
      <w:pPr>
        <w:ind w:left="2260" w:right="740" w:hanging="755"/>
        <w:spacing w:after="0" w:line="258" w:lineRule="auto"/>
        <w:tabs>
          <w:tab w:leader="none" w:pos="22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proxy disclosure of reporting violations by persons subject to Section 16 of the Securities Exchange Act of 1934, as amended (the “Exchange Act”);</w:t>
      </w:r>
    </w:p>
    <w:p>
      <w:pPr>
        <w:spacing w:after="0" w:line="158" w:lineRule="exact"/>
        <w:rPr>
          <w:rFonts w:ascii="Times New Roman" w:cs="Times New Roman" w:eastAsia="Times New Roman" w:hAnsi="Times New Roman"/>
          <w:sz w:val="22"/>
          <w:szCs w:val="22"/>
          <w:color w:val="auto"/>
        </w:rPr>
      </w:pPr>
    </w:p>
    <w:p>
      <w:pPr>
        <w:ind w:left="2260" w:right="480" w:hanging="755"/>
        <w:spacing w:after="0" w:line="258" w:lineRule="auto"/>
        <w:tabs>
          <w:tab w:leader="none" w:pos="22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even the appearance of impropriety on the part of those employed by, or associated with, the Company;</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Company from controlling person liability;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Company, its Directors and its employees.</w:t>
      </w:r>
    </w:p>
    <w:p>
      <w:pPr>
        <w:spacing w:after="0" w:line="20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21"/>
          <w:szCs w:val="21"/>
          <w:color w:val="auto"/>
        </w:rPr>
        <w:t>In addition, it is the policy of the Company to comply with all applicable securities laws when transacting in its own securities. The responsibility for determining whether an individual is in possession of material nonpublic information rests with that individual, and any action on the part of the Company or any director, officer or employee pursuant to this policy (other otherwise) does not in any way constitute legal advice or insulate an individual from liability under applicable securities laws.</w:t>
      </w:r>
    </w:p>
    <w:p>
      <w:pPr>
        <w:spacing w:after="0" w:line="189"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This policy applies to transactions in the Company’s securities, including the Company’s common stock, options to purchase common stock, bonds or any other type of security that the Company may issue, including preferred stock, convertible debt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1160780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4" w:name="page95"/>
    <w:bookmarkEnd w:id="94"/>
    <w:p>
      <w:pPr>
        <w:spacing w:after="0" w:line="206" w:lineRule="exact"/>
        <w:rPr>
          <w:sz w:val="20"/>
          <w:szCs w:val="20"/>
          <w:color w:val="auto"/>
        </w:rPr>
      </w:pPr>
    </w:p>
    <w:p>
      <w:pPr>
        <w:ind w:left="760" w:right="1500" w:hanging="752"/>
        <w:spacing w:after="0" w:line="451" w:lineRule="auto"/>
        <w:tabs>
          <w:tab w:leader="none" w:pos="4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Prohibition on Trading While Aware of Material Nonpublic Information; Prohibition on Tipping Others </w:t>
      </w:r>
      <w:r>
        <w:rPr>
          <w:rFonts w:ascii="Times New Roman" w:cs="Times New Roman" w:eastAsia="Times New Roman" w:hAnsi="Times New Roman"/>
          <w:sz w:val="22"/>
          <w:szCs w:val="22"/>
          <w:color w:val="auto"/>
        </w:rPr>
        <w:t>This Section 2 applies to:</w:t>
      </w:r>
    </w:p>
    <w:p>
      <w:pPr>
        <w:ind w:left="2260" w:hanging="755"/>
        <w:spacing w:after="0"/>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w:t>
      </w:r>
    </w:p>
    <w:p>
      <w:pPr>
        <w:spacing w:after="0" w:line="206" w:lineRule="exact"/>
        <w:rPr>
          <w:rFonts w:ascii="Times New Roman" w:cs="Times New Roman" w:eastAsia="Times New Roman" w:hAnsi="Times New Roman"/>
          <w:sz w:val="22"/>
          <w:szCs w:val="22"/>
          <w:color w:val="auto"/>
        </w:rPr>
      </w:pPr>
    </w:p>
    <w:p>
      <w:pPr>
        <w:ind w:left="2260" w:right="180" w:hanging="755"/>
        <w:spacing w:after="0" w:line="261" w:lineRule="auto"/>
        <w:tabs>
          <w:tab w:leader="none" w:pos="226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family members of Directors and employees who share the same address as, or whose transactions in the Company’s securities are directed by them or are subject to their influence or control (such as parents or children who consult with them before they trade), the Director or employee;</w:t>
      </w:r>
    </w:p>
    <w:p>
      <w:pPr>
        <w:spacing w:after="0" w:line="157" w:lineRule="exact"/>
        <w:rPr>
          <w:rFonts w:ascii="Times New Roman" w:cs="Times New Roman" w:eastAsia="Times New Roman" w:hAnsi="Times New Roman"/>
          <w:sz w:val="21"/>
          <w:szCs w:val="21"/>
          <w:color w:val="auto"/>
        </w:rPr>
      </w:pPr>
    </w:p>
    <w:p>
      <w:pPr>
        <w:ind w:left="2260" w:right="220" w:hanging="755"/>
        <w:spacing w:after="0" w:line="258" w:lineRule="auto"/>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such as contractors or consultants, who have access to material nonpublic information, designated by the General Counsel; and</w:t>
      </w:r>
    </w:p>
    <w:p>
      <w:pPr>
        <w:spacing w:after="0" w:line="158" w:lineRule="exact"/>
        <w:rPr>
          <w:rFonts w:ascii="Times New Roman" w:cs="Times New Roman" w:eastAsia="Times New Roman" w:hAnsi="Times New Roman"/>
          <w:sz w:val="22"/>
          <w:szCs w:val="22"/>
          <w:color w:val="auto"/>
        </w:rPr>
      </w:pPr>
    </w:p>
    <w:p>
      <w:pPr>
        <w:ind w:left="760" w:right="140" w:firstLine="745"/>
        <w:spacing w:after="0" w:line="435" w:lineRule="auto"/>
        <w:tabs>
          <w:tab w:leader="none" w:pos="2257"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partnerships, trusts or other entities owned or controlled by any of the above persons. No person covered by this Section 2 may:</w:t>
      </w:r>
    </w:p>
    <w:p>
      <w:pPr>
        <w:ind w:left="2260" w:right="340" w:hanging="755"/>
        <w:spacing w:after="0" w:line="258" w:lineRule="auto"/>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donate any securities of the Company while he or she is aware of any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2260" w:right="340" w:hanging="755"/>
        <w:spacing w:after="0" w:line="244" w:lineRule="auto"/>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to any other person any material nonpublic information concerning the Company if it is reasonably foreseeable that such person may use that information in purchasing or selling Company securities;</w:t>
      </w:r>
    </w:p>
    <w:p>
      <w:pPr>
        <w:spacing w:after="0" w:line="173" w:lineRule="exact"/>
        <w:rPr>
          <w:rFonts w:ascii="Times New Roman" w:cs="Times New Roman" w:eastAsia="Times New Roman" w:hAnsi="Times New Roman"/>
          <w:sz w:val="22"/>
          <w:szCs w:val="22"/>
          <w:color w:val="auto"/>
        </w:rPr>
      </w:pPr>
    </w:p>
    <w:p>
      <w:pPr>
        <w:ind w:left="2260" w:hanging="755"/>
        <w:spacing w:after="0" w:line="244" w:lineRule="auto"/>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donate any securities of another company while he or she is aware of any material nonpublic information concerning such other company which he or she learned in the course of his or her service as a Director or employee of the Company;</w:t>
      </w:r>
    </w:p>
    <w:p>
      <w:pPr>
        <w:spacing w:after="0" w:line="173" w:lineRule="exact"/>
        <w:rPr>
          <w:rFonts w:ascii="Times New Roman" w:cs="Times New Roman" w:eastAsia="Times New Roman" w:hAnsi="Times New Roman"/>
          <w:sz w:val="22"/>
          <w:szCs w:val="22"/>
          <w:color w:val="auto"/>
        </w:rPr>
      </w:pPr>
    </w:p>
    <w:p>
      <w:pPr>
        <w:ind w:left="2260" w:right="40" w:hanging="755"/>
        <w:spacing w:after="0" w:line="239" w:lineRule="auto"/>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to any other person any material nonpublic information concerning another company which he or she learned in the course of his or her service as a Director or employee of the Company if it is reasonably foreseeable that such person may use that information in purchasing or selling securities of such other company; or</w:t>
      </w:r>
    </w:p>
    <w:p>
      <w:pPr>
        <w:spacing w:after="0" w:line="18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 in contravention of this policy.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ind w:firstLine="749"/>
        <w:spacing w:after="0" w:line="238"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exempt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98"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Definition of Material Nonpublic Information</w:t>
      </w:r>
    </w:p>
    <w:p>
      <w:pPr>
        <w:spacing w:after="0" w:line="239"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Information is considered “material” if a reasonable investor would consider the information important in making a decision to buy, hold or sell securities. Information expected to affect the Company’s stock price, whether positive or negative, should be considered material.</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Common examples of information that will frequently be regarded as material are:</w:t>
      </w:r>
    </w:p>
    <w:p>
      <w:pPr>
        <w:spacing w:after="0" w:line="233" w:lineRule="exact"/>
        <w:rPr>
          <w:sz w:val="20"/>
          <w:szCs w:val="20"/>
          <w:color w:val="auto"/>
        </w:rPr>
      </w:pPr>
    </w:p>
    <w:p>
      <w:pPr>
        <w:ind w:left="2260" w:hanging="755"/>
        <w:spacing w:after="0"/>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206" w:lineRule="exact"/>
        <w:rPr>
          <w:rFonts w:ascii="Times New Roman" w:cs="Times New Roman" w:eastAsia="Times New Roman" w:hAnsi="Times New Roman"/>
          <w:sz w:val="22"/>
          <w:szCs w:val="22"/>
          <w:color w:val="auto"/>
        </w:rPr>
      </w:pPr>
    </w:p>
    <w:p>
      <w:pPr>
        <w:ind w:left="2260" w:right="460" w:hanging="755"/>
        <w:spacing w:after="0" w:line="258" w:lineRule="auto"/>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losses that are significantly higher or lower than generally expected by the investment community;</w:t>
      </w:r>
    </w:p>
    <w:p>
      <w:pPr>
        <w:spacing w:after="0" w:line="158" w:lineRule="exact"/>
        <w:rPr>
          <w:rFonts w:ascii="Times New Roman" w:cs="Times New Roman" w:eastAsia="Times New Roman" w:hAnsi="Times New Roman"/>
          <w:sz w:val="22"/>
          <w:szCs w:val="22"/>
          <w:color w:val="auto"/>
        </w:rPr>
      </w:pPr>
    </w:p>
    <w:p>
      <w:pPr>
        <w:ind w:left="2260" w:right="380" w:hanging="755"/>
        <w:spacing w:after="0" w:line="258" w:lineRule="auto"/>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material merger, acquisition, tender offer, or an acquisition or disposition of significant assets;</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senior management, the Board of Directors or other major changes in personnel;</w:t>
      </w:r>
    </w:p>
    <w:p>
      <w:pPr>
        <w:spacing w:after="0" w:line="206" w:lineRule="exact"/>
        <w:rPr>
          <w:rFonts w:ascii="Times New Roman" w:cs="Times New Roman" w:eastAsia="Times New Roman" w:hAnsi="Times New Roman"/>
          <w:sz w:val="22"/>
          <w:szCs w:val="22"/>
          <w:color w:val="auto"/>
        </w:rPr>
      </w:pPr>
    </w:p>
    <w:p>
      <w:pPr>
        <w:ind w:left="2260" w:right="560" w:hanging="755"/>
        <w:spacing w:after="0" w:line="258" w:lineRule="auto"/>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events regarding the Company’s securities, including the declaration of a stock split or the offering of additional securities;</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severe financial liquidity problems;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of a material customer, business or financing source;</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breaches;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product developments.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Other types of information may also be material; no complete list can be given.</w:t>
      </w:r>
    </w:p>
    <w:p>
      <w:pPr>
        <w:spacing w:after="0" w:line="233"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“Nonpublic” information is information that is not generally known or available to the public. Information is considered to be available to the public only when it has been broadly disseminated to the marketplace (for example, by means of a filing with the Securities and Exchange Commission, such as a Form 8-K or other periodic report, a press release or a publicly accessible conference call) and enough time has elapsed to permit the investing public to absorb</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96" w:name="page97"/>
    <w:bookmarkEnd w:id="96"/>
    <w:p>
      <w:pPr>
        <w:ind w:right="580"/>
        <w:spacing w:after="0" w:line="258" w:lineRule="auto"/>
        <w:rPr>
          <w:sz w:val="20"/>
          <w:szCs w:val="20"/>
          <w:color w:val="auto"/>
        </w:rPr>
      </w:pPr>
      <w:r>
        <w:rPr>
          <w:rFonts w:ascii="Times New Roman" w:cs="Times New Roman" w:eastAsia="Times New Roman" w:hAnsi="Times New Roman"/>
          <w:sz w:val="22"/>
          <w:szCs w:val="22"/>
          <w:color w:val="auto"/>
        </w:rPr>
        <w:t>and evaluate the information. As a general matter, the Company considers one trading day to be a sufficient period for new information to be absorbed and evaluated by the market.</w:t>
      </w:r>
    </w:p>
    <w:p>
      <w:pPr>
        <w:spacing w:after="0" w:line="185" w:lineRule="exact"/>
        <w:rPr>
          <w:sz w:val="20"/>
          <w:szCs w:val="20"/>
          <w:color w:val="auto"/>
        </w:rPr>
      </w:pPr>
    </w:p>
    <w:p>
      <w:pPr>
        <w:ind w:right="2800" w:firstLine="749"/>
        <w:spacing w:after="0" w:line="244" w:lineRule="auto"/>
        <w:rPr>
          <w:sz w:val="20"/>
          <w:szCs w:val="20"/>
          <w:color w:val="auto"/>
        </w:rPr>
      </w:pPr>
      <w:r>
        <w:rPr>
          <w:rFonts w:ascii="Times New Roman" w:cs="Times New Roman" w:eastAsia="Times New Roman" w:hAnsi="Times New Roman"/>
          <w:sz w:val="22"/>
          <w:szCs w:val="22"/>
          <w:color w:val="auto"/>
        </w:rPr>
        <w:t>Whether a particular item is “material” or “nonpublic” will be judged with the benefit of hindsight. Persons with any questions as to whether information may be considered “material” and “nonpublic” should contact the Company’s General Counsel.</w:t>
      </w:r>
    </w:p>
    <w:p>
      <w:pPr>
        <w:spacing w:after="0" w:line="194" w:lineRule="exact"/>
        <w:rPr>
          <w:sz w:val="20"/>
          <w:szCs w:val="20"/>
          <w:color w:val="auto"/>
        </w:rPr>
      </w:pPr>
    </w:p>
    <w:p>
      <w:pPr>
        <w:ind w:left="440" w:hanging="432"/>
        <w:spacing w:after="0"/>
        <w:tabs>
          <w:tab w:leader="none" w:pos="4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Blackout Periods</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prohibitions in this section apply to:</w:t>
      </w:r>
    </w:p>
    <w:p>
      <w:pPr>
        <w:spacing w:after="0" w:line="233" w:lineRule="exact"/>
        <w:rPr>
          <w:sz w:val="20"/>
          <w:szCs w:val="20"/>
          <w:color w:val="auto"/>
        </w:rPr>
      </w:pPr>
    </w:p>
    <w:p>
      <w:pPr>
        <w:ind w:left="2260" w:hanging="755"/>
        <w:spacing w:after="0"/>
        <w:tabs>
          <w:tab w:leader="none" w:pos="2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officers of the Company;</w:t>
      </w:r>
    </w:p>
    <w:p>
      <w:pPr>
        <w:spacing w:after="0" w:line="206" w:lineRule="exact"/>
        <w:rPr>
          <w:rFonts w:ascii="Times New Roman" w:cs="Times New Roman" w:eastAsia="Times New Roman" w:hAnsi="Times New Roman"/>
          <w:sz w:val="22"/>
          <w:szCs w:val="22"/>
          <w:color w:val="auto"/>
        </w:rPr>
      </w:pPr>
    </w:p>
    <w:p>
      <w:pPr>
        <w:ind w:left="2260" w:right="260" w:hanging="755"/>
        <w:spacing w:after="0" w:line="258" w:lineRule="auto"/>
        <w:tabs>
          <w:tab w:leader="none" w:pos="2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employees as are designated from time to time by the Board, the Chief Executive Officer, the Chief Financial Officer or the General Counsel as being subject to Section 4;</w:t>
      </w:r>
    </w:p>
    <w:p>
      <w:pPr>
        <w:spacing w:after="0" w:line="158" w:lineRule="exact"/>
        <w:rPr>
          <w:rFonts w:ascii="Times New Roman" w:cs="Times New Roman" w:eastAsia="Times New Roman" w:hAnsi="Times New Roman"/>
          <w:sz w:val="22"/>
          <w:szCs w:val="22"/>
          <w:color w:val="auto"/>
        </w:rPr>
      </w:pPr>
    </w:p>
    <w:p>
      <w:pPr>
        <w:ind w:left="2260" w:right="160" w:hanging="755"/>
        <w:spacing w:after="0" w:line="244" w:lineRule="auto"/>
        <w:tabs>
          <w:tab w:leader="none" w:pos="2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any of the above persons who share the same address as, or whose transactions in the Company’s securities are directed by them or are subject to their influence or control (such as parents or children who consult with them before they trade); and</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corporations, partnerships, trusts or other entities owned or controlled by any of the above persons.</w:t>
      </w:r>
    </w:p>
    <w:p>
      <w:pPr>
        <w:spacing w:after="0" w:line="21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trading restrictions described in Section 2, no person described in Section 4 may purchase, sell, gift or donate any securities of the Company during the following time periods (each, a “corporate blackout period”):</w:t>
      </w:r>
    </w:p>
    <w:p>
      <w:pPr>
        <w:spacing w:after="0" w:line="158" w:lineRule="exact"/>
        <w:rPr>
          <w:sz w:val="20"/>
          <w:szCs w:val="20"/>
          <w:color w:val="auto"/>
        </w:rPr>
      </w:pPr>
    </w:p>
    <w:p>
      <w:pPr>
        <w:ind w:left="2260" w:right="180" w:hanging="755"/>
        <w:spacing w:after="0" w:line="244" w:lineRule="auto"/>
        <w:tabs>
          <w:tab w:leader="none" w:pos="22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blackout - beginning at the close of business on the fifteenth calendar day of the third month of each fiscal quarter and ending upon the completion of the first full trading day after the public announcement of earnings for such quarter; or</w:t>
      </w:r>
    </w:p>
    <w:p>
      <w:pPr>
        <w:spacing w:after="0" w:line="173" w:lineRule="exact"/>
        <w:rPr>
          <w:rFonts w:ascii="Times New Roman" w:cs="Times New Roman" w:eastAsia="Times New Roman" w:hAnsi="Times New Roman"/>
          <w:sz w:val="22"/>
          <w:szCs w:val="22"/>
          <w:color w:val="auto"/>
        </w:rPr>
      </w:pPr>
    </w:p>
    <w:p>
      <w:pPr>
        <w:ind w:left="2260" w:hanging="755"/>
        <w:spacing w:after="0" w:line="244" w:lineRule="auto"/>
        <w:tabs>
          <w:tab w:leader="none" w:pos="22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blackout - during such other periods as may be established from time to time by the Board, the Chief Executive Officer, the Chief Financial Officer or the General Counsel in light of particular events or developments affecting the Company.</w:t>
      </w:r>
    </w:p>
    <w:p>
      <w:pPr>
        <w:spacing w:after="0" w:line="173"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In addition, the Company’s financial results may be sufficiently material in a particular fiscal quarter that, in the judgment of the Board, the Chief Executive Officer, the Chief Financial Officer or the General Counsel, designated persons should refrain from trading in the Company’s securities prior to the commencement of the earnings blackout. In that situation, the Board, the Chief Executive Officer, the Chief Financial Officer or the General Counsel may notify these persons that they should not trade in the Company’s securities without disclosing the reason for</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97" w:name="page98"/>
    <w:bookmarkEnd w:id="97"/>
    <w:p>
      <w:pPr>
        <w:spacing w:after="0" w:line="239" w:lineRule="auto"/>
        <w:rPr>
          <w:sz w:val="20"/>
          <w:szCs w:val="20"/>
          <w:color w:val="auto"/>
        </w:rPr>
      </w:pPr>
      <w:r>
        <w:rPr>
          <w:rFonts w:ascii="Times New Roman" w:cs="Times New Roman" w:eastAsia="Times New Roman" w:hAnsi="Times New Roman"/>
          <w:sz w:val="22"/>
          <w:szCs w:val="22"/>
          <w:color w:val="auto"/>
        </w:rPr>
        <w:t>the restriction. No person covered by this Section 4 shall inform a person not covered by this Section 4 that an extended earnings blackout or a special blackout period is in effect. Even if the Board, the Chief Executive Officer, the Chief Financial Officer or the General Counsel has not designated you as a person who should not trade due to a blackout period, you should not trade while aware of material nonpublic information.</w:t>
      </w:r>
    </w:p>
    <w:p>
      <w:pPr>
        <w:spacing w:after="0" w:line="174" w:lineRule="exact"/>
        <w:rPr>
          <w:sz w:val="20"/>
          <w:szCs w:val="20"/>
          <w:color w:val="auto"/>
        </w:rPr>
      </w:pPr>
    </w:p>
    <w:p>
      <w:pPr>
        <w:ind w:left="440" w:hanging="432"/>
        <w:spacing w:after="0"/>
        <w:tabs>
          <w:tab w:leader="none" w:pos="4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Exemptions</w:t>
      </w:r>
    </w:p>
    <w:p>
      <w:pPr>
        <w:spacing w:after="0" w:line="239" w:lineRule="exact"/>
        <w:rPr>
          <w:sz w:val="20"/>
          <w:szCs w:val="20"/>
          <w:color w:val="auto"/>
        </w:rPr>
      </w:pPr>
    </w:p>
    <w:p>
      <w:pPr>
        <w:ind w:right="580" w:firstLine="749"/>
        <w:spacing w:after="0" w:line="258" w:lineRule="auto"/>
        <w:rPr>
          <w:sz w:val="20"/>
          <w:szCs w:val="20"/>
          <w:color w:val="auto"/>
        </w:rPr>
      </w:pPr>
      <w:r>
        <w:rPr>
          <w:rFonts w:ascii="Times New Roman" w:cs="Times New Roman" w:eastAsia="Times New Roman" w:hAnsi="Times New Roman"/>
          <w:sz w:val="22"/>
          <w:szCs w:val="22"/>
          <w:color w:val="auto"/>
        </w:rPr>
        <w:t>The prohibitions on purchases, sales, gifts and donations of Company securities while aware of material nonpublic information or during corporate blackout periods do not apply to:</w:t>
      </w:r>
    </w:p>
    <w:p>
      <w:pPr>
        <w:spacing w:after="0" w:line="185" w:lineRule="exact"/>
        <w:rPr>
          <w:sz w:val="20"/>
          <w:szCs w:val="20"/>
          <w:color w:val="auto"/>
        </w:rPr>
      </w:pPr>
    </w:p>
    <w:p>
      <w:pPr>
        <w:ind w:left="2260" w:right="100" w:hanging="755"/>
        <w:spacing w:after="0" w:line="255" w:lineRule="auto"/>
        <w:tabs>
          <w:tab w:leader="none" w:pos="22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Purchases made under the Employee Stock Purchase Plan resulting from a periodic contribution of money to the plan pursuant to an employee’s then current election;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subsequent transactions in the securities so acquired are subject to the policy. The prohibitions of this policy do apply to elections to participate in the plan or to change the amount being contributed to it.</w:t>
      </w:r>
    </w:p>
    <w:p>
      <w:pPr>
        <w:spacing w:after="0" w:line="161" w:lineRule="exact"/>
        <w:rPr>
          <w:rFonts w:ascii="Times New Roman" w:cs="Times New Roman" w:eastAsia="Times New Roman" w:hAnsi="Times New Roman"/>
          <w:sz w:val="21"/>
          <w:szCs w:val="21"/>
          <w:color w:val="auto"/>
        </w:rPr>
      </w:pPr>
    </w:p>
    <w:p>
      <w:pPr>
        <w:ind w:left="2260" w:right="40" w:hanging="755"/>
        <w:spacing w:after="0" w:line="249" w:lineRule="auto"/>
        <w:tabs>
          <w:tab w:leader="none" w:pos="22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Exercises of stock options or the surrender of shares to the Company in payment of the exercise price or in satisfaction of any tax withholding obligations, in each case in a manner permitted by the applicable stock option acquired pursuant to a Company equity incentive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subsequent transactions in the securities so acquired (either outright or in connection with a “cashless” exercise transaction through a broker) as well as any other market sale for the purpose of generating the cash needed to pay the exercise price of or taxes associated with an option are subject to the policy.</w:t>
      </w:r>
    </w:p>
    <w:p>
      <w:pPr>
        <w:spacing w:after="0" w:line="170" w:lineRule="exact"/>
        <w:rPr>
          <w:rFonts w:ascii="Times New Roman" w:cs="Times New Roman" w:eastAsia="Times New Roman" w:hAnsi="Times New Roman"/>
          <w:sz w:val="21"/>
          <w:szCs w:val="21"/>
          <w:color w:val="auto"/>
        </w:rPr>
      </w:pPr>
    </w:p>
    <w:p>
      <w:pPr>
        <w:ind w:left="2260" w:right="20" w:hanging="755"/>
        <w:spacing w:after="0" w:line="239"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vesting of restricted stock units or the surrender of shares to the Company in satisfaction of any tax withholding obligations incurred in connection with the vesting of shares of restricted stock or restricted stock units in a manner permitted by the applicable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subsequent transactions in the remaining vested securities are subject to the policy.</w:t>
      </w:r>
    </w:p>
    <w:p>
      <w:pPr>
        <w:spacing w:after="0" w:line="180" w:lineRule="exact"/>
        <w:rPr>
          <w:rFonts w:ascii="Times New Roman" w:cs="Times New Roman" w:eastAsia="Times New Roman" w:hAnsi="Times New Roman"/>
          <w:sz w:val="22"/>
          <w:szCs w:val="22"/>
          <w:color w:val="auto"/>
        </w:rPr>
      </w:pPr>
    </w:p>
    <w:p>
      <w:pPr>
        <w:ind w:left="2260" w:hanging="755"/>
        <w:spacing w:after="0" w:line="247" w:lineRule="auto"/>
        <w:tabs>
          <w:tab w:leader="none" w:pos="22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of Company stock in the Cabot 401(k) Plan resulting from a periodic contribution of money to the plan pursuant to a payroll deduction election or any Company contribution. The trading restrictions do apply, however, to elections made under the Cabot 401(k) Plan to (a) increase or decrease the percentage of a periodic contribution allocated to the Cabot Common Stock fund, (b) make an intra-plan transfer of an existing account balance into or out of the Cabot Common Stock fund, (c) borrow money against a 401(k) Plan account if the loan will result in a liquidation of some or all of a participant’s Cabot Common Stock fund balance, and (d) pre-pay a loan from the 401(k) Plan if the pre-payment will result in the allocation of loan proceeds to the Cabot Common Stock fund.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ind w:left="2260" w:right="160" w:hanging="755"/>
        <w:spacing w:after="0" w:line="258" w:lineRule="auto"/>
        <w:tabs>
          <w:tab w:leader="none" w:pos="2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Elections to purchase or purchases of securities from the Company or sales or pledges of securities to the Company.</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Donations of securities of the Company to any person or entity to whom this policy applies.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mutual funds that are invested in the Company’s securities.</w:t>
      </w:r>
    </w:p>
    <w:p>
      <w:pPr>
        <w:spacing w:after="0" w:line="206" w:lineRule="exact"/>
        <w:rPr>
          <w:rFonts w:ascii="Times New Roman" w:cs="Times New Roman" w:eastAsia="Times New Roman" w:hAnsi="Times New Roman"/>
          <w:sz w:val="22"/>
          <w:szCs w:val="22"/>
          <w:color w:val="auto"/>
        </w:rPr>
      </w:pPr>
    </w:p>
    <w:p>
      <w:pPr>
        <w:ind w:left="2260" w:right="20" w:hanging="755"/>
        <w:spacing w:after="0" w:line="244" w:lineRule="auto"/>
        <w:tabs>
          <w:tab w:leader="none" w:pos="2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made pursuant to a written binding contract, plan or specific instruction which is adopted and operated in compliance with Rule 10b5-1 (a “Rule 10b5-1 trading plan”) was approved by the Company’s Law Department prior to its adoption, amendment or termination.</w:t>
      </w:r>
    </w:p>
    <w:p>
      <w:pPr>
        <w:spacing w:after="0" w:line="173"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In addition, any purchase of the Company’s securities from the Company or sales of the Company’s securities to the Company not already identified in this Section 5 are not subject to this policy.</w:t>
      </w:r>
    </w:p>
    <w:p>
      <w:pPr>
        <w:spacing w:after="0" w:line="179" w:lineRule="exact"/>
        <w:rPr>
          <w:sz w:val="20"/>
          <w:szCs w:val="20"/>
          <w:color w:val="auto"/>
        </w:rPr>
      </w:pPr>
    </w:p>
    <w:p>
      <w:pPr>
        <w:ind w:left="760" w:right="3100" w:hanging="752"/>
        <w:spacing w:after="0" w:line="463" w:lineRule="auto"/>
        <w:tabs>
          <w:tab w:leader="none" w:pos="70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Procedures for Pre-Clearance and Section 16 Reporting of Securities Transactions </w:t>
      </w:r>
      <w:r>
        <w:rPr>
          <w:rFonts w:ascii="Times New Roman" w:cs="Times New Roman" w:eastAsia="Times New Roman" w:hAnsi="Times New Roman"/>
          <w:sz w:val="22"/>
          <w:szCs w:val="22"/>
          <w:color w:val="auto"/>
        </w:rPr>
        <w:t>This Section 6 applies to:</w:t>
      </w:r>
    </w:p>
    <w:p>
      <w:pPr>
        <w:spacing w:after="0" w:line="1"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officers of the Company and all other persons who have been designated “officers” of the Company, as such term is defined in Securities and Exchange Commission regulations issued under Section 16 of the Exchange Act (referred to as “Section 16 officers”);</w:t>
      </w:r>
    </w:p>
    <w:p>
      <w:pPr>
        <w:spacing w:after="0" w:line="173" w:lineRule="exact"/>
        <w:rPr>
          <w:rFonts w:ascii="Times New Roman" w:cs="Times New Roman" w:eastAsia="Times New Roman" w:hAnsi="Times New Roman"/>
          <w:sz w:val="22"/>
          <w:szCs w:val="22"/>
          <w:color w:val="auto"/>
        </w:rPr>
      </w:pPr>
    </w:p>
    <w:p>
      <w:pPr>
        <w:ind w:left="2260" w:right="240" w:hanging="755"/>
        <w:spacing w:after="0" w:line="258" w:lineRule="auto"/>
        <w:tabs>
          <w:tab w:leader="none" w:pos="22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employees as are designated from time to time by the Board, the Chief Executive Officer, the Chief Financial Officer or the General Counsel as being subject to Section 6;</w:t>
      </w:r>
    </w:p>
    <w:p>
      <w:pPr>
        <w:spacing w:after="0" w:line="158" w:lineRule="exact"/>
        <w:rPr>
          <w:rFonts w:ascii="Times New Roman" w:cs="Times New Roman" w:eastAsia="Times New Roman" w:hAnsi="Times New Roman"/>
          <w:sz w:val="22"/>
          <w:szCs w:val="22"/>
          <w:color w:val="auto"/>
        </w:rPr>
      </w:pPr>
    </w:p>
    <w:p>
      <w:pPr>
        <w:ind w:left="2260" w:right="140" w:hanging="755"/>
        <w:spacing w:after="0" w:line="244" w:lineRule="auto"/>
        <w:tabs>
          <w:tab w:leader="none" w:pos="22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any of the above persons who share the same address as, or whose transactions in the Company’s securities are directed by them or are subject to their influence or control (such as parents or children who consult with them before they trade); and</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corporations, partnerships, trusts or other entities owned or controlled by any of the above persons.</w:t>
      </w:r>
    </w:p>
    <w:p>
      <w:pPr>
        <w:spacing w:after="0" w:line="218"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No person covered by this Section 6 may purchase, sell, donate or otherwise acquire or dispose of securities of the Company, other than in an exempt transaction (as defined below), unless he or she pre-clears such transaction with the General Counsel. When a request for pre-clearance is made, the requestor should carefully consider whether he or she may be aware of any material nonpublic information about the Company and should describe fully those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circumstances to the General Counsel. For purposes of this Section 6, an “exempt transaction” shall mean:</w:t>
      </w:r>
    </w:p>
    <w:p>
      <w:pPr>
        <w:spacing w:after="0" w:line="206" w:lineRule="exact"/>
        <w:rPr>
          <w:sz w:val="20"/>
          <w:szCs w:val="20"/>
          <w:color w:val="auto"/>
        </w:rPr>
      </w:pPr>
    </w:p>
    <w:p>
      <w:pPr>
        <w:ind w:left="2260" w:hanging="755"/>
        <w:spacing w:after="0"/>
        <w:tabs>
          <w:tab w:leader="none" w:pos="22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of shares of Company common stock pursuant to the Employee Stock Purchase Plan;</w:t>
      </w:r>
    </w:p>
    <w:p>
      <w:pPr>
        <w:spacing w:after="0" w:line="206" w:lineRule="exact"/>
        <w:rPr>
          <w:rFonts w:ascii="Times New Roman" w:cs="Times New Roman" w:eastAsia="Times New Roman" w:hAnsi="Times New Roman"/>
          <w:sz w:val="22"/>
          <w:szCs w:val="22"/>
          <w:color w:val="auto"/>
        </w:rPr>
      </w:pPr>
    </w:p>
    <w:p>
      <w:pPr>
        <w:ind w:left="2260" w:right="100" w:hanging="755"/>
        <w:spacing w:after="0" w:line="258" w:lineRule="auto"/>
        <w:tabs>
          <w:tab w:leader="none" w:pos="22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Company stock in the Cabot 401(k) Plan resulting from a periodic contribution of money to the plan pursuant to a payroll deduction election or any Company contribution;</w:t>
      </w:r>
    </w:p>
    <w:p>
      <w:pPr>
        <w:spacing w:after="0" w:line="158" w:lineRule="exact"/>
        <w:rPr>
          <w:rFonts w:ascii="Times New Roman" w:cs="Times New Roman" w:eastAsia="Times New Roman" w:hAnsi="Times New Roman"/>
          <w:sz w:val="22"/>
          <w:szCs w:val="22"/>
          <w:color w:val="auto"/>
        </w:rPr>
      </w:pPr>
    </w:p>
    <w:p>
      <w:pPr>
        <w:ind w:left="2260" w:right="40" w:hanging="755"/>
        <w:spacing w:after="0" w:line="258" w:lineRule="auto"/>
        <w:tabs>
          <w:tab w:leader="none" w:pos="22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of Company securities pursuant to a stock split, stock dividend or pro rata distribution to Company stockholders;</w:t>
      </w:r>
    </w:p>
    <w:p>
      <w:pPr>
        <w:spacing w:after="0" w:line="158" w:lineRule="exact"/>
        <w:rPr>
          <w:rFonts w:ascii="Times New Roman" w:cs="Times New Roman" w:eastAsia="Times New Roman" w:hAnsi="Times New Roman"/>
          <w:sz w:val="22"/>
          <w:szCs w:val="22"/>
          <w:color w:val="auto"/>
        </w:rPr>
      </w:pPr>
    </w:p>
    <w:p>
      <w:pPr>
        <w:ind w:left="2260" w:right="380" w:hanging="755"/>
        <w:spacing w:after="0" w:line="258" w:lineRule="auto"/>
        <w:tabs>
          <w:tab w:leader="none" w:pos="22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pursuant to a dividend or interest reinvestment plan satisfying the conditions of Rule 16a-11 under the Exchange Act; and</w:t>
      </w:r>
    </w:p>
    <w:p>
      <w:pPr>
        <w:spacing w:after="0" w:line="158"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or disposition of Company securities pursuant to a domestic relations order, as defined in the Internal Revenue Code.</w:t>
      </w:r>
    </w:p>
    <w:p>
      <w:pPr>
        <w:spacing w:after="0" w:line="158" w:lineRule="exact"/>
        <w:rPr>
          <w:sz w:val="20"/>
          <w:szCs w:val="20"/>
          <w:color w:val="auto"/>
        </w:rPr>
      </w:pPr>
    </w:p>
    <w:p>
      <w:pPr>
        <w:ind w:right="100" w:firstLine="749"/>
        <w:spacing w:after="0" w:line="233" w:lineRule="auto"/>
        <w:rPr>
          <w:sz w:val="20"/>
          <w:szCs w:val="20"/>
          <w:color w:val="auto"/>
        </w:rPr>
      </w:pPr>
      <w:r>
        <w:rPr>
          <w:rFonts w:ascii="Times New Roman" w:cs="Times New Roman" w:eastAsia="Times New Roman" w:hAnsi="Times New Roman"/>
          <w:sz w:val="22"/>
          <w:szCs w:val="22"/>
          <w:color w:val="auto"/>
        </w:rPr>
        <w:t>A request for pre-clearance should be submitted at least two days in advance of the proposed purchase, sale or other acquisition or disposition of securities of the Company by submitting in writing or by e-mail a Request for Clearance of Securities Transaction using the form attached to this Policy to describe the type of proposed transaction (an open market purchase, a privately negotiated sale, an option exercise, etc.), the proposed date of the transaction, and whether the proposed transaction will be effected by the Director, the officer or Section 16 officer or by a relative or affiliated entity. For purposes of this Section 6, a purchase, sale, donation or other acquisition or disposition shall be deemed to occur at the time the person becomes irrevocably committed to it; in the case of an open market purchase or sale, this occurs when the trade is executed (not when it settles). The General Counsel is under no obligation to approve a transaction submitted for pre-clearance and may determine not to permit the transaction for any or no reason. If a person seeks pre-clearance and permission to engage in the transaction is denied, then he or she should refrain from initiating any transaction in the Company’s securities and should not inform any other person of the restriction. If permission is granted, the requestor must complete the proposed transaction within three trading days or make a new request.</w:t>
      </w:r>
    </w:p>
    <w:p>
      <w:pPr>
        <w:spacing w:after="0" w:line="185"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In order to assist the Company’s Directors and Section 16 officers comply with their reporting obligations under Section 16 of the Exchange Act, any broker representing a Director or Section 16 officer should be provided with a Broker Instruction/Representation Form that advises the broker that the individual is a Section 16 reporting person and, when completed,</w:t>
      </w:r>
    </w:p>
    <w:p>
      <w:pPr>
        <w:spacing w:after="0" w:line="1" w:lineRule="exact"/>
        <w:rPr>
          <w:sz w:val="20"/>
          <w:szCs w:val="20"/>
          <w:color w:val="auto"/>
        </w:rPr>
      </w:pPr>
    </w:p>
    <w:p>
      <w:pPr>
        <w:ind w:right="40" w:firstLine="8"/>
        <w:spacing w:after="0" w:line="237" w:lineRule="auto"/>
        <w:tabs>
          <w:tab w:leader="none" w:pos="2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prohibits the broker from entering an order without first verifying with the Company that a proposed transaction has been pre-cleared and (ii) requires the broker to report the details of any transaction immediately to the Company.</w:t>
      </w:r>
    </w:p>
    <w:p>
      <w:pPr>
        <w:spacing w:after="0" w:line="172" w:lineRule="exact"/>
        <w:rPr>
          <w:sz w:val="20"/>
          <w:szCs w:val="20"/>
          <w:color w:val="auto"/>
        </w:rPr>
      </w:pPr>
    </w:p>
    <w:p>
      <w:pPr>
        <w:ind w:left="440" w:hanging="432"/>
        <w:spacing w:after="0"/>
        <w:tabs>
          <w:tab w:leader="none" w:pos="4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Other Prohibitions on Trading Activities</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Section 7 applies to: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00" w:name="page101"/>
    <w:bookmarkEnd w:id="100"/>
    <w:p>
      <w:pPr>
        <w:spacing w:after="0" w:line="212" w:lineRule="exact"/>
        <w:rPr>
          <w:sz w:val="20"/>
          <w:szCs w:val="20"/>
          <w:color w:val="auto"/>
        </w:rPr>
      </w:pPr>
    </w:p>
    <w:p>
      <w:pPr>
        <w:ind w:left="2260" w:hanging="755"/>
        <w:spacing w:after="0"/>
        <w:tabs>
          <w:tab w:leader="none" w:pos="22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participants in the Company’s long-term equity incentive compensation program;</w:t>
      </w:r>
    </w:p>
    <w:p>
      <w:pPr>
        <w:spacing w:after="0" w:line="206" w:lineRule="exact"/>
        <w:rPr>
          <w:rFonts w:ascii="Times New Roman" w:cs="Times New Roman" w:eastAsia="Times New Roman" w:hAnsi="Times New Roman"/>
          <w:sz w:val="22"/>
          <w:szCs w:val="22"/>
          <w:color w:val="auto"/>
        </w:rPr>
      </w:pPr>
    </w:p>
    <w:p>
      <w:pPr>
        <w:ind w:left="2260" w:right="160" w:hanging="755"/>
        <w:spacing w:after="0" w:line="244" w:lineRule="auto"/>
        <w:tabs>
          <w:tab w:leader="none" w:pos="22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any of the above persons who share the same address as, or whose transactions in the Company’s are directed by them or are subject to their influence or control (such as parents or children who consult with them before they trade); and</w:t>
      </w:r>
    </w:p>
    <w:p>
      <w:pPr>
        <w:spacing w:after="0" w:line="173" w:lineRule="exact"/>
        <w:rPr>
          <w:rFonts w:ascii="Times New Roman" w:cs="Times New Roman" w:eastAsia="Times New Roman" w:hAnsi="Times New Roman"/>
          <w:sz w:val="22"/>
          <w:szCs w:val="22"/>
          <w:color w:val="auto"/>
        </w:rPr>
      </w:pPr>
    </w:p>
    <w:p>
      <w:pPr>
        <w:ind w:left="760" w:right="120" w:firstLine="745"/>
        <w:spacing w:after="0" w:line="435" w:lineRule="auto"/>
        <w:tabs>
          <w:tab w:leader="none" w:pos="225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partnerships, trusts or other entities owned or controlled by any of the above persons. No person covered by this Section 7 may:</w:t>
      </w:r>
    </w:p>
    <w:p>
      <w:pPr>
        <w:ind w:left="1880" w:right="160" w:hanging="375"/>
        <w:spacing w:after="0" w:line="258" w:lineRule="auto"/>
        <w:tabs>
          <w:tab w:leader="none" w:pos="18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short sales of Company securities, including short sales “against the box” (i.e., short selling securities already owned);</w:t>
      </w:r>
    </w:p>
    <w:p>
      <w:pPr>
        <w:spacing w:after="0" w:line="158" w:lineRule="exact"/>
        <w:rPr>
          <w:rFonts w:ascii="Times New Roman" w:cs="Times New Roman" w:eastAsia="Times New Roman" w:hAnsi="Times New Roman"/>
          <w:sz w:val="22"/>
          <w:szCs w:val="22"/>
          <w:color w:val="auto"/>
        </w:rPr>
      </w:pPr>
    </w:p>
    <w:p>
      <w:pPr>
        <w:ind w:left="1880" w:right="120" w:hanging="375"/>
        <w:spacing w:after="0" w:line="244" w:lineRule="auto"/>
        <w:tabs>
          <w:tab w:leader="none" w:pos="18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or enter into other arrangements involving, puts, calls or other derivative securities on the Company’s securities or otherwise enter into hedging transactions (by means of financial instruments such as prepaid variable forwards, equity swaps, collars and exchange funds);</w:t>
      </w:r>
    </w:p>
    <w:p>
      <w:pPr>
        <w:spacing w:after="0" w:line="173" w:lineRule="exact"/>
        <w:rPr>
          <w:rFonts w:ascii="Times New Roman" w:cs="Times New Roman" w:eastAsia="Times New Roman" w:hAnsi="Times New Roman"/>
          <w:sz w:val="22"/>
          <w:szCs w:val="22"/>
          <w:color w:val="auto"/>
        </w:rPr>
      </w:pPr>
    </w:p>
    <w:p>
      <w:pPr>
        <w:ind w:left="1880" w:hanging="375"/>
        <w:spacing w:after="0" w:line="244" w:lineRule="auto"/>
        <w:tabs>
          <w:tab w:leader="none" w:pos="18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any standing or limit orders for the sale of the Company’s common stock that remain outstanding for more than one (1) day other than in connection with a Rule 10b5-1 trading plan adopted in compliance with this policy; or</w:t>
      </w:r>
    </w:p>
    <w:p>
      <w:pPr>
        <w:spacing w:after="0" w:line="173" w:lineRule="exact"/>
        <w:rPr>
          <w:rFonts w:ascii="Times New Roman" w:cs="Times New Roman" w:eastAsia="Times New Roman" w:hAnsi="Times New Roman"/>
          <w:sz w:val="22"/>
          <w:szCs w:val="22"/>
          <w:color w:val="auto"/>
        </w:rPr>
      </w:pPr>
    </w:p>
    <w:p>
      <w:pPr>
        <w:ind w:left="1880" w:right="140" w:hanging="375"/>
        <w:spacing w:after="0" w:line="258" w:lineRule="auto"/>
        <w:tabs>
          <w:tab w:leader="none" w:pos="18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the Company’s securities in a margin account or pledging the Company’s securities as collateral for a loan.</w:t>
      </w:r>
    </w:p>
    <w:p>
      <w:pPr>
        <w:spacing w:after="0" w:line="39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Post-Termination Transactions.</w:t>
      </w:r>
    </w:p>
    <w:p>
      <w:pPr>
        <w:spacing w:after="0" w:line="212" w:lineRule="exact"/>
        <w:rPr>
          <w:rFonts w:ascii="Times New Roman" w:cs="Times New Roman" w:eastAsia="Times New Roman" w:hAnsi="Times New Roman"/>
          <w:sz w:val="22"/>
          <w:szCs w:val="22"/>
          <w:color w:val="auto"/>
        </w:rPr>
      </w:pP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continues to apply to transactions in the Company’s securities even after the termination of a person’s</w:t>
      </w:r>
    </w:p>
    <w:p>
      <w:pPr>
        <w:spacing w:after="0" w:line="14" w:lineRule="exact"/>
        <w:rPr>
          <w:sz w:val="20"/>
          <w:szCs w:val="20"/>
          <w:color w:val="auto"/>
        </w:rPr>
      </w:pPr>
    </w:p>
    <w:p>
      <w:pPr>
        <w:ind w:right="360"/>
        <w:spacing w:after="0" w:line="235" w:lineRule="auto"/>
        <w:rPr>
          <w:sz w:val="20"/>
          <w:szCs w:val="20"/>
          <w:color w:val="auto"/>
        </w:rPr>
      </w:pPr>
      <w:r>
        <w:rPr>
          <w:rFonts w:ascii="Times New Roman" w:cs="Times New Roman" w:eastAsia="Times New Roman" w:hAnsi="Times New Roman"/>
          <w:sz w:val="22"/>
          <w:szCs w:val="22"/>
          <w:color w:val="auto"/>
        </w:rPr>
        <w:t>employment or other services to the Company. If an individual is aware of material nonpublic information when his or her employment or service relationship terminates, he or she may not trade in the Company’s securities until that information has become public or is no longer material.</w:t>
      </w:r>
    </w:p>
    <w:p>
      <w:pPr>
        <w:spacing w:after="0" w:line="172" w:lineRule="exact"/>
        <w:rPr>
          <w:sz w:val="20"/>
          <w:szCs w:val="20"/>
          <w:color w:val="auto"/>
        </w:rPr>
      </w:pPr>
    </w:p>
    <w:p>
      <w:pPr>
        <w:ind w:left="440" w:hanging="432"/>
        <w:spacing w:after="0"/>
        <w:tabs>
          <w:tab w:leader="none" w:pos="4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Penalties for Violation</w:t>
      </w:r>
    </w:p>
    <w:p>
      <w:pPr>
        <w:spacing w:after="0" w:line="239"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The ultimate responsibility for adhering to this policy and avoiding improper trading rests with persons covered by this policy. Violation of any of the foregoing rules is grounds for disciplinary action by the Company, including employment termination.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1" w:name="page102"/>
    <w:bookmarkEnd w:id="101"/>
    <w:p>
      <w:pPr>
        <w:ind w:right="760" w:firstLine="432"/>
        <w:spacing w:after="0" w:line="244" w:lineRule="auto"/>
        <w:rPr>
          <w:sz w:val="20"/>
          <w:szCs w:val="20"/>
          <w:color w:val="auto"/>
        </w:rPr>
      </w:pPr>
      <w:r>
        <w:rPr>
          <w:rFonts w:ascii="Times New Roman" w:cs="Times New Roman" w:eastAsia="Times New Roman" w:hAnsi="Times New Roman"/>
          <w:sz w:val="22"/>
          <w:szCs w:val="22"/>
          <w:color w:val="auto"/>
        </w:rPr>
        <w:t>Any inquiries regarding this policy should be addressed to the General Counsel of the Company, Karen Kalita, at Karen.Kalita@cabotcorp.com, or the Corporate Secretary and Chief Counsel-Securities and Governance, Jane A. Bell, at jane.bell@cabotcorp.com.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Cabot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Transactions in Securities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Request for Clearance of Securities Transactions</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4225" cy="20764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3">
                      <a:extLst>
                        <a:ext uri="{28A0092B-C50C-407E-A947-70E740481C1C}"/>
                      </a:extLst>
                    </a:blip>
                    <a:srcRect/>
                    <a:stretch>
                      <a:fillRect/>
                    </a:stretch>
                  </pic:blipFill>
                  <pic:spPr bwMode="auto">
                    <a:xfrm>
                      <a:off x="0" y="0"/>
                      <a:ext cx="7134225" cy="2076450"/>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Proposed Transaction Date</w:t>
      </w:r>
      <w:r>
        <w:rPr>
          <w:rFonts w:ascii="Times New Roman" w:cs="Times New Roman" w:eastAsia="Times New Roman" w:hAnsi="Times New Roman"/>
          <w:sz w:val="28"/>
          <w:szCs w:val="28"/>
          <w:b w:val="1"/>
          <w:bCs w:val="1"/>
          <w:u w:val="single" w:color="auto"/>
          <w:color w:val="auto"/>
          <w:vertAlign w:val="superscript"/>
        </w:rPr>
        <w:t>1</w:t>
      </w:r>
      <w:r>
        <w:rPr>
          <w:rFonts w:ascii="Times New Roman" w:cs="Times New Roman" w:eastAsia="Times New Roman" w:hAnsi="Times New Roman"/>
          <w:sz w:val="22"/>
          <w:szCs w:val="22"/>
          <w:b w:val="1"/>
          <w:bCs w:val="1"/>
          <w:color w:val="auto"/>
        </w:rPr>
        <w:t>:</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Type of Transaction</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(e.g., purchase, sale, gift):</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Type of Security:</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Number of Shares:</w:t>
      </w:r>
    </w:p>
    <w:p>
      <w:pPr>
        <w:spacing w:after="0" w:line="200" w:lineRule="exact"/>
        <w:rPr>
          <w:sz w:val="20"/>
          <w:szCs w:val="20"/>
          <w:color w:val="auto"/>
        </w:rPr>
      </w:pPr>
    </w:p>
    <w:p>
      <w:pPr>
        <w:spacing w:after="0" w:line="29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 hereby certify that I have reviewed the Cabot Corporation’s Policy on Transactions in Securities and that I am not aware of any material nonpublic information about Cabot Corporation. I acknowledge that violation of the Policy will result in disciplinary action, up to and including termination for cause and may result in severe legal penalties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586105</wp:posOffset>
            </wp:positionV>
            <wp:extent cx="24688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(Signature)</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Date:</w:t>
      </w:r>
    </w:p>
    <w:p>
      <w:pPr>
        <w:spacing w:after="0" w:line="223" w:lineRule="exact"/>
        <w:rPr>
          <w:sz w:val="20"/>
          <w:szCs w:val="20"/>
          <w:color w:val="auto"/>
        </w:rPr>
      </w:pPr>
    </w:p>
    <w:p>
      <w:pPr>
        <w:ind w:right="280" w:firstLine="8"/>
        <w:spacing w:after="0" w:line="219" w:lineRule="auto"/>
        <w:tabs>
          <w:tab w:leader="none" w:pos="126"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Transactions must be consummated within three business days of receipt of clearance from the General Counsel (or other designated attorneys) unless an exception is granted or the person becomes aware of material nonpublic information before the trade is executed, in which case the preclearance is void and the transaction must not be completed.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Cabot Corporation (as of September 30,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Argentina S.A.I.C.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Australia Holdings Pty.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Plastics Belgium S.A.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Performance Materials Belgium S.P.R.L.</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Brasil Industria e Comércio Ltda.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Canada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8755329 Canada, Inc.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Quebec,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Tech Blend Corporation</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Quebec,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Plastics Canada LP</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Quebec,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Plastics Hong Kong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Shanghai Cabot Chemical Company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(China)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Advanced Battery Materials (Tianjin) Co.,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Bluestar Chemical (Jiangxi) Co.,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Chemical (Tianjin) Co.,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Performance Materials (Shenzhen) Co.,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Performance Materials (Zhuhai) Co.,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Performance Products (Tianjin) Co.,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Risun Chemical (Xingtai) Co.,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HengYeCheng Performance Materials (Inner-Mongolia)</w:t>
            </w:r>
          </w:p>
        </w:tc>
        <w:tc>
          <w:tcPr>
            <w:tcW w:w="5600" w:type="dxa"/>
            <w:vAlign w:val="bottom"/>
            <w:gridSpan w:val="2"/>
            <w:vMerge w:val="restart"/>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Company Limited</w:t>
            </w:r>
          </w:p>
        </w:tc>
        <w:tc>
          <w:tcPr>
            <w:tcW w:w="56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Performance Materials (Xuzhou) Co., Ltd. (fka NSCC Carbon</w:t>
            </w:r>
          </w:p>
        </w:tc>
        <w:tc>
          <w:tcPr>
            <w:tcW w:w="5600" w:type="dxa"/>
            <w:vAlign w:val="bottom"/>
            <w:gridSpan w:val="2"/>
            <w:vMerge w:val="restart"/>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color w:val="auto"/>
              </w:rPr>
              <w:t>(Jiangsu) Co., Ltd.)</w:t>
            </w:r>
          </w:p>
        </w:tc>
        <w:tc>
          <w:tcPr>
            <w:tcW w:w="56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Colombiana S.A.S.</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Colombia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CS Cabot spol, s.r.o.</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Czech Republic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Czech Holding Company s.r.o.</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Czech Republic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France S.A.S.</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Carbone S.A.S.</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GmbH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Holdings I GmbH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Holdings II GmbH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Aerogel GmbH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Cabot Battery Materials GmbH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5"/>
        </w:trPr>
        <w:tc>
          <w:tcPr>
            <w:tcW w:w="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India Private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P.T. Cabot Indonesia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PT Cabot Asia Pacific South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Italiana S.p.A.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Italy S.r.l</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Aizu Holdings G.K.</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Japan K.K.</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Supermetals K.K.</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Specialty Chemicals, Inc. G.K.</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Korea Y.H.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Korea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SIA Cabot Latvia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Latvia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Holdings S.à.r.l.</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Holdings II S.à.r.l.</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Investments S.à.r.l.</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TC S.à.r.l.</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NHUMO Holdings I S.à.r.l.</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Asia Sdn. Bhd.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Materials Research Sdn Bhd.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(Malaysia) Sdn. Bhd.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CMHC, Inc.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Mauritius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Singapore Pte. Ltd.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NHUMO Holding S.A.P.I., de C.V.</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Specialty Chemicals Mexico S.A.P.I. de C.V.</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Battery Materials, S.A.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International GmbH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Switzerland GmbH</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B.V.</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Finance B.V.</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Netherlands B.V.</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Black Rose Investments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Dragón Verde Investments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AHB Investments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HDF Investments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1515"/>
        </w:trPr>
        <w:tc>
          <w:tcPr>
            <w:tcW w:w="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Ramaai Holdings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Products FZE</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Dubai, United Arab Emirates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Botsel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Carbon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G.B.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Plastics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U.K.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UK Holdings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UK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Activated Carbon Holdings UK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Activated Carbon UK Limited</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Applied NanoStructured Solutions, LLC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Beyond Lotus LLC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Asia Investments Corporation</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Ceramics, Inc.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Corporation Foundation, Inc.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Massachusetts,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CSC LLC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Holdings LLC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Insurance Co. Ltd. (Vermont)</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Vermont,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International Capital Corporation</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Specialty Chemicals, Inc.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CDE Company</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Energy Transport Limited LLC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Kawecki Chemicals, Inc.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Activated Carbon LLC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Northeast Boulevard, LLC</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Florida, United States</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Representaciones 1, 2 y 3 C.A.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Venezuela</w:t>
            </w: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Valores Ramaai C.A.</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Venezuela</w:t>
            </w:r>
          </w:p>
        </w:tc>
        <w:tc>
          <w:tcPr>
            <w:tcW w:w="20" w:type="dxa"/>
            <w:vAlign w:val="bottom"/>
          </w:tcPr>
          <w:p>
            <w:pPr>
              <w:spacing w:after="0"/>
              <w:rPr>
                <w:sz w:val="24"/>
                <w:szCs w:val="24"/>
                <w:color w:val="auto"/>
              </w:rPr>
            </w:pPr>
          </w:p>
        </w:tc>
      </w:tr>
      <w:tr>
        <w:trPr>
          <w:trHeight w:val="1947"/>
        </w:trPr>
        <w:tc>
          <w:tcPr>
            <w:tcW w:w="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105" w:name="page106"/>
    <w:bookmarkEnd w:id="105"/>
    <w:p>
      <w:pPr>
        <w:spacing w:after="0" w:line="19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72" w:lineRule="exact"/>
        <w:rPr>
          <w:sz w:val="20"/>
          <w:szCs w:val="20"/>
          <w:color w:val="auto"/>
        </w:rPr>
      </w:pPr>
    </w:p>
    <w:p>
      <w:pPr>
        <w:ind w:left="3120"/>
        <w:spacing w:after="0"/>
        <w:rPr>
          <w:sz w:val="20"/>
          <w:szCs w:val="20"/>
          <w:color w:val="auto"/>
        </w:rPr>
      </w:pPr>
      <w:r>
        <w:rPr>
          <w:rFonts w:ascii="Calibri" w:cs="Calibri" w:eastAsia="Calibri" w:hAnsi="Calibri"/>
          <w:sz w:val="18"/>
          <w:szCs w:val="18"/>
          <w:b w:val="1"/>
          <w:bCs w:val="1"/>
          <w:color w:val="auto"/>
        </w:rPr>
        <w:t>CONSENT OF INDEPENDENT REGISTERED PUBLIC ACCOUNTING FIRM</w:t>
      </w:r>
    </w:p>
    <w:p>
      <w:pPr>
        <w:spacing w:after="0" w:line="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consent to the incorporaton by reference in Registraton Statement No. 333-276078 on Form S-3 and Registraton Statement Nos. 333-278381, 333-177176, 333-134134, 333-158991, 333-161253, 333-181391, 333-96881, 333-216707 and 333-255782 on Form S-8 of our reports dated November 20, 2024, relatng to the fnancial statements of Cabot Corporaton, and the efectveness of Cabot Corporaton’s internal control over fnancial reportng, appearing in the Annual Report on Form 10-K of Cabot Corporaton for the year ended September 30, 2024.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35" w:lineRule="auto"/>
        <w:rPr>
          <w:sz w:val="20"/>
          <w:szCs w:val="20"/>
          <w:color w:val="auto"/>
        </w:rPr>
      </w:pPr>
      <w:r>
        <w:rPr>
          <w:rFonts w:ascii="Calibri" w:cs="Calibri" w:eastAsia="Calibri" w:hAnsi="Calibri"/>
          <w:sz w:val="18"/>
          <w:szCs w:val="18"/>
          <w:color w:val="auto"/>
        </w:rPr>
        <w:t>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1177290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right"/>
        <w:spacing w:after="0"/>
        <w:rPr>
          <w:sz w:val="20"/>
          <w:szCs w:val="20"/>
          <w:color w:val="auto"/>
        </w:rPr>
      </w:pPr>
      <w:r>
        <w:rPr>
          <w:rFonts w:ascii="Calibri" w:cs="Calibri" w:eastAsia="Calibri" w:hAnsi="Calibri"/>
          <w:sz w:val="18"/>
          <w:szCs w:val="18"/>
          <w:b w:val="1"/>
          <w:bCs w:val="1"/>
          <w:color w:val="auto"/>
        </w:rPr>
        <w:t>Exhibit 31(i)</w:t>
      </w:r>
    </w:p>
    <w:p>
      <w:pPr>
        <w:spacing w:after="0" w:line="6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Executve Ofcer Certfcaton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I, Sean D. Keohane, certfy that:</w:t>
      </w:r>
    </w:p>
    <w:p>
      <w:pPr>
        <w:spacing w:after="0" w:line="64" w:lineRule="exact"/>
        <w:rPr>
          <w:sz w:val="20"/>
          <w:szCs w:val="20"/>
          <w:color w:val="auto"/>
        </w:rPr>
      </w:pPr>
    </w:p>
    <w:p>
      <w:pPr>
        <w:ind w:left="760" w:hanging="174"/>
        <w:spacing w:after="0"/>
        <w:tabs>
          <w:tab w:leader="none" w:pos="76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Cabot Corporaton;</w:t>
      </w:r>
    </w:p>
    <w:p>
      <w:pPr>
        <w:spacing w:after="0" w:line="68" w:lineRule="exact"/>
        <w:rPr>
          <w:rFonts w:ascii="Calibri" w:cs="Calibri" w:eastAsia="Calibri" w:hAnsi="Calibri"/>
          <w:sz w:val="18"/>
          <w:szCs w:val="18"/>
          <w:color w:val="auto"/>
        </w:rPr>
      </w:pPr>
    </w:p>
    <w:p>
      <w:pPr>
        <w:ind w:right="20" w:firstLine="586"/>
        <w:spacing w:after="0" w:line="258" w:lineRule="auto"/>
        <w:tabs>
          <w:tab w:leader="none" w:pos="751"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Calibri" w:cs="Calibri" w:eastAsia="Calibri" w:hAnsi="Calibri"/>
          <w:sz w:val="17"/>
          <w:szCs w:val="17"/>
          <w:color w:val="auto"/>
        </w:rPr>
      </w:pPr>
    </w:p>
    <w:p>
      <w:pPr>
        <w:ind w:right="100" w:firstLine="586"/>
        <w:spacing w:after="0" w:line="235" w:lineRule="auto"/>
        <w:tabs>
          <w:tab w:leader="none" w:pos="751"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69" w:lineRule="exact"/>
        <w:rPr>
          <w:rFonts w:ascii="Calibri" w:cs="Calibri" w:eastAsia="Calibri" w:hAnsi="Calibri"/>
          <w:sz w:val="18"/>
          <w:szCs w:val="18"/>
          <w:color w:val="auto"/>
        </w:rPr>
      </w:pPr>
    </w:p>
    <w:p>
      <w:pPr>
        <w:jc w:val="both"/>
        <w:ind w:right="200" w:firstLine="586"/>
        <w:spacing w:after="0" w:line="235" w:lineRule="auto"/>
        <w:tabs>
          <w:tab w:leader="none" w:pos="751"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0" w:lineRule="exact"/>
        <w:rPr>
          <w:rFonts w:ascii="Calibri" w:cs="Calibri" w:eastAsia="Calibri" w:hAnsi="Calibri"/>
          <w:sz w:val="18"/>
          <w:szCs w:val="18"/>
          <w:color w:val="auto"/>
        </w:rPr>
      </w:pPr>
    </w:p>
    <w:p>
      <w:pPr>
        <w:ind w:left="600" w:right="440" w:firstLine="576"/>
        <w:spacing w:after="0" w:line="235" w:lineRule="auto"/>
        <w:tabs>
          <w:tab w:leader="none" w:pos="1361"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83" w:lineRule="exact"/>
        <w:rPr>
          <w:rFonts w:ascii="Calibri" w:cs="Calibri" w:eastAsia="Calibri" w:hAnsi="Calibri"/>
          <w:sz w:val="18"/>
          <w:szCs w:val="18"/>
          <w:color w:val="auto"/>
        </w:rPr>
      </w:pPr>
    </w:p>
    <w:p>
      <w:pPr>
        <w:jc w:val="both"/>
        <w:ind w:left="600" w:right="200" w:firstLine="576"/>
        <w:spacing w:after="0" w:line="235" w:lineRule="auto"/>
        <w:tabs>
          <w:tab w:leader="none" w:pos="1369"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0" w:lineRule="exact"/>
        <w:rPr>
          <w:rFonts w:ascii="Calibri" w:cs="Calibri" w:eastAsia="Calibri" w:hAnsi="Calibri"/>
          <w:sz w:val="18"/>
          <w:szCs w:val="18"/>
          <w:color w:val="auto"/>
        </w:rPr>
      </w:pPr>
    </w:p>
    <w:p>
      <w:pPr>
        <w:ind w:left="600" w:right="220" w:firstLine="576"/>
        <w:spacing w:after="0" w:line="235" w:lineRule="auto"/>
        <w:tabs>
          <w:tab w:leader="none" w:pos="1351"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69" w:lineRule="exact"/>
        <w:rPr>
          <w:rFonts w:ascii="Calibri" w:cs="Calibri" w:eastAsia="Calibri" w:hAnsi="Calibri"/>
          <w:sz w:val="18"/>
          <w:szCs w:val="18"/>
          <w:color w:val="auto"/>
        </w:rPr>
      </w:pPr>
    </w:p>
    <w:p>
      <w:pPr>
        <w:ind w:left="600" w:right="280" w:firstLine="576"/>
        <w:spacing w:after="0" w:line="235" w:lineRule="auto"/>
        <w:tabs>
          <w:tab w:leader="none" w:pos="1369"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83" w:lineRule="exact"/>
        <w:rPr>
          <w:rFonts w:ascii="Calibri" w:cs="Calibri" w:eastAsia="Calibri" w:hAnsi="Calibri"/>
          <w:sz w:val="18"/>
          <w:szCs w:val="18"/>
          <w:color w:val="auto"/>
        </w:rPr>
      </w:pPr>
    </w:p>
    <w:p>
      <w:pPr>
        <w:ind w:right="140" w:firstLine="586"/>
        <w:spacing w:after="0" w:line="235" w:lineRule="auto"/>
        <w:tabs>
          <w:tab w:leader="none" w:pos="751"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69" w:lineRule="exact"/>
        <w:rPr>
          <w:rFonts w:ascii="Calibri" w:cs="Calibri" w:eastAsia="Calibri" w:hAnsi="Calibri"/>
          <w:sz w:val="18"/>
          <w:szCs w:val="18"/>
          <w:color w:val="auto"/>
        </w:rPr>
      </w:pPr>
    </w:p>
    <w:p>
      <w:pPr>
        <w:ind w:left="600" w:right="620" w:firstLine="576"/>
        <w:spacing w:after="0" w:line="235" w:lineRule="auto"/>
        <w:tabs>
          <w:tab w:leader="none" w:pos="1361"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69" w:lineRule="exact"/>
        <w:rPr>
          <w:rFonts w:ascii="Calibri" w:cs="Calibri" w:eastAsia="Calibri" w:hAnsi="Calibri"/>
          <w:sz w:val="18"/>
          <w:szCs w:val="18"/>
          <w:color w:val="auto"/>
        </w:rPr>
      </w:pPr>
    </w:p>
    <w:p>
      <w:pPr>
        <w:ind w:left="600" w:right="200" w:firstLine="576"/>
        <w:spacing w:after="0" w:line="235" w:lineRule="auto"/>
        <w:tabs>
          <w:tab w:leader="none" w:pos="1369"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78" w:lineRule="exact"/>
        <w:rPr>
          <w:sz w:val="20"/>
          <w:szCs w:val="20"/>
          <w:color w:val="auto"/>
        </w:rPr>
      </w:pPr>
    </w:p>
    <w:p>
      <w:pPr>
        <w:ind w:left="20"/>
        <w:spacing w:after="0"/>
        <w:tabs>
          <w:tab w:leader="none" w:pos="7740" w:val="left"/>
          <w:tab w:leader="none" w:pos="8100" w:val="left"/>
        </w:tabs>
        <w:rPr>
          <w:sz w:val="20"/>
          <w:szCs w:val="20"/>
          <w:color w:val="auto"/>
        </w:rPr>
      </w:pPr>
      <w:r>
        <w:rPr>
          <w:rFonts w:ascii="Calibri" w:cs="Calibri" w:eastAsia="Calibri" w:hAnsi="Calibri"/>
          <w:sz w:val="18"/>
          <w:szCs w:val="18"/>
          <w:color w:val="auto"/>
        </w:rPr>
        <w:t>Date: November 20, 2024</w:t>
      </w:r>
      <w:r>
        <w:rPr>
          <w:sz w:val="20"/>
          <w:szCs w:val="20"/>
          <w:color w:val="auto"/>
        </w:rPr>
        <w:tab/>
      </w:r>
      <w:r>
        <w:rPr>
          <w:rFonts w:ascii="Calibri" w:cs="Calibri" w:eastAsia="Calibri" w:hAnsi="Calibri"/>
          <w:sz w:val="18"/>
          <w:szCs w:val="18"/>
          <w:color w:val="auto"/>
        </w:rPr>
        <w:t>/</w:t>
      </w:r>
      <w:r>
        <w:rPr>
          <w:rFonts w:ascii="Calibri" w:cs="Calibri" w:eastAsia="Calibri" w:hAnsi="Calibri"/>
          <w:sz w:val="13"/>
          <w:szCs w:val="13"/>
          <w:color w:val="auto"/>
        </w:rPr>
        <w:t>S</w:t>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SEAN D. KEOHANE</w:t>
      </w:r>
    </w:p>
    <w:p>
      <w:pPr>
        <w:spacing w:after="0" w:line="10" w:lineRule="exact"/>
        <w:rPr>
          <w:sz w:val="20"/>
          <w:szCs w:val="20"/>
          <w:color w:val="auto"/>
        </w:rPr>
      </w:pPr>
    </w:p>
    <w:p>
      <w:pPr>
        <w:jc w:val="center"/>
        <w:ind w:left="5920"/>
        <w:spacing w:after="0"/>
        <w:rPr>
          <w:sz w:val="20"/>
          <w:szCs w:val="20"/>
          <w:color w:val="auto"/>
        </w:rPr>
      </w:pPr>
      <w:r>
        <w:rPr>
          <w:rFonts w:ascii="Calibri" w:cs="Calibri" w:eastAsia="Calibri" w:hAnsi="Calibri"/>
          <w:sz w:val="18"/>
          <w:szCs w:val="18"/>
          <w:b w:val="1"/>
          <w:bCs w:val="1"/>
          <w:color w:val="auto"/>
        </w:rPr>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jc w:val="center"/>
        <w:ind w:left="5920"/>
        <w:spacing w:after="0" w:line="235" w:lineRule="auto"/>
        <w:rPr>
          <w:sz w:val="20"/>
          <w:szCs w:val="20"/>
          <w:color w:val="auto"/>
        </w:rPr>
      </w:pPr>
      <w:r>
        <w:rPr>
          <w:rFonts w:ascii="Calibri" w:cs="Calibri" w:eastAsia="Calibri" w:hAnsi="Calibri"/>
          <w:sz w:val="18"/>
          <w:szCs w:val="18"/>
          <w:b w:val="1"/>
          <w:bCs w:val="1"/>
          <w:color w:val="auto"/>
        </w:rPr>
        <w:t>President and</w:t>
      </w:r>
    </w:p>
    <w:p>
      <w:pPr>
        <w:jc w:val="center"/>
        <w:ind w:left="5920"/>
        <w:spacing w:after="0" w:line="236"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1263015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right"/>
        <w:spacing w:after="0"/>
        <w:rPr>
          <w:sz w:val="20"/>
          <w:szCs w:val="20"/>
          <w:color w:val="auto"/>
        </w:rPr>
      </w:pPr>
      <w:r>
        <w:rPr>
          <w:rFonts w:ascii="Calibri" w:cs="Calibri" w:eastAsia="Calibri" w:hAnsi="Calibri"/>
          <w:sz w:val="18"/>
          <w:szCs w:val="18"/>
          <w:b w:val="1"/>
          <w:bCs w:val="1"/>
          <w:color w:val="auto"/>
        </w:rPr>
        <w:t>Exhibit 31(ii)</w:t>
      </w:r>
    </w:p>
    <w:p>
      <w:pPr>
        <w:spacing w:after="0" w:line="6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Financial Ofcer Certfcaton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I, Erica McLaughlin, certfy that:</w:t>
      </w:r>
    </w:p>
    <w:p>
      <w:pPr>
        <w:spacing w:after="0" w:line="64" w:lineRule="exact"/>
        <w:rPr>
          <w:sz w:val="20"/>
          <w:szCs w:val="20"/>
          <w:color w:val="auto"/>
        </w:rPr>
      </w:pPr>
    </w:p>
    <w:p>
      <w:pPr>
        <w:ind w:left="760" w:hanging="174"/>
        <w:spacing w:after="0"/>
        <w:tabs>
          <w:tab w:leader="none" w:pos="76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Cabot Corporaton;</w:t>
      </w:r>
    </w:p>
    <w:p>
      <w:pPr>
        <w:spacing w:after="0" w:line="68" w:lineRule="exact"/>
        <w:rPr>
          <w:rFonts w:ascii="Calibri" w:cs="Calibri" w:eastAsia="Calibri" w:hAnsi="Calibri"/>
          <w:sz w:val="18"/>
          <w:szCs w:val="18"/>
          <w:color w:val="auto"/>
        </w:rPr>
      </w:pPr>
    </w:p>
    <w:p>
      <w:pPr>
        <w:ind w:right="20" w:firstLine="586"/>
        <w:spacing w:after="0" w:line="258" w:lineRule="auto"/>
        <w:tabs>
          <w:tab w:leader="none" w:pos="751"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Calibri" w:cs="Calibri" w:eastAsia="Calibri" w:hAnsi="Calibri"/>
          <w:sz w:val="17"/>
          <w:szCs w:val="17"/>
          <w:color w:val="auto"/>
        </w:rPr>
      </w:pPr>
    </w:p>
    <w:p>
      <w:pPr>
        <w:ind w:right="100" w:firstLine="586"/>
        <w:spacing w:after="0" w:line="235" w:lineRule="auto"/>
        <w:tabs>
          <w:tab w:leader="none" w:pos="751"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69" w:lineRule="exact"/>
        <w:rPr>
          <w:rFonts w:ascii="Calibri" w:cs="Calibri" w:eastAsia="Calibri" w:hAnsi="Calibri"/>
          <w:sz w:val="18"/>
          <w:szCs w:val="18"/>
          <w:color w:val="auto"/>
        </w:rPr>
      </w:pPr>
    </w:p>
    <w:p>
      <w:pPr>
        <w:jc w:val="both"/>
        <w:ind w:right="200" w:firstLine="586"/>
        <w:spacing w:after="0" w:line="235" w:lineRule="auto"/>
        <w:tabs>
          <w:tab w:leader="none" w:pos="751"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0" w:lineRule="exact"/>
        <w:rPr>
          <w:rFonts w:ascii="Calibri" w:cs="Calibri" w:eastAsia="Calibri" w:hAnsi="Calibri"/>
          <w:sz w:val="18"/>
          <w:szCs w:val="18"/>
          <w:color w:val="auto"/>
        </w:rPr>
      </w:pPr>
    </w:p>
    <w:p>
      <w:pPr>
        <w:ind w:left="600" w:right="440" w:firstLine="576"/>
        <w:spacing w:after="0" w:line="235" w:lineRule="auto"/>
        <w:tabs>
          <w:tab w:leader="none" w:pos="1361" w:val="left"/>
        </w:tabs>
        <w:numPr>
          <w:ilvl w:val="1"/>
          <w:numId w:val="5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83" w:lineRule="exact"/>
        <w:rPr>
          <w:rFonts w:ascii="Calibri" w:cs="Calibri" w:eastAsia="Calibri" w:hAnsi="Calibri"/>
          <w:sz w:val="18"/>
          <w:szCs w:val="18"/>
          <w:color w:val="auto"/>
        </w:rPr>
      </w:pPr>
    </w:p>
    <w:p>
      <w:pPr>
        <w:jc w:val="both"/>
        <w:ind w:left="600" w:right="200" w:firstLine="576"/>
        <w:spacing w:after="0" w:line="235" w:lineRule="auto"/>
        <w:tabs>
          <w:tab w:leader="none" w:pos="1369" w:val="left"/>
        </w:tabs>
        <w:numPr>
          <w:ilvl w:val="1"/>
          <w:numId w:val="52"/>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0" w:lineRule="exact"/>
        <w:rPr>
          <w:rFonts w:ascii="Calibri" w:cs="Calibri" w:eastAsia="Calibri" w:hAnsi="Calibri"/>
          <w:sz w:val="18"/>
          <w:szCs w:val="18"/>
          <w:color w:val="auto"/>
        </w:rPr>
      </w:pPr>
    </w:p>
    <w:p>
      <w:pPr>
        <w:ind w:left="600" w:right="220" w:firstLine="576"/>
        <w:spacing w:after="0" w:line="235" w:lineRule="auto"/>
        <w:tabs>
          <w:tab w:leader="none" w:pos="1351" w:val="left"/>
        </w:tabs>
        <w:numPr>
          <w:ilvl w:val="1"/>
          <w:numId w:val="52"/>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69" w:lineRule="exact"/>
        <w:rPr>
          <w:rFonts w:ascii="Calibri" w:cs="Calibri" w:eastAsia="Calibri" w:hAnsi="Calibri"/>
          <w:sz w:val="18"/>
          <w:szCs w:val="18"/>
          <w:color w:val="auto"/>
        </w:rPr>
      </w:pPr>
    </w:p>
    <w:p>
      <w:pPr>
        <w:ind w:left="600" w:right="280" w:firstLine="576"/>
        <w:spacing w:after="0" w:line="235" w:lineRule="auto"/>
        <w:tabs>
          <w:tab w:leader="none" w:pos="1369" w:val="left"/>
        </w:tabs>
        <w:numPr>
          <w:ilvl w:val="1"/>
          <w:numId w:val="5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83" w:lineRule="exact"/>
        <w:rPr>
          <w:rFonts w:ascii="Calibri" w:cs="Calibri" w:eastAsia="Calibri" w:hAnsi="Calibri"/>
          <w:sz w:val="18"/>
          <w:szCs w:val="18"/>
          <w:color w:val="auto"/>
        </w:rPr>
      </w:pPr>
    </w:p>
    <w:p>
      <w:pPr>
        <w:ind w:right="140" w:firstLine="586"/>
        <w:spacing w:after="0" w:line="235" w:lineRule="auto"/>
        <w:tabs>
          <w:tab w:leader="none" w:pos="751"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69" w:lineRule="exact"/>
        <w:rPr>
          <w:rFonts w:ascii="Calibri" w:cs="Calibri" w:eastAsia="Calibri" w:hAnsi="Calibri"/>
          <w:sz w:val="18"/>
          <w:szCs w:val="18"/>
          <w:color w:val="auto"/>
        </w:rPr>
      </w:pPr>
    </w:p>
    <w:p>
      <w:pPr>
        <w:ind w:left="600" w:right="620" w:firstLine="576"/>
        <w:spacing w:after="0" w:line="235" w:lineRule="auto"/>
        <w:tabs>
          <w:tab w:leader="none" w:pos="1361" w:val="left"/>
        </w:tabs>
        <w:numPr>
          <w:ilvl w:val="1"/>
          <w:numId w:val="52"/>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69" w:lineRule="exact"/>
        <w:rPr>
          <w:rFonts w:ascii="Calibri" w:cs="Calibri" w:eastAsia="Calibri" w:hAnsi="Calibri"/>
          <w:sz w:val="18"/>
          <w:szCs w:val="18"/>
          <w:color w:val="auto"/>
        </w:rPr>
      </w:pPr>
    </w:p>
    <w:p>
      <w:pPr>
        <w:ind w:left="600" w:right="200" w:firstLine="576"/>
        <w:spacing w:after="0" w:line="235" w:lineRule="auto"/>
        <w:tabs>
          <w:tab w:leader="none" w:pos="1369" w:val="left"/>
        </w:tabs>
        <w:numPr>
          <w:ilvl w:val="1"/>
          <w:numId w:val="52"/>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78" w:lineRule="exact"/>
        <w:rPr>
          <w:sz w:val="20"/>
          <w:szCs w:val="20"/>
          <w:color w:val="auto"/>
        </w:rPr>
      </w:pPr>
    </w:p>
    <w:p>
      <w:pPr>
        <w:ind w:left="20"/>
        <w:spacing w:after="0"/>
        <w:tabs>
          <w:tab w:leader="none" w:pos="7560" w:val="left"/>
          <w:tab w:leader="none" w:pos="7920" w:val="left"/>
        </w:tabs>
        <w:rPr>
          <w:sz w:val="20"/>
          <w:szCs w:val="20"/>
          <w:color w:val="auto"/>
        </w:rPr>
      </w:pPr>
      <w:r>
        <w:rPr>
          <w:rFonts w:ascii="Calibri" w:cs="Calibri" w:eastAsia="Calibri" w:hAnsi="Calibri"/>
          <w:sz w:val="18"/>
          <w:szCs w:val="18"/>
          <w:color w:val="auto"/>
        </w:rPr>
        <w:t>Date: November 20, 2024</w:t>
      </w:r>
      <w:r>
        <w:rPr>
          <w:sz w:val="20"/>
          <w:szCs w:val="20"/>
          <w:color w:val="auto"/>
        </w:rPr>
        <w:tab/>
      </w:r>
      <w:r>
        <w:rPr>
          <w:rFonts w:ascii="Calibri" w:cs="Calibri" w:eastAsia="Calibri" w:hAnsi="Calibri"/>
          <w:sz w:val="18"/>
          <w:szCs w:val="18"/>
          <w:color w:val="auto"/>
        </w:rPr>
        <w:t>/s/</w:t>
      </w:r>
      <w:r>
        <w:rPr>
          <w:sz w:val="20"/>
          <w:szCs w:val="20"/>
          <w:color w:val="auto"/>
        </w:rPr>
        <w:tab/>
      </w:r>
      <w:r>
        <w:rPr>
          <w:rFonts w:ascii="Calibri" w:cs="Calibri" w:eastAsia="Calibri" w:hAnsi="Calibri"/>
          <w:sz w:val="17"/>
          <w:szCs w:val="17"/>
          <w:color w:val="auto"/>
        </w:rPr>
        <w:t>ERICA MCLAUGHLIN</w:t>
      </w:r>
    </w:p>
    <w:p>
      <w:pPr>
        <w:spacing w:after="0" w:line="10" w:lineRule="exact"/>
        <w:rPr>
          <w:sz w:val="20"/>
          <w:szCs w:val="20"/>
          <w:color w:val="auto"/>
        </w:rPr>
      </w:pPr>
    </w:p>
    <w:p>
      <w:pPr>
        <w:jc w:val="center"/>
        <w:ind w:left="5720"/>
        <w:spacing w:after="0"/>
        <w:rPr>
          <w:sz w:val="20"/>
          <w:szCs w:val="20"/>
          <w:color w:val="auto"/>
        </w:rPr>
      </w:pPr>
      <w:r>
        <w:rPr>
          <w:rFonts w:ascii="Calibri" w:cs="Calibri" w:eastAsia="Calibri" w:hAnsi="Calibri"/>
          <w:sz w:val="18"/>
          <w:szCs w:val="18"/>
          <w:b w:val="1"/>
          <w:bCs w:val="1"/>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-130175</wp:posOffset>
            </wp:positionV>
            <wp:extent cx="3497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jc w:val="center"/>
        <w:ind w:left="5720"/>
        <w:spacing w:after="0" w:line="235" w:lineRule="auto"/>
        <w:rPr>
          <w:sz w:val="20"/>
          <w:szCs w:val="20"/>
          <w:color w:val="auto"/>
        </w:rPr>
      </w:pPr>
      <w:r>
        <w:rPr>
          <w:rFonts w:ascii="Calibri" w:cs="Calibri" w:eastAsia="Calibri" w:hAnsi="Calibri"/>
          <w:sz w:val="18"/>
          <w:szCs w:val="18"/>
          <w:b w:val="1"/>
          <w:bCs w:val="1"/>
          <w:color w:val="auto"/>
        </w:rPr>
        <w:t>Executve Vice President and</w:t>
      </w:r>
    </w:p>
    <w:p>
      <w:pPr>
        <w:jc w:val="center"/>
        <w:ind w:left="5720"/>
        <w:spacing w:after="0" w:line="236"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1125855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right"/>
        <w:spacing w:after="0"/>
        <w:rPr>
          <w:sz w:val="20"/>
          <w:szCs w:val="20"/>
          <w:color w:val="auto"/>
        </w:rPr>
      </w:pPr>
      <w:r>
        <w:rPr>
          <w:rFonts w:ascii="Calibri" w:cs="Calibri" w:eastAsia="Calibri" w:hAnsi="Calibri"/>
          <w:sz w:val="18"/>
          <w:szCs w:val="18"/>
          <w:b w:val="1"/>
          <w:bCs w:val="1"/>
          <w:color w:val="auto"/>
        </w:rPr>
        <w:t>Exhibit 32</w:t>
      </w:r>
    </w:p>
    <w:p>
      <w:pPr>
        <w:spacing w:after="0" w:line="6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Certfcatons Pursuant to 18 U.S.C. Secton 1350,</w:t>
      </w:r>
    </w:p>
    <w:p>
      <w:pPr>
        <w:jc w:val="center"/>
        <w:spacing w:after="0" w:line="235" w:lineRule="auto"/>
        <w:rPr>
          <w:sz w:val="20"/>
          <w:szCs w:val="20"/>
          <w:color w:val="auto"/>
        </w:rPr>
      </w:pPr>
      <w:r>
        <w:rPr>
          <w:rFonts w:ascii="Calibri" w:cs="Calibri" w:eastAsia="Calibri" w:hAnsi="Calibri"/>
          <w:sz w:val="18"/>
          <w:szCs w:val="18"/>
          <w:b w:val="1"/>
          <w:bCs w:val="1"/>
          <w:color w:val="auto"/>
        </w:rPr>
        <w:t>as Adopted Pursuant to Secton 906 of the</w:t>
      </w:r>
    </w:p>
    <w:p>
      <w:pPr>
        <w:jc w:val="center"/>
        <w:spacing w:after="0" w:line="236" w:lineRule="auto"/>
        <w:rPr>
          <w:sz w:val="20"/>
          <w:szCs w:val="20"/>
          <w:color w:val="auto"/>
        </w:rPr>
      </w:pPr>
      <w:r>
        <w:rPr>
          <w:rFonts w:ascii="Calibri" w:cs="Calibri" w:eastAsia="Calibri" w:hAnsi="Calibri"/>
          <w:sz w:val="18"/>
          <w:szCs w:val="18"/>
          <w:b w:val="1"/>
          <w:bCs w:val="1"/>
          <w:color w:val="auto"/>
        </w:rPr>
        <w:t>Sarbanes-Oxley Act of 2002</w:t>
      </w:r>
    </w:p>
    <w:p>
      <w:pPr>
        <w:spacing w:after="0" w:line="83" w:lineRule="exact"/>
        <w:rPr>
          <w:sz w:val="20"/>
          <w:szCs w:val="20"/>
          <w:color w:val="auto"/>
        </w:rPr>
      </w:pPr>
    </w:p>
    <w:p>
      <w:pPr>
        <w:ind w:right="220" w:firstLine="578"/>
        <w:spacing w:after="0" w:line="235" w:lineRule="auto"/>
        <w:rPr>
          <w:sz w:val="20"/>
          <w:szCs w:val="20"/>
          <w:color w:val="auto"/>
        </w:rPr>
      </w:pPr>
      <w:r>
        <w:rPr>
          <w:rFonts w:ascii="Calibri" w:cs="Calibri" w:eastAsia="Calibri" w:hAnsi="Calibri"/>
          <w:sz w:val="18"/>
          <w:szCs w:val="18"/>
          <w:color w:val="auto"/>
        </w:rPr>
        <w:t>In connecton with the fling of the Annual Report on Form 10-K for the year ended September 30, 2024 (the “Report”) by Cabot Corporaton (the “Company”), each of the undersigned hereby certfes pursuant to 18 U.S.C. Secton 1350, as adopted pursuant to Secton 906 of the Sarbanes-Oxley Act of 2002, that, to his knowledge:</w:t>
      </w:r>
    </w:p>
    <w:p>
      <w:pPr>
        <w:spacing w:after="0" w:line="65" w:lineRule="exact"/>
        <w:rPr>
          <w:sz w:val="20"/>
          <w:szCs w:val="20"/>
          <w:color w:val="auto"/>
        </w:rPr>
      </w:pPr>
    </w:p>
    <w:p>
      <w:pPr>
        <w:ind w:left="580" w:hanging="559"/>
        <w:spacing w:after="0"/>
        <w:tabs>
          <w:tab w:leader="none" w:pos="5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 (a) or 15 (d) of the Securites Exchange Act of 1934, as amended; and</w:t>
      </w:r>
    </w:p>
    <w:p>
      <w:pPr>
        <w:spacing w:after="0" w:line="63" w:lineRule="exact"/>
        <w:rPr>
          <w:rFonts w:ascii="Calibri" w:cs="Calibri" w:eastAsia="Calibri" w:hAnsi="Calibri"/>
          <w:sz w:val="18"/>
          <w:szCs w:val="18"/>
          <w:color w:val="auto"/>
        </w:rPr>
      </w:pPr>
    </w:p>
    <w:p>
      <w:pPr>
        <w:ind w:left="580" w:hanging="559"/>
        <w:spacing w:after="0"/>
        <w:tabs>
          <w:tab w:leader="none" w:pos="5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720" w:type="dxa"/>
            <w:vAlign w:val="bottom"/>
          </w:tcPr>
          <w:p>
            <w:pPr>
              <w:spacing w:after="0"/>
              <w:rPr>
                <w:sz w:val="20"/>
                <w:szCs w:val="20"/>
                <w:color w:val="auto"/>
              </w:rPr>
            </w:pPr>
            <w:r>
              <w:rPr>
                <w:rFonts w:ascii="Calibri" w:cs="Calibri" w:eastAsia="Calibri" w:hAnsi="Calibri"/>
                <w:sz w:val="18"/>
                <w:szCs w:val="18"/>
                <w:color w:val="auto"/>
              </w:rPr>
              <w:t>November 20, 2024</w:t>
            </w:r>
          </w:p>
        </w:tc>
        <w:tc>
          <w:tcPr>
            <w:tcW w:w="2140" w:type="dxa"/>
            <w:vAlign w:val="bottom"/>
          </w:tcPr>
          <w:p>
            <w:pPr>
              <w:ind w:left="1920"/>
              <w:spacing w:after="0"/>
              <w:rPr>
                <w:sz w:val="20"/>
                <w:szCs w:val="20"/>
                <w:color w:val="auto"/>
              </w:rPr>
            </w:pPr>
            <w:r>
              <w:rPr>
                <w:rFonts w:ascii="Calibri" w:cs="Calibri" w:eastAsia="Calibri" w:hAnsi="Calibri"/>
                <w:sz w:val="18"/>
                <w:szCs w:val="18"/>
                <w:color w:val="auto"/>
                <w:w w:val="95"/>
              </w:rPr>
              <w:t>/s/</w:t>
            </w:r>
          </w:p>
        </w:tc>
        <w:tc>
          <w:tcPr>
            <w:tcW w:w="3360" w:type="dxa"/>
            <w:vAlign w:val="bottom"/>
          </w:tcPr>
          <w:p>
            <w:pPr>
              <w:jc w:val="center"/>
              <w:ind w:right="1690"/>
              <w:spacing w:after="0"/>
              <w:rPr>
                <w:sz w:val="20"/>
                <w:szCs w:val="20"/>
                <w:color w:val="auto"/>
              </w:rPr>
            </w:pPr>
            <w:r>
              <w:rPr>
                <w:rFonts w:ascii="Calibri" w:cs="Calibri" w:eastAsia="Calibri" w:hAnsi="Calibri"/>
                <w:sz w:val="18"/>
                <w:szCs w:val="18"/>
                <w:color w:val="auto"/>
                <w:w w:val="96"/>
              </w:rPr>
              <w:t>SEAN D. KEOHANE</w:t>
            </w:r>
          </w:p>
        </w:tc>
      </w:tr>
      <w:tr>
        <w:trPr>
          <w:trHeight w:val="23"/>
        </w:trPr>
        <w:tc>
          <w:tcPr>
            <w:tcW w:w="57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7"/>
        </w:trPr>
        <w:tc>
          <w:tcPr>
            <w:tcW w:w="5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360" w:type="dxa"/>
            <w:vAlign w:val="bottom"/>
          </w:tcPr>
          <w:p>
            <w:pPr>
              <w:jc w:val="center"/>
              <w:ind w:right="2050"/>
              <w:spacing w:after="0" w:line="187" w:lineRule="exact"/>
              <w:rPr>
                <w:sz w:val="20"/>
                <w:szCs w:val="20"/>
                <w:color w:val="auto"/>
              </w:rPr>
            </w:pPr>
            <w:r>
              <w:rPr>
                <w:rFonts w:ascii="Calibri" w:cs="Calibri" w:eastAsia="Calibri" w:hAnsi="Calibri"/>
                <w:sz w:val="18"/>
                <w:szCs w:val="18"/>
                <w:b w:val="1"/>
                <w:bCs w:val="1"/>
                <w:color w:val="auto"/>
                <w:w w:val="96"/>
              </w:rPr>
              <w:t>Sean D. Keohane</w:t>
            </w:r>
          </w:p>
        </w:tc>
      </w:tr>
      <w:tr>
        <w:trPr>
          <w:trHeight w:val="215"/>
        </w:trPr>
        <w:tc>
          <w:tcPr>
            <w:tcW w:w="5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360" w:type="dxa"/>
            <w:vAlign w:val="bottom"/>
          </w:tcPr>
          <w:p>
            <w:pPr>
              <w:jc w:val="center"/>
              <w:ind w:right="2050"/>
              <w:spacing w:after="0" w:line="215" w:lineRule="exact"/>
              <w:rPr>
                <w:sz w:val="20"/>
                <w:szCs w:val="20"/>
                <w:color w:val="auto"/>
              </w:rPr>
            </w:pPr>
            <w:r>
              <w:rPr>
                <w:rFonts w:ascii="Calibri" w:cs="Calibri" w:eastAsia="Calibri" w:hAnsi="Calibri"/>
                <w:sz w:val="18"/>
                <w:szCs w:val="18"/>
                <w:b w:val="1"/>
                <w:bCs w:val="1"/>
                <w:color w:val="auto"/>
                <w:w w:val="98"/>
              </w:rPr>
              <w:t>President and</w:t>
            </w:r>
          </w:p>
        </w:tc>
      </w:tr>
      <w:tr>
        <w:trPr>
          <w:trHeight w:val="216"/>
        </w:trPr>
        <w:tc>
          <w:tcPr>
            <w:tcW w:w="5720" w:type="dxa"/>
            <w:vAlign w:val="bottom"/>
          </w:tcPr>
          <w:p>
            <w:pPr>
              <w:spacing w:after="0"/>
              <w:rPr>
                <w:sz w:val="18"/>
                <w:szCs w:val="18"/>
                <w:color w:val="auto"/>
              </w:rPr>
            </w:pPr>
          </w:p>
        </w:tc>
        <w:tc>
          <w:tcPr>
            <w:tcW w:w="550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rPr>
              <w:t>Chief Executve Ofcer</w:t>
            </w:r>
          </w:p>
        </w:tc>
      </w:tr>
      <w:tr>
        <w:trPr>
          <w:trHeight w:val="297"/>
        </w:trPr>
        <w:tc>
          <w:tcPr>
            <w:tcW w:w="5720" w:type="dxa"/>
            <w:vAlign w:val="bottom"/>
          </w:tcPr>
          <w:p>
            <w:pPr>
              <w:spacing w:after="0"/>
              <w:rPr>
                <w:sz w:val="20"/>
                <w:szCs w:val="20"/>
                <w:color w:val="auto"/>
              </w:rPr>
            </w:pPr>
            <w:r>
              <w:rPr>
                <w:rFonts w:ascii="Calibri" w:cs="Calibri" w:eastAsia="Calibri" w:hAnsi="Calibri"/>
                <w:sz w:val="18"/>
                <w:szCs w:val="18"/>
                <w:color w:val="auto"/>
              </w:rPr>
              <w:t>November 20, 2024</w:t>
            </w:r>
          </w:p>
        </w:tc>
        <w:tc>
          <w:tcPr>
            <w:tcW w:w="2140" w:type="dxa"/>
            <w:vAlign w:val="bottom"/>
          </w:tcPr>
          <w:p>
            <w:pPr>
              <w:ind w:left="1860"/>
              <w:spacing w:after="0"/>
              <w:rPr>
                <w:sz w:val="20"/>
                <w:szCs w:val="20"/>
                <w:color w:val="auto"/>
              </w:rPr>
            </w:pPr>
            <w:r>
              <w:rPr>
                <w:rFonts w:ascii="Calibri" w:cs="Calibri" w:eastAsia="Calibri" w:hAnsi="Calibri"/>
                <w:sz w:val="18"/>
                <w:szCs w:val="18"/>
                <w:color w:val="auto"/>
              </w:rPr>
              <w:t>/s/</w:t>
            </w:r>
          </w:p>
        </w:tc>
        <w:tc>
          <w:tcPr>
            <w:tcW w:w="3360" w:type="dxa"/>
            <w:vAlign w:val="bottom"/>
          </w:tcPr>
          <w:p>
            <w:pPr>
              <w:jc w:val="center"/>
              <w:ind w:right="1670"/>
              <w:spacing w:after="0"/>
              <w:rPr>
                <w:sz w:val="20"/>
                <w:szCs w:val="20"/>
                <w:color w:val="auto"/>
              </w:rPr>
            </w:pPr>
            <w:r>
              <w:rPr>
                <w:rFonts w:ascii="Calibri" w:cs="Calibri" w:eastAsia="Calibri" w:hAnsi="Calibri"/>
                <w:sz w:val="18"/>
                <w:szCs w:val="18"/>
                <w:color w:val="auto"/>
                <w:w w:val="97"/>
              </w:rPr>
              <w:t>ERICA MCLAUGHLIN</w:t>
            </w:r>
          </w:p>
        </w:tc>
      </w:tr>
      <w:tr>
        <w:trPr>
          <w:trHeight w:val="23"/>
        </w:trPr>
        <w:tc>
          <w:tcPr>
            <w:tcW w:w="57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08"/>
        </w:trPr>
        <w:tc>
          <w:tcPr>
            <w:tcW w:w="5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360" w:type="dxa"/>
            <w:vAlign w:val="bottom"/>
          </w:tcPr>
          <w:p>
            <w:pPr>
              <w:jc w:val="center"/>
              <w:ind w:right="2030"/>
              <w:spacing w:after="0" w:line="208" w:lineRule="exact"/>
              <w:rPr>
                <w:sz w:val="20"/>
                <w:szCs w:val="20"/>
                <w:color w:val="auto"/>
              </w:rPr>
            </w:pPr>
            <w:r>
              <w:rPr>
                <w:rFonts w:ascii="Calibri" w:cs="Calibri" w:eastAsia="Calibri" w:hAnsi="Calibri"/>
                <w:sz w:val="18"/>
                <w:szCs w:val="18"/>
                <w:b w:val="1"/>
                <w:bCs w:val="1"/>
                <w:color w:val="auto"/>
                <w:w w:val="98"/>
              </w:rPr>
              <w:t>Erica McLaughlin</w:t>
            </w:r>
          </w:p>
        </w:tc>
      </w:tr>
    </w:tbl>
    <w:p>
      <w:pPr>
        <w:jc w:val="center"/>
        <w:ind w:left="5720"/>
        <w:spacing w:after="0" w:line="211" w:lineRule="auto"/>
        <w:rPr>
          <w:sz w:val="20"/>
          <w:szCs w:val="20"/>
          <w:color w:val="auto"/>
        </w:rPr>
      </w:pPr>
      <w:r>
        <w:rPr>
          <w:rFonts w:ascii="Calibri" w:cs="Calibri" w:eastAsia="Calibri" w:hAnsi="Calibri"/>
          <w:sz w:val="18"/>
          <w:szCs w:val="18"/>
          <w:b w:val="1"/>
          <w:bCs w:val="1"/>
          <w:color w:val="auto"/>
        </w:rPr>
        <w:t>Executve Vice President and</w:t>
      </w:r>
    </w:p>
    <w:p>
      <w:pPr>
        <w:jc w:val="center"/>
        <w:ind w:left="5720"/>
        <w:spacing w:after="0" w:line="236"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color w:val="auto"/>
        </w:rPr>
        <w:t>Exhibit 97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CABOT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RECOUPMENT OF INCENTIVE COMPENSATION</w:t>
      </w:r>
    </w:p>
    <w:p>
      <w:pPr>
        <w:spacing w:after="0" w:line="20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1.</w:t>
      </w:r>
      <w:r>
        <w:rPr>
          <w:sz w:val="20"/>
          <w:szCs w:val="20"/>
          <w:color w:val="auto"/>
        </w:rPr>
        <w:tab/>
      </w:r>
      <w:r>
        <w:rPr>
          <w:rFonts w:ascii="Times New Roman" w:cs="Times New Roman" w:eastAsia="Times New Roman" w:hAnsi="Times New Roman"/>
          <w:sz w:val="21"/>
          <w:szCs w:val="21"/>
          <w:b w:val="1"/>
          <w:bCs w:val="1"/>
          <w:u w:val="single" w:color="auto"/>
          <w:color w:val="auto"/>
        </w:rPr>
        <w:t>Introduction</w:t>
      </w:r>
    </w:p>
    <w:p>
      <w:pPr>
        <w:spacing w:after="0" w:line="237"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In accordance with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regulations thereunder,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Cabot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 This Policy is designed to comply with, and shall be construed and interpreted to be consistent with, Section 10D of the Exchange Act, Rule 10D-1 promulgated under the Exchange Act and Section 303A.14 of the New York Stock Exchange LLC Listed Company Manual.</w:t>
      </w:r>
    </w:p>
    <w:p>
      <w:pPr>
        <w:spacing w:after="0" w:line="20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2.</w:t>
      </w:r>
      <w:r>
        <w:rPr>
          <w:sz w:val="20"/>
          <w:szCs w:val="20"/>
          <w:color w:val="auto"/>
        </w:rPr>
        <w:tab/>
      </w:r>
      <w:r>
        <w:rPr>
          <w:rFonts w:ascii="Times New Roman" w:cs="Times New Roman" w:eastAsia="Times New Roman" w:hAnsi="Times New Roman"/>
          <w:sz w:val="21"/>
          <w:szCs w:val="21"/>
          <w:b w:val="1"/>
          <w:bCs w:val="1"/>
          <w:u w:val="single" w:color="auto"/>
          <w:color w:val="auto"/>
        </w:rPr>
        <w:t>Administration</w:t>
      </w:r>
    </w:p>
    <w:p>
      <w:pPr>
        <w:spacing w:after="0" w:line="237"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Administration and enforcement of this Policy is delegated to the Compensation Committee of the Board (as constituted from time to time, and including any successor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Committee shall make all determinations under this Policy in its sole discretion. Determinations of the Committee under this Policy need not be uniform with respect to any or all Covered Executives and will be final and binding.</w:t>
      </w:r>
    </w:p>
    <w:p>
      <w:pPr>
        <w:spacing w:after="0" w:line="203"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Effective Date</w:t>
      </w:r>
    </w:p>
    <w:p>
      <w:pPr>
        <w:spacing w:after="0" w:line="237" w:lineRule="exact"/>
        <w:rPr>
          <w:sz w:val="20"/>
          <w:szCs w:val="20"/>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22"/>
          <w:szCs w:val="22"/>
          <w:color w:val="auto"/>
        </w:rPr>
        <w:t>This Policy shall be effective as of October 2,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apply only to Covered Compensation (as defined below) that is received by Covered Executives on or after the Effective Date.</w:t>
      </w:r>
    </w:p>
    <w:p>
      <w:pPr>
        <w:spacing w:after="0" w:line="18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4.</w:t>
      </w:r>
      <w:r>
        <w:rPr>
          <w:sz w:val="20"/>
          <w:szCs w:val="20"/>
          <w:color w:val="auto"/>
        </w:rPr>
        <w:tab/>
      </w:r>
      <w:r>
        <w:rPr>
          <w:rFonts w:ascii="Times New Roman" w:cs="Times New Roman" w:eastAsia="Times New Roman" w:hAnsi="Times New Roman"/>
          <w:sz w:val="21"/>
          <w:szCs w:val="21"/>
          <w:b w:val="1"/>
          <w:bCs w:val="1"/>
          <w:u w:val="single" w:color="auto"/>
          <w:color w:val="auto"/>
        </w:rPr>
        <w:t>Covered Executives</w:t>
      </w:r>
    </w:p>
    <w:p>
      <w:pPr>
        <w:spacing w:after="0" w:line="237"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This Policy covers each current or former officer of the Company subject to Section 16 of the Securities Exchange Act of 1934, as amended and any other member of the Company’s Management Executive Committee (as constituted from time to time and including any successor management committee) (each, a “</w:t>
      </w:r>
      <w:r>
        <w:rPr>
          <w:rFonts w:ascii="Times New Roman" w:cs="Times New Roman" w:eastAsia="Times New Roman" w:hAnsi="Times New Roman"/>
          <w:sz w:val="22"/>
          <w:szCs w:val="22"/>
          <w:u w:val="single" w:color="auto"/>
          <w:color w:val="auto"/>
        </w:rPr>
        <w:t>Covered Executive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5.</w:t>
      </w:r>
      <w:r>
        <w:rPr>
          <w:sz w:val="20"/>
          <w:szCs w:val="20"/>
          <w:color w:val="auto"/>
        </w:rPr>
        <w:tab/>
      </w:r>
      <w:r>
        <w:rPr>
          <w:rFonts w:ascii="Times New Roman" w:cs="Times New Roman" w:eastAsia="Times New Roman" w:hAnsi="Times New Roman"/>
          <w:sz w:val="21"/>
          <w:szCs w:val="21"/>
          <w:b w:val="1"/>
          <w:bCs w:val="1"/>
          <w:u w:val="single" w:color="auto"/>
          <w:color w:val="auto"/>
        </w:rPr>
        <w:t>Covered Compensation</w:t>
      </w:r>
    </w:p>
    <w:p>
      <w:pPr>
        <w:spacing w:after="0" w:line="237"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This Policy applies to any cash-based and equity-based incentive compensation, bonuses, and awards granted, paid, earned or that become vested wholly or in part upon the attainment of any financial reporting measure (“</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rPr>
        <w:t>”) to Covered Executives.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color w:val="auto"/>
        </w:rPr>
        <w:t>Exhibit 97</w:t>
      </w:r>
    </w:p>
    <w:p>
      <w:pPr>
        <w:spacing w:after="0" w:line="3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Policy shall apply to any Covered Compensation received by an employee who served as a Covered Executive at any time during the performance period for that Covered Compensation.</w:t>
      </w:r>
    </w:p>
    <w:p>
      <w:pPr>
        <w:spacing w:after="0" w:line="200" w:lineRule="exact"/>
        <w:rPr>
          <w:sz w:val="20"/>
          <w:szCs w:val="20"/>
          <w:color w:val="auto"/>
        </w:rPr>
      </w:pPr>
    </w:p>
    <w:p>
      <w:pPr>
        <w:spacing w:after="0" w:line="22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6.</w:t>
      </w:r>
      <w:r>
        <w:rPr>
          <w:sz w:val="20"/>
          <w:szCs w:val="20"/>
          <w:color w:val="auto"/>
        </w:rPr>
        <w:tab/>
      </w:r>
      <w:r>
        <w:rPr>
          <w:rFonts w:ascii="Times New Roman" w:cs="Times New Roman" w:eastAsia="Times New Roman" w:hAnsi="Times New Roman"/>
          <w:sz w:val="21"/>
          <w:szCs w:val="21"/>
          <w:b w:val="1"/>
          <w:bCs w:val="1"/>
          <w:u w:val="single" w:color="auto"/>
          <w:color w:val="auto"/>
        </w:rPr>
        <w:t>Financial Restatements; Recoupment</w:t>
      </w:r>
    </w:p>
    <w:p>
      <w:pPr>
        <w:spacing w:after="0" w:line="237"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Committee shall review the Covered Compensation received by a Covered Executive during the three-year period preceding the Required Financial Restatement Date as well as any transition period that results from a change in the Company’s fiscal year within or immediately following those three completed fiscal years. Regardless of whether the Company filed the restated financial statements, the Committee shall, to the full extent permitted by governing law, seek recoupment of any Covered Compensation, whether in the form of cash or equity, received by a Covered Executive (computed without regard to any taxes paid), if and to the extent:</w:t>
      </w:r>
    </w:p>
    <w:p>
      <w:pPr>
        <w:spacing w:after="0" w:line="206" w:lineRule="exact"/>
        <w:rPr>
          <w:sz w:val="20"/>
          <w:szCs w:val="20"/>
          <w:color w:val="auto"/>
        </w:rPr>
      </w:pPr>
    </w:p>
    <w:p>
      <w:pPr>
        <w:ind w:left="1140" w:hanging="383"/>
        <w:spacing w:after="0" w:line="258" w:lineRule="auto"/>
        <w:tabs>
          <w:tab w:leader="none" w:pos="11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was calculated based upon the achievement of certain financial results that were subsequently the subject of a Restatement; and</w:t>
      </w:r>
    </w:p>
    <w:p>
      <w:pPr>
        <w:spacing w:after="0" w:line="185" w:lineRule="exact"/>
        <w:rPr>
          <w:rFonts w:ascii="Times New Roman" w:cs="Times New Roman" w:eastAsia="Times New Roman" w:hAnsi="Times New Roman"/>
          <w:sz w:val="22"/>
          <w:szCs w:val="22"/>
          <w:color w:val="auto"/>
        </w:rPr>
      </w:pPr>
    </w:p>
    <w:p>
      <w:pPr>
        <w:jc w:val="both"/>
        <w:ind w:left="1140" w:right="20" w:hanging="383"/>
        <w:spacing w:after="0" w:line="244" w:lineRule="auto"/>
        <w:tabs>
          <w:tab w:leader="none" w:pos="11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that would have been received by the Covered Executive had the financial results been properly reported would have been lower than the amount actually awarded (any such amount, “</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 Awarded Compensation.</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For purposes of this Policy, the “</w:t>
      </w:r>
      <w:r>
        <w:rPr>
          <w:rFonts w:ascii="Times New Roman" w:cs="Times New Roman" w:eastAsia="Times New Roman" w:hAnsi="Times New Roman"/>
          <w:sz w:val="22"/>
          <w:szCs w:val="22"/>
          <w:u w:val="single" w:color="auto"/>
          <w:color w:val="auto"/>
        </w:rPr>
        <w:t>Required Financial Restatement Date</w:t>
      </w:r>
      <w:r>
        <w:rPr>
          <w:rFonts w:ascii="Times New Roman" w:cs="Times New Roman" w:eastAsia="Times New Roman" w:hAnsi="Times New Roman"/>
          <w:sz w:val="22"/>
          <w:szCs w:val="22"/>
          <w:color w:val="auto"/>
        </w:rPr>
        <w:t>” is the earlier to occur of:</w:t>
      </w:r>
    </w:p>
    <w:p>
      <w:pPr>
        <w:spacing w:after="0" w:line="233" w:lineRule="exact"/>
        <w:rPr>
          <w:sz w:val="20"/>
          <w:szCs w:val="20"/>
          <w:color w:val="auto"/>
        </w:rPr>
      </w:pPr>
    </w:p>
    <w:p>
      <w:pPr>
        <w:jc w:val="both"/>
        <w:ind w:left="1140" w:hanging="383"/>
        <w:spacing w:after="0" w:line="244" w:lineRule="auto"/>
        <w:tabs>
          <w:tab w:leader="none" w:pos="11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20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 Restatement.</w:t>
      </w:r>
    </w:p>
    <w:p>
      <w:pPr>
        <w:spacing w:after="0" w:line="233"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22"/>
          <w:szCs w:val="22"/>
          <w:color w:val="auto"/>
        </w:rPr>
        <w:t>For the avoidance of doubt, a Covered Executive will be deemed to have received Covered Compensation in the Company’s fiscal period during which the financial reporting measure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color w:val="auto"/>
        </w:rPr>
        <w:t>Exhibit 97</w:t>
      </w:r>
    </w:p>
    <w:p>
      <w:pPr>
        <w:spacing w:after="0" w:line="3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specified in the award is attained, even if the Covered Executive remains subject to additional payment conditions with respect to such award.</w:t>
      </w:r>
    </w:p>
    <w:p>
      <w:pPr>
        <w:spacing w:after="0" w:line="18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7.</w:t>
      </w:r>
      <w:r>
        <w:rPr>
          <w:sz w:val="20"/>
          <w:szCs w:val="20"/>
          <w:color w:val="auto"/>
        </w:rPr>
        <w:tab/>
      </w:r>
      <w:r>
        <w:rPr>
          <w:rFonts w:ascii="Times New Roman" w:cs="Times New Roman" w:eastAsia="Times New Roman" w:hAnsi="Times New Roman"/>
          <w:sz w:val="21"/>
          <w:szCs w:val="21"/>
          <w:b w:val="1"/>
          <w:bCs w:val="1"/>
          <w:u w:val="single" w:color="auto"/>
          <w:color w:val="auto"/>
        </w:rPr>
        <w:t>Method of Recoupment</w:t>
      </w:r>
    </w:p>
    <w:p>
      <w:pPr>
        <w:spacing w:after="0" w:line="237" w:lineRule="exact"/>
        <w:rPr>
          <w:sz w:val="20"/>
          <w:szCs w:val="20"/>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22"/>
          <w:szCs w:val="22"/>
          <w:color w:val="auto"/>
        </w:rPr>
        <w:t>The Committee will determine, in its sole discretion, the method for recouping Erroneously Awarded Compensation, which may include, without limitation:</w:t>
      </w:r>
    </w:p>
    <w:p>
      <w:pPr>
        <w:spacing w:after="0" w:line="185" w:lineRule="exact"/>
        <w:rPr>
          <w:sz w:val="20"/>
          <w:szCs w:val="20"/>
          <w:color w:val="auto"/>
        </w:rPr>
      </w:pPr>
    </w:p>
    <w:p>
      <w:pPr>
        <w:ind w:left="1140" w:hanging="383"/>
        <w:spacing w:after="0"/>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23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 (and/or equity-based) awards;</w:t>
      </w:r>
    </w:p>
    <w:p>
      <w:pPr>
        <w:spacing w:after="0" w:line="23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adjusting or withholding from unpaid compensation or other set-off to the extent permitted by applicable law; and/or</w:t>
      </w:r>
    </w:p>
    <w:p>
      <w:pPr>
        <w:spacing w:after="0" w:line="244" w:lineRule="exact"/>
        <w:rPr>
          <w:rFonts w:ascii="Times New Roman" w:cs="Times New Roman" w:eastAsia="Times New Roman" w:hAnsi="Times New Roman"/>
          <w:sz w:val="21"/>
          <w:szCs w:val="21"/>
          <w:color w:val="auto"/>
        </w:rPr>
      </w:pPr>
    </w:p>
    <w:p>
      <w:pPr>
        <w:ind w:left="1140" w:right="20" w:hanging="383"/>
        <w:spacing w:after="0" w:line="258" w:lineRule="auto"/>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or eliminating future salary increases, cash-based or equity-based incentive compensation, bonuses, awards or severance.</w:t>
      </w:r>
    </w:p>
    <w:p>
      <w:pPr>
        <w:spacing w:after="0" w:line="18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Impracticability Exceptions</w:t>
      </w: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The Committee shall not seek recoupment of any Erroneously Awarded Compensation to the extent it determines that:</w:t>
      </w:r>
    </w:p>
    <w:p>
      <w:pPr>
        <w:spacing w:after="0" w:line="233" w:lineRule="exact"/>
        <w:rPr>
          <w:sz w:val="20"/>
          <w:szCs w:val="20"/>
          <w:color w:val="auto"/>
        </w:rPr>
      </w:pPr>
    </w:p>
    <w:p>
      <w:pPr>
        <w:ind w:left="1140" w:right="20" w:hanging="383"/>
        <w:spacing w:after="0" w:line="258"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of Erroneously Awarded Compensation to be recovered;</w:t>
      </w:r>
    </w:p>
    <w:p>
      <w:pPr>
        <w:spacing w:after="0" w:line="18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and/or</w:t>
      </w:r>
    </w:p>
    <w:p>
      <w:pPr>
        <w:spacing w:after="0" w:line="233"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19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9.</w:t>
      </w:r>
      <w:r>
        <w:rPr>
          <w:sz w:val="20"/>
          <w:szCs w:val="20"/>
          <w:color w:val="auto"/>
        </w:rPr>
        <w:tab/>
      </w:r>
      <w:r>
        <w:rPr>
          <w:rFonts w:ascii="Times New Roman" w:cs="Times New Roman" w:eastAsia="Times New Roman" w:hAnsi="Times New Roman"/>
          <w:sz w:val="21"/>
          <w:szCs w:val="21"/>
          <w:b w:val="1"/>
          <w:bCs w:val="1"/>
          <w:u w:val="single" w:color="auto"/>
          <w:color w:val="auto"/>
        </w:rPr>
        <w:t>No Indemnification</w:t>
      </w:r>
    </w:p>
    <w:p>
      <w:pPr>
        <w:spacing w:after="0" w:line="237"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For the avoidance of doubt, the Company shall not indemnify any Covered Executive against the loss of any Erroneously Awarded Compensation or any Covered Compensation that is recouped pursuant to the terms of this Policy, or any claims relating to the Company’s enforcement of its rights under this Policy.</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u w:val="single" w:color="auto"/>
          <w:color w:val="auto"/>
        </w:rPr>
        <w:t>10. Severability</w:t>
      </w:r>
    </w:p>
    <w:p>
      <w:pPr>
        <w:spacing w:after="0" w:line="2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If any provision of this Policy or the application of any such provision to any Covered Executive shall be adjudicated to be invalid, illegal or unenforceable in any respect, such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color w:val="auto"/>
        </w:rPr>
        <w:t>Exhibit 97</w:t>
      </w:r>
    </w:p>
    <w:p>
      <w:pPr>
        <w:spacing w:after="0" w:line="3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u w:val="single" w:color="auto"/>
          <w:color w:val="auto"/>
        </w:rPr>
        <w:t>11. Amendments</w:t>
      </w:r>
    </w:p>
    <w:p>
      <w:pPr>
        <w:spacing w:after="0" w:line="2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The Committee may amend, modify or terminate this Policy in whole or in part at any time and may adopt such rules and procedures that it deems necessary or appropriate to implement this Policy or to comply with applicable laws and regulations.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u w:val="single" w:color="auto"/>
          <w:color w:val="auto"/>
        </w:rPr>
        <w:t>12. No Impairment of Other Remedies</w:t>
      </w:r>
    </w:p>
    <w:p>
      <w:pPr>
        <w:spacing w:after="0" w:line="237"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1"/>
          <w:szCs w:val="21"/>
          <w:color w:val="auto"/>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w:t>
      </w:r>
      <w:r>
        <w:rPr>
          <w:rFonts w:ascii="Times New Roman" w:cs="Times New Roman" w:eastAsia="Times New Roman" w:hAnsi="Times New Roman"/>
          <w:sz w:val="21"/>
          <w:szCs w:val="21"/>
          <w:u w:val="single" w:color="auto"/>
          <w:color w:val="auto"/>
        </w:rPr>
        <w:t>Separate Recoupment Policy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Separate Recoupment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Policies</w:t>
      </w:r>
      <w:r>
        <w:rPr>
          <w:rFonts w:ascii="Times New Roman" w:cs="Times New Roman" w:eastAsia="Times New Roman" w:hAnsi="Times New Roman"/>
          <w:sz w:val="21"/>
          <w:szCs w:val="21"/>
          <w:color w:val="auto"/>
        </w:rPr>
        <w:t>”), or any actions that may be imposed by law enforcement agencies, regulators or other authorities. Notwithstanding the foregoing, in the event of a Restatement, the provisions of this Policy shall control and any additional recoupment provisions set forth in a Separate Recoupment Policy to which a Covered Executive is subject that provide the Company the right to seek recoupment in the event of a Restatement shall not apply to any Covered Executive. The Company may also adopt additional Separate Recoupment Policies in the future or amend existing requirements as required by law or regulation.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color w:val="auto"/>
        </w:rPr>
        <w:t>Exhibit 97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CABOT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CLAWBACK POLICY ACKNOWLEDGMENT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Reference is made to the Cabot Corporation Policy for Recoupment of Incentive Compensation, effective as of October 2, 2023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By signing in the space indicated below, you acknowledge and agree that you have received and understand the Clawback Policy and that effective as of [DATE] the Clawback Policy applies and will continue to apply to you during and after your employment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[NAME]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DATE: [DATE], 2023</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4" w:name="page115"/>
    <w:bookmarkEnd w:id="1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lowerRoman"/>
      <w:start w:val="1"/>
    </w:lvl>
  </w:abstractNum>
  <w:abstractNum w:abstractNumId="13">
    <w:nsid w:val="5072367"/>
    <w:multiLevelType w:val="hybridMultilevel"/>
    <w:lvl w:ilvl="0">
      <w:lvlJc w:val="left"/>
      <w:lvlText w:val="%1)"/>
      <w:numFmt w:val="lowerRoman"/>
      <w:start w:val="4"/>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2"/>
    </w:lvl>
  </w:abstractNum>
  <w:abstractNum w:abstractNumId="22">
    <w:nsid w:val="580BD78F"/>
    <w:multiLevelType w:val="hybridMultilevel"/>
    <w:lvl w:ilvl="0">
      <w:lvlJc w:val="left"/>
      <w:lvlText w:val="%1)"/>
      <w:numFmt w:val="lowerRoman"/>
      <w:start w:val="2"/>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4"/>
    </w:lvl>
  </w:abstractNum>
  <w:abstractNum w:abstractNumId="25">
    <w:nsid w:val="70A64E2A"/>
    <w:multiLevelType w:val="hybridMultilevel"/>
    <w:lvl w:ilvl="0">
      <w:lvlJc w:val="left"/>
      <w:lvlText w:val="%1"/>
      <w:numFmt w:val="decimal"/>
      <w:start w:val="1"/>
    </w:lvl>
    <w:lvl w:ilvl="1">
      <w:lvlJc w:val="left"/>
      <w:lvlText w:val="(%2)"/>
      <w:numFmt w:val="lowerLetter"/>
      <w:start w:val="1"/>
    </w:lvl>
  </w:abstractNum>
  <w:abstractNum w:abstractNumId="26">
    <w:nsid w:val="6A2342EC"/>
    <w:multiLevelType w:val="hybridMultilevel"/>
    <w:lvl w:ilvl="0">
      <w:lvlJc w:val="left"/>
      <w:lvlText w:val="(%1)"/>
      <w:numFmt w:val="decimal"/>
      <w:start w:val="5"/>
    </w:lvl>
    <w:lvl w:ilvl="1">
      <w:lvlJc w:val="left"/>
      <w:lvlText w:val="%2"/>
      <w:numFmt w:val="lowerLetter"/>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3"/>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2"/>
    </w:lvl>
    <w:lvl w:ilvl="1">
      <w:lvlJc w:val="left"/>
      <w:lvlText w:val="•"/>
      <w:numFmt w:val="bullet"/>
      <w:start w:val="1"/>
    </w:lvl>
  </w:abstractNum>
  <w:abstractNum w:abstractNumId="35">
    <w:nsid w:val="6DE91B18"/>
    <w:multiLevelType w:val="hybridMultilevel"/>
    <w:lvl w:ilvl="0">
      <w:lvlJc w:val="left"/>
      <w:lvlText w:val="%1."/>
      <w:numFmt w:val="decimal"/>
      <w:start w:val="3"/>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4"/>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5"/>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6"/>
    </w:lvl>
    <w:lvl w:ilvl="1">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lowerRoman"/>
      <w:start w:val="1"/>
    </w:lvl>
  </w:abstractNum>
  <w:abstractNum w:abstractNumId="46">
    <w:nsid w:val="12E685FB"/>
    <w:multiLevelType w:val="hybridMultilevel"/>
    <w:lvl w:ilvl="0">
      <w:lvlJc w:val="left"/>
      <w:lvlText w:val="%1."/>
      <w:numFmt w:val="decimal"/>
      <w:start w:val="7"/>
    </w:lvl>
  </w:abstractNum>
  <w:abstractNum w:abstractNumId="47">
    <w:nsid w:val="70C6A529"/>
    <w:multiLevelType w:val="hybridMultilevel"/>
    <w:lvl w:ilvl="0">
      <w:lvlJc w:val="left"/>
      <w:lvlText w:val="%1."/>
      <w:numFmt w:val="decimal"/>
      <w:start w:val="7"/>
    </w:lvl>
    <w:lvl w:ilvl="1">
      <w:lvlJc w:val="left"/>
      <w:lvlText w:val="•"/>
      <w:numFmt w:val="bullet"/>
      <w:start w:val="1"/>
    </w:lvl>
  </w:abstractNum>
  <w:abstractNum w:abstractNumId="48">
    <w:nsid w:val="520EEDD1"/>
    <w:multiLevelType w:val="hybridMultilevel"/>
    <w:lvl w:ilvl="0">
      <w:lvlJc w:val="left"/>
      <w:lvlText w:val="%1."/>
      <w:numFmt w:val="decimal"/>
      <w:start w:val="9"/>
    </w:lvl>
  </w:abstractNum>
  <w:abstractNum w:abstractNumId="49">
    <w:nsid w:val="374A3FE6"/>
    <w:multiLevelType w:val="hybridMultilevel"/>
    <w:lvl w:ilvl="0">
      <w:lvlJc w:val="left"/>
      <w:lvlText w:val="1"/>
      <w:numFmt w:val="bullet"/>
      <w:start w:val="1"/>
    </w:lvl>
  </w:abstractNum>
  <w:abstractNum w:abstractNumId="50">
    <w:nsid w:val="4F4EF005"/>
    <w:multiLevelType w:val="hybridMultilevel"/>
    <w:lvl w:ilvl="0">
      <w:lvlJc w:val="left"/>
      <w:lvlText w:val="%1."/>
      <w:numFmt w:val="decimal"/>
      <w:start w:val="1"/>
    </w:lvl>
    <w:lvl w:ilvl="1">
      <w:lvlJc w:val="left"/>
      <w:lvlText w:val="%2)"/>
      <w:numFmt w:val="lowerLetter"/>
      <w:start w:val="1"/>
    </w:lvl>
  </w:abstractNum>
  <w:abstractNum w:abstractNumId="51">
    <w:nsid w:val="23F9C13C"/>
    <w:multiLevelType w:val="hybridMultilevel"/>
    <w:lvl w:ilvl="0">
      <w:lvlJc w:val="left"/>
      <w:lvlText w:val="%1."/>
      <w:numFmt w:val="decimal"/>
      <w:start w:val="1"/>
    </w:lvl>
    <w:lvl w:ilvl="1">
      <w:lvlJc w:val="left"/>
      <w:lvlText w:val="%2)"/>
      <w:numFmt w:val="lowerLetter"/>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8"/>
    </w:lvl>
    <w:lvl w:ilvl="1">
      <w:lvlJc w:val="left"/>
      <w:lvlText w:val="%2"/>
      <w:numFmt w:val="lowerLetter"/>
      <w:start w:val="1"/>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9" Type="http://schemas.openxmlformats.org/officeDocument/2006/relationships/image" Target="media/image558.png"/><Relationship Id="rId570" Type="http://schemas.openxmlformats.org/officeDocument/2006/relationships/image" Target="media/image559.png"/><Relationship Id="rId571" Type="http://schemas.openxmlformats.org/officeDocument/2006/relationships/image" Target="media/image560.png"/><Relationship Id="rId573" Type="http://schemas.openxmlformats.org/officeDocument/2006/relationships/image" Target="media/image561.png"/><Relationship Id="rId574" Type="http://schemas.openxmlformats.org/officeDocument/2006/relationships/image" Target="media/image562.png"/><Relationship Id="rId575" Type="http://schemas.openxmlformats.org/officeDocument/2006/relationships/image" Target="media/image563.png"/><Relationship Id="rId577" Type="http://schemas.openxmlformats.org/officeDocument/2006/relationships/image" Target="media/image564.png"/><Relationship Id="rId578" Type="http://schemas.openxmlformats.org/officeDocument/2006/relationships/image" Target="media/image565.png"/><Relationship Id="rId579" Type="http://schemas.openxmlformats.org/officeDocument/2006/relationships/image" Target="media/image566.png"/><Relationship Id="rId580"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7" Type="http://schemas.openxmlformats.org/officeDocument/2006/relationships/image" Target="media/image572.png"/><Relationship Id="rId588" Type="http://schemas.openxmlformats.org/officeDocument/2006/relationships/image" Target="media/image573.png"/><Relationship Id="rId589"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png"/><Relationship Id="rId593" Type="http://schemas.openxmlformats.org/officeDocument/2006/relationships/image" Target="media/image577.png"/><Relationship Id="rId594" Type="http://schemas.openxmlformats.org/officeDocument/2006/relationships/image" Target="media/image578.png"/><Relationship Id="rId596" Type="http://schemas.openxmlformats.org/officeDocument/2006/relationships/image" Target="media/image579.png"/><Relationship Id="rId597"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8" Type="http://schemas.openxmlformats.org/officeDocument/2006/relationships/image" Target="media/image588.png"/><Relationship Id="rId609" Type="http://schemas.openxmlformats.org/officeDocument/2006/relationships/image" Target="media/image589.png"/><Relationship Id="rId610"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7" Type="http://schemas.openxmlformats.org/officeDocument/2006/relationships/image" Target="media/image595.png"/><Relationship Id="rId618" Type="http://schemas.openxmlformats.org/officeDocument/2006/relationships/image" Target="media/image596.png"/><Relationship Id="rId619" Type="http://schemas.openxmlformats.org/officeDocument/2006/relationships/image" Target="media/image597.png"/><Relationship Id="rId621" Type="http://schemas.openxmlformats.org/officeDocument/2006/relationships/image" Target="media/image598.png"/><Relationship Id="rId622" Type="http://schemas.openxmlformats.org/officeDocument/2006/relationships/image" Target="media/image599.png"/><Relationship Id="rId624" Type="http://schemas.openxmlformats.org/officeDocument/2006/relationships/image" Target="media/image600.png"/><Relationship Id="rId625" Type="http://schemas.openxmlformats.org/officeDocument/2006/relationships/image" Target="media/image601.png"/><Relationship Id="rId627" Type="http://schemas.openxmlformats.org/officeDocument/2006/relationships/image" Target="media/image602.png"/><Relationship Id="rId628" Type="http://schemas.openxmlformats.org/officeDocument/2006/relationships/image" Target="media/image603.png"/><Relationship Id="rId630" Type="http://schemas.openxmlformats.org/officeDocument/2006/relationships/image" Target="media/image604.png"/><Relationship Id="rId631" Type="http://schemas.openxmlformats.org/officeDocument/2006/relationships/image" Target="media/image605.png"/><Relationship Id="rId633" Type="http://schemas.openxmlformats.org/officeDocument/2006/relationships/image" Target="media/image606.png"/><Relationship Id="rId634" Type="http://schemas.openxmlformats.org/officeDocument/2006/relationships/image" Target="media/image607.png"/><Relationship Id="rId636" Type="http://schemas.openxmlformats.org/officeDocument/2006/relationships/image" Target="media/image608.png"/><Relationship Id="rId637" Type="http://schemas.openxmlformats.org/officeDocument/2006/relationships/image" Target="media/image609.png"/><Relationship Id="rId638" Type="http://schemas.openxmlformats.org/officeDocument/2006/relationships/image" Target="media/image610.png"/><Relationship Id="rId640" Type="http://schemas.openxmlformats.org/officeDocument/2006/relationships/image" Target="media/image611.png"/><Relationship Id="rId641" Type="http://schemas.openxmlformats.org/officeDocument/2006/relationships/image" Target="media/image612.png"/><Relationship Id="rId642" Type="http://schemas.openxmlformats.org/officeDocument/2006/relationships/image" Target="media/image613.png"/><Relationship Id="rId644" Type="http://schemas.openxmlformats.org/officeDocument/2006/relationships/image" Target="media/image614.png"/><Relationship Id="rId645" Type="http://schemas.openxmlformats.org/officeDocument/2006/relationships/image" Target="media/image615.png"/><Relationship Id="rId646" Type="http://schemas.openxmlformats.org/officeDocument/2006/relationships/image" Target="media/image616.png"/><Relationship Id="rId648" Type="http://schemas.openxmlformats.org/officeDocument/2006/relationships/image" Target="media/image617.png"/><Relationship Id="rId649" Type="http://schemas.openxmlformats.org/officeDocument/2006/relationships/image" Target="media/image618.png"/><Relationship Id="rId650" Type="http://schemas.openxmlformats.org/officeDocument/2006/relationships/image" Target="media/image619.png"/><Relationship Id="rId652" Type="http://schemas.openxmlformats.org/officeDocument/2006/relationships/image" Target="media/image620.png"/><Relationship Id="rId653" Type="http://schemas.openxmlformats.org/officeDocument/2006/relationships/image" Target="media/image621.png"/><Relationship Id="rId654" Type="http://schemas.openxmlformats.org/officeDocument/2006/relationships/image" Target="media/image622.png"/><Relationship Id="rId655" Type="http://schemas.openxmlformats.org/officeDocument/2006/relationships/image" Target="media/image623.png"/><Relationship Id="rId657" Type="http://schemas.openxmlformats.org/officeDocument/2006/relationships/image" Target="media/image624.png"/><Relationship Id="rId658" Type="http://schemas.openxmlformats.org/officeDocument/2006/relationships/image" Target="media/image625.png"/><Relationship Id="rId659"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70" Type="http://schemas.openxmlformats.org/officeDocument/2006/relationships/image" Target="media/image631.png"/><Relationship Id="rId671" Type="http://schemas.openxmlformats.org/officeDocument/2006/relationships/image" Target="media/image632.png"/><Relationship Id="rId672" Type="http://schemas.openxmlformats.org/officeDocument/2006/relationships/image" Target="media/image633.png"/><Relationship Id="rId673" Type="http://schemas.openxmlformats.org/officeDocument/2006/relationships/image" Target="media/image634.png"/><Relationship Id="rId674" Type="http://schemas.openxmlformats.org/officeDocument/2006/relationships/image" Target="media/image635.png"/><Relationship Id="rId675" Type="http://schemas.openxmlformats.org/officeDocument/2006/relationships/image" Target="media/image636.png"/><Relationship Id="rId676" Type="http://schemas.openxmlformats.org/officeDocument/2006/relationships/image" Target="media/image637.png"/><Relationship Id="rId677" Type="http://schemas.openxmlformats.org/officeDocument/2006/relationships/image" Target="media/image638.png"/><Relationship Id="rId678" Type="http://schemas.openxmlformats.org/officeDocument/2006/relationships/image" Target="media/image639.png"/><Relationship Id="rId679" Type="http://schemas.openxmlformats.org/officeDocument/2006/relationships/image" Target="media/image640.png"/><Relationship Id="rId680" Type="http://schemas.openxmlformats.org/officeDocument/2006/relationships/image" Target="media/image641.png"/><Relationship Id="rId681" Type="http://schemas.openxmlformats.org/officeDocument/2006/relationships/image" Target="media/image642.png"/><Relationship Id="rId682" Type="http://schemas.openxmlformats.org/officeDocument/2006/relationships/image" Target="media/image643.png"/><Relationship Id="rId683" Type="http://schemas.openxmlformats.org/officeDocument/2006/relationships/image" Target="media/image644.png"/><Relationship Id="rId684" Type="http://schemas.openxmlformats.org/officeDocument/2006/relationships/image" Target="media/image645.png"/><Relationship Id="rId685" Type="http://schemas.openxmlformats.org/officeDocument/2006/relationships/image" Target="media/image646.png"/><Relationship Id="rId686" Type="http://schemas.openxmlformats.org/officeDocument/2006/relationships/image" Target="media/image647.png"/><Relationship Id="rId687" Type="http://schemas.openxmlformats.org/officeDocument/2006/relationships/image" Target="media/image648.png"/><Relationship Id="rId688" Type="http://schemas.openxmlformats.org/officeDocument/2006/relationships/image" Target="media/image649.png"/><Relationship Id="rId689" Type="http://schemas.openxmlformats.org/officeDocument/2006/relationships/image" Target="media/image650.png"/><Relationship Id="rId690" Type="http://schemas.openxmlformats.org/officeDocument/2006/relationships/image" Target="media/image651.png"/><Relationship Id="rId691" Type="http://schemas.openxmlformats.org/officeDocument/2006/relationships/image" Target="media/image652.png"/><Relationship Id="rId692" Type="http://schemas.openxmlformats.org/officeDocument/2006/relationships/image" Target="media/image653.png"/><Relationship Id="rId693" Type="http://schemas.openxmlformats.org/officeDocument/2006/relationships/image" Target="media/image654.png"/><Relationship Id="rId694" Type="http://schemas.openxmlformats.org/officeDocument/2006/relationships/image" Target="media/image655.png"/><Relationship Id="rId695" Type="http://schemas.openxmlformats.org/officeDocument/2006/relationships/image" Target="media/image656.png"/><Relationship Id="rId696" Type="http://schemas.openxmlformats.org/officeDocument/2006/relationships/image" Target="media/image657.png"/><Relationship Id="rId697" Type="http://schemas.openxmlformats.org/officeDocument/2006/relationships/image" Target="media/image658.png"/><Relationship Id="rId698" Type="http://schemas.openxmlformats.org/officeDocument/2006/relationships/image" Target="media/image659.png"/><Relationship Id="rId699" Type="http://schemas.openxmlformats.org/officeDocument/2006/relationships/image" Target="media/image660.png"/><Relationship Id="rId700" Type="http://schemas.openxmlformats.org/officeDocument/2006/relationships/image" Target="media/image661.png"/><Relationship Id="rId701" Type="http://schemas.openxmlformats.org/officeDocument/2006/relationships/image" Target="media/image662.png"/><Relationship Id="rId702" Type="http://schemas.openxmlformats.org/officeDocument/2006/relationships/image" Target="media/image663.png"/><Relationship Id="rId561" Type="http://schemas.openxmlformats.org/officeDocument/2006/relationships/hyperlink" Target="https://www.sec.gov/Archives/edgar/data/16040/000119312509022614/dex31.htm" TargetMode="External"/><Relationship Id="rId562" Type="http://schemas.openxmlformats.org/officeDocument/2006/relationships/hyperlink" Target="https://www.sec.gov/Archives/edgar/data/16040/000095017023039697/cbt-ex3_2.htm" TargetMode="External"/><Relationship Id="rId563" Type="http://schemas.openxmlformats.org/officeDocument/2006/relationships/hyperlink" Target="https://www.sec.gov/Archives/edgar/data/0000016040/000156459017024203/cbt-ex4ai_815.htm" TargetMode="External"/><Relationship Id="rId568" Type="http://schemas.openxmlformats.org/officeDocument/2006/relationships/hyperlink" Target="https://www.sec.gov/Archives/edgar/data/16040/0000950135-97-000657.txt" TargetMode="External"/><Relationship Id="rId572" Type="http://schemas.openxmlformats.org/officeDocument/2006/relationships/hyperlink" Target="https://www.sec.gov/Archives/edgar/data/16040/000119312516710994/d257358dex41.htm" TargetMode="External"/><Relationship Id="rId576" Type="http://schemas.openxmlformats.org/officeDocument/2006/relationships/hyperlink" Target="https://www.sec.gov/Archives/edgar/data/16040/000119312516710994/d257358dex42.htm" TargetMode="External"/><Relationship Id="rId581" Type="http://schemas.openxmlformats.org/officeDocument/2006/relationships/hyperlink" Target="https://www.sec.gov/Archives/edgar/data/0000016040/000119312519177606/d768920dex41.htm" TargetMode="External"/><Relationship Id="rId586" Type="http://schemas.openxmlformats.org/officeDocument/2006/relationships/hyperlink" Target="https://www.sec.gov/Archives/edgar/data/0000016040/000119312522178762/d303024dex41.htm" TargetMode="External"/><Relationship Id="rId590" Type="http://schemas.openxmlformats.org/officeDocument/2006/relationships/hyperlink" Target="https://www.sec.gov/Archives/edgar/data/0000016040/000119312522178762/d303024dex42.htm" TargetMode="External"/><Relationship Id="rId595" Type="http://schemas.openxmlformats.org/officeDocument/2006/relationships/hyperlink" Target="https://www.sec.gov/Archives/edgar/data/0000016040/000156459019044207/cbt-ex4b_81.htm" TargetMode="External"/><Relationship Id="rId598" Type="http://schemas.openxmlformats.org/officeDocument/2006/relationships/hyperlink" Target="https://www.sec.gov/Archives/edgar/data/16040/000156459021042694/cbt-ex101_164.htm" TargetMode="External"/><Relationship Id="rId603" Type="http://schemas.openxmlformats.org/officeDocument/2006/relationships/hyperlink" Target="https://www.sec.gov/Archives/edgar/data/16040/000095017023039697/cbt-ex10_1.htm" TargetMode="External"/><Relationship Id="rId607" Type="http://schemas.openxmlformats.org/officeDocument/2006/relationships/hyperlink" Target="https://www.sec.gov/Archives/edgar/data/16040/000095017023039697/cbt-ex10_2.htm" TargetMode="External"/><Relationship Id="rId611" Type="http://schemas.openxmlformats.org/officeDocument/2006/relationships/hyperlink" Target="https://www.sec.gov/Archives/edgar/data/16040/000095017023065844/cbt-ex10_aiii.htm" TargetMode="External"/><Relationship Id="rId616" Type="http://schemas.openxmlformats.org/officeDocument/2006/relationships/hyperlink" Target="https://www.sec.gov/Archives/edgar/data/16040/000095017023039697/cbt-ex10_3.htm" TargetMode="External"/><Relationship Id="rId620" Type="http://schemas.openxmlformats.org/officeDocument/2006/relationships/hyperlink" Target="https://www.sec.gov/Archives/edgar/data/16040/000119312512029791/d286677ddef14a.htm" TargetMode="External"/><Relationship Id="rId623" Type="http://schemas.openxmlformats.org/officeDocument/2006/relationships/hyperlink" Target="https://www.sec.gov/Archives/edgar/data/16040/000156459017009443/cbt-ex101_455.htm" TargetMode="External"/><Relationship Id="rId626" Type="http://schemas.openxmlformats.org/officeDocument/2006/relationships/hyperlink" Target="https://www.sec.gov/Archives/edgar/data/0000016040/000156459021023910/cbt-ex101_34.htm" TargetMode="External"/><Relationship Id="rId629" Type="http://schemas.openxmlformats.org/officeDocument/2006/relationships/hyperlink" Target="https://www.sec.gov/ix?doc=/Archives/edgar/data/16040/000119312524016506/d509746ddef14a.htm" TargetMode="External"/><Relationship Id="rId632" Type="http://schemas.openxmlformats.org/officeDocument/2006/relationships/hyperlink" Target="https://www.sec.gov/Archives/edgar/data/0000016040/000119312519031638/d700150dex101.htm" TargetMode="External"/><Relationship Id="rId635" Type="http://schemas.openxmlformats.org/officeDocument/2006/relationships/hyperlink" Target="https://www.sec.gov/Archives/edgar/data/16040/000119312512215376/d310980dex105.htm" TargetMode="External"/><Relationship Id="rId639" Type="http://schemas.openxmlformats.org/officeDocument/2006/relationships/hyperlink" Target="https://www.sec.gov/Archives/edgar/data/0000016040/000156459018029997/cbt-ex10e_36.htm" TargetMode="External"/><Relationship Id="rId643" Type="http://schemas.openxmlformats.org/officeDocument/2006/relationships/hyperlink" Target="https://www.sec.gov/Archives/edgar/data/0000016040/000156459018029997/cbt-ex10f_34.htm" TargetMode="External"/><Relationship Id="rId647" Type="http://schemas.openxmlformats.org/officeDocument/2006/relationships/hyperlink" Target="https://www.sec.gov/Archives/edgar/data/0000016040/000156459018029997/cbt-ex10g_33.htm" TargetMode="External"/><Relationship Id="rId651" Type="http://schemas.openxmlformats.org/officeDocument/2006/relationships/hyperlink" Target="https://www.sec.gov/Archives/edgar/data/16040/000095017023065844/cbt-ex10_h.htm" TargetMode="External"/><Relationship Id="rId656" Type="http://schemas.openxmlformats.org/officeDocument/2006/relationships/hyperlink" Target="https://www.sec.gov/Archives/edgar/data/16040/000095017023065844/cbt-ex10_i.htm" TargetMode="External"/><Relationship Id="rId660" Type="http://schemas.openxmlformats.org/officeDocument/2006/relationships/hyperlink" Target="https://www.sec.gov/Archives/edgar/data/16040/000095017023065844/cbt-ex10_j.htm" TargetMode="External"/><Relationship Id="rId665" Type="http://schemas.openxmlformats.org/officeDocument/2006/relationships/hyperlink" Target="https://www.sec.gov/Archives/edgar/data/16040/000095017023065844/cbt-ex10_k.htm" TargetMode="External"/><Relationship Id="rId666" Type="http://schemas.openxmlformats.org/officeDocument/2006/relationships/hyperlink" Target="https://www.sec.gov/Archives/edgar/data/16040/000119312514038941/d658585dex101.htm" TargetMode="External"/><Relationship Id="rId667" Type="http://schemas.openxmlformats.org/officeDocument/2006/relationships/hyperlink" Target="https://www.sec.gov/Archives/edgar/data/16040/000119312514038941/d658585dex102.htm" TargetMode="External"/><Relationship Id="rId668" Type="http://schemas.openxmlformats.org/officeDocument/2006/relationships/hyperlink" Target="https://www.sec.gov/Archives/edgar/data/0000016040/000156459021004529/cbt-ex101_70.htm" TargetMode="External"/><Relationship Id="rId669" Type="http://schemas.openxmlformats.org/officeDocument/2006/relationships/hyperlink" Target="https://www.sec.gov/Archives/edgar/data/16040/000156459022038228/cbt-ex10_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2024-11-20T15:11:37Z</dcterms:created>
  <dcterms:modified xsi:type="dcterms:W3CDTF">2024-11-20T15:11:37Z</dcterms:modified>
</cp:coreProperties>
</file>